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5064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50642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275/2025/1698/VFI-CT.44.A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Mạnh Tưởng</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Quyền sử dụng đất tại thửa đất số: 193, tờ bản đồ số 2 có địa chỉ: Đội 14 Thôn Yên Lạc 3, xã Cần Kiệm, huyện Thạch Thất, thành phố Hà Nội (nay là xã Hạ Bằng, thành phố Hà Nội). theo Giấy chứng nhận quyền sử dụng đất, quyền sở hữu nhà ở và tài sản khác gắn </w:t>
                            </w:r>
                            <w:r>
                              <w:rPr>
                                <w:rFonts w:ascii="Times New Roman" w:hAnsi="Times New Roman" w:eastAsia="Times New Roman" w:cs="Times New Roman"/>
                                <w:color w:val="000000"/>
                                <w:sz w:val="24"/>
                              </w:rPr>
                              <w:t xml:space="preserve">liền với đất số: BA 549857, số vào sổ cấp GCN: CH 00598/QSDĐ/872/VPĐK do UBND Huyện Thạch Thất cấp ngày 23/12/2014; Chủ sử dụng đất là Ông Nguyễn Mạnh Tưởng</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11/2025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76.1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275/2025/1698/VFI-CT.44.A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Mạnh Tưởng</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Quyền sử dụng đất tại thửa đất số: 193, tờ bản đồ số 2 có địa chỉ: Đội 14 Thôn Yên Lạc 3, xã Cần Kiệm, huyện Thạch Thất, thành phố Hà Nội (nay là xã Hạ Bằng, thành phố Hà Nội). theo Giấy chứng nhận quyền sử dụng đất, quyền sở hữu nhà ở và tài sản khác gắn </w:t>
                      </w:r>
                      <w:r>
                        <w:rPr>
                          <w:rFonts w:ascii="Times New Roman" w:hAnsi="Times New Roman" w:eastAsia="Times New Roman" w:cs="Times New Roman"/>
                          <w:color w:val="000000"/>
                          <w:sz w:val="24"/>
                        </w:rPr>
                        <w:t xml:space="preserve">liền với đất số: BA 549857, số vào sổ cấp GCN: CH 00598/QSDĐ/872/VPĐK do UBND Huyện Thạch Thất cấp ngày 23/12/2014; Chủ sử dụng đất là Ông Nguyễn Mạnh Tưởng</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11/2025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30"/>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30"/>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9"/>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9"/>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29"/>
              <w:pBdr/>
              <w:spacing w:after="60" w:before="200"/>
              <w:ind/>
              <w:rPr>
                <w:rStyle w:val="1028"/>
                <w:rFonts w:ascii="Times New Roman" w:hAnsi="Times New Roman"/>
                <w:color w:val="auto"/>
                <w:lang w:val="pt-BR"/>
              </w:rPr>
            </w:pPr>
            <w:r>
              <w:rPr>
                <w:rFonts w:ascii="Times New Roman" w:hAnsi="Times New Roman"/>
                <w:color w:val="auto"/>
                <w:lang w:val="pt-BR"/>
              </w:rPr>
            </w:r>
            <w:r>
              <w:rPr>
                <w:rStyle w:val="1028"/>
                <w:rFonts w:ascii="Times New Roman" w:hAnsi="Times New Roman"/>
                <w:color w:val="auto"/>
                <w:lang w:val="pt-BR"/>
              </w:rPr>
            </w:r>
            <w:r>
              <w:rPr>
                <w:rStyle w:val="1028"/>
                <w:rFonts w:ascii="Times New Roman" w:hAnsi="Times New Roman"/>
                <w:color w:val="auto"/>
                <w:lang w:val="pt-BR"/>
              </w:rPr>
            </w:r>
          </w:p>
          <w:p w14:paraId="189019A0" w14:textId="50D2DFCA">
            <w:pPr>
              <w:pStyle w:val="1029"/>
              <w:pBdr/>
              <w:spacing w:after="60" w:before="200"/>
              <w:ind/>
              <w:rPr>
                <w:sz w:val="24"/>
                <w:szCs w:val="24"/>
              </w:rPr>
            </w:pPr>
            <w:r>
              <w:rPr>
                <w:rStyle w:val="1028"/>
                <w:rFonts w:ascii="Times New Roman" w:hAnsi="Times New Roman"/>
                <w:color w:val="auto"/>
                <w:lang w:val="pt-BR"/>
              </w:rPr>
              <w:t xml:space="preserve">Số:</w:t>
            </w:r>
            <w:r>
              <w:rPr>
                <w:rStyle w:val="1028"/>
                <w:rFonts w:ascii="Times New Roman" w:hAnsi="Times New Roman"/>
                <w:color w:val="auto"/>
                <w:lang w:val="pt-BR"/>
              </w:rPr>
              <w:t xml:space="preserve"> </w:t>
            </w:r>
            <w:r>
              <w:rPr>
                <w:rStyle w:val="1028"/>
                <w:rFonts w:ascii="Times New Roman" w:hAnsi="Times New Roman"/>
                <w:color w:val="000000" w:themeColor="text1"/>
                <w:lang w:val="pt-BR"/>
              </w:rPr>
              <w:t xml:space="preserve">275/2025/1698/VFI-CT.44.A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29"/>
              <w:pBdr/>
              <w:spacing w:after="60" w:before="200"/>
              <w:ind w:right="-56"/>
              <w:rPr>
                <w:rStyle w:val="1028"/>
                <w:rFonts w:ascii="Times New Roman" w:hAnsi="Times New Roman"/>
                <w:i/>
                <w:color w:val="auto"/>
              </w:rPr>
            </w:pPr>
            <w:r>
              <w:rPr>
                <w:rFonts w:ascii="Times New Roman" w:hAnsi="Times New Roman"/>
                <w:i/>
                <w:color w:val="auto"/>
              </w:rPr>
            </w:r>
            <w:r>
              <w:rPr>
                <w:rStyle w:val="1028"/>
                <w:rFonts w:ascii="Times New Roman" w:hAnsi="Times New Roman"/>
                <w:i/>
                <w:color w:val="auto"/>
              </w:rPr>
            </w:r>
            <w:r>
              <w:rPr>
                <w:rStyle w:val="1028"/>
                <w:rFonts w:ascii="Times New Roman" w:hAnsi="Times New Roman"/>
                <w:i/>
                <w:color w:val="auto"/>
              </w:rPr>
            </w:r>
          </w:p>
          <w:p w14:paraId="6B33CD77" w14:textId="29BAA06D">
            <w:pPr>
              <w:pStyle w:val="1029"/>
              <w:pBdr/>
              <w:spacing w:after="60" w:before="200"/>
              <w:ind w:right="-56"/>
              <w:jc w:val="right"/>
              <w:rPr>
                <w:sz w:val="24"/>
                <w:szCs w:val="24"/>
                <w:lang w:val="vi-VN"/>
              </w:rPr>
            </w:pPr>
            <w:r>
              <w:rPr>
                <w:rStyle w:val="1028"/>
                <w:rFonts w:ascii="Times New Roman" w:hAnsi="Times New Roman"/>
                <w:i/>
                <w:color w:val="auto"/>
              </w:rPr>
              <w:t xml:space="preserve">TP. </w:t>
            </w:r>
            <w:r>
              <w:rPr>
                <w:rStyle w:val="1028"/>
                <w:rFonts w:ascii="Times New Roman" w:hAnsi="Times New Roman"/>
                <w:i/>
                <w:color w:val="auto"/>
              </w:rPr>
              <w:t xml:space="preserve">Hà Nội</w:t>
            </w:r>
            <w:r>
              <w:rPr>
                <w:rStyle w:val="1028"/>
                <w:rFonts w:ascii="Times New Roman" w:hAnsi="Times New Roman"/>
                <w:i/>
                <w:color w:val="auto"/>
                <w:lang w:val="vi-VN"/>
              </w:rPr>
              <w:t xml:space="preserve">, </w:t>
            </w:r>
            <w:r>
              <w:rPr>
                <w:rStyle w:val="1028"/>
                <w:rFonts w:ascii="Times New Roman" w:hAnsi="Times New Roman"/>
                <w:i/>
                <w:color w:val="000000" w:themeColor="text1"/>
                <w:lang w:val="vi-VN"/>
              </w:rPr>
              <w:t xml:space="preserve">ngày 29 tháng 11 năm 2025</w:t>
            </w:r>
            <w:r>
              <w:rPr>
                <w:rStyle w:val="1028"/>
                <w:rFonts w:ascii="Times New Roman" w:hAnsi="Times New Roman"/>
                <w:i/>
                <w:color w:val="auto"/>
                <w:lang w:val="vi-VN"/>
              </w:rPr>
              <w:t xml:space="preserve">   </w:t>
            </w:r>
            <w:r>
              <w:rPr>
                <w:rStyle w:val="1028"/>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29"/>
        <w:pBdr/>
        <w:spacing w:after="120" w:before="200" w:line="288" w:lineRule="auto"/>
        <w:ind/>
        <w:jc w:val="center"/>
        <w:rPr>
          <w:rStyle w:val="1028"/>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8"/>
          <w:rFonts w:ascii="Times New Roman" w:hAnsi="Times New Roman"/>
          <w:b/>
          <w:bCs/>
          <w:color w:val="auto"/>
          <w:sz w:val="30"/>
          <w:szCs w:val="30"/>
          <w:lang w:val="vi-VN"/>
        </w:rPr>
        <w:t xml:space="preserve">CHỨNG THƯ THẨM ĐỊNH GIÁ</w:t>
      </w:r>
      <w:r>
        <w:rPr>
          <w:rStyle w:val="1028"/>
          <w:rFonts w:ascii="Times New Roman" w:hAnsi="Times New Roman"/>
          <w:b/>
          <w:bCs/>
          <w:color w:val="auto"/>
          <w:sz w:val="30"/>
          <w:szCs w:val="30"/>
          <w:lang w:val="vi-VN"/>
        </w:rPr>
      </w:r>
      <w:r>
        <w:rPr>
          <w:rStyle w:val="1028"/>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Mạnh Tưởng</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275/2025/1698/VFI-HĐTĐ.44.A</w:t>
      </w:r>
      <w:r>
        <w:rPr>
          <w:spacing w:val="-4"/>
          <w:lang w:val="vi-VN"/>
        </w:rPr>
        <w:t xml:space="preserve"> ký ngày </w:t>
      </w:r>
      <w:r>
        <w:rPr>
          <w:color w:val="000000" w:themeColor="text1"/>
          <w:spacing w:val="-4"/>
        </w:rPr>
        <w:t xml:space="preserve">20 tháng 11 năm 2025</w:t>
      </w:r>
      <w:r>
        <w:rPr>
          <w:spacing w:val="-4"/>
          <w:lang w:val="vi-VN"/>
        </w:rPr>
        <w:t xml:space="preserve"> </w:t>
      </w:r>
      <w:r>
        <w:rPr>
          <w:spacing w:val="-4"/>
          <w:lang w:val="vi-VN"/>
        </w:rPr>
        <w:t xml:space="preserve">giữa </w:t>
      </w:r>
      <w:r>
        <w:rPr>
          <w:color w:val="000000" w:themeColor="text1"/>
          <w:spacing w:val="-4"/>
        </w:rPr>
        <w:t xml:space="preserve">Ông Nguyễn Mạnh Tưởng</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275/2025/1698/VFI-BC.44.A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29 tháng 11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highlight w:val="none"/>
          <w:lang w:val="vi-VN"/>
        </w:rPr>
      </w:r>
    </w:p>
    <w:tbl>
      <w:tblPr>
        <w:tblStyle w:val="1034"/>
        <w:tblInd w:w="0" w:type="dxa"/>
        <w:tblW w:w="4933"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234"/>
        <w:gridCol w:w="287"/>
        <w:gridCol w:w="6876"/>
      </w:tblGrid>
      <w:tr>
        <w:trPr>
          <w:trHeight w:val="20"/>
        </w:trPr>
        <w:tc>
          <w:tcPr>
            <w:tcBorders/>
            <w:tcMar>
              <w:left w:w="108" w:type="dxa"/>
              <w:top w:w="0" w:type="dxa"/>
              <w:right w:w="108" w:type="dxa"/>
              <w:bottom w:w="0" w:type="dxa"/>
            </w:tcMar>
            <w:tcW w:w="2234" w:type="dxa"/>
            <w:vAlign w:val="center"/>
            <w:textDirection w:val="lrTb"/>
            <w:noWrap w:val="false"/>
          </w:tcPr>
          <w:p w14:paraId="05226A8A">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7" w:type="dxa"/>
            <w:vAlign w:val="center"/>
            <w:textDirection w:val="lrTb"/>
            <w:noWrap w:val="false"/>
          </w:tcPr>
          <w:p w14:paraId="4CCAD15C">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76" w:type="dxa"/>
            <w:vAlign w:val="center"/>
            <w:textDirection w:val="lrTb"/>
            <w:noWrap w:val="false"/>
          </w:tcPr>
          <w:p w14:paraId="1234945E">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b/>
                <w:color w:val="000000"/>
                <w:sz w:val="24"/>
              </w:rPr>
              <w:t xml:space="preserve">ÔNG NGUYỄN MẠNH TƯỞNG</w:t>
            </w:r>
            <w:r/>
          </w:p>
        </w:tc>
      </w:tr>
      <w:tr>
        <w:trPr>
          <w:trHeight w:val="20"/>
        </w:trPr>
        <w:tc>
          <w:tcPr>
            <w:tcBorders/>
            <w:tcMar>
              <w:left w:w="108" w:type="dxa"/>
              <w:top w:w="0" w:type="dxa"/>
              <w:right w:w="108" w:type="dxa"/>
              <w:bottom w:w="0" w:type="dxa"/>
            </w:tcMar>
            <w:tcW w:w="2234" w:type="dxa"/>
            <w:vAlign w:val="center"/>
            <w:textDirection w:val="lrTb"/>
            <w:noWrap w:val="false"/>
          </w:tcPr>
          <w:p w14:paraId="26E9BDA9">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7" w:type="dxa"/>
            <w:vAlign w:val="center"/>
            <w:textDirection w:val="lrTb"/>
            <w:noWrap w:val="false"/>
          </w:tcPr>
          <w:p w14:paraId="64993195">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76" w:type="dxa"/>
            <w:vAlign w:val="center"/>
            <w:textDirection w:val="lrTb"/>
            <w:noWrap w:val="false"/>
          </w:tcPr>
          <w:p w14:paraId="5323B69C">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1993</w:t>
            </w:r>
            <w:r/>
          </w:p>
        </w:tc>
      </w:tr>
      <w:tr>
        <w:trPr>
          <w:trHeight w:val="20"/>
        </w:trPr>
        <w:tc>
          <w:tcPr>
            <w:tcBorders/>
            <w:tcMar>
              <w:left w:w="108" w:type="dxa"/>
              <w:top w:w="0" w:type="dxa"/>
              <w:right w:w="108" w:type="dxa"/>
              <w:bottom w:w="0" w:type="dxa"/>
            </w:tcMar>
            <w:tcW w:w="2234" w:type="dxa"/>
            <w:vAlign w:val="center"/>
            <w:textDirection w:val="lrTb"/>
            <w:noWrap w:val="false"/>
          </w:tcPr>
          <w:p w14:paraId="6EA47608">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Địa chỉ thường trú</w:t>
            </w:r>
            <w:r/>
          </w:p>
        </w:tc>
        <w:tc>
          <w:tcPr>
            <w:tcBorders/>
            <w:tcMar>
              <w:left w:w="108" w:type="dxa"/>
              <w:top w:w="0" w:type="dxa"/>
              <w:right w:w="108" w:type="dxa"/>
              <w:bottom w:w="0" w:type="dxa"/>
            </w:tcMar>
            <w:tcW w:w="287" w:type="dxa"/>
            <w:vAlign w:val="center"/>
            <w:textDirection w:val="lrTb"/>
            <w:noWrap w:val="false"/>
          </w:tcPr>
          <w:p w14:paraId="3365019A">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76" w:type="dxa"/>
            <w:vAlign w:val="center"/>
            <w:textDirection w:val="lrTb"/>
            <w:noWrap w:val="false"/>
          </w:tcPr>
          <w:p w14:paraId="63785593">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Thôn Yên Lạc, xã Cần Kiệm, huyện Thạch Thất, thành phố Hà Nội</w:t>
            </w:r>
            <w:r/>
          </w:p>
        </w:tc>
      </w:tr>
      <w:tr>
        <w:trPr>
          <w:trHeight w:val="20"/>
        </w:trPr>
        <w:tc>
          <w:tcPr>
            <w:tcBorders/>
            <w:tcMar>
              <w:left w:w="108" w:type="dxa"/>
              <w:top w:w="0" w:type="dxa"/>
              <w:right w:w="108" w:type="dxa"/>
              <w:bottom w:w="0" w:type="dxa"/>
            </w:tcMar>
            <w:tcW w:w="2234" w:type="dxa"/>
            <w:vAlign w:val="center"/>
            <w:textDirection w:val="lrTb"/>
            <w:noWrap w:val="false"/>
          </w:tcPr>
          <w:p w14:paraId="7660F1EE">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CMND</w:t>
            </w:r>
            <w:r/>
          </w:p>
        </w:tc>
        <w:tc>
          <w:tcPr>
            <w:tcBorders/>
            <w:tcMar>
              <w:left w:w="108" w:type="dxa"/>
              <w:top w:w="0" w:type="dxa"/>
              <w:right w:w="108" w:type="dxa"/>
              <w:bottom w:w="0" w:type="dxa"/>
            </w:tcMar>
            <w:tcW w:w="287" w:type="dxa"/>
            <w:vAlign w:val="center"/>
            <w:textDirection w:val="lrTb"/>
            <w:noWrap w:val="false"/>
          </w:tcPr>
          <w:p w14:paraId="111D4018">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876" w:type="dxa"/>
            <w:vAlign w:val="center"/>
            <w:textDirection w:val="lrTb"/>
            <w:noWrap w:val="false"/>
          </w:tcPr>
          <w:p w14:paraId="40E833A2">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017276398</w:t>
            </w: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Quyền sử dụng đất tại thửa đất số: 193, tờ bản đồ số 2 có địa chỉ: Đội 14 Thôn Yên Lạc 3, xã Cần Kiệm, huyện Thạch Thất, thành phố Hà Nội (nay là xã Hạ Bằng, thành phố Hà Nội). theo Giấy chứng nhận quyền sử dụng đất, quyền sở hữu nhà ở và tài sản khác gắn </w:t>
      </w:r>
      <w:r>
        <w:rPr>
          <w:rFonts w:ascii="Times New Roman" w:hAnsi="Times New Roman" w:eastAsia="Times New Roman" w:cs="Times New Roman"/>
          <w:color w:val="000000"/>
          <w:sz w:val="24"/>
        </w:rPr>
        <w:t xml:space="preserve">liền với đất số: BA 549857, số vào sổ cấp GCN: CH 00598/QSDĐ/872/VPĐK do UBND Huyện Thạch Thất cấp ngày 23/12/2014; Chủ sử dụng đất là Ông Nguyễn Mạnh Tưởng</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highlight w:val="none"/>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rPr>
          <w:highlight w:val="none"/>
        </w:rPr>
      </w:r>
    </w:p>
    <w:tbl>
      <w:tblPr>
        <w:tblStyle w:val="103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1"/>
        <w:gridCol w:w="3368"/>
        <w:gridCol w:w="1467"/>
        <w:gridCol w:w="1331"/>
        <w:gridCol w:w="19"/>
        <w:gridCol w:w="2569"/>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1" w:type="dxa"/>
            <w:vAlign w:val="center"/>
            <w:textDirection w:val="lrTb"/>
            <w:noWrap w:val="false"/>
          </w:tcPr>
          <w:p w14:paraId="6E1E24AE">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center"/>
              <w:rPr/>
            </w:pPr>
            <w:r>
              <w:rPr>
                <w:rFonts w:ascii="Times New Roman" w:hAnsi="Times New Roman" w:eastAsia="Times New Roman" w:cs="Times New Roman"/>
                <w:b/>
                <w:color w:val="000000"/>
                <w:sz w:val="24"/>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368" w:type="dxa"/>
            <w:vAlign w:val="center"/>
            <w:textDirection w:val="lrTb"/>
            <w:noWrap w:val="false"/>
          </w:tcPr>
          <w:p w14:paraId="057574E0">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67" w:type="dxa"/>
            <w:vAlign w:val="center"/>
            <w:textDirection w:val="lrTb"/>
            <w:noWrap w:val="false"/>
          </w:tcPr>
          <w:p w14:paraId="285152E1">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50" w:type="dxa"/>
            <w:vAlign w:val="center"/>
            <w:textDirection w:val="lrTb"/>
            <w:noWrap w:val="false"/>
          </w:tcPr>
          <w:p w14:paraId="560832B4">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14:paraId="062EA8D0">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1" w:type="dxa"/>
            <w:vAlign w:val="center"/>
            <w:textDirection w:val="lrTb"/>
            <w:noWrap w:val="false"/>
          </w:tcPr>
          <w:p w14:paraId="1EE1E34E">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center"/>
              <w:rPr/>
            </w:pPr>
            <w:r>
              <w:rPr>
                <w:rFonts w:ascii="Times New Roman" w:hAnsi="Times New Roman" w:eastAsia="Times New Roman" w:cs="Times New Roman"/>
                <w:b/>
                <w:color w:val="000000"/>
                <w:sz w:val="24"/>
              </w:rPr>
              <w:t xml:space="preserve">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185" w:type="dxa"/>
            <w:vAlign w:val="center"/>
            <w:textDirection w:val="lrTb"/>
            <w:noWrap w:val="false"/>
          </w:tcPr>
          <w:p w14:paraId="31872B99">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193, tờ bản đồ số 2 có địa chỉ: Đội 14 Thôn Yên Lạc 3, xã Cần Kiệm, huyện Thạch Thất, thành phố Hà Nội (nay là xã Hạ Bằng, thành phố Hà Nội). theo Giấy chứng nhận quyền sử dụng đất, quyền sở hữu nhà ở và tài sản khác gắn </w:t>
            </w:r>
            <w:r>
              <w:rPr>
                <w:rFonts w:ascii="Times New Roman" w:hAnsi="Times New Roman" w:eastAsia="Times New Roman" w:cs="Times New Roman"/>
                <w:b/>
                <w:color w:val="000000"/>
                <w:sz w:val="24"/>
              </w:rPr>
              <w:t xml:space="preserve">liền với đất số: BA 549857, số vào sổ cấp GCN: CH 00598/QSDĐ/872/VPĐK do UBND Huyện Thạch Thất cấp ngày 23/12/2014; Chủ sử dụng đất là Ông Nguyễn Mạnh Tưởng.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14:paraId="4522DDF2">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1" w:type="dxa"/>
            <w:vAlign w:val="center"/>
            <w:textDirection w:val="lrTb"/>
            <w:noWrap w:val="false"/>
          </w:tcPr>
          <w:p w14:paraId="39BC2E41">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right"/>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368" w:type="dxa"/>
            <w:vAlign w:val="center"/>
            <w:textDirection w:val="lrTb"/>
            <w:noWrap w:val="false"/>
          </w:tcPr>
          <w:p w14:paraId="5224EEED">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rPr/>
            </w:pPr>
            <w:r>
              <w:rPr>
                <w:rFonts w:ascii="Times New Roman" w:hAnsi="Times New Roman" w:eastAsia="Times New Roman" w:cs="Times New Roman"/>
                <w:color w:val="000000"/>
                <w:sz w:val="24"/>
              </w:rPr>
              <w:t xml:space="preserve">Diện tích đất nằm ngoài Quy hoạch giao thông</w:t>
            </w:r>
            <w:r/>
          </w:p>
        </w:tc>
        <w:tc>
          <w:tcPr>
            <w:tcBorders>
              <w:bottom w:val="single" w:color="000000" w:sz="8" w:space="0"/>
              <w:right w:val="single" w:color="000000" w:sz="8" w:space="0"/>
            </w:tcBorders>
            <w:tcMar>
              <w:left w:w="108" w:type="dxa"/>
              <w:top w:w="0" w:type="dxa"/>
              <w:right w:w="108" w:type="dxa"/>
              <w:bottom w:w="0" w:type="dxa"/>
            </w:tcMar>
            <w:tcW w:w="1467" w:type="dxa"/>
            <w:vAlign w:val="center"/>
            <w:textDirection w:val="lrTb"/>
            <w:noWrap/>
          </w:tcPr>
          <w:p w14:paraId="14753FF6">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4"/>
              </w:rPr>
              <w:t xml:space="preserve">126,6</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350" w:type="dxa"/>
            <w:vAlign w:val="center"/>
            <w:textDirection w:val="lrTb"/>
            <w:noWrap w:val="false"/>
          </w:tcPr>
          <w:p w14:paraId="22AB1356">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center"/>
              <w:rPr/>
            </w:pPr>
            <w:r>
              <w:rPr>
                <w:rFonts w:ascii="Times New Roman" w:hAnsi="Times New Roman" w:eastAsia="Times New Roman" w:cs="Times New Roman"/>
                <w:color w:val="000000"/>
                <w:sz w:val="24"/>
              </w:rPr>
              <w:t xml:space="preserve">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14:paraId="4E306BD1">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right"/>
              <w:rPr/>
            </w:pPr>
            <w:r>
              <w:rPr>
                <w:rFonts w:ascii="Times New Roman" w:hAnsi="Times New Roman" w:eastAsia="Times New Roman" w:cs="Times New Roman"/>
                <w:color w:val="000000"/>
                <w:sz w:val="24"/>
              </w:rPr>
              <w:t xml:space="preserve">6.330.000.000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1" w:type="dxa"/>
            <w:vAlign w:val="center"/>
            <w:textDirection w:val="lrTb"/>
            <w:noWrap w:val="false"/>
          </w:tcPr>
          <w:p w14:paraId="7BF6329D">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right"/>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368" w:type="dxa"/>
            <w:vAlign w:val="center"/>
            <w:textDirection w:val="lrTb"/>
            <w:noWrap w:val="false"/>
          </w:tcPr>
          <w:p w14:paraId="2DED7A2E">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rPr/>
            </w:pPr>
            <w:r>
              <w:rPr>
                <w:rFonts w:ascii="Times New Roman" w:hAnsi="Times New Roman" w:eastAsia="Times New Roman" w:cs="Times New Roman"/>
                <w:color w:val="000000"/>
                <w:sz w:val="24"/>
              </w:rPr>
              <w:t xml:space="preserve">Diện tích đất nằm trong Quy hoạch giao thông</w:t>
            </w:r>
            <w:r/>
          </w:p>
        </w:tc>
        <w:tc>
          <w:tcPr>
            <w:tcBorders>
              <w:bottom w:val="single" w:color="000000" w:sz="8" w:space="0"/>
              <w:right w:val="single" w:color="000000" w:sz="8" w:space="0"/>
            </w:tcBorders>
            <w:tcMar>
              <w:left w:w="108" w:type="dxa"/>
              <w:top w:w="0" w:type="dxa"/>
              <w:right w:w="108" w:type="dxa"/>
              <w:bottom w:w="0" w:type="dxa"/>
            </w:tcMar>
            <w:tcW w:w="1467" w:type="dxa"/>
            <w:vAlign w:val="center"/>
            <w:textDirection w:val="lrTb"/>
            <w:noWrap/>
          </w:tcPr>
          <w:p w14:paraId="6CFB6DF7">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4"/>
              </w:rPr>
              <w:t xml:space="preserve">24,8</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350" w:type="dxa"/>
            <w:vAlign w:val="center"/>
            <w:textDirection w:val="lrTb"/>
            <w:noWrap w:val="false"/>
          </w:tcPr>
          <w:p w14:paraId="68A74866">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center"/>
              <w:rPr/>
            </w:pPr>
            <w:r>
              <w:rPr>
                <w:rFonts w:ascii="Times New Roman" w:hAnsi="Times New Roman" w:eastAsia="Times New Roman" w:cs="Times New Roman"/>
                <w:color w:val="000000"/>
                <w:sz w:val="24"/>
              </w:rPr>
              <w:t xml:space="preserve">9.548.000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14:paraId="530E45E9">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right"/>
              <w:rPr/>
            </w:pPr>
            <w:r>
              <w:rPr>
                <w:rFonts w:ascii="Times New Roman" w:hAnsi="Times New Roman" w:eastAsia="Times New Roman" w:cs="Times New Roman"/>
                <w:color w:val="000000"/>
                <w:sz w:val="24"/>
              </w:rPr>
              <w:t xml:space="preserve">236.790.400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897" w:type="dxa"/>
            <w:vAlign w:val="center"/>
            <w:textDirection w:val="lrTb"/>
            <w:noWrap/>
          </w:tcPr>
          <w:p w14:paraId="78C54E24">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gridSpan w:val="2"/>
            <w:tcBorders>
              <w:bottom w:val="single" w:color="000000" w:sz="8" w:space="0"/>
              <w:right w:val="single" w:color="000000" w:sz="8" w:space="0"/>
            </w:tcBorders>
            <w:tcMar>
              <w:left w:w="108" w:type="dxa"/>
              <w:top w:w="0" w:type="dxa"/>
              <w:right w:w="108" w:type="dxa"/>
              <w:bottom w:w="0" w:type="dxa"/>
            </w:tcMar>
            <w:tcW w:w="2588" w:type="dxa"/>
            <w:vAlign w:val="center"/>
            <w:textDirection w:val="lrTb"/>
            <w:noWrap/>
          </w:tcPr>
          <w:p w14:paraId="3D0031A7">
            <w:pPr>
              <w:pBdr>
                <w:top w:val="none" w:color="000000" w:sz="4" w:space="0"/>
                <w:left w:val="none" w:color="000000" w:sz="4" w:space="0"/>
                <w:bottom w:val="none" w:color="000000" w:sz="4" w:space="0"/>
                <w:right w:val="none" w:color="000000" w:sz="4" w:space="0"/>
              </w:pBdr>
              <w:spacing w:after="60" w:before="60" w:line="288" w:lineRule="auto"/>
              <w:ind w:right="0" w:firstLine="0" w:left="0"/>
              <w:jc w:val="right"/>
              <w:rPr/>
            </w:pPr>
            <w:r>
              <w:rPr>
                <w:rFonts w:ascii="Times New Roman" w:hAnsi="Times New Roman" w:eastAsia="Times New Roman" w:cs="Times New Roman"/>
                <w:b/>
                <w:color w:val="000000"/>
                <w:sz w:val="24"/>
              </w:rPr>
              <w:t xml:space="preserve">6.566.790.400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897" w:type="dxa"/>
            <w:vAlign w:val="center"/>
            <w:textDirection w:val="lrTb"/>
            <w:noWrap/>
          </w:tcPr>
          <w:p w14:paraId="57F50779">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b/>
                <w:color w:val="000000"/>
                <w:sz w:val="24"/>
              </w:rPr>
              <w:t xml:space="preserve">LÀM TRÒN</w:t>
            </w:r>
            <w:r/>
          </w:p>
        </w:tc>
        <w:tc>
          <w:tcPr>
            <w:gridSpan w:val="2"/>
            <w:tcBorders>
              <w:bottom w:val="single" w:color="000000" w:sz="8" w:space="0"/>
              <w:right w:val="single" w:color="000000" w:sz="8" w:space="0"/>
            </w:tcBorders>
            <w:tcMar>
              <w:left w:w="108" w:type="dxa"/>
              <w:top w:w="0" w:type="dxa"/>
              <w:right w:w="108" w:type="dxa"/>
              <w:bottom w:w="0" w:type="dxa"/>
            </w:tcMar>
            <w:tcW w:w="2588" w:type="dxa"/>
            <w:vAlign w:val="center"/>
            <w:textDirection w:val="lrTb"/>
            <w:noWrap/>
          </w:tcPr>
          <w:p w14:paraId="59FA3E44">
            <w:pPr>
              <w:pBdr>
                <w:top w:val="none" w:color="000000" w:sz="4" w:space="0"/>
                <w:left w:val="none" w:color="000000" w:sz="4" w:space="0"/>
                <w:bottom w:val="none" w:color="000000" w:sz="4" w:space="0"/>
                <w:right w:val="none" w:color="000000" w:sz="4" w:space="0"/>
              </w:pBdr>
              <w:spacing w:after="60" w:before="60" w:line="288" w:lineRule="auto"/>
              <w:ind w:right="0" w:firstLine="0" w:left="0"/>
              <w:jc w:val="right"/>
              <w:rPr/>
            </w:pPr>
            <w:r>
              <w:rPr>
                <w:rFonts w:ascii="Times New Roman" w:hAnsi="Times New Roman" w:eastAsia="Times New Roman" w:cs="Times New Roman"/>
                <w:b/>
                <w:color w:val="000000"/>
                <w:sz w:val="24"/>
              </w:rPr>
              <w:t xml:space="preserve">6.567.000.000</w:t>
            </w:r>
            <w:r/>
          </w:p>
        </w:tc>
      </w:tr>
      <w:tr>
        <w:trPr>
          <w:trHeight w:val="20"/>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9485" w:type="dxa"/>
            <w:vAlign w:val="center"/>
            <w:textDirection w:val="lrTb"/>
            <w:noWrap w:val="false"/>
          </w:tcPr>
          <w:p w14:paraId="74E00B72">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b/>
                <w:i/>
                <w:color w:val="000000"/>
                <w:sz w:val="24"/>
              </w:rPr>
              <w:t xml:space="preserve">(Bằng chữ: Sáu tỷ năm trăm sáu mươi bảy triệu đồng chẵn./.)</w:t>
            </w:r>
            <w:r/>
          </w:p>
        </w:tc>
      </w:tr>
    </w:tbl>
    <w:p w14:paraId="30449D0E">
      <w:pPr>
        <w:pBdr/>
        <w:spacing w:after="120" w:before="120" w:line="312" w:lineRule="auto"/>
        <w:ind/>
        <w:jc w:val="both"/>
        <w:rPr/>
      </w:pPr>
      <w:r>
        <w:rPr>
          <w:highlight w:val="none"/>
        </w:rPr>
      </w:r>
      <w:r>
        <w:rPr>
          <w:highlight w:val="none"/>
        </w:rPr>
      </w:r>
      <w:r/>
    </w:p>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29"/>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29"/>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275/2025/1698/VFI-BC.44.A</w:t>
            </w:r>
            <w:r>
              <w:rPr>
                <w:sz w:val="24"/>
                <w:szCs w:val="24"/>
              </w:rPr>
            </w:r>
            <w:r>
              <w:rPr>
                <w:sz w:val="24"/>
                <w:szCs w:val="24"/>
              </w:rPr>
            </w:r>
          </w:p>
        </w:tc>
        <w:tc>
          <w:tcPr>
            <w:tcBorders/>
            <w:tcW w:w="4781" w:type="dxa"/>
            <w:textDirection w:val="lrTb"/>
            <w:noWrap w:val="false"/>
          </w:tcPr>
          <w:p w14:paraId="4E249833" w14:textId="77777777">
            <w:pPr>
              <w:pStyle w:val="1029"/>
              <w:pBdr/>
              <w:tabs>
                <w:tab w:val="left" w:leader="none" w:pos="5103"/>
              </w:tabs>
              <w:spacing w:before="100" w:line="360" w:lineRule="auto"/>
              <w:ind/>
              <w:jc w:val="right"/>
              <w:rPr>
                <w:rStyle w:val="1028"/>
                <w:rFonts w:ascii="Times New Roman" w:hAnsi="Times New Roman"/>
                <w:i/>
                <w:color w:val="auto"/>
              </w:rPr>
            </w:pPr>
            <w:r>
              <w:rPr>
                <w:rFonts w:ascii="Times New Roman" w:hAnsi="Times New Roman"/>
                <w:i/>
                <w:color w:val="auto"/>
              </w:rPr>
            </w:r>
            <w:r>
              <w:rPr>
                <w:rStyle w:val="1028"/>
                <w:rFonts w:ascii="Times New Roman" w:hAnsi="Times New Roman"/>
                <w:i/>
                <w:color w:val="auto"/>
              </w:rPr>
            </w:r>
            <w:r>
              <w:rPr>
                <w:rStyle w:val="1028"/>
                <w:rFonts w:ascii="Times New Roman" w:hAnsi="Times New Roman"/>
                <w:i/>
                <w:color w:val="auto"/>
              </w:rPr>
            </w:r>
          </w:p>
          <w:p w14:paraId="1C1E2870" w14:textId="207F25D6">
            <w:pPr>
              <w:pStyle w:val="1029"/>
              <w:pBdr/>
              <w:tabs>
                <w:tab w:val="left" w:leader="none" w:pos="5103"/>
              </w:tabs>
              <w:spacing w:before="100" w:line="360" w:lineRule="auto"/>
              <w:ind/>
              <w:jc w:val="right"/>
              <w:rPr>
                <w:i/>
                <w:iCs/>
                <w:sz w:val="24"/>
                <w:szCs w:val="24"/>
              </w:rPr>
            </w:pPr>
            <w:r>
              <w:rPr>
                <w:rStyle w:val="1028"/>
                <w:rFonts w:ascii="Times New Roman" w:hAnsi="Times New Roman"/>
                <w:i/>
                <w:color w:val="auto"/>
              </w:rPr>
              <w:t xml:space="preserve">TP</w:t>
            </w:r>
            <w:r>
              <w:rPr>
                <w:rStyle w:val="1028"/>
                <w:rFonts w:ascii="Times New Roman" w:hAnsi="Times New Roman"/>
                <w:color w:val="auto"/>
              </w:rPr>
              <w:t xml:space="preserve">. </w:t>
            </w:r>
            <w:r>
              <w:rPr>
                <w:rStyle w:val="1028"/>
                <w:rFonts w:ascii="Times New Roman" w:hAnsi="Times New Roman"/>
                <w:i/>
                <w:color w:val="auto"/>
              </w:rPr>
              <w:t xml:space="preserve">Hà Nội</w:t>
            </w:r>
            <w:r>
              <w:rPr>
                <w:rStyle w:val="1028"/>
                <w:rFonts w:ascii="Times New Roman" w:hAnsi="Times New Roman"/>
                <w:i/>
                <w:color w:val="auto"/>
                <w:lang w:val="vi-VN"/>
              </w:rPr>
              <w:t xml:space="preserve">, </w:t>
            </w:r>
            <w:r>
              <w:rPr>
                <w:i/>
                <w:iCs/>
                <w:color w:val="000000" w:themeColor="text1"/>
                <w:sz w:val="24"/>
                <w:szCs w:val="24"/>
                <w:lang w:val="pt-BR"/>
              </w:rPr>
              <w:t xml:space="preserve">ngày 29 tháng 11 năm 2025</w:t>
            </w:r>
            <w:r>
              <w:rPr>
                <w:rStyle w:val="1028"/>
                <w:rFonts w:ascii="Times New Roman" w:hAnsi="Times New Roman"/>
                <w:i/>
                <w:color w:val="auto"/>
                <w:lang w:val="vi-VN"/>
              </w:rPr>
              <w:t xml:space="preserve">   </w:t>
            </w:r>
            <w:r>
              <w:rPr>
                <w:rStyle w:val="1028"/>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29"/>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9"/>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275/2025/1698/VFI-CT.44.A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29 tháng 11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9"/>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r>
              <w:rPr>
                <w:b/>
                <w:bCs/>
                <w:lang w:val="vi-VN"/>
              </w:rPr>
            </w:r>
          </w:p>
        </w:tc>
      </w:tr>
    </w:tbl>
    <w:p w14:paraId="621972A2" w14:textId="7EAC10D2">
      <w:pPr>
        <w:pStyle w:val="1030"/>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highlight w:val="none"/>
          <w:lang w:val="pt-BR"/>
        </w:rPr>
      </w:pPr>
      <w:r>
        <w:rPr>
          <w:b/>
          <w:bCs/>
          <w:lang w:val="pt-BR"/>
        </w:rPr>
        <w:t xml:space="preserve">1</w:t>
      </w:r>
      <w:r>
        <w:rPr>
          <w:b/>
          <w:bCs/>
          <w:lang w:val="pt-BR"/>
        </w:rPr>
        <w:t xml:space="preserve">. Thông tin cơ bản về cuộc thẩm định giá:</w:t>
      </w:r>
      <w:r>
        <w:rPr>
          <w:b/>
          <w:bCs/>
          <w:lang w:val="pt-BR"/>
        </w:rPr>
      </w:r>
      <w:r>
        <w:rPr>
          <w:b/>
          <w:bCs/>
          <w:highlight w:val="none"/>
          <w:lang w:val="pt-BR"/>
        </w:rPr>
      </w:r>
    </w:p>
    <w:tbl>
      <w:tblPr>
        <w:tblStyle w:val="1034"/>
        <w:tblInd w:w="0" w:type="dxa"/>
        <w:tblW w:w="5082"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517"/>
        <w:gridCol w:w="287"/>
        <w:gridCol w:w="6876"/>
      </w:tblGrid>
      <w:tr>
        <w:trPr>
          <w:trHeight w:val="20"/>
        </w:trPr>
        <w:tc>
          <w:tcPr>
            <w:tcBorders/>
            <w:tcMar>
              <w:left w:w="108" w:type="dxa"/>
              <w:top w:w="0" w:type="dxa"/>
              <w:right w:w="108" w:type="dxa"/>
              <w:bottom w:w="0" w:type="dxa"/>
            </w:tcMar>
            <w:tcW w:w="2517" w:type="dxa"/>
            <w:vAlign w:val="center"/>
            <w:textDirection w:val="lrTb"/>
            <w:noWrap w:val="false"/>
          </w:tcPr>
          <w:p w14:paraId="39EC9666">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Tên khách hàng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287" w:type="dxa"/>
            <w:vAlign w:val="center"/>
            <w:textDirection w:val="lrTb"/>
            <w:noWrap w:val="false"/>
          </w:tcPr>
          <w:p w14:paraId="2FB0AD9D">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76" w:type="dxa"/>
            <w:vAlign w:val="center"/>
            <w:textDirection w:val="lrTb"/>
            <w:noWrap w:val="false"/>
          </w:tcPr>
          <w:p w14:paraId="584C89CB">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ÔNG NGUYỄN MẠNH TƯỞNG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517" w:type="dxa"/>
            <w:vAlign w:val="center"/>
            <w:textDirection w:val="lrTb"/>
            <w:noWrap w:val="false"/>
          </w:tcPr>
          <w:p w14:paraId="50AF2D25">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Năm sinh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287" w:type="dxa"/>
            <w:vAlign w:val="center"/>
            <w:textDirection w:val="lrTb"/>
            <w:noWrap w:val="false"/>
          </w:tcPr>
          <w:p w14:paraId="496E502C">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76" w:type="dxa"/>
            <w:vAlign w:val="center"/>
            <w:textDirection w:val="lrTb"/>
            <w:noWrap w:val="false"/>
          </w:tcPr>
          <w:p w14:paraId="58A633C0">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1993</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517" w:type="dxa"/>
            <w:vAlign w:val="center"/>
            <w:textDirection w:val="lrTb"/>
            <w:noWrap w:val="false"/>
          </w:tcPr>
          <w:p w14:paraId="7A88D828">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 thường trú</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287" w:type="dxa"/>
            <w:vAlign w:val="center"/>
            <w:textDirection w:val="lrTb"/>
            <w:noWrap w:val="false"/>
          </w:tcPr>
          <w:p w14:paraId="59BAE09C">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76" w:type="dxa"/>
            <w:vAlign w:val="center"/>
            <w:textDirection w:val="lrTb"/>
            <w:noWrap w:val="false"/>
          </w:tcPr>
          <w:p w14:paraId="492B2BC1">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Thôn Yên Lạc, xã Cần Kiệm, huyện Thạch Thất, thành phố Hà Nội</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517" w:type="dxa"/>
            <w:vAlign w:val="center"/>
            <w:textDirection w:val="lrTb"/>
            <w:noWrap w:val="false"/>
          </w:tcPr>
          <w:p w14:paraId="746CCC52">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CMND</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287" w:type="dxa"/>
            <w:vAlign w:val="center"/>
            <w:textDirection w:val="lrTb"/>
            <w:noWrap w:val="false"/>
          </w:tcPr>
          <w:p w14:paraId="6C7EE59E">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6876" w:type="dxa"/>
            <w:vAlign w:val="center"/>
            <w:textDirection w:val="lrTb"/>
            <w:noWrap w:val="false"/>
          </w:tcPr>
          <w:p w14:paraId="4E1ECF34">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017276398</w:t>
            </w:r>
            <w:r>
              <w:rPr>
                <w:rFonts w:ascii="Times New Roman" w:hAnsi="Times New Roman" w:eastAsia="Times New Roman" w:cs="Times New Roman"/>
                <w:sz w:val="24"/>
              </w:rPr>
            </w:r>
            <w:r>
              <w:rPr>
                <w:rFonts w:ascii="Times New Roman" w:hAnsi="Times New Roman" w:eastAsia="Times New Roman" w:cs="Times New Roman"/>
                <w:sz w:val="24"/>
              </w:rPr>
            </w:r>
          </w:p>
        </w:tc>
      </w:tr>
    </w:tbl>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30"/>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r>
            <w:r>
              <w:rPr>
                <w:rFonts w:ascii="Times New Roman" w:hAnsi="Times New Roman" w:eastAsia="Times New Roman" w:cs="Times New Roman"/>
                <w:color w:val="000000"/>
                <w:sz w:val="24"/>
              </w:rPr>
              <w:t xml:space="preserve">Quyền sử dụng đất tại thửa đất số: 193, tờ bản đồ số 2 có địa chỉ: Đội 14 Thôn Yên Lạc 3, xã Cần Kiệm, huyện Thạch Thất, thành phố Hà Nội (nay là xã Hạ Bằng, thành phố Hà Nội). theo Giấy chứng nhận quyền sử dụng đất, quyền sở hữu nhà ở và tài sản khác gắn </w:t>
            </w:r>
            <w:r>
              <w:rPr>
                <w:rFonts w:ascii="Times New Roman" w:hAnsi="Times New Roman" w:eastAsia="Times New Roman" w:cs="Times New Roman"/>
                <w:color w:val="000000"/>
                <w:sz w:val="24"/>
              </w:rPr>
              <w:t xml:space="preserve">liền với đất số: BA 549857, số vào sổ cấp GCN: CH 00598/QSDĐ/872/VPĐK do UBND Huyện Thạch Thất cấp ngày 23/12/2014; Chủ sử dụng đất là Ông Nguyễn Mạnh Tưởng</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30"/>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30"/>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30"/>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11/2025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30"/>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Thôn Yên Lạc, xã Hạ Bằng, Hà Nội</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30"/>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10"/>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21.032319296021, 105.57927743045788</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30"/>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11/2025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30"/>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30"/>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30"/>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30"/>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30"/>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30"/>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30"/>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30"/>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30"/>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30"/>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30"/>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30"/>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30"/>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30"/>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30"/>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30"/>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30"/>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30"/>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30"/>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7494B17B" w14:textId="41F9AB61">
      <w:pPr>
        <w:pStyle w:val="1030"/>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30"/>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30"/>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58E9443A" w14:textId="324B8BF4">
      <w:pPr>
        <w:pStyle w:val="1030"/>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color w:val="000000"/>
          <w:sz w:val="24"/>
        </w:rPr>
        <w:t xml:space="preserve">Giấy chứng nhận quyền sử dụng đất, quyền sở hữu nhà ở và tài sản khác gắn </w:t>
      </w:r>
      <w:r>
        <w:rPr>
          <w:rFonts w:ascii="Times New Roman" w:hAnsi="Times New Roman" w:eastAsia="Times New Roman" w:cs="Times New Roman"/>
          <w:color w:val="000000"/>
          <w:sz w:val="24"/>
        </w:rPr>
        <w:t xml:space="preserve">liền với đất số: BA 549857, số vào sổ cấp GCN: CH 00598/QSDĐ/872/VPĐK do UBND Huyện Thạch Thất cấp ngày 23/12/2014; Chủ sử dụng đất là Ông Nguyễn Mạnh Tưởng</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072D9C92" w14:textId="0CB7CF18">
      <w:pPr>
        <w:pStyle w:val="1030"/>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HSTD-20251210-0006/HĐTĐ-VFI ngày 16/12/2025 giữa  với Công ty Cổ phần Thẩm định và Đầu tư Tài chính Hoa Sen.</w:t>
      </w:r>
      <w:r>
        <w:rPr>
          <w:b/>
          <w:lang w:val="pt-BR"/>
        </w:rPr>
      </w:r>
      <w:r>
        <w:rPr>
          <w:b/>
          <w:lang w:val="pt-BR"/>
        </w:rPr>
      </w:r>
    </w:p>
    <w:p w14:paraId="7BDC3A25" w14:textId="77D2CF95">
      <w:pPr>
        <w:pStyle w:val="1030"/>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3BF38F1E">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lang w:val="pt-BR"/>
        </w:rPr>
        <w:tab/>
      </w:r>
      <w:r>
        <w:rPr>
          <w:rFonts w:ascii="Times New Roman" w:hAnsi="Times New Roman" w:eastAsia="Times New Roman" w:cs="Times New Roman"/>
          <w:color w:val="000000"/>
          <w:sz w:val="24"/>
        </w:rPr>
        <w:t xml:space="preserve">Tại họp báo về tổng quan thị trường bất động sản Hà Nội Quý 1/2025, bà Nguyễn Hoài An, Giám đốc cấp cao CBRE Hà Nội, nhận định rằng thời gian qua, phân khúc bất động sản nhà ở đã có nhiều thay đổi.</w:t>
      </w:r>
      <w:r/>
    </w:p>
    <w:p w14:paraId="7DF0AEB2">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Trong đó, quý 1/2025, thị trường căn hộ Hà Nội ghi nhận nguồn cung giảm so với một vài quý trước của năm 2024. Tuy nhiên, nếu so với cùng kì quý 1 của các năm trước thì số lượng nguồn cung năm 2025 cũng không phải quá ít. Mặt khác, sau đà tăng mạnh, tốc độ</w:t>
      </w:r>
      <w:r>
        <w:rPr>
          <w:rFonts w:ascii="Times New Roman" w:hAnsi="Times New Roman" w:eastAsia="Times New Roman" w:cs="Times New Roman"/>
          <w:color w:val="000000"/>
          <w:sz w:val="24"/>
        </w:rPr>
        <w:t xml:space="preserve"> tăng giá bán của chung cư bắt đầu chững lại.</w:t>
      </w:r>
      <w:r/>
    </w:p>
    <w:p w14:paraId="000E168C">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đối với thị trường nhà ở gắn liền với đất, bà Hoài An cho biết nguồn cung mở bán mới nhà ở gắn liền với đất Quý 1/2025 tại Hà Nội ổn định với hơn 1.500 căn mở bán từ dự án đô thị lớn ở Đan Phượng. Do sự gián đoạn của dịp Tết Nguyên đán, nguồn cung mới quý </w:t>
      </w:r>
      <w:r>
        <w:rPr>
          <w:rFonts w:ascii="Times New Roman" w:hAnsi="Times New Roman" w:eastAsia="Times New Roman" w:cs="Times New Roman"/>
          <w:color w:val="000000"/>
          <w:sz w:val="24"/>
        </w:rPr>
        <w:t xml:space="preserve">này giảm 46% so với quý trước, nhưng cũng là một trong những quý đầu năm ghi nhận nhiều nguồn cung nhà ở gắn liền với đất nhất từ trước tới nay.</w:t>
      </w:r>
      <w:r/>
    </w:p>
    <w:p w14:paraId="7298ED92">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Tỷ lệ hấp thụ của thị trường nhà ở gắn liền với đất tại Hà Nội vẫn duy trì ổn định và vượt lượng cung mở bán mới trong quý. Tổng số căn bán được đạt hơn 1.800 căn, tập trung ở các dự án đô thị lớn ở Đông Anh, Đan Phượng và Văn Giang (tỉnh Hưng Yên, giáp ra</w:t>
      </w:r>
      <w:r>
        <w:rPr>
          <w:rFonts w:ascii="Times New Roman" w:hAnsi="Times New Roman" w:eastAsia="Times New Roman" w:cs="Times New Roman"/>
          <w:color w:val="000000"/>
          <w:sz w:val="24"/>
        </w:rPr>
        <w:t xml:space="preserve">nh Hà Nội) với quỹ hàng mở bán lớn.</w:t>
      </w:r>
      <w:r/>
    </w:p>
    <w:p w14:paraId="4E199489">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Về giá bán, giá bán sơ cấp trung bình Quý 1/2025 tăng nhẹ so với quý trước, đạt 226 triệu đồng/m2 (bao gồm chi phí xây dựng và chưa bao gồm VAT), tăng 3% theo quý và 17% theo năm. Các dự án mở bán có vị trí thuận lợi, nằm ở những khu vực đang được đầu tư m</w:t>
      </w:r>
      <w:r>
        <w:rPr>
          <w:rFonts w:ascii="Times New Roman" w:hAnsi="Times New Roman" w:eastAsia="Times New Roman" w:cs="Times New Roman"/>
          <w:color w:val="000000"/>
          <w:sz w:val="24"/>
        </w:rPr>
        <w:t xml:space="preserve">ạnh về cơ sở hạ tầng, vì vậy, mức giá chào bán sơ cấp tương đối cao. Trong khi giá bán trung bình thứ cấp vẫn duy trì đà tăng, đạt xấp xỉ 183 triệu đồng/m2  (bao gồm chi phí xây dựng và chưa bao gồm VAT), tăng 5% theo quý.</w:t>
      </w:r>
      <w:r/>
    </w:p>
    <w:p w14:paraId="4E5D56E5">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Dự báo thị trường bất động sản nhà ở trong thời gian tới, bà Nguyễn Hoài An cho biết năm 2025, Hà Nội sẽ đón nhận khoảng 31.700 căn hộ và 6.700 nhà thấp tầng được mở bán. Sức mua duy trì ổn định trước bối cảnh nguồn cung mới quy mô lớn tiếp tục được mở bán</w:t>
      </w:r>
      <w:r>
        <w:rPr>
          <w:rFonts w:ascii="Times New Roman" w:hAnsi="Times New Roman" w:eastAsia="Times New Roman" w:cs="Times New Roman"/>
          <w:color w:val="000000"/>
          <w:sz w:val="24"/>
        </w:rPr>
        <w:t xml:space="preserve">. Ngoài ra, giá sơ cấp sẽ tăng nhẹ đến cuối năm 2025.</w:t>
      </w:r>
      <w:r/>
    </w:p>
    <w:p w14:paraId="1635332C">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Trong đó, với thị trường căn hộ Hà Nội, nếu năm 2024, giá sơ cấp của sản phẩm chung cư đã tiệm cận mặt bằng giá sơ cấp của thị trường TP.HCM, thì năm 2025, những dự án có vị trí tương tự, mức giá tăng trưởng nhưng không thể đột biến.</w:t>
      </w:r>
      <w:r/>
    </w:p>
    <w:p w14:paraId="76DD915D">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Theo chuyên gia của CBRE, với nhiều động thái của chủ đầu tư lẫn chính quyền địa phương nhằm thúc đẩy các sản phẩm nhà ở xã hội, kì vọng sẽ làm tăng khả năng tiếp cận cho người dân có nhu cầu nhà ở.</w:t>
      </w:r>
      <w:r/>
    </w:p>
    <w:p w14:paraId="09BFC7D2">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Đặc biệt, việc cải tạo những dự án khu tập thể cũ, chung cư cũ tại Hà Nội cũng hứa hẹn bổ sung thêm nguồn cung nhà ở.</w:t>
      </w:r>
      <w:r/>
    </w:p>
    <w:p w14:paraId="2C79D3A6">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“Ở các nước khác, vấn đề này không mới, nhất là ở những thị trường phát triển. Đây gần như là nguồn cung nhà ở hiếm hoi của những thành phố lớn khi quỹ đất ngày càng trở nên khan hiếm. Tuy nhiên, tại Hà Nội và TP.HCM, chúng ta cần thêm cơ chế giúp tháo gỡ </w:t>
      </w:r>
      <w:r>
        <w:rPr>
          <w:rFonts w:ascii="Times New Roman" w:hAnsi="Times New Roman" w:eastAsia="Times New Roman" w:cs="Times New Roman"/>
          <w:color w:val="000000"/>
          <w:sz w:val="24"/>
        </w:rPr>
        <w:t xml:space="preserve">các nút thắt, nhằm đẩy nhanh tiến độ di dời, phá dỡ và xây dựng các chung cư cũ hư hỏng, nguy hiểm trong thời gian tới”, bà An chia sẻ.</w:t>
      </w:r>
      <w:r/>
    </w:p>
    <w:p w14:paraId="0A5C4CBE">
      <w:pPr>
        <w:pBdr/>
        <w:tabs>
          <w:tab w:val="left" w:leader="none" w:pos="426"/>
        </w:tabs>
        <w:spacing w:after="120" w:before="120" w:line="276" w:lineRule="auto"/>
        <w:ind/>
        <w:rPr>
          <w:bCs/>
          <w:i/>
          <w:lang w:val="pt-BR"/>
        </w:rPr>
      </w:pPr>
      <w:r>
        <w:rPr>
          <w:rFonts w:ascii="Times New Roman" w:hAnsi="Times New Roman" w:eastAsia="Times New Roman" w:cs="Times New Roman"/>
          <w:i/>
          <w:color w:val="000000"/>
          <w:sz w:val="24"/>
        </w:rPr>
        <w:t xml:space="preserve">(Nguồn:</w:t>
      </w:r>
      <w:hyperlink r:id="rId15" w:tooltip="https://vneconomy.vn/da-tang-gia-chung-cu-ha-noi-chung-lai-trong-quy-1-2025.htm" w:history="1">
        <w:r>
          <w:rPr>
            <w:rStyle w:val="1020"/>
            <w:rFonts w:ascii="Times New Roman" w:hAnsi="Times New Roman" w:eastAsia="Times New Roman" w:cs="Times New Roman"/>
            <w:i/>
            <w:color w:val="000000"/>
            <w:sz w:val="24"/>
            <w:u w:val="single"/>
          </w:rPr>
          <w:t xml:space="preserve">https://vneconomy.vn/da-tang-gia-chung-cu-ha-noi-chung-lai-trong-quy-1-2025.htm</w:t>
        </w:r>
      </w:hyperlink>
      <w:r>
        <w:rPr>
          <w:rFonts w:ascii="Times New Roman" w:hAnsi="Times New Roman" w:eastAsia="Times New Roman" w:cs="Times New Roman"/>
          <w:i/>
          <w:color w:val="000000"/>
          <w:sz w:val="24"/>
        </w:rPr>
        <w:t xml:space="preserve">)</w:t>
      </w:r>
      <w:r>
        <w:rPr>
          <w:i/>
          <w:iCs/>
          <w:lang w:val="pt-BR"/>
        </w:rPr>
      </w:r>
      <w:r>
        <w:rPr>
          <w:bCs/>
          <w:i/>
          <w:lang w:val="pt-BR"/>
        </w:rPr>
      </w:r>
    </w:p>
    <w:p w14:paraId="20BF0D54" w14:textId="312C63AB">
      <w:pPr>
        <w:pStyle w:val="1030"/>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Style w:val="103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80"/>
        <w:gridCol w:w="2063"/>
        <w:gridCol w:w="1815"/>
        <w:gridCol w:w="2168"/>
        <w:gridCol w:w="2728"/>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47AA7F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74" w:type="dxa"/>
            <w:vAlign w:val="center"/>
            <w:textDirection w:val="lrTb"/>
            <w:noWrap w:val="false"/>
          </w:tcPr>
          <w:p w14:paraId="212E8351">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193, tờ bản đồ số 2 có địa chỉ: Đội 14 Thôn Yên Lạc 3, xã Cần Kiệm, huyện Thạch Thất, thành phố Hà Nội (nay là xã Hạ Bằng, thành phố Hà Nội). theo Giấy chứng nhận quyền sử dụng đất, quyền sở hữu nhà ở và tài sản khác gắn </w:t>
            </w:r>
            <w:r>
              <w:rPr>
                <w:rFonts w:ascii="Times New Roman" w:hAnsi="Times New Roman" w:eastAsia="Times New Roman" w:cs="Times New Roman"/>
                <w:b/>
                <w:color w:val="000000"/>
                <w:sz w:val="24"/>
              </w:rPr>
              <w:t xml:space="preserve">liền với đất số: BA 549857, số vào sổ cấp GCN: CH 00598/QSDĐ/872/VPĐK do UBND Huyện Thạch Thất cấp ngày 23/12/2014; Chủ sử dụng đất là Ông Nguyễn Mạnh Tưởng.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74F134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74" w:type="dxa"/>
            <w:vAlign w:val="center"/>
            <w:textDirection w:val="lrTb"/>
            <w:noWrap w:val="false"/>
          </w:tcPr>
          <w:p w14:paraId="721BA15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182F89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630E0BA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815" w:type="dxa"/>
            <w:vAlign w:val="center"/>
            <w:textDirection w:val="lrTb"/>
            <w:noWrap w:val="false"/>
          </w:tcPr>
          <w:p w14:paraId="3BE7CC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193</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6251133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728" w:type="dxa"/>
            <w:vAlign w:val="center"/>
            <w:textDirection w:val="lrTb"/>
            <w:noWrap w:val="false"/>
          </w:tcPr>
          <w:p w14:paraId="4AEF2B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6F60A8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728B09E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45B4EBAF">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Thôn Yên Lạc, xã Cần Kiệm, huyện Thạch Thất, thành phố Hà Nội (nay là xã Hạ Bằng,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639ED9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330089E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1815" w:type="dxa"/>
            <w:vAlign w:val="center"/>
            <w:textDirection w:val="lrTb"/>
            <w:noWrap w:val="false"/>
          </w:tcPr>
          <w:p w14:paraId="2396DE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151,4</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4BA3C9B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728" w:type="dxa"/>
            <w:vAlign w:val="center"/>
            <w:textDirection w:val="lrTb"/>
            <w:noWrap w:val="false"/>
          </w:tcPr>
          <w:p w14:paraId="5CE6B3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46A50C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67D3AAD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15" w:type="dxa"/>
            <w:vAlign w:val="center"/>
            <w:textDirection w:val="lrTb"/>
            <w:noWrap w:val="false"/>
          </w:tcPr>
          <w:p w14:paraId="0A1400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0484856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728" w:type="dxa"/>
            <w:vAlign w:val="center"/>
            <w:textDirection w:val="lrTb"/>
            <w:noWrap w:val="false"/>
          </w:tcPr>
          <w:p w14:paraId="69144AC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681394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725CAB7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7ADE0C2A">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Nhận tặng cho đất được Công nhận QSDĐ như giao đất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276288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45AC127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Ghi chú:</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095CBD93">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Thửa đất được tách ra từ thửa đất số 85(02)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631D1E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64F5E79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4833B31A">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theo Trích lục thửa đất do UBND huyện Thạch Thất - Xã Cần Kiệm cấp cho ông Nguyễn Mạnh Tưởng ngày 30/11/2023, thửa đất có 24,8m2 nằm trong Quy hoạch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32E3DB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74" w:type="dxa"/>
            <w:vAlign w:val="center"/>
            <w:textDirection w:val="lrTb"/>
            <w:noWrap w:val="false"/>
          </w:tcPr>
          <w:p w14:paraId="094D625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2F5389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74" w:type="dxa"/>
            <w:vAlign w:val="center"/>
            <w:textDirection w:val="lrTb"/>
            <w:noWrap w:val="false"/>
          </w:tcPr>
          <w:p w14:paraId="17C49DE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73465D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210FDC9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2D2A077C">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Số 08 đường H11 thôn Yên Lạc 3, xã Hạ Bằng,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57DBC6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4A935B6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1815" w:type="dxa"/>
            <w:vAlign w:val="center"/>
            <w:textDirection w:val="lrTb"/>
            <w:noWrap w:val="false"/>
          </w:tcPr>
          <w:p w14:paraId="76F147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Ngõ giao thông</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6CCD72B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728" w:type="dxa"/>
            <w:vAlign w:val="center"/>
            <w:textDirection w:val="lrTb"/>
            <w:noWrap w:val="false"/>
          </w:tcPr>
          <w:p w14:paraId="4A85C7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4F17218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20A620C9">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1815" w:type="dxa"/>
            <w:vAlign w:val="center"/>
            <w:textDirection w:val="lrTb"/>
            <w:noWrap w:val="false"/>
          </w:tcPr>
          <w:p w14:paraId="631E78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bê tông rộng 5,1m</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3FC627C3">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728" w:type="dxa"/>
            <w:vAlign w:val="center"/>
            <w:textDirection w:val="lrTb"/>
            <w:noWrap w:val="false"/>
          </w:tcPr>
          <w:p w14:paraId="350286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055FF4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3B90ABB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335FF077">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Tiếp giáp đường H11, cách trung tâm hành chính xã Cần Kiệm khoảng 1,5km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005D81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68382DA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36238D3C">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Hướng Đông Nam tiếp giáp đường giao thông rộng 5,1m;</w:t>
              <w:br/>
              <w:t xml:space="preserve"> Hướng Đông Bắc: Tiếp giáp đường đường giao thông rộng 2,3m;</w:t>
              <w:br/>
              <w:t xml:space="preserve"> Các hướng khác: Tiếp giáp các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67DB28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74" w:type="dxa"/>
            <w:vAlign w:val="center"/>
            <w:textDirection w:val="lrTb"/>
            <w:noWrap w:val="false"/>
          </w:tcPr>
          <w:p w14:paraId="2F5BFD5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w:t>
            </w:r>
            <w:r>
              <w:rPr>
                <w:rFonts w:ascii="Times New Roman" w:hAnsi="Times New Roman" w:eastAsia="Times New Roman" w:cs="Times New Roman"/>
                <w:color w:val="000000"/>
                <w:sz w:val="24"/>
              </w:rPr>
              <w:t xml:space="preserve">21.032224207033668, 105.57919163558213</w:t>
            </w: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438A4D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74" w:type="dxa"/>
            <w:vAlign w:val="center"/>
            <w:textDirection w:val="lrTb"/>
            <w:noWrap w:val="false"/>
          </w:tcPr>
          <w:p w14:paraId="6B2E1F6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6048375" cy="2740743"/>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06445" name=""/>
                              <pic:cNvPicPr>
                                <a:picLocks noChangeAspect="1"/>
                              </pic:cNvPicPr>
                              <pic:nvPr/>
                            </pic:nvPicPr>
                            <pic:blipFill rotWithShape="1">
                              <a:blip r:embed="rId16"/>
                              <a:stretch/>
                            </pic:blipFill>
                            <pic:spPr bwMode="auto">
                              <a:xfrm>
                                <a:off x="0" y="0"/>
                                <a:ext cx="6048374" cy="274074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76.25pt;height:215.81pt;mso-wrap-distance-left:0.00pt;mso-wrap-distance-top:0.00pt;mso-wrap-distance-right:0.00pt;mso-wrap-distance-bottom:0.00pt;z-index:1;" stroked="false">
                      <v:imagedata r:id="rId16"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739713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74" w:type="dxa"/>
            <w:vAlign w:val="center"/>
            <w:textDirection w:val="lrTb"/>
            <w:noWrap w:val="false"/>
          </w:tcPr>
          <w:p w14:paraId="0C19C0F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22FC69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0171013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1815" w:type="dxa"/>
            <w:vAlign w:val="center"/>
            <w:textDirection w:val="lrTb"/>
            <w:noWrap w:val="false"/>
          </w:tcPr>
          <w:p w14:paraId="3F1F46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151,4</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0260066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728" w:type="dxa"/>
            <w:vAlign w:val="center"/>
            <w:textDirection w:val="lrTb"/>
            <w:noWrap w:val="false"/>
          </w:tcPr>
          <w:p w14:paraId="1104D5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584298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0D4274A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15" w:type="dxa"/>
            <w:vAlign w:val="center"/>
            <w:textDirection w:val="lrTb"/>
            <w:noWrap w:val="false"/>
          </w:tcPr>
          <w:p w14:paraId="05E825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10,00</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3A92155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728" w:type="dxa"/>
            <w:vAlign w:val="center"/>
            <w:textDirection w:val="lrTb"/>
            <w:noWrap w:val="false"/>
          </w:tcPr>
          <w:p w14:paraId="5BBFCE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3801D5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7B1E6FA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1815" w:type="dxa"/>
            <w:vAlign w:val="center"/>
            <w:textDirection w:val="lrTb"/>
            <w:noWrap w:val="false"/>
          </w:tcPr>
          <w:p w14:paraId="577713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Vuông vức</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554BC03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chính</w:t>
            </w:r>
            <w:r/>
          </w:p>
        </w:tc>
        <w:tc>
          <w:tcPr>
            <w:tcBorders>
              <w:bottom w:val="single" w:color="000000" w:sz="8" w:space="0"/>
              <w:right w:val="single" w:color="000000" w:sz="8" w:space="0"/>
            </w:tcBorders>
            <w:tcMar>
              <w:left w:w="108" w:type="dxa"/>
              <w:top w:w="0" w:type="dxa"/>
              <w:right w:w="108" w:type="dxa"/>
              <w:bottom w:w="0" w:type="dxa"/>
            </w:tcMar>
            <w:tcW w:w="2728" w:type="dxa"/>
            <w:vAlign w:val="center"/>
            <w:textDirection w:val="lrTb"/>
            <w:noWrap w:val="false"/>
          </w:tcPr>
          <w:p w14:paraId="61B3D8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Nam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496982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74" w:type="dxa"/>
            <w:vAlign w:val="center"/>
            <w:textDirection w:val="lrTb"/>
            <w:noWrap w:val="false"/>
          </w:tcPr>
          <w:p w14:paraId="2E48497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0576C4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73C91C1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62439F6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745896D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3715D74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4B308A8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4D4DF0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4D8D58A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1815" w:type="dxa"/>
            <w:vAlign w:val="center"/>
            <w:textDirection w:val="lrTb"/>
            <w:noWrap w:val="false"/>
          </w:tcPr>
          <w:p w14:paraId="51E598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197CF3A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728" w:type="dxa"/>
            <w:vAlign w:val="center"/>
            <w:textDirection w:val="lrTb"/>
            <w:noWrap w:val="false"/>
          </w:tcPr>
          <w:p w14:paraId="177E28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51D22F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63" w:type="dxa"/>
            <w:vAlign w:val="center"/>
            <w:textDirection w:val="lrTb"/>
            <w:noWrap w:val="false"/>
          </w:tcPr>
          <w:p w14:paraId="1ADD95A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15" w:type="dxa"/>
            <w:vAlign w:val="center"/>
            <w:textDirection w:val="lrTb"/>
            <w:noWrap w:val="false"/>
          </w:tcPr>
          <w:p w14:paraId="3EB838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2168" w:type="dxa"/>
            <w:vAlign w:val="center"/>
            <w:textDirection w:val="lrTb"/>
            <w:noWrap w:val="false"/>
          </w:tcPr>
          <w:p w14:paraId="130A63C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728" w:type="dxa"/>
            <w:vAlign w:val="center"/>
            <w:textDirection w:val="lrTb"/>
            <w:noWrap w:val="false"/>
          </w:tcPr>
          <w:p w14:paraId="208589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2F8146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74" w:type="dxa"/>
            <w:vAlign w:val="center"/>
            <w:textDirection w:val="lrTb"/>
            <w:noWrap w:val="false"/>
          </w:tcPr>
          <w:p w14:paraId="0158E9D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80" w:type="dxa"/>
            <w:vAlign w:val="center"/>
            <w:textDirection w:val="lrTb"/>
            <w:noWrap w:val="false"/>
          </w:tcPr>
          <w:p w14:paraId="4988F2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74" w:type="dxa"/>
            <w:vAlign w:val="top"/>
            <w:textDirection w:val="lrTb"/>
            <w:noWrap w:val="false"/>
          </w:tcPr>
          <w:p w14:paraId="18F079AA">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CTXD Nhà ở 01 tầng, khung sắt lợp tôn có diện tích xây dựng khoảng 151m2, hoàn thành khoảng năm 2013. Công trình chưa được công nhận trên GCN QSDĐ số: BA 549857</w:t>
            </w:r>
            <w:r/>
          </w:p>
        </w:tc>
      </w:tr>
    </w:tbl>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30"/>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30"/>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30"/>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3B7B2B65">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CTXD Nhà ở 01 tầng, khung sắt lợp tôn có diện tích xây dựng khoảng 151m2, hoàn thành khoảng năm 2013. Công trình chưa được công nhận trên GCN QSDĐ số: BA 549857. Đ</w:t>
      </w:r>
      <w:r>
        <w:rPr>
          <w:rFonts w:ascii="Times New Roman" w:hAnsi="Times New Roman" w:eastAsia="Times New Roman" w:cs="Times New Roman"/>
          <w:color w:val="000000"/>
          <w:sz w:val="24"/>
        </w:rPr>
        <w:t xml:space="preserve">ồng thời, tổ thẩm định cũng không nhất được bất kỳ giấy tờ pháp lý nào liên quan đến công trình xây dựng. Do vậy, theo yêu cầu của Ngân hàng/khách hàng, Tổ thẩm định không xác định giá trị công trình vào tổng giá trị tài sản nhưng vẫn coi đó là phần không </w:t>
      </w:r>
      <w:r>
        <w:rPr>
          <w:rFonts w:ascii="Times New Roman" w:hAnsi="Times New Roman" w:eastAsia="Times New Roman" w:cs="Times New Roman"/>
          <w:color w:val="000000"/>
          <w:sz w:val="24"/>
        </w:rPr>
        <w:t xml:space="preserve">thể tách rời của tài sản thẩm định.</w:t>
      </w:r>
      <w:r/>
    </w:p>
    <w:p w14:paraId="49C374D6">
      <w:pPr>
        <w:pStyle w:val="1030"/>
        <w:numPr>
          <w:ilvl w:val="0"/>
          <w:numId w:val="3"/>
        </w:numPr>
        <w:pBdr/>
        <w:tabs>
          <w:tab w:val="left" w:leader="none" w:pos="993"/>
        </w:tabs>
        <w:spacing w:after="120" w:before="120" w:line="264" w:lineRule="auto"/>
        <w:ind/>
        <w:jc w:val="both"/>
        <w:rPr>
          <w:spacing w:val="-2"/>
          <w:lang w:val="pt-BR"/>
        </w:rPr>
      </w:pPr>
      <w:r>
        <w:rPr>
          <w:rFonts w:ascii="Times New Roman" w:hAnsi="Times New Roman" w:eastAsia="Times New Roman" w:cs="Times New Roman"/>
          <w:color w:val="000000"/>
          <w:spacing w:val="2"/>
          <w:sz w:val="24"/>
        </w:rPr>
        <w:t xml:space="preserve">Tại thời điểm thẩm định giá</w:t>
      </w:r>
      <w:r>
        <w:rPr>
          <w:rFonts w:ascii="Times New Roman" w:hAnsi="Times New Roman" w:eastAsia="Times New Roman" w:cs="Times New Roman"/>
          <w:color w:val="000000"/>
          <w:sz w:val="24"/>
        </w:rPr>
        <w:t xml:space="preserve">, theo Trích lục thửa đất do UBND huyện Thạch Thất - Xã Cần Kiệm cấp cho ông Nguyễn Mạnh Tưởng ngày 30/11/2023, thửa đất có 24,8m2 nằm trong Quy hoạch giao thông</w:t>
      </w:r>
      <w:r>
        <w:rPr>
          <w:rFonts w:ascii="Times New Roman" w:hAnsi="Times New Roman" w:eastAsia="Times New Roman" w:cs="Times New Roman"/>
          <w:color w:val="000000"/>
          <w:spacing w:val="2"/>
          <w:sz w:val="24"/>
        </w:rPr>
        <w:t xml:space="preserve">, hiện chưa có thông báo thu hồi đất/quyết định thu hồi đất/phương án giải tỏa bồi thường đối với phần diện tích nằm trong quy hoạch đường giao thông này. Do vậy,  đối với diện tích nằm ngoài quy hoạch Tổ thẩm định đánh giá theo giá trị thị trường, đối với</w:t>
      </w:r>
      <w:r>
        <w:rPr>
          <w:rFonts w:ascii="Times New Roman" w:hAnsi="Times New Roman" w:eastAsia="Times New Roman" w:cs="Times New Roman"/>
          <w:color w:val="000000"/>
          <w:spacing w:val="2"/>
          <w:sz w:val="24"/>
        </w:rPr>
        <w:t xml:space="preserve"> phần nằm trong quy hoạch Tổ thẩm định vận dụng theo </w:t>
      </w:r>
      <w:r>
        <w:rPr>
          <w:rFonts w:ascii="Times New Roman" w:hAnsi="Times New Roman" w:eastAsia="Times New Roman" w:cs="Times New Roman"/>
          <w:color w:val="000000"/>
          <w:sz w:val="24"/>
        </w:rPr>
        <w:t xml:space="preserve">đơn giá đất ở quy định bảng giá đất UBND theo Quyết định số 71/2024/QĐ-UBND của UBND Thành phố Hà Nội ngày 20 tháng 12 năm 2024 về việc điều chỉnh, sửa đổi, bổ sung Quyết định số 30/2019/QĐ-UBND ngày 31 tháng 12 năm 2019 của UBND thành phố Hà Nội về việc ban hành quy định và bảng giá các loại đ</w:t>
      </w:r>
      <w:r>
        <w:rPr>
          <w:rFonts w:ascii="Times New Roman" w:hAnsi="Times New Roman" w:eastAsia="Times New Roman" w:cs="Times New Roman"/>
          <w:color w:val="000000"/>
          <w:sz w:val="24"/>
        </w:rPr>
        <w:t xml:space="preserve">ất trên địa bàn thành phố Hà Nội áp dụng từ ngày 01/01/2020 đến ngày 31/12/2024 được sửa đổi, bổ sung tại Quyết định số 20/2023/QĐ-UBND ngày 07 tháng 9 năm 2023 của UBND Thành phố Hà Nội</w:t>
      </w:r>
      <w:r>
        <w:rPr>
          <w:rFonts w:ascii="Times New Roman" w:hAnsi="Times New Roman" w:eastAsia="Times New Roman" w:cs="Times New Roman"/>
          <w:color w:val="000000"/>
          <w:spacing w:val="2"/>
          <w:sz w:val="24"/>
        </w:rPr>
        <w:t xml:space="preserve">, giá trị đền bù thực tế còn phụ thuộc vào thỏa thuận các bên tại thời điểm Nhà nước giải phóng mặt bằng thực hiện quy hoạch. Đề nghị đơn vị sử dụng kết quả lưu ý kiểm tra xác minh t</w:t>
      </w:r>
      <w:r>
        <w:rPr>
          <w:rFonts w:ascii="Times New Roman" w:hAnsi="Times New Roman" w:eastAsia="Times New Roman" w:cs="Times New Roman"/>
          <w:color w:val="000000"/>
          <w:spacing w:val="2"/>
          <w:sz w:val="24"/>
        </w:rPr>
        <w:t xml:space="preserve">hêm thông tin quy hoạch nếu thấy cần thiết. Trong trường hợp Khách hàng/Ngân hàng cung cấp được Văn bản xác nhận rõ phần diện tích thuộc quy hoạch mà có sự sai khác so với số liệu nêu trên thì kết quả thẩm định giá cần được xem xét, điều chỉnh phù hợp, chú</w:t>
      </w:r>
      <w:r>
        <w:rPr>
          <w:rFonts w:ascii="Times New Roman" w:hAnsi="Times New Roman" w:eastAsia="Times New Roman" w:cs="Times New Roman"/>
          <w:color w:val="000000"/>
          <w:spacing w:val="2"/>
          <w:sz w:val="24"/>
        </w:rPr>
        <w:t xml:space="preserve">ng tôi bảo lưu quyền xem xét lại kết quả thẩm định giá.</w:t>
      </w:r>
      <w:r>
        <w:rPr>
          <w:highlight w:val="none"/>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30"/>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30"/>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30"/>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30"/>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0203C927" w14:textId="3E855EB4">
      <w:pPr>
        <w:pStyle w:val="1030"/>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30"/>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2"/>
          <w:lang w:val="pt-BR"/>
        </w:rPr>
        <w:t xml:space="preserve">.</w:t>
      </w:r>
      <w:r>
        <w:rPr>
          <w:spacing w:val="-4"/>
          <w:lang w:val="pt-BR"/>
        </w:rPr>
      </w:r>
      <w:r>
        <w:rPr>
          <w:spacing w:val="-4"/>
          <w:lang w:val="pt-BR"/>
        </w:rPr>
      </w:r>
    </w:p>
    <w:p w14:paraId="770CC22B" w14:textId="787D51A9">
      <w:pPr>
        <w:pStyle w:val="1030"/>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30"/>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 nằm ngoài Quy hoạch giao thông:</w:t>
      </w:r>
      <w:r>
        <w:rPr>
          <w:b/>
          <w:lang w:val="pt-BR"/>
        </w:rPr>
      </w:r>
      <w:r>
        <w:rPr>
          <w:b/>
          <w:lang w:val="pt-BR"/>
        </w:rPr>
      </w:r>
    </w:p>
    <w:p w14:paraId="30D65849" w14:textId="38CC99F5">
      <w:pPr>
        <w:pStyle w:val="1030"/>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30"/>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Thôn Yên Lạc, Xã Cần Kiệm, Huyện Thạch Thất,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Cần Kiệm, Huyện Thạch Thất,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Cần Kiệm, Huyện Thạch Thất,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Cần Kiệm, Huyện Thạch Thất, Thành phố Hà Nội</w:t>
            </w:r>
            <w:r>
              <w:rPr>
                <w:sz w:val="22"/>
                <w:szCs w:val="22"/>
              </w:rPr>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https://batdongsan.com.vn/ban-dat-xa-can-kiem/ban-2-mat-tien-oto-do-cua-truc-chinh-dt-100m2-mat-tien-10m-kinh-doanh-dinh-pr44594524</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https://www.facebook.com/share/p/1BjHJJDSPR</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0943969963</w:t>
            </w:r>
            <w:r>
              <w:rPr>
                <w:sz w:val="22"/>
                <w:szCs w:val="22"/>
              </w:rPr>
              <w:t xml:space="preserve"> </w:t>
            </w:r>
            <w:r>
              <w:rPr>
                <w:sz w:val="22"/>
                <w:szCs w:val="22"/>
              </w:rPr>
              <w:br/>
              <w:t xml:space="preserve">(</w:t>
            </w:r>
            <w:r>
              <w:rPr>
                <w:sz w:val="22"/>
                <w:szCs w:val="22"/>
              </w:rPr>
              <w:t xml:space="preserve">Hoàng Hạnh</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0985 408 999</w:t>
            </w:r>
            <w:r>
              <w:rPr>
                <w:sz w:val="22"/>
                <w:szCs w:val="22"/>
              </w:rPr>
              <w:br/>
            </w:r>
            <w:r>
              <w:rPr>
                <w:sz w:val="22"/>
                <w:szCs w:val="22"/>
              </w:rPr>
              <w:t xml:space="preserve">(</w:t>
            </w:r>
            <w:r>
              <w:rPr>
                <w:sz w:val="22"/>
                <w:szCs w:val="22"/>
              </w:rPr>
              <w:t xml:space="preserve">Minh Tâm</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0985 408 999</w:t>
            </w:r>
            <w:r>
              <w:rPr>
                <w:sz w:val="22"/>
                <w:szCs w:val="22"/>
              </w:rPr>
              <w:br/>
            </w:r>
            <w:r>
              <w:rPr>
                <w:sz w:val="22"/>
                <w:szCs w:val="22"/>
              </w:rPr>
              <w:t xml:space="preserve">(</w:t>
            </w:r>
            <w:r>
              <w:rPr>
                <w:sz w:val="22"/>
                <w:szCs w:val="22"/>
              </w:rPr>
              <w:t xml:space="preserve">Minh Tâm</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Tài sản tại: Thôn Yên Lạc, Xã Cần Kiệm, Huyện Thạch Thất, T</w:t>
            </w:r>
            <w:r>
              <w:rPr>
                <w:color w:val="000000" w:themeColor="text1"/>
                <w:sz w:val="22"/>
                <w:szCs w:val="22"/>
              </w:rPr>
              <w:t xml:space="preserve">hành phố Hà Nội, đường Tiếp giáp đường H11, cách trung tâm hành chính xã Cần Kiệm khoảng 1,5km, độ rộng đường trước mặt tài sản 5.1m, mặt tiền 10m, Tiếp giáp đường H11, cách trung tâm hành chính xã Cần Kiệm khoảng 1,5km, 21.032319296021, 105.57927743045788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Xã Phùng Xá, Huyện T</w:t>
            </w:r>
            <w:r>
              <w:rPr>
                <w:color w:val="000000" w:themeColor="text1"/>
                <w:sz w:val="22"/>
                <w:szCs w:val="22"/>
              </w:rPr>
              <w:t xml:space="preserve">hạch Thất, Thành phố Hà Nội, đường Tiếp giáp đường chùa Tây Phương, độ rộng đường trước mặt tài sản 6m, mặt tiền 10m, Tiếp giáp đường chùa Tây Phương, nằm cuối đường, cách trung tâm hành chính xã Cần Kiệm khoảng 400m, 21.018967866524278, 105.58138946024908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Xã Cần Kiệm, Huyện Thạch Thất, Thành phố Hà Nội, đường Tiếp giáp đường chùa Tây Phương, cách trung tâm hành chính xã Cần Kiệm khoảng 100m, độ rộng đường trước mặt tài sản 6m, mặt tiền 5m, 21.023159067516954, 105.58402875391974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Xã Cần Kiệm, Huyện Thạch Thất, Thành phố Hà Nội, đườn</w:t>
            </w:r>
            <w:r>
              <w:rPr>
                <w:color w:val="000000" w:themeColor="text1"/>
                <w:sz w:val="22"/>
                <w:szCs w:val="22"/>
              </w:rPr>
              <w:t xml:space="preserve">g Tiếp giáp đường chùa Tây Phương, cách trung tâm hành chính xã Cần Kiệm khoảng 50m, độ rộng đường trước mặt tài sản 6m, mặt tiền 5.2m, Tiếp giáp đường chùa Tây Phương, cách trung tâm hành chính xã Cần Kiệm khoảng 50m, 21.02237040966273, 105.58367470232977</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D653E8B">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D653E8B">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D653E8B">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143FDF">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p w14:paraId="66354EA3" w14:textId="401122BA">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143FDF">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p w14:paraId="4F12170C" w14:textId="56E58990">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151.4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99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176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5.2</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15.14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19.8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33.85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góc 2 mặt đường, phố</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2 mặt đường trước sau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Tài sản trên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trống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C6FFCA">
            <w:pPr>
              <w:pBdr/>
              <w:spacing/>
              <w:ind/>
              <w:jc w:val="center"/>
              <w:rPr>
                <w:color w:val="000000"/>
                <w:sz w:val="22"/>
                <w:szCs w:val="22"/>
              </w:rPr>
            </w:pPr>
            <w:r>
              <w:rPr>
                <w:color w:val="000000" w:themeColor="text1"/>
                <w:sz w:val="22"/>
                <w:szCs w:val="22"/>
              </w:rPr>
              <w:t xml:space="preserve">Đất trống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C6FFCA">
            <w:pPr>
              <w:pBdr/>
              <w:spacing/>
              <w:ind/>
              <w:jc w:val="center"/>
              <w:rPr>
                <w:color w:val="000000"/>
                <w:sz w:val="22"/>
                <w:szCs w:val="22"/>
              </w:rPr>
            </w:pPr>
            <w:r>
              <w:rPr>
                <w:color w:val="000000" w:themeColor="text1"/>
                <w:sz w:val="22"/>
                <w:szCs w:val="22"/>
              </w:rPr>
              <w:t xml:space="preserve">Đất trống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A09CC8F" w14:textId="77777777">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4F94451" w14:textId="77777777">
            <w:pPr>
              <w:pBdr/>
              <w:spacing/>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BEC45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804E66" w14:textId="0EA03BB2">
            <w:pPr>
              <w:pBdr/>
              <w:spacing/>
              <w:ind/>
              <w:jc w:val="center"/>
              <w:rPr>
                <w:color w:val="000000"/>
                <w:sz w:val="22"/>
                <w:szCs w:val="22"/>
              </w:rPr>
            </w:pPr>
            <w:r>
              <w:rPr>
                <w:color w:val="000000" w:themeColor="text1"/>
                <w:sz w:val="22"/>
                <w:szCs w:val="22"/>
              </w:rPr>
              <w:t xml:space="preserve">13.500.000.000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4C6976" w14:textId="10DB6807">
            <w:pPr>
              <w:pBdr/>
              <w:spacing/>
              <w:ind/>
              <w:jc w:val="center"/>
              <w:rPr>
                <w:color w:val="000000"/>
                <w:sz w:val="22"/>
                <w:szCs w:val="22"/>
              </w:rPr>
            </w:pPr>
            <w:r>
              <w:rPr>
                <w:color w:val="000000" w:themeColor="text1"/>
                <w:sz w:val="22"/>
                <w:szCs w:val="22"/>
              </w:rPr>
              <w:t xml:space="preserve">7.821.000.000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769581" w14:textId="1C37D1EB">
            <w:pPr>
              <w:pBdr/>
              <w:spacing/>
              <w:ind/>
              <w:jc w:val="center"/>
              <w:rPr>
                <w:color w:val="000000"/>
                <w:sz w:val="22"/>
                <w:szCs w:val="22"/>
              </w:rPr>
            </w:pPr>
            <w:r>
              <w:rPr>
                <w:color w:val="000000" w:themeColor="text1"/>
                <w:sz w:val="22"/>
                <w:szCs w:val="22"/>
              </w:rPr>
              <w:t xml:space="preserve">13.500.000.000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E74F64D" w14:textId="77777777">
            <w:pPr>
              <w:pBdr/>
              <w:spacing/>
              <w:ind/>
              <w:jc w:val="center"/>
              <w:rPr>
                <w:color w:val="000000"/>
                <w:sz w:val="22"/>
                <w:szCs w:val="22"/>
              </w:rPr>
            </w:pPr>
            <w:r>
              <w:rPr>
                <w:color w:val="000000"/>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819D6CA" w14:textId="77777777">
            <w:pPr>
              <w:pBdr/>
              <w:spacing/>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251F619"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5AFA71" w14:textId="3581CF06">
            <w:pPr>
              <w:pBdr/>
              <w:spacing/>
              <w:ind/>
              <w:jc w:val="center"/>
              <w:rPr>
                <w:color w:val="000000"/>
                <w:sz w:val="22"/>
                <w:szCs w:val="22"/>
              </w:rPr>
            </w:pPr>
            <w:r>
              <w:rPr>
                <w:color w:val="000000" w:themeColor="text1"/>
                <w:sz w:val="22"/>
                <w:szCs w:val="22"/>
              </w:rPr>
              <w:t xml:space="preserve">12.150.000.000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46A755" w14:textId="422ECE13">
            <w:pPr>
              <w:pBdr/>
              <w:spacing/>
              <w:ind/>
              <w:jc w:val="center"/>
              <w:rPr>
                <w:color w:val="000000"/>
                <w:sz w:val="22"/>
                <w:szCs w:val="22"/>
              </w:rPr>
            </w:pPr>
            <w:r>
              <w:rPr>
                <w:color w:val="000000" w:themeColor="text1"/>
                <w:sz w:val="22"/>
                <w:szCs w:val="22"/>
              </w:rPr>
              <w:t xml:space="preserve">7.038.900.000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8E1908" w14:textId="13461ACD">
            <w:pPr>
              <w:pBdr/>
              <w:spacing/>
              <w:ind/>
              <w:jc w:val="center"/>
              <w:rPr>
                <w:color w:val="000000"/>
                <w:sz w:val="22"/>
                <w:szCs w:val="22"/>
              </w:rPr>
            </w:pPr>
            <w:r>
              <w:rPr>
                <w:color w:val="000000" w:themeColor="text1"/>
                <w:sz w:val="22"/>
                <w:szCs w:val="22"/>
              </w:rPr>
              <w:t xml:space="preserve">12.150.000.000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12.150.000.000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7.038.900.000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12.150.000.000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60.750.000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71.100.000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69.034.091</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30"/>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5"/>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12.150.000.000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7.038.900.000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12.150.000.000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60.750.000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71.100.000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69.034.091</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5"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60.750.000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71.100.000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69.034.091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60.750.000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71.100.000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69.034.091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60.750.000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71.100.000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69.034.091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Tài sản tại: Thôn Yên Lạc, Xã Cần Kiệm, Huyện Thạch Thất, T</w:t>
            </w:r>
            <w:r>
              <w:rPr>
                <w:color w:val="000000" w:themeColor="text1"/>
                <w:sz w:val="22"/>
                <w:szCs w:val="22"/>
              </w:rPr>
              <w:t xml:space="preserve">hành phố Hà Nội, đường Tiếp giáp đường H11, cách trung tâm hành chính xã Cần Kiệm khoảng 1,5km, độ rộng đường trước mặt tài sản 5.1m, mặt tiền 10m, Tiếp giáp đường H11, cách trung tâm hành chính xã Cần Kiệm khoảng 1,5km, 21.032319296021, 105.57927743045788</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Tài sản tại: Xã Phùng Xá, Huyện T</w:t>
            </w:r>
            <w:r>
              <w:rPr>
                <w:color w:val="000000" w:themeColor="text1"/>
                <w:sz w:val="22"/>
                <w:szCs w:val="22"/>
              </w:rPr>
              <w:t xml:space="preserve">hạch Thất, Thành phố Hà Nội, đường Tiếp giáp đường chùa Tây Phương, độ rộng đường trước mặt tài sản 6m, mặt tiền 10m, Tiếp giáp đường chùa Tây Phương, nằm cuối đường, cách trung tâm hành chính xã Cần Kiệm khoảng 400m, 21.018967866524278, 105.58138946024908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Tài sản tại: Xã Cần Kiệm, Huyện Thạch Thất, Thành phố Hà Nội, đường Tiếp giáp đường chùa Tây Phương, cách trung tâm hành chính xã Cần Kiệm khoảng 100m, độ rộng đường trước mặt tài sản 6m, mặt tiền 5m, 21.023159067516954, 105.58402875391974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Tài sản tại: Xã Cần Kiệm, Huyện Thạch Thất, Thành phố Hà Nội, đườn</w:t>
            </w:r>
            <w:r>
              <w:rPr>
                <w:color w:val="000000" w:themeColor="text1"/>
                <w:sz w:val="22"/>
                <w:szCs w:val="22"/>
              </w:rPr>
              <w:t xml:space="preserve">g Tiếp giáp đường chùa Tây Phương, cách trung tâm hành chính xã Cần Kiệm khoảng 50m, độ rộng đường trước mặt tài sản 6m, mặt tiền 5.2m, Tiếp giáp đường chùa Tây Phương, cách trung tâm hành chính xã Cần Kiệm khoảng 50m, 21.02237040966273, 105.58367470232977</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-9.112.500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-10.665.000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-10.355.114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51.637.500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60.435.000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58.678.977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-6.075.000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-7.110.000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-6.903.409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45.562.500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53.325.000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51.775.568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5.1</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-6.075.000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-7.110.000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-6.903.409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39.487.500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46.215.000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44.872.159</w:t>
            </w:r>
            <w:r>
              <w:rPr>
                <w:color w:val="000000"/>
                <w:sz w:val="22"/>
                <w:szCs w:val="22"/>
              </w:rPr>
            </w:r>
            <w:r>
              <w:rPr>
                <w:color w:val="000000"/>
                <w:sz w:val="22"/>
                <w:szCs w:val="22"/>
              </w:rPr>
            </w:r>
          </w:p>
        </w:tc>
      </w:tr>
      <w:tr>
        <w:trPr>
          <w:gridAfter w:val="6"/>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14BE0433">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4BE0433">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4BE0433">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39.487.500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46.215.000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44.872.159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39.487.500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46.215.000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44.872.159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151.4</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200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99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176</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3.037.500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-3.555.000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42.525.000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42.660.000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44.872.159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10</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10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5.2</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7.110.000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6.903.409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42.525.000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49.770.000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51.775.568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15.14</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20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19.8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33.85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1.822.500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2.133.000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4.142.045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44.347.500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51.903.000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55.917.613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góc 2 mặt đường, phố</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2 mặt đường trước sau</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3.037.500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7.110.000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6.903.409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47.385.000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59.013.000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62.821.022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47.385.000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59.013.000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62.821.022</w:t>
            </w:r>
            <w:r>
              <w:rPr>
                <w:color w:val="000000"/>
                <w:sz w:val="22"/>
                <w:szCs w:val="22"/>
              </w:rPr>
            </w:r>
            <w:r>
              <w:rPr>
                <w:color w:val="000000"/>
                <w:sz w:val="22"/>
                <w:szCs w:val="22"/>
              </w:rPr>
            </w:r>
          </w:p>
        </w:tc>
      </w:tr>
      <w:tr>
        <w:trPr>
          <w:gridAfter w:val="6"/>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Cảnh quan</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47.385.000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59.013.000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62.821.022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Khá</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Khá</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-14.220.000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-13.806.818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47.385.000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44.793.000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49.014.204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Bất lợi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gần khu vực tâm linh (Miếu thờ cúng tâm linh, đình, đền, chùa…) [30m:&lt;=100m]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gần khu vực tâm linh (Miếu thờ cúng tâm linh, đình, đền, chùa…) [30m:&lt;=100m]</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gần khu vực tâm linh (Miếu thờ cúng tâm linh, đình, đền, chùa…) [30m:&lt;=100m]</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3.037.500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3.555.000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3.451.705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50.422.500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48.348.000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52.465.909</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50.422.500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48.348.000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52.465.909</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9"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50.412.136</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0.02%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-4.09%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4.07%</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5"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32.197.500</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62.568.000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59.369.318</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7D51D8B7" w14:textId="55439F0B">
            <w:pPr>
              <w:pBdr/>
              <w:spacing/>
              <w:ind/>
              <w:jc w:val="center"/>
              <w:rPr>
                <w:sz w:val="22"/>
                <w:szCs w:val="22"/>
              </w:rPr>
            </w:pPr>
            <w:r>
              <w:rPr>
                <w:color w:val="000000" w:themeColor="text1"/>
                <w:sz w:val="22"/>
                <w:szCs w:val="22"/>
              </w:rPr>
              <w:t xml:space="preserve">7</w:t>
            </w:r>
            <w:r>
              <w:rPr>
                <w:sz w:val="22"/>
                <w:szCs w:val="22"/>
              </w:rPr>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9</w:t>
            </w:r>
            <w:r>
              <w:rPr>
                <w:sz w:val="22"/>
                <w:szCs w:val="22"/>
              </w:rPr>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8</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55D277CF" w14:textId="486BA53F">
            <w:pPr>
              <w:pBdr/>
              <w:spacing/>
              <w:ind/>
              <w:jc w:val="center"/>
              <w:rPr>
                <w:sz w:val="22"/>
                <w:szCs w:val="22"/>
              </w:rPr>
            </w:pPr>
            <w:r>
              <w:rPr>
                <w:color w:val="000000" w:themeColor="text1"/>
                <w:sz w:val="22"/>
                <w:szCs w:val="22"/>
              </w:rPr>
              <w:t xml:space="preserve">0% - 15%</w:t>
            </w:r>
            <w:r>
              <w:rPr>
                <w:sz w:val="22"/>
                <w:szCs w:val="22"/>
              </w:rPr>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0% - 20%</w:t>
            </w:r>
            <w:r>
              <w:rPr>
                <w:sz w:val="22"/>
                <w:szCs w:val="22"/>
              </w:rPr>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0% - 20%</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5" w:type="dxa"/>
            <w:vAlign w:val="center"/>
            <w:textDirection w:val="lrTb"/>
            <w:noWrap/>
          </w:tcPr>
          <w:p w14:paraId="4B4723C4" w14:textId="005806D1">
            <w:pPr>
              <w:pBdr/>
              <w:spacing/>
              <w:ind/>
              <w:jc w:val="center"/>
              <w:rPr>
                <w:sz w:val="22"/>
                <w:szCs w:val="22"/>
              </w:rPr>
            </w:pPr>
            <w:r>
              <w:rPr>
                <w:color w:val="000000" w:themeColor="text1"/>
                <w:sz w:val="22"/>
                <w:szCs w:val="22"/>
              </w:rPr>
              <w:t xml:space="preserve">10.327.500</w:t>
            </w:r>
            <w:r>
              <w:rPr>
                <w:sz w:val="22"/>
                <w:szCs w:val="22"/>
              </w:rPr>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22.752.000</w:t>
            </w:r>
            <w:r>
              <w:rPr>
                <w:sz w:val="22"/>
                <w:szCs w:val="22"/>
              </w:rPr>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16.568.182</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0,02</w:t>
      </w:r>
      <w:r>
        <w:t xml:space="preserve">% đến</w:t>
      </w:r>
      <w:r>
        <w:t xml:space="preserve"> </w:t>
      </w:r>
      <w:r>
        <w:t xml:space="preserve"> </w:t>
      </w:r>
      <w:r>
        <w:t xml:space="preserve">4,09</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50.422.500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16.810.862</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48.348.000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16.114.388</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52.465.909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17.486.887</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50.412.137</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50.000.000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50.000.000</w:t>
      </w:r>
      <w:r>
        <w:rPr>
          <w:b/>
          <w:bCs/>
          <w:color w:val="000000" w:themeColor="text1"/>
        </w:rPr>
        <w:t xml:space="preserve"> </w:t>
      </w:r>
      <w:r>
        <w:rPr>
          <w:b/>
          <w:bCs/>
        </w:rPr>
        <w:t xml:space="preserve">đồng/m².</w:t>
      </w:r>
      <w:r>
        <w:rPr>
          <w:b/>
          <w:bCs/>
        </w:rPr>
      </w:r>
      <w:r>
        <w:rPr>
          <w:b/>
          <w:bCs/>
        </w:rPr>
      </w:r>
    </w:p>
    <w:p w14:paraId="658BE4D8">
      <w:pPr>
        <w:pBdr>
          <w:top w:val="none" w:color="000000" w:sz="4" w:space="0"/>
          <w:left w:val="none" w:color="000000" w:sz="4" w:space="0"/>
          <w:bottom w:val="none" w:color="000000" w:sz="4" w:space="0"/>
          <w:right w:val="none" w:color="000000" w:sz="4" w:space="0"/>
        </w:pBdr>
        <w:spacing w:after="120" w:before="120" w:line="276" w:lineRule="auto"/>
        <w:ind w:firstLine="0" w:left="0"/>
        <w:jc w:val="both"/>
        <w:rPr/>
      </w:pPr>
      <w:r>
        <w:rPr>
          <w:rFonts w:ascii="Times New Roman" w:hAnsi="Times New Roman" w:eastAsia="Times New Roman" w:cs="Times New Roman"/>
          <w:b/>
          <w:color w:val="000000"/>
          <w:sz w:val="24"/>
        </w:rPr>
        <w:t xml:space="preserve">       2.Xác định đơn giá quyền sử dụng đất ở nằm trong Quy hoạch giao thông:</w:t>
      </w:r>
      <w:r/>
    </w:p>
    <w:p w14:paraId="2BB148FD">
      <w:pPr>
        <w:pBdr>
          <w:top w:val="none" w:color="000000" w:sz="4" w:space="0"/>
          <w:left w:val="none" w:color="000000" w:sz="4" w:space="0"/>
          <w:bottom w:val="none" w:color="000000" w:sz="4" w:space="0"/>
          <w:right w:val="none" w:color="000000" w:sz="4" w:space="0"/>
        </w:pBdr>
        <w:tabs>
          <w:tab w:val="left" w:leader="none" w:pos="720"/>
        </w:tabs>
        <w:spacing w:after="120" w:before="120" w:line="360" w:lineRule="auto"/>
        <w:ind w:right="0" w:firstLine="0" w:left="0"/>
        <w:jc w:val="both"/>
        <w:rPr/>
      </w:pPr>
      <w:r>
        <w:rPr>
          <w:rFonts w:ascii="Times New Roman" w:hAnsi="Times New Roman" w:eastAsia="Times New Roman" w:cs="Times New Roman"/>
          <w:color w:val="000000"/>
          <w:sz w:val="24"/>
          <w:szCs w:val="24"/>
        </w:rPr>
      </w:r>
      <w:r>
        <w:rPr>
          <w:rFonts w:ascii="Times New Roman" w:hAnsi="Times New Roman" w:eastAsia="Times New Roman" w:cs="Times New Roman"/>
          <w:color w:val="081b3a"/>
          <w:spacing w:val="3"/>
          <w:sz w:val="24"/>
          <w:szCs w:val="24"/>
          <w:highlight w:val="white"/>
        </w:rPr>
        <w:t xml:space="preserve">Đối với phần đất trong quy hoạch tổ thẩm định giá vận dụng theo</w:t>
      </w:r>
      <w:r>
        <w:rPr>
          <w:rFonts w:ascii="Times New Roman" w:hAnsi="Times New Roman" w:eastAsia="Times New Roman" w:cs="Times New Roman"/>
          <w:color w:val="081b3a"/>
          <w:spacing w:val="3"/>
          <w:sz w:val="24"/>
          <w:szCs w:val="24"/>
          <w:highlight w:val="none"/>
        </w:rPr>
        <w:t xml:space="preserve"> </w:t>
      </w:r>
      <w:r>
        <w:rPr>
          <w:rFonts w:ascii="Times New Roman" w:hAnsi="Times New Roman" w:eastAsia="Times New Roman" w:cs="Times New Roman"/>
          <w:color w:val="000000"/>
          <w:sz w:val="24"/>
        </w:rPr>
        <w:t xml:space="preserve">Quyết định số 71/2024/QĐ-UBND của UBND Thành phố Hà Nội ngày 20 tháng 12 năm 2024 về việc điều chỉnh, sửa đổi, bổ sung Quyết định số 30/2019/QĐ-UBND ngày 31 tháng 12 năm 2019 của UBND thành phố Hà Nội về việc ban hành quy định và bảng giá các loại đ</w:t>
      </w:r>
      <w:r>
        <w:rPr>
          <w:rFonts w:ascii="Times New Roman" w:hAnsi="Times New Roman" w:eastAsia="Times New Roman" w:cs="Times New Roman"/>
          <w:color w:val="000000"/>
          <w:sz w:val="24"/>
        </w:rPr>
        <w:t xml:space="preserve">ất trên địa bàn thành phố Hà Nội áp dụng từ ngày 01/01/2020 đến ngày 31/12/2024 được sửa đổi, bổ sung tại Quyết định số 20/2023/QĐ-UBND ngày 07 tháng 9 năm 2023 của UBND Thành phố Hà Nội </w:t>
      </w:r>
      <w:r>
        <w:rPr>
          <w:rFonts w:ascii="Times New Roman" w:hAnsi="Times New Roman" w:eastAsia="Times New Roman" w:cs="Times New Roman"/>
          <w:color w:val="081b3a"/>
          <w:spacing w:val="3"/>
          <w:sz w:val="24"/>
          <w:szCs w:val="24"/>
          <w:highlight w:val="white"/>
        </w:rPr>
        <w:t xml:space="preserve">về bảng giá đất tạm xác định đơn giá đất ở của phần diện tích thuộc hành lang giao thông bằng đơn giá UBND</w:t>
      </w:r>
      <w:r>
        <w:rPr>
          <w:rFonts w:ascii="Times New Roman" w:hAnsi="Times New Roman" w:eastAsia="Times New Roman" w:cs="Times New Roman"/>
          <w:color w:val="000000"/>
          <w:sz w:val="24"/>
        </w:rPr>
        <w:t xml:space="preserve"> là: đơn giá đất ở vị trí 1 Đường nhánh của đường 419 – Đoạn từ đường 419</w:t>
      </w:r>
      <w:r>
        <w:rPr>
          <w:rFonts w:ascii="Times New Roman" w:hAnsi="Times New Roman" w:eastAsia="Times New Roman" w:cs="Times New Roman"/>
          <w:color w:val="000000"/>
          <w:sz w:val="24"/>
        </w:rPr>
        <w:t xml:space="preserve"> qua xã Thạch Xá, Cần Kiệm, Hạ Bằng: 9.548.000 đồng/m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p>
    <w:p w14:paraId="4B506B03" w14:textId="49B8E0F8">
      <w:pPr>
        <w:pBdr/>
        <w:spacing w:after="120" w:before="120" w:line="276" w:lineRule="auto"/>
        <w:ind w:firstLine="0" w:left="360"/>
        <w:jc w:val="both"/>
        <w:rPr>
          <w:b/>
          <w:lang w:val="pt-BR"/>
        </w:rPr>
      </w:pPr>
      <w:r>
        <w:rPr>
          <w:b/>
          <w:lang w:val="pt-BR"/>
        </w:rPr>
        <w:t xml:space="preserve">3. Kết quả thẩm định giá:</w:t>
      </w:r>
      <w:r>
        <w:rPr>
          <w:b/>
          <w:lang w:val="pt-BR"/>
        </w:rPr>
      </w:r>
      <w:r>
        <w:rPr>
          <w:b/>
          <w:lang w:val="pt-BR"/>
        </w:rPr>
      </w:r>
    </w:p>
    <w:p w14:paraId="5FD09752" w14:textId="07A918B2">
      <w:pPr>
        <w:pStyle w:val="1030"/>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rPr>
          <w:highlight w:val="none"/>
        </w:rPr>
      </w:r>
    </w:p>
    <w:p w14:paraId="1A20967D">
      <w:pPr>
        <w:pBdr/>
        <w:shd w:val="nil" w:color="auto"/>
        <w:spacing/>
        <w:ind/>
        <w:rPr/>
      </w:pPr>
      <w:r>
        <w:br w:type="page" w:clear="all"/>
      </w:r>
      <w:r>
        <w:rPr>
          <w:highlight w:val="none"/>
        </w:rPr>
      </w:r>
      <w:r/>
    </w:p>
    <w:tbl>
      <w:tblPr>
        <w:tblStyle w:val="1034"/>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1"/>
        <w:gridCol w:w="3368"/>
        <w:gridCol w:w="1467"/>
        <w:gridCol w:w="1331"/>
        <w:gridCol w:w="19"/>
        <w:gridCol w:w="2569"/>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1" w:type="dxa"/>
            <w:vAlign w:val="center"/>
            <w:textDirection w:val="lrTb"/>
            <w:noWrap w:val="false"/>
          </w:tcPr>
          <w:p w14:paraId="1CF4FE41">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STT</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368" w:type="dxa"/>
            <w:vAlign w:val="center"/>
            <w:textDirection w:val="lrTb"/>
            <w:noWrap w:val="false"/>
          </w:tcPr>
          <w:p w14:paraId="24B359D8">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67" w:type="dxa"/>
            <w:vAlign w:val="center"/>
            <w:textDirection w:val="lrTb"/>
            <w:noWrap w:val="false"/>
          </w:tcPr>
          <w:p w14:paraId="25636048">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Diện tích (m²)</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50" w:type="dxa"/>
            <w:vAlign w:val="center"/>
            <w:textDirection w:val="lrTb"/>
            <w:noWrap w:val="false"/>
          </w:tcPr>
          <w:p w14:paraId="06CF24FD">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Đơn giá (đồng/m²)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14:paraId="487F8DE6">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Thành tiền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1" w:type="dxa"/>
            <w:vAlign w:val="center"/>
            <w:textDirection w:val="lrTb"/>
            <w:noWrap w:val="false"/>
          </w:tcPr>
          <w:p w14:paraId="648A3012">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185" w:type="dxa"/>
            <w:vAlign w:val="center"/>
            <w:textDirection w:val="lrTb"/>
            <w:noWrap w:val="false"/>
          </w:tcPr>
          <w:p w14:paraId="68D964D3">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Quyền sử dụng đất tại thửa đất số: 193, tờ bản đồ số 2 có địa chỉ: Đội 14 Thôn Yên Lạc 3, xã Cần Kiệm, huyện Thạch Thất, thành phố Hà Nội (nay là xã Hạ Bằng, thành phố Hà Nội). theo Giấy chứng nhận quyền sử dụng đất, quyền sở hữu nhà ở và tài sản khác gắn </w:t>
            </w:r>
            <w:r>
              <w:rPr>
                <w:rFonts w:ascii="Times New Roman" w:hAnsi="Times New Roman" w:eastAsia="Times New Roman" w:cs="Times New Roman"/>
                <w:b/>
                <w:color w:val="000000"/>
                <w:sz w:val="24"/>
              </w:rPr>
              <w:t xml:space="preserve">liền với đất số: BA 549857, số vào sổ cấp GCN: CH 00598/QSDĐ/872/VPĐK do UBND Huyện Thạch Thất cấp ngày 23/12/2014; Chủ sử dụng đất là Ông Nguyễn Mạnh Tưởng.</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14:paraId="67F88870">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1" w:type="dxa"/>
            <w:vAlign w:val="center"/>
            <w:textDirection w:val="lrTb"/>
            <w:noWrap w:val="false"/>
          </w:tcPr>
          <w:p w14:paraId="778CFE74">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3368" w:type="dxa"/>
            <w:vAlign w:val="center"/>
            <w:textDirection w:val="lrTb"/>
            <w:noWrap w:val="false"/>
          </w:tcPr>
          <w:p w14:paraId="6BB08D46">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Diện tích đất nằm ngoài Quy hoạch giao thông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467" w:type="dxa"/>
            <w:vAlign w:val="center"/>
            <w:textDirection w:val="lrTb"/>
            <w:noWrap/>
          </w:tcPr>
          <w:p w14:paraId="7F0299F6">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126,6</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350" w:type="dxa"/>
            <w:vAlign w:val="center"/>
            <w:textDirection w:val="lrTb"/>
            <w:noWrap w:val="false"/>
          </w:tcPr>
          <w:p w14:paraId="26A03AE4">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50.000.000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14:paraId="5FA3DD7A">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6.330.000.000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1" w:type="dxa"/>
            <w:vAlign w:val="center"/>
            <w:textDirection w:val="lrTb"/>
            <w:noWrap w:val="false"/>
          </w:tcPr>
          <w:p w14:paraId="735910A6">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3368" w:type="dxa"/>
            <w:vAlign w:val="center"/>
            <w:textDirection w:val="lrTb"/>
            <w:noWrap w:val="false"/>
          </w:tcPr>
          <w:p w14:paraId="068D050D">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Diện tích đất nằm trong Quy hoạch giao thông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467" w:type="dxa"/>
            <w:vAlign w:val="center"/>
            <w:textDirection w:val="lrTb"/>
            <w:noWrap/>
          </w:tcPr>
          <w:p w14:paraId="06C9E85A">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24,8</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350" w:type="dxa"/>
            <w:vAlign w:val="center"/>
            <w:textDirection w:val="lrTb"/>
            <w:noWrap w:val="false"/>
          </w:tcPr>
          <w:p w14:paraId="4871BBDF">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9.548.000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14:paraId="2D499923">
            <w:pPr>
              <w:pBdr>
                <w:top w:val="none" w:color="000000" w:sz="4" w:space="0"/>
                <w:left w:val="none" w:color="000000" w:sz="4" w:space="0"/>
                <w:bottom w:val="none" w:color="000000" w:sz="4" w:space="0"/>
                <w:right w:val="none" w:color="000000" w:sz="4" w:space="0"/>
              </w:pBdr>
              <w:shd w:val="clear" w:color="ffffff" w:fill="ffffff"/>
              <w:spacing w:after="60" w:before="60" w:line="288"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236.790.400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897" w:type="dxa"/>
            <w:vAlign w:val="center"/>
            <w:textDirection w:val="lrTb"/>
            <w:noWrap/>
          </w:tcPr>
          <w:p w14:paraId="58B5700E">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TỔNG CỘNG</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tcBorders>
              <w:bottom w:val="single" w:color="000000" w:sz="8" w:space="0"/>
              <w:right w:val="single" w:color="000000" w:sz="8" w:space="0"/>
            </w:tcBorders>
            <w:tcMar>
              <w:left w:w="108" w:type="dxa"/>
              <w:top w:w="0" w:type="dxa"/>
              <w:right w:w="108" w:type="dxa"/>
              <w:bottom w:w="0" w:type="dxa"/>
            </w:tcMar>
            <w:tcW w:w="2588" w:type="dxa"/>
            <w:vAlign w:val="center"/>
            <w:textDirection w:val="lrTb"/>
            <w:noWrap/>
          </w:tcPr>
          <w:p w14:paraId="74BCE82D">
            <w:pPr>
              <w:pBdr>
                <w:top w:val="none" w:color="000000" w:sz="4" w:space="0"/>
                <w:left w:val="none" w:color="000000" w:sz="4" w:space="0"/>
                <w:bottom w:val="none" w:color="000000" w:sz="4" w:space="0"/>
                <w:right w:val="none" w:color="000000" w:sz="4" w:space="0"/>
              </w:pBdr>
              <w:spacing w:after="60" w:before="60" w:line="288"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6.566.790.400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897" w:type="dxa"/>
            <w:vAlign w:val="center"/>
            <w:textDirection w:val="lrTb"/>
            <w:noWrap/>
          </w:tcPr>
          <w:p w14:paraId="6ED60F81">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LÀM TRÒN</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tcBorders>
              <w:bottom w:val="single" w:color="000000" w:sz="8" w:space="0"/>
              <w:right w:val="single" w:color="000000" w:sz="8" w:space="0"/>
            </w:tcBorders>
            <w:tcMar>
              <w:left w:w="108" w:type="dxa"/>
              <w:top w:w="0" w:type="dxa"/>
              <w:right w:w="108" w:type="dxa"/>
              <w:bottom w:w="0" w:type="dxa"/>
            </w:tcMar>
            <w:tcW w:w="2588" w:type="dxa"/>
            <w:vAlign w:val="center"/>
            <w:textDirection w:val="lrTb"/>
            <w:noWrap/>
          </w:tcPr>
          <w:p w14:paraId="00BAA14E">
            <w:pPr>
              <w:pBdr>
                <w:top w:val="none" w:color="000000" w:sz="4" w:space="0"/>
                <w:left w:val="none" w:color="000000" w:sz="4" w:space="0"/>
                <w:bottom w:val="none" w:color="000000" w:sz="4" w:space="0"/>
                <w:right w:val="none" w:color="000000" w:sz="4" w:space="0"/>
              </w:pBdr>
              <w:spacing w:after="60" w:before="60" w:line="288"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6.567.000.000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9485" w:type="dxa"/>
            <w:vAlign w:val="center"/>
            <w:textDirection w:val="lrTb"/>
            <w:noWrap w:val="false"/>
          </w:tcPr>
          <w:p w14:paraId="1A8D8A1E">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i/>
                <w:color w:val="000000"/>
                <w:sz w:val="24"/>
              </w:rPr>
              <w:t xml:space="preserve">(Bằng chữ: Sáu tỷ năm trăm sáu mươi bảy triệu đồng chẵn./.)</w:t>
            </w:r>
            <w:r>
              <w:rPr>
                <w:rFonts w:ascii="Times New Roman" w:hAnsi="Times New Roman" w:eastAsia="Times New Roman" w:cs="Times New Roman"/>
                <w:sz w:val="24"/>
              </w:rPr>
            </w:r>
            <w:r>
              <w:rPr>
                <w:rFonts w:ascii="Times New Roman" w:hAnsi="Times New Roman" w:eastAsia="Times New Roman" w:cs="Times New Roman"/>
                <w:sz w:val="24"/>
              </w:rPr>
            </w:r>
          </w:p>
        </w:tc>
      </w:tr>
    </w:tbl>
    <w:p w14:paraId="187E2E91" w14:textId="56B58432">
      <w:pPr>
        <w:pStyle w:val="1030"/>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30"/>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30"/>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30"/>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30"/>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30"/>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30"/>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30"/>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30"/>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30"/>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30"/>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30"/>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30"/>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30"/>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30"/>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30"/>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30"/>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30"/>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30"/>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30"/>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8137643">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Tại thời điểm khảo sát, dưới sự hướng dẫn của chủ tài sản, tổ thẩm định xác định trên đất có CTXD Nhà ở 01 tầng, khung sắt lợp tôn có diện tích xây dựng khoảng 151m2, hoàn thành khoảng năm 2013. Công trình chưa được công nhận trên GCN QSDĐ số: BA 549857. Đ</w:t>
      </w:r>
      <w:r>
        <w:rPr>
          <w:rFonts w:ascii="Times New Roman" w:hAnsi="Times New Roman" w:eastAsia="Times New Roman" w:cs="Times New Roman"/>
          <w:color w:val="000000"/>
          <w:sz w:val="24"/>
        </w:rPr>
        <w:t xml:space="preserve">ồng thời, tổ thẩm định cũng không nhất được bất kỳ giấy tờ pháp lý nào liên quan đến công trình xây dựng. Do vậy, theo yêu cầu của Ngân hàng/khách hàng, Tổ thẩm định không xác định giá trị công trình vào tổng giá trị tài sản nhưng vẫn coi đó là phần không </w:t>
      </w:r>
      <w:r>
        <w:rPr>
          <w:rFonts w:ascii="Times New Roman" w:hAnsi="Times New Roman" w:eastAsia="Times New Roman" w:cs="Times New Roman"/>
          <w:color w:val="000000"/>
          <w:sz w:val="24"/>
        </w:rPr>
        <w:t xml:space="preserve">thể tách rời của tài sản thẩm định.</w:t>
      </w:r>
      <w:r/>
    </w:p>
    <w:p w14:paraId="5F9C87DF" w14:textId="660E13BF">
      <w:pPr>
        <w:pStyle w:val="1030"/>
        <w:numPr>
          <w:ilvl w:val="0"/>
          <w:numId w:val="5"/>
        </w:numPr>
        <w:pBdr/>
        <w:tabs>
          <w:tab w:val="left" w:leader="none" w:pos="993"/>
        </w:tabs>
        <w:spacing w:after="120" w:before="120" w:line="288" w:lineRule="auto"/>
        <w:ind/>
        <w:jc w:val="both"/>
        <w:rPr>
          <w:bCs/>
          <w:spacing w:val="-2"/>
          <w:lang w:val="pt-BR"/>
        </w:rPr>
      </w:pPr>
      <w:r>
        <w:rPr>
          <w:rFonts w:ascii="Times New Roman" w:hAnsi="Times New Roman" w:eastAsia="Times New Roman" w:cs="Times New Roman"/>
          <w:color w:val="000000"/>
          <w:spacing w:val="2"/>
          <w:sz w:val="24"/>
        </w:rPr>
      </w:r>
      <w:r>
        <w:rPr>
          <w:rFonts w:ascii="Times New Roman" w:hAnsi="Times New Roman" w:eastAsia="Times New Roman" w:cs="Times New Roman"/>
          <w:color w:val="000000"/>
          <w:spacing w:val="2"/>
          <w:sz w:val="24"/>
        </w:rPr>
      </w:r>
      <w:r>
        <w:rPr>
          <w:rFonts w:ascii="Times New Roman" w:hAnsi="Times New Roman" w:eastAsia="Times New Roman" w:cs="Times New Roman"/>
          <w:color w:val="000000"/>
          <w:spacing w:val="2"/>
          <w:sz w:val="24"/>
        </w:rPr>
        <w:t xml:space="preserve">Tại thời điểm thẩm định giá</w:t>
      </w:r>
      <w:r>
        <w:rPr>
          <w:rFonts w:ascii="Times New Roman" w:hAnsi="Times New Roman" w:eastAsia="Times New Roman" w:cs="Times New Roman"/>
          <w:color w:val="000000"/>
          <w:sz w:val="24"/>
        </w:rPr>
        <w:t xml:space="preserve">, theo Trích lục thửa đất do UBND huyện Thạch Thất - Xã Cần Kiệm cấp cho ông Nguyễn Mạnh Tưởng ngày 30/11/2023, thửa đất có 24,8m2 nằm trong Quy hoạch giao thông</w:t>
      </w:r>
      <w:r>
        <w:rPr>
          <w:rFonts w:ascii="Times New Roman" w:hAnsi="Times New Roman" w:eastAsia="Times New Roman" w:cs="Times New Roman"/>
          <w:color w:val="000000"/>
          <w:spacing w:val="2"/>
          <w:sz w:val="24"/>
        </w:rPr>
        <w:t xml:space="preserve">, hiện chưa có thông báo thu hồi đất/quyết định thu hồi đất/phương án giải tỏa bồi thường đối với phần diện tích nằm trong quy hoạch đường giao thông này. Do vậy,  đối với diện tích nằm ngoài quy hoạch Tổ thẩm định đánh giá theo giá trị thị trường, đối với</w:t>
      </w:r>
      <w:r>
        <w:rPr>
          <w:rFonts w:ascii="Times New Roman" w:hAnsi="Times New Roman" w:eastAsia="Times New Roman" w:cs="Times New Roman"/>
          <w:color w:val="000000"/>
          <w:spacing w:val="2"/>
          <w:sz w:val="24"/>
        </w:rPr>
        <w:t xml:space="preserve"> phần nằm trong quy hoạch Tổ thẩm định vận dụng theo </w:t>
      </w:r>
      <w:r>
        <w:rPr>
          <w:rFonts w:ascii="Times New Roman" w:hAnsi="Times New Roman" w:eastAsia="Times New Roman" w:cs="Times New Roman"/>
          <w:color w:val="000000"/>
          <w:sz w:val="24"/>
        </w:rPr>
        <w:t xml:space="preserve">đơn giá đất ở quy định bảng giá đất UBN</w:t>
      </w:r>
      <w:r>
        <w:rPr>
          <w:rFonts w:ascii="Times New Roman" w:hAnsi="Times New Roman" w:eastAsia="Times New Roman" w:cs="Times New Roman"/>
          <w:color w:val="000000"/>
          <w:sz w:val="24"/>
        </w:rPr>
        <w:t xml:space="preserve">D theo Quyết định số 71/2024/QĐ-UBND của UBND Thành phố Hà Nội ngày 20 tháng 12 năm 2024 về việc điều chỉnh, sửa đổi, bổ sung Quyết định số 30/2019/QĐ-UBND ngày 31 tháng 12 năm 2019 của UBND thành phố Hà Nội về việc ban hành quy định và bảng giá các loại đ</w:t>
      </w:r>
      <w:r>
        <w:rPr>
          <w:rFonts w:ascii="Times New Roman" w:hAnsi="Times New Roman" w:eastAsia="Times New Roman" w:cs="Times New Roman"/>
          <w:color w:val="000000"/>
          <w:sz w:val="24"/>
        </w:rPr>
        <w:t xml:space="preserve">ất trên địa bàn thành phố Hà Nội áp dụng từ ngày 01/01/2020 đến ngày 31/12/2024 được sửa đổi, bổ sung tại Quyết định số 20/2023/QĐ-UBND ngày 07 tháng 9 năm 2023 của UBND Thành phố Hà Nội</w:t>
      </w:r>
      <w:r>
        <w:rPr>
          <w:rFonts w:ascii="Times New Roman" w:hAnsi="Times New Roman" w:eastAsia="Times New Roman" w:cs="Times New Roman"/>
          <w:color w:val="000000"/>
          <w:spacing w:val="2"/>
          <w:sz w:val="24"/>
        </w:rPr>
        <w:t xml:space="preserve">, giá trị đền bù thực tế còn phụ thuộc vào thỏa thuận các bên tại thời điểm Nhà nước giải phóng mặt bằng thực hiện quy hoạch. Đề nghị đơn vị sử dụng kết quả lưu ý kiểm tra xác minh t</w:t>
      </w:r>
      <w:r>
        <w:rPr>
          <w:rFonts w:ascii="Times New Roman" w:hAnsi="Times New Roman" w:eastAsia="Times New Roman" w:cs="Times New Roman"/>
          <w:color w:val="000000"/>
          <w:spacing w:val="2"/>
          <w:sz w:val="24"/>
        </w:rPr>
        <w:t xml:space="preserve">hêm thông tin quy hoạch nếu thấy cần thiết. Trong trường hợp Khách hàng/Ngân hàng cung cấp được Văn bản xác nhận rõ phần diện tích thuộc quy hoạch mà có sự sai khác so với số liệu nêu trên thì kết quả thẩm định giá cần được xem xét, điều chỉnh phù hợp, chú</w:t>
      </w:r>
      <w:r>
        <w:rPr>
          <w:rFonts w:ascii="Times New Roman" w:hAnsi="Times New Roman" w:eastAsia="Times New Roman" w:cs="Times New Roman"/>
          <w:color w:val="000000"/>
          <w:spacing w:val="2"/>
          <w:sz w:val="24"/>
        </w:rPr>
        <w:t xml:space="preserve">ng tôi bảo lưu quyền xem xét lại kết quả thẩm định giá</w:t>
      </w:r>
      <w:r/>
      <w:r>
        <w:rPr>
          <w:rFonts w:ascii="Times New Roman" w:hAnsi="Times New Roman" w:eastAsia="Times New Roman" w:cs="Times New Roman"/>
          <w:color w:val="000000"/>
          <w:spacing w:val="2"/>
          <w:sz w:val="24"/>
        </w:rPr>
      </w:r>
      <w:r/>
      <w:r>
        <w:rPr>
          <w:rFonts w:ascii="Times New Roman" w:hAnsi="Times New Roman" w:eastAsia="Times New Roman" w:cs="Times New Roman"/>
          <w:color w:val="000000"/>
          <w:spacing w:val="2"/>
          <w:sz w:val="24"/>
        </w:rPr>
      </w:r>
      <w:r>
        <w:rPr>
          <w:rFonts w:ascii="Times New Roman" w:hAnsi="Times New Roman" w:eastAsia="Times New Roman" w:cs="Times New Roman"/>
          <w:color w:val="000000"/>
          <w:spacing w:val="2"/>
          <w:sz w:val="24"/>
        </w:rPr>
        <w:t xml:space="preserve">.</w:t>
      </w:r>
      <w:r>
        <w:rPr>
          <w:bCs/>
          <w:spacing w:val="-2"/>
          <w:lang w:val="pt-BR"/>
        </w:rPr>
      </w:r>
      <w:r>
        <w:rPr>
          <w:bCs/>
          <w:spacing w:val="-2"/>
          <w:lang w:val="pt-BR"/>
        </w:rPr>
      </w:r>
    </w:p>
    <w:p w14:paraId="0F9E384F" w14:textId="63102E36">
      <w:pPr>
        <w:pStyle w:val="1030"/>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30"/>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30"/>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30"/>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30"/>
        <w:pBdr/>
        <w:tabs>
          <w:tab w:val="left" w:leader="none" w:pos="993"/>
        </w:tabs>
        <w:spacing w:after="120" w:before="120" w:line="288" w:lineRule="auto"/>
        <w:ind w:left="0"/>
        <w:jc w:val="both"/>
        <w:rPr>
          <w:highlight w:val="none"/>
          <w:lang w:val="pt-BR"/>
        </w:rPr>
      </w:pPr>
      <w:r>
        <w:rPr>
          <w:lang w:val="pt-BR"/>
        </w:rPr>
        <w:t xml:space="preserve">Phụ lục 2: Thông tin </w:t>
      </w:r>
      <w:r>
        <w:rPr>
          <w:lang w:val="pt-BR"/>
        </w:rPr>
        <w:t xml:space="preserve">thu thập thị trường</w:t>
      </w:r>
      <w:r>
        <w:rPr>
          <w:lang w:val="pt-BR"/>
        </w:rPr>
        <w:t xml:space="preserve">.</w:t>
      </w:r>
      <w:r>
        <w:rPr>
          <w:lang w:val="pt-BR"/>
        </w:rPr>
      </w:r>
      <w:r>
        <w:rPr>
          <w:highlight w:val="none"/>
          <w:lang w:val="pt-BR"/>
        </w:rPr>
      </w:r>
    </w:p>
    <w:p w14:paraId="3EF5CA6F">
      <w:pPr>
        <w:pBdr/>
        <w:shd w:val="nil" w:color="auto"/>
        <w:spacing/>
        <w:ind/>
        <w:rPr>
          <w:lang w:val="pt-BR"/>
        </w:rPr>
      </w:pPr>
      <w:r>
        <w:rPr>
          <w:lang w:val="pt-BR"/>
        </w:rPr>
        <w:br w:type="page" w:clear="all"/>
      </w:r>
      <w:r>
        <w:rPr>
          <w:lang w:val="pt-BR"/>
        </w:rPr>
      </w:r>
      <w:r>
        <w:rPr>
          <w:lang w:val="pt-BR"/>
        </w:rPr>
      </w:r>
    </w:p>
    <w:p w14:paraId="699F9D9D" w14:textId="4418D349">
      <w:pPr>
        <w:pStyle w:val="1030"/>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275/2025/1698/VFI-CT.44.A</w:t>
      </w:r>
      <w:r>
        <w:rPr>
          <w:color w:val="ff0000"/>
          <w:lang w:val="vi-VN"/>
        </w:rPr>
        <w:t xml:space="preserve"> </w:t>
      </w:r>
      <w:r>
        <w:rPr>
          <w:color w:val="000000" w:themeColor="text1"/>
        </w:rPr>
        <w:t xml:space="preserve">ngày 29 tháng 11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r>
        <w:rPr>
          <w:lang w:val="pt-BR"/>
        </w:rPr>
      </w:r>
      <w:r>
        <w:rPr>
          <w:lang w:val="pt-BR"/>
        </w:rPr>
      </w:r>
      <w:r>
        <w:rPr>
          <w:lang w:val="pt-BR"/>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Lê Đình Duy</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275/2025/1698/VFI-BC.44.A</w:t>
      </w:r>
      <w:r>
        <w:rPr>
          <w:i/>
          <w:lang w:val="pt-BR"/>
        </w:rPr>
        <w:t xml:space="preserve"> </w:t>
      </w:r>
      <w:r>
        <w:rPr>
          <w:i/>
          <w:lang w:val="pt-BR"/>
        </w:rPr>
        <w:t xml:space="preserve">29 tháng 11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62"/>
        <w:gridCol w:w="4762"/>
      </w:tblGrid>
      <w:tr>
        <w:trPr/>
        <w:tc>
          <w:tcPr>
            <w:tcBorders/>
            <w:tcW w:w="4762" w:type="dxa"/>
            <w:vAlign w:val="center"/>
            <w:textDirection w:val="lrTb"/>
            <w:noWrap w:val="false"/>
          </w:tcPr>
          <w:p w14:paraId="179066BD" w14:textId="6DE757B9">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933700" cy="22002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92045" name=""/>
                              <pic:cNvPicPr>
                                <a:picLocks noChangeAspect="1"/>
                              </pic:cNvPicPr>
                              <pic:nvPr/>
                            </pic:nvPicPr>
                            <pic:blipFill rotWithShape="1">
                              <a:blip r:embed="rId17"/>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31.00pt;height:173.25pt;mso-wrap-distance-left:0.00pt;mso-wrap-distance-top:0.00pt;mso-wrap-distance-right:0.00pt;mso-wrap-distance-bottom:0.00pt;z-index:1;" stroked="false">
                      <v:imagedata r:id="rId17" o:title=""/>
                      <o:lock v:ext="edit" rotation="t"/>
                    </v:shape>
                  </w:pict>
                </mc:Fallback>
              </mc:AlternateContent>
            </w:r>
            <w:r>
              <w:rPr>
                <w:b/>
                <w:bCs/>
                <w:i/>
                <w:lang w:val="pt-BR"/>
              </w:rPr>
            </w:r>
            <w:r>
              <w:rPr>
                <w:b/>
                <w:bCs/>
                <w:i/>
                <w:lang w:val="pt-BR"/>
              </w:rPr>
            </w:r>
          </w:p>
        </w:tc>
        <w:tc>
          <w:tcPr>
            <w:tcBorders/>
            <w:tcW w:w="4762" w:type="dxa"/>
            <w:vAlign w:val="center"/>
            <w:textDirection w:val="lrTb"/>
            <w:noWrap w:val="false"/>
          </w:tcPr>
          <w:p w14:paraId="19C21C3B" w14:textId="44A305C8">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933700" cy="220027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88793" name=""/>
                              <pic:cNvPicPr>
                                <a:picLocks noChangeAspect="1"/>
                              </pic:cNvPicPr>
                              <pic:nvPr/>
                            </pic:nvPicPr>
                            <pic:blipFill rotWithShape="1">
                              <a:blip r:embed="rId18"/>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1.00pt;height:173.25pt;mso-wrap-distance-left:0.00pt;mso-wrap-distance-top:0.00pt;mso-wrap-distance-right:0.00pt;mso-wrap-distance-bottom:0.00pt;z-index:1;" stroked="false">
                      <v:imagedata r:id="rId18" o:title=""/>
                      <o:lock v:ext="edit" rotation="t"/>
                    </v:shape>
                  </w:pict>
                </mc:Fallback>
              </mc:AlternateContent>
            </w:r>
            <w:r>
              <w:rPr>
                <w:b/>
                <w:bCs/>
                <w:i/>
                <w:lang w:val="pt-BR"/>
              </w:rPr>
            </w:r>
            <w:r>
              <w:rPr>
                <w:b/>
                <w:bCs/>
                <w:i/>
                <w:lang w:val="pt-BR"/>
              </w:rPr>
            </w:r>
          </w:p>
        </w:tc>
      </w:tr>
      <w:tr>
        <w:trPr/>
        <w:tc>
          <w:tcPr>
            <w:tcBorders/>
            <w:tcW w:w="4762"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33700" cy="22002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36533" name=""/>
                              <pic:cNvPicPr>
                                <a:picLocks noChangeAspect="1"/>
                              </pic:cNvPicPr>
                              <pic:nvPr/>
                            </pic:nvPicPr>
                            <pic:blipFill rotWithShape="1">
                              <a:blip r:embed="rId19"/>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1.00pt;height:173.25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62"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33700" cy="220027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98930" name=""/>
                              <pic:cNvPicPr>
                                <a:picLocks noChangeAspect="1"/>
                              </pic:cNvPicPr>
                              <pic:nvPr/>
                            </pic:nvPicPr>
                            <pic:blipFill rotWithShape="1">
                              <a:blip r:embed="rId20"/>
                              <a:stretch/>
                            </pic:blipFill>
                            <pic:spPr bwMode="auto">
                              <a:xfrm>
                                <a:off x="0" y="0"/>
                                <a:ext cx="2933699" cy="2200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1.00pt;height:173.25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25E20B10">
      <w:pPr>
        <w:pBdr/>
        <w:spacing w:after="200" w:line="276" w:lineRule="auto"/>
        <w:ind/>
        <w:jc w:val="center"/>
        <w:rPr>
          <w:b/>
          <w:bCs/>
          <w:highlight w:val="none"/>
        </w:rPr>
      </w:pPr>
      <w:r>
        <w:rPr>
          <w:b/>
          <w:highlight w:val="none"/>
        </w:rPr>
      </w:r>
      <w:r>
        <mc:AlternateContent>
          <mc:Choice Requires="wpg">
            <w:drawing>
              <wp:inline xmlns:wp="http://schemas.openxmlformats.org/drawingml/2006/wordprocessingDrawing" distT="0" distB="0" distL="0" distR="0">
                <wp:extent cx="2409825" cy="325755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8560" name=""/>
                        <pic:cNvPicPr>
                          <a:picLocks noChangeAspect="1"/>
                        </pic:cNvPicPr>
                        <pic:nvPr/>
                      </pic:nvPicPr>
                      <pic:blipFill rotWithShape="1">
                        <a:blip r:embed="rId21"/>
                        <a:stretch/>
                      </pic:blipFill>
                      <pic:spPr bwMode="auto">
                        <a:xfrm>
                          <a:off x="0" y="0"/>
                          <a:ext cx="2409824" cy="32575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89.75pt;height:256.50pt;mso-wrap-distance-left:0.00pt;mso-wrap-distance-top:0.00pt;mso-wrap-distance-right:0.00pt;mso-wrap-distance-bottom:0.00pt;z-index:1;" stroked="false">
                <v:imagedata r:id="rId21" o:title=""/>
                <o:lock v:ext="edit" rotation="t"/>
              </v:shape>
            </w:pict>
          </mc:Fallback>
        </mc:AlternateContent>
      </w:r>
      <w:r>
        <mc:AlternateContent>
          <mc:Choice Requires="wpg">
            <w:drawing>
              <wp:inline xmlns:wp="http://schemas.openxmlformats.org/drawingml/2006/wordprocessingDrawing" distT="0" distB="0" distL="0" distR="0">
                <wp:extent cx="2295525" cy="321945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76269" name=""/>
                        <pic:cNvPicPr>
                          <a:picLocks noChangeAspect="1"/>
                        </pic:cNvPicPr>
                        <pic:nvPr/>
                      </pic:nvPicPr>
                      <pic:blipFill rotWithShape="1">
                        <a:blip r:embed="rId22"/>
                        <a:stretch/>
                      </pic:blipFill>
                      <pic:spPr bwMode="auto">
                        <a:xfrm>
                          <a:off x="0" y="0"/>
                          <a:ext cx="2295524" cy="32194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80.75pt;height:253.50pt;mso-wrap-distance-left:0.00pt;mso-wrap-distance-top:0.00pt;mso-wrap-distance-right:0.00pt;mso-wrap-distance-bottom:0.00pt;z-index:1;" stroked="false">
                <v:imagedata r:id="rId22" o:title=""/>
                <o:lock v:ext="edit" rotation="t"/>
              </v:shape>
            </w:pict>
          </mc:Fallback>
        </mc:AlternateContent>
      </w:r>
      <w:r>
        <w:rPr>
          <w:bCs/>
          <w:i/>
          <w:lang w:val="pt-BR"/>
        </w:rPr>
      </w:r>
      <w:r>
        <w:rPr>
          <w:b/>
          <w:bCs/>
          <w:highlight w:val="none"/>
        </w:rPr>
      </w:r>
    </w:p>
    <w:p w14:paraId="71AD6D10">
      <w:pPr>
        <w:pBdr/>
        <w:spacing w:after="200" w:line="276" w:lineRule="auto"/>
        <w:ind/>
        <w:jc w:val="center"/>
        <w:rPr>
          <w:bCs/>
          <w:i/>
          <w:lang w:val="pt-BR"/>
        </w:rPr>
      </w:pPr>
      <w:r>
        <w:rPr>
          <w:b/>
          <w:highlight w:val="none"/>
          <w:lang w:val="pt-BR" w:bidi="pt-BR"/>
        </w:rPr>
      </w:r>
      <w:r>
        <mc:AlternateContent>
          <mc:Choice Requires="wpg">
            <w:drawing>
              <wp:inline xmlns:wp="http://schemas.openxmlformats.org/drawingml/2006/wordprocessingDrawing" distT="0" distB="0" distL="0" distR="0">
                <wp:extent cx="3247124" cy="452383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80339" name=""/>
                        <pic:cNvPicPr>
                          <a:picLocks noChangeAspect="1"/>
                        </pic:cNvPicPr>
                        <pic:nvPr/>
                      </pic:nvPicPr>
                      <pic:blipFill rotWithShape="1">
                        <a:blip r:embed="rId23"/>
                        <a:stretch/>
                      </pic:blipFill>
                      <pic:spPr bwMode="auto">
                        <a:xfrm flipH="0" flipV="0">
                          <a:off x="0" y="0"/>
                          <a:ext cx="3247124" cy="45238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55.68pt;height:356.21pt;mso-wrap-distance-left:0.00pt;mso-wrap-distance-top:0.00pt;mso-wrap-distance-right:0.00pt;mso-wrap-distance-bottom:0.00pt;z-index:1;" stroked="false">
                <v:imagedata r:id="rId23" o:title=""/>
                <o:lock v:ext="edit" rotation="t"/>
              </v:shape>
            </w:pict>
          </mc:Fallback>
        </mc:AlternateContent>
      </w:r>
      <w:r>
        <mc:AlternateContent>
          <mc:Choice Requires="wpg">
            <w:drawing>
              <wp:inline xmlns:wp="http://schemas.openxmlformats.org/drawingml/2006/wordprocessingDrawing" distT="0" distB="0" distL="0" distR="0">
                <wp:extent cx="1891651" cy="4039487"/>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34116" name=""/>
                        <pic:cNvPicPr>
                          <a:picLocks noChangeAspect="1"/>
                        </pic:cNvPicPr>
                        <pic:nvPr/>
                      </pic:nvPicPr>
                      <pic:blipFill rotWithShape="1">
                        <a:blip r:embed="rId24"/>
                        <a:stretch/>
                      </pic:blipFill>
                      <pic:spPr bwMode="auto">
                        <a:xfrm flipH="0" flipV="0">
                          <a:off x="0" y="0"/>
                          <a:ext cx="1891650" cy="403948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48.95pt;height:318.07pt;mso-wrap-distance-left:0.00pt;mso-wrap-distance-top:0.00pt;mso-wrap-distance-right:0.00pt;mso-wrap-distance-bottom:0.00pt;z-index:1;" stroked="false">
                <v:imagedata r:id="rId24" o:title=""/>
                <o:lock v:ext="edit" rotation="t"/>
              </v:shape>
            </w:pict>
          </mc:Fallback>
        </mc:AlternateContent>
      </w:r>
      <w:r>
        <w:rPr>
          <w:b/>
          <w:highlight w:val="none"/>
          <w:lang w:val="pt-BR"/>
        </w:rPr>
      </w:r>
      <w:r>
        <w:rPr>
          <w:bCs/>
          <w:i/>
          <w:lang w:val="pt-BR"/>
        </w:rPr>
      </w:r>
    </w:p>
    <w:p w14:paraId="1DE4F630">
      <w:pPr>
        <w:pBdr/>
        <w:shd w:val="nil" w:color="auto"/>
        <w:spacing/>
        <w:ind/>
        <w:rPr>
          <w:b/>
          <w:bCs/>
          <w:highlight w:val="none"/>
        </w:rPr>
      </w:pPr>
      <w:r>
        <w:rPr>
          <w:b/>
          <w:highlight w:val="none"/>
        </w:rPr>
        <w:br w:type="page" w:clear="all"/>
      </w:r>
      <w:r>
        <w:rPr>
          <w:b/>
          <w:highlight w:val="none"/>
        </w:rPr>
      </w:r>
      <w:r>
        <w:rPr>
          <w:b/>
          <w:bCs/>
          <w:highlight w:val="none"/>
        </w:rPr>
      </w:r>
    </w:p>
    <w:p w14:paraId="0D8BE108">
      <w:pPr>
        <w:pBdr/>
        <w:spacing w:after="200" w:line="276" w:lineRule="auto"/>
        <w:ind/>
        <w:jc w:val="center"/>
        <w:rPr>
          <w:b/>
          <w:bCs/>
          <w:highlight w:val="none"/>
        </w:rPr>
      </w:pPr>
      <w:r>
        <w:rPr>
          <w:b/>
          <w:highlight w:val="none"/>
        </w:rPr>
      </w:r>
      <w:r>
        <mc:AlternateContent>
          <mc:Choice Requires="wpg">
            <w:drawing>
              <wp:inline xmlns:wp="http://schemas.openxmlformats.org/drawingml/2006/wordprocessingDrawing" distT="0" distB="0" distL="0" distR="0">
                <wp:extent cx="6048375" cy="80645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63617" name=""/>
                        <pic:cNvPicPr>
                          <a:picLocks noChangeAspect="1"/>
                        </pic:cNvPicPr>
                        <pic:nvPr/>
                      </pic:nvPicPr>
                      <pic:blipFill rotWithShape="1">
                        <a:blip r:embed="rId25"/>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635.00pt;mso-wrap-distance-left:0.00pt;mso-wrap-distance-top:0.00pt;mso-wrap-distance-right:0.00pt;mso-wrap-distance-bottom:0.00pt;z-index:1;" stroked="false">
                <v:imagedata r:id="rId25" o:title=""/>
                <o:lock v:ext="edit" rotation="t"/>
              </v:shape>
            </w:pict>
          </mc:Fallback>
        </mc:AlternateContent>
      </w:r>
      <w:r>
        <w:rPr>
          <w:b/>
          <w:highlight w:val="none"/>
        </w:rPr>
      </w:r>
      <w:r>
        <w:rPr>
          <w:b/>
          <w:bCs/>
          <w:highlight w:val="none"/>
        </w:rPr>
      </w:r>
    </w:p>
    <w:p w14:paraId="337A7758">
      <w:pPr>
        <w:pBdr/>
        <w:shd w:val="nil" w:color="auto"/>
        <w:spacing/>
        <w:ind/>
        <w:rPr>
          <w:b/>
          <w:bCs/>
          <w:highlight w:val="none"/>
        </w:rPr>
      </w:pPr>
      <w:r>
        <w:rPr>
          <w:b/>
          <w:highlight w:val="none"/>
        </w:rPr>
        <w:br w:type="page" w:clear="all"/>
      </w:r>
      <w:r>
        <w:rPr>
          <w:b/>
          <w:highlight w:val="none"/>
        </w:rPr>
      </w:r>
      <w:r>
        <w:rPr>
          <w:b/>
          <w:bCs/>
          <w:highlight w:val="none"/>
        </w:rPr>
      </w:r>
    </w:p>
    <w:p w14:paraId="486BEC15" w14:textId="5B1D8B65">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b/>
          <w:bCs/>
          <w:highlight w:val="none"/>
        </w:rPr>
      </w:r>
    </w:p>
    <w:p w14:paraId="6F4CB34C" w14:textId="63A58DB4">
      <w:pPr>
        <w:pBdr/>
        <w:spacing/>
        <w:ind/>
        <w:jc w:val="center"/>
        <w:rPr>
          <w:i/>
          <w:lang w:val="pt-BR"/>
        </w:rPr>
      </w:pPr>
      <w:r>
        <w:rPr>
          <w:i/>
          <w:lang w:val="pt-BR"/>
        </w:rPr>
        <w:t xml:space="preserve">(Kèm theo Báo cáo thẩm định số </w:t>
      </w:r>
      <w:r>
        <w:rPr>
          <w:i/>
        </w:rPr>
        <w:t xml:space="preserve">275/2025/1698/VFI-BC.44.A</w:t>
      </w:r>
      <w:r>
        <w:rPr>
          <w:i/>
          <w:lang w:val="pt-BR"/>
        </w:rPr>
        <w:t xml:space="preserve"> </w:t>
      </w:r>
      <w:r>
        <w:rPr>
          <w:i/>
          <w:lang w:val="pt-BR"/>
        </w:rPr>
        <w:t xml:space="preserve">29 tháng 11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https://batdongsan.com.vn/ban-dat-xa-can-kiem/ban-2-mat-tien-oto-do-cua-truc-chinh-dt-100m2-mat-tien-10m-kinh-doanh-dinh-pr44594524</w:t>
            </w:r>
            <w:r>
              <w:rPr>
                <w:color w:val="000000" w:themeColor="text1"/>
                <w:sz w:val="22"/>
                <w:szCs w:val="22"/>
              </w:rPr>
              <w:br/>
              <w:t xml:space="preserve">0943969963</w:t>
            </w:r>
            <w:r>
              <w:rPr>
                <w:sz w:val="22"/>
                <w:szCs w:val="22"/>
              </w:rPr>
              <w:t xml:space="preserve"> </w:t>
            </w:r>
            <w:r>
              <w:rPr>
                <w:sz w:val="22"/>
                <w:szCs w:val="22"/>
              </w:rPr>
              <w:br/>
              <w:t xml:space="preserve">(Hoàng Hạnh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13.500.000.000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12.150.000.000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nông thôn (200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Xã Phùng Xá, Huyện T</w:t>
            </w:r>
            <w:r>
              <w:rPr>
                <w:color w:val="000000" w:themeColor="text1"/>
                <w:sz w:val="22"/>
                <w:szCs w:val="22"/>
              </w:rPr>
              <w:t xml:space="preserve">hạch Thất, Thành phố Hà Nội, đường Tiếp giáp đường chùa Tây Phương, độ rộng đường trước mặt tài sản 6m, mặt tiền 10m, Tiếp giáp đường chùa Tây Phương, nằm cuối đường, cách trung tâm hành chính xã Cần Kiệm khoảng 400m, 21.018967866524278, 105.58138946024908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200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10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2 mặt đường trước sau</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t xml:space="preserve">Khá</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t xml:space="preserve">Đất gần khu vực tâm linh (Miếu thờ cúng tâm linh, đình, đền, chùa…) [30m:&lt;=100m]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914571"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5914571"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65.71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30053D06"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914571"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5914571"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65.71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Lê Đình Duy</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jc w:val="center"/>
        <w:rPr>
          <w:b/>
          <w:bCs/>
          <w:iCs/>
          <w:lang w:val="pt-BR"/>
        </w:rPr>
      </w:pPr>
      <w:r>
        <w:rPr>
          <w:b/>
          <w:bCs/>
          <w:iCs/>
          <w:lang w:val="pt-BR"/>
        </w:rPr>
        <w:br w:type="page" w:clear="all"/>
      </w:r>
      <w:r>
        <w:rPr>
          <w:b/>
          <w:bCs/>
          <w:iCs/>
          <w:lang w:val="pt-BR"/>
        </w:rPr>
        <w:t xml:space="preserve">TSSS2</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0985 408 999</w:t>
            </w:r>
            <w:r>
              <w:rPr>
                <w:sz w:val="22"/>
                <w:szCs w:val="22"/>
              </w:rPr>
              <w:t xml:space="preserve"> </w:t>
            </w:r>
            <w:r>
              <w:rPr>
                <w:sz w:val="22"/>
                <w:szCs w:val="22"/>
              </w:rPr>
              <w:br/>
              <w:t xml:space="preserve">(Minh Tâm</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7.821.000.000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7.038.900.000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nông thôn (99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Xã Cần Kiệm, Huyện Thạch Thất, Thành phố Hà Nội, đường Tiếp giáp đường chùa Tây Phương, cách trung tâm hành chính xã Cần Kiệm khoảng 100m, độ rộng đường trước mặt tài sản 6m, mặt tiền 5m, 21.023159067516954, 105.58402875391974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99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t xml:space="preserve">Đất gần khu vực tâm linh (Miếu thờ cúng tâm linh, đình, đền, chùa…) [30m:&lt;=100m]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14:paraId="7633C3A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3105150" cy="374332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15056" name=""/>
                              <pic:cNvPicPr>
                                <a:picLocks noChangeAspect="1"/>
                              </pic:cNvPicPr>
                              <pic:nvPr/>
                            </pic:nvPicPr>
                            <pic:blipFill rotWithShape="1">
                              <a:blip r:embed="rId28"/>
                              <a:stretch/>
                            </pic:blipFill>
                            <pic:spPr bwMode="auto">
                              <a:xfrm>
                                <a:off x="0" y="0"/>
                                <a:ext cx="3105149" cy="37433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44.50pt;height:294.75pt;mso-wrap-distance-left:0.00pt;mso-wrap-distance-top:0.00pt;mso-wrap-distance-right:0.00pt;mso-wrap-distance-bottom:0.00pt;z-index:1;" stroked="false">
                      <v:imagedata r:id="rId28" o:title=""/>
                      <o:lock v:ext="edit" rotation="t"/>
                    </v:shape>
                  </w:pict>
                </mc:Fallback>
              </mc:AlternateContent>
            </w:r>
            <w:r>
              <mc:AlternateContent>
                <mc:Choice Requires="wpg">
                  <w:drawing>
                    <wp:inline xmlns:wp="http://schemas.openxmlformats.org/drawingml/2006/wordprocessingDrawing" distT="0" distB="0" distL="0" distR="0">
                      <wp:extent cx="2600325" cy="34671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6951" name=""/>
                              <pic:cNvPicPr>
                                <a:picLocks noChangeAspect="1"/>
                              </pic:cNvPicPr>
                              <pic:nvPr/>
                            </pic:nvPicPr>
                            <pic:blipFill rotWithShape="1">
                              <a:blip r:embed="rId29"/>
                              <a:stretch/>
                            </pic:blipFill>
                            <pic:spPr bwMode="auto">
                              <a:xfrm>
                                <a:off x="0" y="0"/>
                                <a:ext cx="2600325" cy="34670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04.75pt;height:273.00pt;mso-wrap-distance-left:0.00pt;mso-wrap-distance-top:0.00pt;mso-wrap-distance-right:0.00pt;mso-wrap-distance-bottom:0.00pt;z-index:1;" stroked="false">
                      <v:imagedata r:id="rId29" o:title=""/>
                      <o:lock v:ext="edit" rotation="t"/>
                    </v:shape>
                  </w:pict>
                </mc:Fallback>
              </mc:AlternateConten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p w14:paraId="40A6A2DF" w14:textId="77777777">
      <w:pPr>
        <w:pBdr/>
        <w:spacing w:after="200" w:line="276" w:lineRule="auto"/>
        <w:ind/>
        <w:rPr>
          <w:iCs/>
          <w:lang w:val="pt-BR"/>
        </w:rPr>
      </w:pPr>
      <w:r>
        <w:rPr>
          <w:iCs/>
          <w:lang w:val="pt-BR"/>
        </w:rPr>
      </w: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https://www.facebook.com/share/p/1BjHJJDSPR</w:t>
            </w:r>
            <w:r>
              <w:rPr>
                <w:color w:val="000000" w:themeColor="text1"/>
                <w:sz w:val="22"/>
                <w:szCs w:val="22"/>
              </w:rPr>
              <w:br/>
            </w:r>
            <w:r>
              <w:rPr>
                <w:sz w:val="22"/>
                <w:szCs w:val="22"/>
              </w:rPr>
              <w:t xml:space="preserve">SĐT: </w:t>
            </w:r>
            <w:r>
              <w:rPr>
                <w:color w:val="000000" w:themeColor="text1"/>
                <w:sz w:val="22"/>
                <w:szCs w:val="22"/>
              </w:rPr>
              <w:t xml:space="preserve">0985 408 999</w:t>
            </w:r>
            <w:r>
              <w:rPr>
                <w:sz w:val="22"/>
                <w:szCs w:val="22"/>
              </w:rPr>
              <w:t xml:space="preserve"> </w:t>
            </w:r>
            <w:r>
              <w:rPr>
                <w:sz w:val="22"/>
                <w:szCs w:val="22"/>
              </w:rPr>
              <w:br/>
              <w:t xml:space="preserve">(Minh Tâm</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13.500.000.000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12.150.000.000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nông thôn (176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Xã Cần Kiệm, Huyện Thạch Thất, Thành phố Hà Nội, đườn</w:t>
            </w:r>
            <w:r>
              <w:rPr>
                <w:color w:val="000000" w:themeColor="text1"/>
                <w:sz w:val="22"/>
                <w:szCs w:val="22"/>
              </w:rPr>
              <w:t xml:space="preserve">g Tiếp giáp đường chùa Tây Phương, cách trung tâm hành chính xã Cần Kiệm khoảng 50m, độ rộng đường trước mặt tài sản 6m, mặt tiền 5.2m, Tiếp giáp đường chùa Tây Phương, cách trung tâm hành chính xã Cần Kiệm khoảng 50m, 21.02237040966273, 105.58367470232977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176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5.2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t xml:space="preserve">Đất gần khu vực tâm linh (Miếu thờ cúng tâm linh, đình, đền, chùa…) [30m:&lt;=100m]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04717B89" w14:textId="65CD6BE1">
            <w:pPr>
              <w:pBdr/>
              <w:spacing w:line="276" w:lineRule="auto"/>
              <w:ind/>
              <w:rPr>
                <w:color w:val="000000"/>
                <w:sz w:val="22"/>
                <w:szCs w:val="22"/>
              </w:rPr>
            </w:pPr>
            <w:r>
              <w:rPr>
                <w:color w:val="000000"/>
                <w:sz w:val="22"/>
                <w:szCs w:val="22"/>
              </w:rPr>
            </w:r>
            <w:r>
              <mc:AlternateContent>
                <mc:Choice Requires="wpg">
                  <w:drawing>
                    <wp:inline xmlns:wp="http://schemas.openxmlformats.org/drawingml/2006/wordprocessingDrawing" distT="0" distB="0" distL="0" distR="0">
                      <wp:extent cx="6048375" cy="395979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46810" name=""/>
                              <pic:cNvPicPr>
                                <a:picLocks noChangeAspect="1"/>
                              </pic:cNvPicPr>
                              <pic:nvPr/>
                            </pic:nvPicPr>
                            <pic:blipFill rotWithShape="1">
                              <a:blip r:embed="rId30"/>
                              <a:stretch/>
                            </pic:blipFill>
                            <pic:spPr bwMode="auto">
                              <a:xfrm>
                                <a:off x="0" y="0"/>
                                <a:ext cx="6048374" cy="395979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311.79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2571750" cy="159067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38889" name=""/>
                              <pic:cNvPicPr>
                                <a:picLocks noChangeAspect="1"/>
                              </pic:cNvPicPr>
                              <pic:nvPr/>
                            </pic:nvPicPr>
                            <pic:blipFill rotWithShape="1">
                              <a:blip r:embed="rId31"/>
                              <a:stretch/>
                            </pic:blipFill>
                            <pic:spPr bwMode="auto">
                              <a:xfrm>
                                <a:off x="0" y="0"/>
                                <a:ext cx="2571750" cy="1590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02.50pt;height:125.25pt;mso-wrap-distance-left:0.00pt;mso-wrap-distance-top:0.00pt;mso-wrap-distance-right:0.00pt;mso-wrap-distance-bottom:0.00pt;z-index:1;" stroked="false">
                      <v:imagedata r:id="rId31" o:title=""/>
                      <o:lock v:ext="edit" rotation="t"/>
                    </v:shape>
                  </w:pict>
                </mc:Fallback>
              </mc:AlternateContent>
            </w:r>
            <w:r>
              <mc:AlternateContent>
                <mc:Choice Requires="wpg">
                  <w:drawing>
                    <wp:inline xmlns:wp="http://schemas.openxmlformats.org/drawingml/2006/wordprocessingDrawing" distT="0" distB="0" distL="0" distR="0">
                      <wp:extent cx="1152525" cy="256222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59201" name=""/>
                              <pic:cNvPicPr>
                                <a:picLocks noChangeAspect="1"/>
                              </pic:cNvPicPr>
                              <pic:nvPr/>
                            </pic:nvPicPr>
                            <pic:blipFill rotWithShape="1">
                              <a:blip r:embed="rId32"/>
                              <a:stretch/>
                            </pic:blipFill>
                            <pic:spPr bwMode="auto">
                              <a:xfrm>
                                <a:off x="0" y="0"/>
                                <a:ext cx="1152524" cy="2562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90.75pt;height:201.75pt;mso-wrap-distance-left:0.00pt;mso-wrap-distance-top:0.00pt;mso-wrap-distance-right:0.00pt;mso-wrap-distance-bottom:0.00pt;z-index:1;" stroked="false">
                      <v:imagedata r:id="rId32" o:title=""/>
                      <o:lock v:ext="edit" rotation="t"/>
                    </v:shape>
                  </w:pict>
                </mc:Fallback>
              </mc:AlternateConten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6BA10678" w14:textId="14D82232">
            <w:pPr>
              <w:pBdr/>
              <w:spacing/>
              <w:ind/>
              <w:jc w:val="center"/>
              <w:rPr/>
            </w:pPr>
            <w:r>
              <w:t xml:space="preserve">Lê Đình Duy</w:t>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r>
              <w:rPr>
                <w:b/>
                <w:bCs/>
              </w:rPr>
            </w:r>
          </w:p>
        </w:tc>
      </w:tr>
    </w:tbl>
    <w:p w14:paraId="341CAFAE">
      <w:pPr>
        <w:pBdr/>
        <w:shd w:val="nil" w:color="auto"/>
        <w:spacing/>
        <w:ind/>
        <w:rPr>
          <w:lang w:val="pt-BR"/>
        </w:rPr>
      </w:pPr>
      <w:r>
        <w:rPr>
          <w:iCs/>
          <w:lang w:val="pt-BR"/>
        </w:rPr>
        <w:br w:type="page" w:clear="all"/>
      </w:r>
      <w:r>
        <w:rPr>
          <w:iCs/>
          <w:lang w:val="pt-BR"/>
        </w:rPr>
      </w:r>
      <w:r>
        <w:rPr>
          <w:lang w:val="pt-BR"/>
        </w:rPr>
      </w:r>
    </w:p>
    <w:p w14:paraId="1EAD3878" w14:textId="77777777">
      <w:pPr>
        <w:pBdr/>
        <w:spacing w:after="200" w:line="276" w:lineRule="auto"/>
        <w:ind/>
        <w:jc w:val="center"/>
        <w:rPr>
          <w:iCs/>
          <w:highlight w:val="none"/>
          <w:lang w:val="pt-BR"/>
        </w:rPr>
      </w:pPr>
      <w:r>
        <w:rPr>
          <w:iCs/>
          <w:lang w:val="pt-BR"/>
        </w:rPr>
        <w:t xml:space="preserve">BIÊN BẢN KHẢO SÁT</w:t>
      </w:r>
      <w:r>
        <w:rPr>
          <w:iCs/>
          <w:lang w:val="pt-BR"/>
        </w:rPr>
      </w:r>
      <w:r>
        <w:rPr>
          <w:iCs/>
          <w:highlight w:val="none"/>
          <w:lang w:val="pt-BR"/>
        </w:rPr>
      </w:r>
    </w:p>
    <w:p w14:paraId="3F47B470">
      <w:pPr>
        <w:pBdr/>
        <w:spacing w:after="200" w:line="276" w:lineRule="auto"/>
        <w:ind/>
        <w:jc w:val="center"/>
        <w:rPr>
          <w:lang w:val="pt-BR"/>
        </w:rPr>
      </w:pPr>
      <w:r>
        <w:rPr>
          <w:iCs/>
          <w:highlight w:val="none"/>
          <w:lang w:val="pt-BR" w:bidi="pt-BR"/>
        </w:rPr>
      </w:r>
      <w:r>
        <mc:AlternateContent>
          <mc:Choice Requires="wpg">
            <w:drawing>
              <wp:inline xmlns:wp="http://schemas.openxmlformats.org/drawingml/2006/wordprocessingDrawing" distT="0" distB="0" distL="0" distR="0">
                <wp:extent cx="6048375" cy="806450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49496" name=""/>
                        <pic:cNvPicPr>
                          <a:picLocks noChangeAspect="1"/>
                        </pic:cNvPicPr>
                        <pic:nvPr/>
                      </pic:nvPicPr>
                      <pic:blipFill rotWithShape="1">
                        <a:blip r:embed="rId33"/>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76.25pt;height:635.00pt;mso-wrap-distance-left:0.00pt;mso-wrap-distance-top:0.00pt;mso-wrap-distance-right:0.00pt;mso-wrap-distance-bottom:0.00pt;z-index:1;" stroked="false">
                <v:imagedata r:id="rId33" o:title=""/>
                <o:lock v:ext="edit" rotation="t"/>
              </v:shape>
            </w:pict>
          </mc:Fallback>
        </mc:AlternateContent>
      </w:r>
      <w:r>
        <w:rPr>
          <w:iCs/>
          <w:highlight w:val="none"/>
          <w:lang w:val="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6"/>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6"/>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6"/>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6"/>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4"/>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05A2ABE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57319045"/>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30D2A317"/>
    <w:lvl w:ilvl="0">
      <w:isLgl w:val="false"/>
      <w:lvlJc w:val="left"/>
      <w:lvlText w:val="%1."/>
      <w:numFmt w:val="decimal"/>
      <w:pPr>
        <w:pBdr/>
        <w:spacing/>
        <w:ind w:hanging="360" w:left="502"/>
      </w:pPr>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0">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1">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2">
    <w:name w:val="Table Grid Light"/>
    <w:basedOn w:val="1014"/>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1"/>
    <w:basedOn w:val="1014"/>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2"/>
    <w:basedOn w:val="1014"/>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3"/>
    <w:basedOn w:val="101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4"/>
    <w:basedOn w:val="101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5"/>
    <w:basedOn w:val="101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w:basedOn w:val="1014"/>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1"/>
    <w:basedOn w:val="101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2"/>
    <w:basedOn w:val="101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3"/>
    <w:basedOn w:val="101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4"/>
    <w:basedOn w:val="101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5"/>
    <w:basedOn w:val="101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6"/>
    <w:basedOn w:val="101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w:basedOn w:val="101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1"/>
    <w:basedOn w:val="101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2"/>
    <w:basedOn w:val="101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3"/>
    <w:basedOn w:val="101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4"/>
    <w:basedOn w:val="101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5"/>
    <w:basedOn w:val="101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6"/>
    <w:basedOn w:val="101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w:basedOn w:val="101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1"/>
    <w:basedOn w:val="101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2"/>
    <w:basedOn w:val="101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3"/>
    <w:basedOn w:val="101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4"/>
    <w:basedOn w:val="101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5"/>
    <w:basedOn w:val="101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6"/>
    <w:basedOn w:val="101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w:basedOn w:val="1014"/>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1"/>
    <w:basedOn w:val="1014"/>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2"/>
    <w:basedOn w:val="1014"/>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3"/>
    <w:basedOn w:val="1014"/>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4"/>
    <w:basedOn w:val="1014"/>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5"/>
    <w:basedOn w:val="1014"/>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6"/>
    <w:basedOn w:val="1014"/>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w:basedOn w:val="101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1"/>
    <w:basedOn w:val="101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2"/>
    <w:basedOn w:val="101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3"/>
    <w:basedOn w:val="101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Accent 4"/>
    <w:basedOn w:val="101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5"/>
    <w:basedOn w:val="101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 Accent 6"/>
    <w:basedOn w:val="101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6 Colorful"/>
    <w:basedOn w:val="1014"/>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4">
    <w:name w:val="Grid Table 6 Colorful - Accent 1"/>
    <w:basedOn w:val="1014"/>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5">
    <w:name w:val="Grid Table 6 Colorful - Accent 2"/>
    <w:basedOn w:val="101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6">
    <w:name w:val="Grid Table 6 Colorful - Accent 3"/>
    <w:basedOn w:val="1014"/>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7">
    <w:name w:val="Grid Table 6 Colorful - Accent 4"/>
    <w:basedOn w:val="101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8">
    <w:name w:val="Grid Table 6 Colorful - Accent 5"/>
    <w:basedOn w:val="1014"/>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9">
    <w:name w:val="Grid Table 6 Colorful - Accent 6"/>
    <w:basedOn w:val="1014"/>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0">
    <w:name w:val="Grid Table 7 Colorful"/>
    <w:basedOn w:val="1014"/>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1"/>
    <w:basedOn w:val="1014"/>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2"/>
    <w:basedOn w:val="1014"/>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3"/>
    <w:basedOn w:val="1014"/>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4"/>
    <w:basedOn w:val="1014"/>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5"/>
    <w:basedOn w:val="1014"/>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6"/>
    <w:basedOn w:val="1014"/>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w:basedOn w:val="101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1"/>
    <w:basedOn w:val="101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2"/>
    <w:basedOn w:val="101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3"/>
    <w:basedOn w:val="101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4"/>
    <w:basedOn w:val="101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5"/>
    <w:basedOn w:val="101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6"/>
    <w:basedOn w:val="101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w:basedOn w:val="1014"/>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1"/>
    <w:basedOn w:val="1014"/>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2"/>
    <w:basedOn w:val="1014"/>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3"/>
    <w:basedOn w:val="1014"/>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4"/>
    <w:basedOn w:val="1014"/>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5"/>
    <w:basedOn w:val="1014"/>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6"/>
    <w:basedOn w:val="1014"/>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w:basedOn w:val="101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1"/>
    <w:basedOn w:val="1014"/>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2"/>
    <w:basedOn w:val="101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3"/>
    <w:basedOn w:val="1014"/>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4"/>
    <w:basedOn w:val="101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5"/>
    <w:basedOn w:val="1014"/>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6"/>
    <w:basedOn w:val="1014"/>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w:basedOn w:val="101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1"/>
    <w:basedOn w:val="1014"/>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2"/>
    <w:basedOn w:val="1014"/>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3"/>
    <w:basedOn w:val="1014"/>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4"/>
    <w:basedOn w:val="1014"/>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5"/>
    <w:basedOn w:val="1014"/>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6"/>
    <w:basedOn w:val="1014"/>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5 Dark"/>
    <w:basedOn w:val="1014"/>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1"/>
    <w:basedOn w:val="1014"/>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2"/>
    <w:basedOn w:val="1014"/>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3"/>
    <w:basedOn w:val="1014"/>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4"/>
    <w:basedOn w:val="1014"/>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5"/>
    <w:basedOn w:val="1014"/>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6"/>
    <w:basedOn w:val="1014"/>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6 Colorful"/>
    <w:basedOn w:val="1014"/>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1"/>
    <w:basedOn w:val="1014"/>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2"/>
    <w:basedOn w:val="1014"/>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3"/>
    <w:basedOn w:val="1014"/>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4"/>
    <w:basedOn w:val="1014"/>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5"/>
    <w:basedOn w:val="1014"/>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6"/>
    <w:basedOn w:val="1014"/>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7 Colorful"/>
    <w:basedOn w:val="1014"/>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0">
    <w:name w:val="List Table 7 Colorful - Accent 1"/>
    <w:basedOn w:val="1014"/>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1">
    <w:name w:val="List Table 7 Colorful - Accent 2"/>
    <w:basedOn w:val="1014"/>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2">
    <w:name w:val="List Table 7 Colorful - Accent 3"/>
    <w:basedOn w:val="1014"/>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3">
    <w:name w:val="List Table 7 Colorful - Accent 4"/>
    <w:basedOn w:val="1014"/>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4">
    <w:name w:val="List Table 7 Colorful - Accent 5"/>
    <w:basedOn w:val="1014"/>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5">
    <w:name w:val="List Table 7 Colorful - Accent 6"/>
    <w:basedOn w:val="1014"/>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6">
    <w:name w:val="Lined - Accent"/>
    <w:basedOn w:val="101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1"/>
    <w:basedOn w:val="101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2"/>
    <w:basedOn w:val="101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3"/>
    <w:basedOn w:val="101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4"/>
    <w:basedOn w:val="101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5"/>
    <w:basedOn w:val="101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6"/>
    <w:basedOn w:val="101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w:basedOn w:val="1014"/>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1"/>
    <w:basedOn w:val="1014"/>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2"/>
    <w:basedOn w:val="1014"/>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3"/>
    <w:basedOn w:val="1014"/>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4"/>
    <w:basedOn w:val="1014"/>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5"/>
    <w:basedOn w:val="1014"/>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6"/>
    <w:basedOn w:val="1014"/>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w:basedOn w:val="1014"/>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1"/>
    <w:basedOn w:val="101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2"/>
    <w:basedOn w:val="101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3"/>
    <w:basedOn w:val="101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4"/>
    <w:basedOn w:val="101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5"/>
    <w:basedOn w:val="101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6"/>
    <w:basedOn w:val="101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7">
    <w:name w:val="Heading 5"/>
    <w:basedOn w:val="1008"/>
    <w:next w:val="1008"/>
    <w:link w:val="972"/>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8">
    <w:name w:val="Heading 6"/>
    <w:basedOn w:val="1008"/>
    <w:next w:val="1008"/>
    <w:link w:val="973"/>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9">
    <w:name w:val="Heading 7"/>
    <w:basedOn w:val="1008"/>
    <w:next w:val="1008"/>
    <w:link w:val="974"/>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0">
    <w:name w:val="Heading 8"/>
    <w:basedOn w:val="1008"/>
    <w:next w:val="1008"/>
    <w:link w:val="975"/>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1">
    <w:name w:val="Heading 9"/>
    <w:basedOn w:val="1008"/>
    <w:next w:val="1008"/>
    <w:link w:val="976"/>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2">
    <w:name w:val="Heading 5 Char"/>
    <w:basedOn w:val="1013"/>
    <w:link w:val="967"/>
    <w:uiPriority w:val="9"/>
    <w:pPr>
      <w:pBdr/>
      <w:spacing/>
      <w:ind/>
    </w:pPr>
    <w:rPr>
      <w:rFonts w:ascii="Arial" w:hAnsi="Arial" w:eastAsia="Arial" w:cs="Arial"/>
      <w:color w:val="0f4761" w:themeColor="accent1" w:themeShade="BF"/>
    </w:rPr>
  </w:style>
  <w:style w:type="character" w:styleId="973">
    <w:name w:val="Heading 6 Char"/>
    <w:basedOn w:val="1013"/>
    <w:link w:val="968"/>
    <w:uiPriority w:val="9"/>
    <w:pPr>
      <w:pBdr/>
      <w:spacing/>
      <w:ind/>
    </w:pPr>
    <w:rPr>
      <w:rFonts w:ascii="Arial" w:hAnsi="Arial" w:eastAsia="Arial" w:cs="Arial"/>
      <w:i/>
      <w:iCs/>
      <w:color w:val="595959" w:themeColor="text1" w:themeTint="A6"/>
    </w:rPr>
  </w:style>
  <w:style w:type="character" w:styleId="974">
    <w:name w:val="Heading 7 Char"/>
    <w:basedOn w:val="1013"/>
    <w:link w:val="969"/>
    <w:uiPriority w:val="9"/>
    <w:pPr>
      <w:pBdr/>
      <w:spacing/>
      <w:ind/>
    </w:pPr>
    <w:rPr>
      <w:rFonts w:ascii="Arial" w:hAnsi="Arial" w:eastAsia="Arial" w:cs="Arial"/>
      <w:color w:val="595959" w:themeColor="text1" w:themeTint="A6"/>
    </w:rPr>
  </w:style>
  <w:style w:type="character" w:styleId="975">
    <w:name w:val="Heading 8 Char"/>
    <w:basedOn w:val="1013"/>
    <w:link w:val="970"/>
    <w:uiPriority w:val="9"/>
    <w:pPr>
      <w:pBdr/>
      <w:spacing/>
      <w:ind/>
    </w:pPr>
    <w:rPr>
      <w:rFonts w:ascii="Arial" w:hAnsi="Arial" w:eastAsia="Arial" w:cs="Arial"/>
      <w:i/>
      <w:iCs/>
      <w:color w:val="272727" w:themeColor="text1" w:themeTint="D8"/>
    </w:rPr>
  </w:style>
  <w:style w:type="character" w:styleId="976">
    <w:name w:val="Heading 9 Char"/>
    <w:basedOn w:val="1013"/>
    <w:link w:val="971"/>
    <w:uiPriority w:val="9"/>
    <w:pPr>
      <w:pBdr/>
      <w:spacing/>
      <w:ind/>
    </w:pPr>
    <w:rPr>
      <w:rFonts w:ascii="Arial" w:hAnsi="Arial" w:eastAsia="Arial" w:cs="Arial"/>
      <w:i/>
      <w:iCs/>
      <w:color w:val="272727" w:themeColor="text1" w:themeTint="D8"/>
    </w:rPr>
  </w:style>
  <w:style w:type="paragraph" w:styleId="977">
    <w:name w:val="Subtitle"/>
    <w:basedOn w:val="1008"/>
    <w:next w:val="1008"/>
    <w:link w:val="978"/>
    <w:uiPriority w:val="11"/>
    <w:qFormat/>
    <w:pPr>
      <w:numPr>
        <w:ilvl w:val="1"/>
      </w:numPr>
      <w:pBdr/>
      <w:spacing/>
      <w:ind/>
    </w:pPr>
    <w:rPr>
      <w:color w:val="595959" w:themeColor="text1" w:themeTint="A6"/>
      <w:spacing w:val="15"/>
      <w:sz w:val="28"/>
      <w:szCs w:val="28"/>
    </w:rPr>
  </w:style>
  <w:style w:type="character" w:styleId="978">
    <w:name w:val="Subtitle Char"/>
    <w:basedOn w:val="1013"/>
    <w:link w:val="977"/>
    <w:uiPriority w:val="11"/>
    <w:pPr>
      <w:pBdr/>
      <w:spacing/>
      <w:ind/>
    </w:pPr>
    <w:rPr>
      <w:color w:val="595959" w:themeColor="text1" w:themeTint="A6"/>
      <w:spacing w:val="15"/>
      <w:sz w:val="28"/>
      <w:szCs w:val="28"/>
    </w:rPr>
  </w:style>
  <w:style w:type="paragraph" w:styleId="979">
    <w:name w:val="Quote"/>
    <w:basedOn w:val="1008"/>
    <w:next w:val="1008"/>
    <w:link w:val="980"/>
    <w:uiPriority w:val="29"/>
    <w:qFormat/>
    <w:pPr>
      <w:pBdr/>
      <w:spacing w:before="160"/>
      <w:ind/>
      <w:jc w:val="center"/>
    </w:pPr>
    <w:rPr>
      <w:i/>
      <w:iCs/>
      <w:color w:val="404040" w:themeColor="text1" w:themeTint="BF"/>
    </w:rPr>
  </w:style>
  <w:style w:type="character" w:styleId="980">
    <w:name w:val="Quote Char"/>
    <w:basedOn w:val="1013"/>
    <w:link w:val="979"/>
    <w:uiPriority w:val="29"/>
    <w:pPr>
      <w:pBdr/>
      <w:spacing/>
      <w:ind/>
    </w:pPr>
    <w:rPr>
      <w:i/>
      <w:iCs/>
      <w:color w:val="404040" w:themeColor="text1" w:themeTint="BF"/>
    </w:rPr>
  </w:style>
  <w:style w:type="character" w:styleId="981">
    <w:name w:val="Intense Emphasis"/>
    <w:basedOn w:val="1013"/>
    <w:uiPriority w:val="21"/>
    <w:qFormat/>
    <w:pPr>
      <w:pBdr/>
      <w:spacing/>
      <w:ind/>
    </w:pPr>
    <w:rPr>
      <w:i/>
      <w:iCs/>
      <w:color w:val="0f4761" w:themeColor="accent1" w:themeShade="BF"/>
    </w:rPr>
  </w:style>
  <w:style w:type="paragraph" w:styleId="982">
    <w:name w:val="Intense Quote"/>
    <w:basedOn w:val="1008"/>
    <w:next w:val="1008"/>
    <w:link w:val="983"/>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3">
    <w:name w:val="Intense Quote Char"/>
    <w:basedOn w:val="1013"/>
    <w:link w:val="982"/>
    <w:uiPriority w:val="30"/>
    <w:pPr>
      <w:pBdr/>
      <w:spacing/>
      <w:ind/>
    </w:pPr>
    <w:rPr>
      <w:i/>
      <w:iCs/>
      <w:color w:val="0f4761" w:themeColor="accent1" w:themeShade="BF"/>
    </w:rPr>
  </w:style>
  <w:style w:type="character" w:styleId="984">
    <w:name w:val="Intense Reference"/>
    <w:basedOn w:val="1013"/>
    <w:uiPriority w:val="32"/>
    <w:qFormat/>
    <w:pPr>
      <w:pBdr/>
      <w:spacing/>
      <w:ind/>
    </w:pPr>
    <w:rPr>
      <w:b/>
      <w:bCs/>
      <w:smallCaps/>
      <w:color w:val="0f4761" w:themeColor="accent1" w:themeShade="BF"/>
      <w:spacing w:val="5"/>
    </w:rPr>
  </w:style>
  <w:style w:type="paragraph" w:styleId="985">
    <w:name w:val="No Spacing"/>
    <w:basedOn w:val="1008"/>
    <w:uiPriority w:val="1"/>
    <w:qFormat/>
    <w:pPr>
      <w:pBdr/>
      <w:spacing w:after="0" w:line="240" w:lineRule="auto"/>
      <w:ind/>
    </w:pPr>
  </w:style>
  <w:style w:type="character" w:styleId="986">
    <w:name w:val="Subtle Emphasis"/>
    <w:basedOn w:val="1013"/>
    <w:uiPriority w:val="19"/>
    <w:qFormat/>
    <w:pPr>
      <w:pBdr/>
      <w:spacing/>
      <w:ind/>
    </w:pPr>
    <w:rPr>
      <w:i/>
      <w:iCs/>
      <w:color w:val="404040" w:themeColor="text1" w:themeTint="BF"/>
    </w:rPr>
  </w:style>
  <w:style w:type="character" w:styleId="987">
    <w:name w:val="Subtle Reference"/>
    <w:basedOn w:val="1013"/>
    <w:uiPriority w:val="31"/>
    <w:qFormat/>
    <w:pPr>
      <w:pBdr/>
      <w:spacing/>
      <w:ind/>
    </w:pPr>
    <w:rPr>
      <w:smallCaps/>
      <w:color w:val="5a5a5a" w:themeColor="text1" w:themeTint="A5"/>
    </w:rPr>
  </w:style>
  <w:style w:type="character" w:styleId="988">
    <w:name w:val="Book Title"/>
    <w:basedOn w:val="1013"/>
    <w:uiPriority w:val="33"/>
    <w:qFormat/>
    <w:pPr>
      <w:pBdr/>
      <w:spacing/>
      <w:ind/>
    </w:pPr>
    <w:rPr>
      <w:b/>
      <w:bCs/>
      <w:i/>
      <w:iCs/>
      <w:spacing w:val="5"/>
    </w:rPr>
  </w:style>
  <w:style w:type="paragraph" w:styleId="989">
    <w:name w:val="Caption"/>
    <w:basedOn w:val="1008"/>
    <w:next w:val="1008"/>
    <w:uiPriority w:val="35"/>
    <w:unhideWhenUsed/>
    <w:qFormat/>
    <w:pPr>
      <w:pBdr/>
      <w:spacing w:after="200" w:line="240" w:lineRule="auto"/>
      <w:ind/>
    </w:pPr>
    <w:rPr>
      <w:i/>
      <w:iCs/>
      <w:color w:val="0e2841" w:themeColor="text2"/>
      <w:sz w:val="18"/>
      <w:szCs w:val="18"/>
    </w:rPr>
  </w:style>
  <w:style w:type="paragraph" w:styleId="990">
    <w:name w:val="footnote text"/>
    <w:basedOn w:val="1008"/>
    <w:link w:val="991"/>
    <w:uiPriority w:val="99"/>
    <w:semiHidden/>
    <w:unhideWhenUsed/>
    <w:pPr>
      <w:pBdr/>
      <w:spacing w:after="0" w:line="240" w:lineRule="auto"/>
      <w:ind/>
    </w:pPr>
    <w:rPr>
      <w:sz w:val="20"/>
      <w:szCs w:val="20"/>
    </w:rPr>
  </w:style>
  <w:style w:type="character" w:styleId="991">
    <w:name w:val="Footnote Text Char"/>
    <w:basedOn w:val="1013"/>
    <w:link w:val="990"/>
    <w:uiPriority w:val="99"/>
    <w:semiHidden/>
    <w:pPr>
      <w:pBdr/>
      <w:spacing/>
      <w:ind/>
    </w:pPr>
    <w:rPr>
      <w:sz w:val="20"/>
      <w:szCs w:val="20"/>
    </w:rPr>
  </w:style>
  <w:style w:type="character" w:styleId="992">
    <w:name w:val="footnote reference"/>
    <w:basedOn w:val="1013"/>
    <w:uiPriority w:val="99"/>
    <w:semiHidden/>
    <w:unhideWhenUsed/>
    <w:pPr>
      <w:pBdr/>
      <w:spacing/>
      <w:ind/>
    </w:pPr>
    <w:rPr>
      <w:vertAlign w:val="superscript"/>
    </w:rPr>
  </w:style>
  <w:style w:type="paragraph" w:styleId="993">
    <w:name w:val="endnote text"/>
    <w:basedOn w:val="1008"/>
    <w:link w:val="994"/>
    <w:uiPriority w:val="99"/>
    <w:semiHidden/>
    <w:unhideWhenUsed/>
    <w:pPr>
      <w:pBdr/>
      <w:spacing w:after="0" w:line="240" w:lineRule="auto"/>
      <w:ind/>
    </w:pPr>
    <w:rPr>
      <w:sz w:val="20"/>
      <w:szCs w:val="20"/>
    </w:rPr>
  </w:style>
  <w:style w:type="character" w:styleId="994">
    <w:name w:val="Endnote Text Char"/>
    <w:basedOn w:val="1013"/>
    <w:link w:val="993"/>
    <w:uiPriority w:val="99"/>
    <w:semiHidden/>
    <w:pPr>
      <w:pBdr/>
      <w:spacing/>
      <w:ind/>
    </w:pPr>
    <w:rPr>
      <w:sz w:val="20"/>
      <w:szCs w:val="20"/>
    </w:rPr>
  </w:style>
  <w:style w:type="character" w:styleId="995">
    <w:name w:val="endnote reference"/>
    <w:basedOn w:val="1013"/>
    <w:uiPriority w:val="99"/>
    <w:semiHidden/>
    <w:unhideWhenUsed/>
    <w:pPr>
      <w:pBdr/>
      <w:spacing/>
      <w:ind/>
    </w:pPr>
    <w:rPr>
      <w:vertAlign w:val="superscript"/>
    </w:rPr>
  </w:style>
  <w:style w:type="paragraph" w:styleId="996">
    <w:name w:val="toc 1"/>
    <w:basedOn w:val="1008"/>
    <w:next w:val="1008"/>
    <w:uiPriority w:val="39"/>
    <w:unhideWhenUsed/>
    <w:pPr>
      <w:pBdr/>
      <w:spacing w:after="100"/>
      <w:ind/>
    </w:pPr>
  </w:style>
  <w:style w:type="paragraph" w:styleId="997">
    <w:name w:val="toc 2"/>
    <w:basedOn w:val="1008"/>
    <w:next w:val="1008"/>
    <w:uiPriority w:val="39"/>
    <w:unhideWhenUsed/>
    <w:pPr>
      <w:pBdr/>
      <w:spacing w:after="100"/>
      <w:ind w:left="220"/>
    </w:pPr>
  </w:style>
  <w:style w:type="paragraph" w:styleId="998">
    <w:name w:val="toc 3"/>
    <w:basedOn w:val="1008"/>
    <w:next w:val="1008"/>
    <w:uiPriority w:val="39"/>
    <w:unhideWhenUsed/>
    <w:pPr>
      <w:pBdr/>
      <w:spacing w:after="100"/>
      <w:ind w:left="440"/>
    </w:pPr>
  </w:style>
  <w:style w:type="paragraph" w:styleId="999">
    <w:name w:val="toc 4"/>
    <w:basedOn w:val="1008"/>
    <w:next w:val="1008"/>
    <w:uiPriority w:val="39"/>
    <w:unhideWhenUsed/>
    <w:pPr>
      <w:pBdr/>
      <w:spacing w:after="100"/>
      <w:ind w:left="660"/>
    </w:pPr>
  </w:style>
  <w:style w:type="paragraph" w:styleId="1000">
    <w:name w:val="toc 5"/>
    <w:basedOn w:val="1008"/>
    <w:next w:val="1008"/>
    <w:uiPriority w:val="39"/>
    <w:unhideWhenUsed/>
    <w:pPr>
      <w:pBdr/>
      <w:spacing w:after="100"/>
      <w:ind w:left="880"/>
    </w:pPr>
  </w:style>
  <w:style w:type="paragraph" w:styleId="1001">
    <w:name w:val="toc 6"/>
    <w:basedOn w:val="1008"/>
    <w:next w:val="1008"/>
    <w:uiPriority w:val="39"/>
    <w:unhideWhenUsed/>
    <w:pPr>
      <w:pBdr/>
      <w:spacing w:after="100"/>
      <w:ind w:left="1100"/>
    </w:pPr>
  </w:style>
  <w:style w:type="paragraph" w:styleId="1002">
    <w:name w:val="toc 7"/>
    <w:basedOn w:val="1008"/>
    <w:next w:val="1008"/>
    <w:uiPriority w:val="39"/>
    <w:unhideWhenUsed/>
    <w:pPr>
      <w:pBdr/>
      <w:spacing w:after="100"/>
      <w:ind w:left="1320"/>
    </w:pPr>
  </w:style>
  <w:style w:type="paragraph" w:styleId="1003">
    <w:name w:val="toc 8"/>
    <w:basedOn w:val="1008"/>
    <w:next w:val="1008"/>
    <w:uiPriority w:val="39"/>
    <w:unhideWhenUsed/>
    <w:pPr>
      <w:pBdr/>
      <w:spacing w:after="100"/>
      <w:ind w:left="1540"/>
    </w:pPr>
  </w:style>
  <w:style w:type="paragraph" w:styleId="1004">
    <w:name w:val="toc 9"/>
    <w:basedOn w:val="1008"/>
    <w:next w:val="1008"/>
    <w:uiPriority w:val="39"/>
    <w:unhideWhenUsed/>
    <w:pPr>
      <w:pBdr/>
      <w:spacing w:after="100"/>
      <w:ind w:left="1760"/>
    </w:pPr>
  </w:style>
  <w:style w:type="character" w:styleId="1005">
    <w:name w:val="Placeholder Text"/>
    <w:basedOn w:val="1013"/>
    <w:uiPriority w:val="99"/>
    <w:semiHidden/>
    <w:pPr>
      <w:pBdr/>
      <w:spacing/>
      <w:ind/>
    </w:pPr>
    <w:rPr>
      <w:color w:val="666666"/>
    </w:rPr>
  </w:style>
  <w:style w:type="paragraph" w:styleId="1006">
    <w:name w:val="TOC Heading"/>
    <w:uiPriority w:val="39"/>
    <w:unhideWhenUsed/>
    <w:pPr>
      <w:pBdr/>
      <w:spacing/>
      <w:ind/>
    </w:pPr>
  </w:style>
  <w:style w:type="paragraph" w:styleId="1007">
    <w:name w:val="table of figures"/>
    <w:basedOn w:val="1008"/>
    <w:next w:val="1008"/>
    <w:uiPriority w:val="99"/>
    <w:unhideWhenUsed/>
    <w:pPr>
      <w:pBdr/>
      <w:spacing w:after="0" w:afterAutospacing="0"/>
      <w:ind/>
    </w:pPr>
  </w:style>
  <w:style w:type="paragraph" w:styleId="1008" w:default="1">
    <w:name w:val="Normal"/>
    <w:qFormat/>
    <w:pPr>
      <w:pBdr/>
      <w:spacing w:after="0" w:line="240" w:lineRule="auto"/>
      <w:ind/>
    </w:pPr>
    <w:rPr>
      <w:rFonts w:ascii="Times New Roman" w:hAnsi="Times New Roman" w:eastAsia="Times New Roman" w:cs="Times New Roman"/>
      <w:sz w:val="24"/>
      <w:szCs w:val="24"/>
    </w:rPr>
  </w:style>
  <w:style w:type="paragraph" w:styleId="1009">
    <w:name w:val="Heading 1"/>
    <w:basedOn w:val="1008"/>
    <w:next w:val="1008"/>
    <w:link w:val="1016"/>
    <w:qFormat/>
    <w:pPr>
      <w:keepNext w:val="true"/>
      <w:pBdr/>
      <w:spacing w:after="120" w:before="120"/>
      <w:ind/>
      <w:jc w:val="center"/>
      <w:outlineLvl w:val="0"/>
    </w:pPr>
    <w:rPr>
      <w:b/>
      <w:bCs/>
      <w:sz w:val="27"/>
      <w:szCs w:val="27"/>
    </w:rPr>
  </w:style>
  <w:style w:type="paragraph" w:styleId="1010">
    <w:name w:val="Heading 2"/>
    <w:basedOn w:val="1008"/>
    <w:next w:val="1008"/>
    <w:link w:val="1017"/>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1">
    <w:name w:val="Heading 3"/>
    <w:basedOn w:val="1008"/>
    <w:next w:val="1008"/>
    <w:link w:val="1018"/>
    <w:qFormat/>
    <w:pPr>
      <w:keepNext w:val="true"/>
      <w:pBdr/>
      <w:spacing w:before="60"/>
      <w:ind/>
      <w:outlineLvl w:val="2"/>
    </w:pPr>
    <w:rPr>
      <w:sz w:val="28"/>
      <w:szCs w:val="28"/>
    </w:rPr>
  </w:style>
  <w:style w:type="paragraph" w:styleId="1012">
    <w:name w:val="Heading 4"/>
    <w:basedOn w:val="1008"/>
    <w:next w:val="1008"/>
    <w:link w:val="1019"/>
    <w:qFormat/>
    <w:pPr>
      <w:keepNext w:val="true"/>
      <w:pBdr/>
      <w:spacing/>
      <w:ind/>
      <w:jc w:val="center"/>
      <w:outlineLvl w:val="3"/>
    </w:pPr>
    <w:rPr>
      <w:b/>
      <w:bCs/>
    </w:rPr>
  </w:style>
  <w:style w:type="character" w:styleId="1013" w:default="1">
    <w:name w:val="Default Paragraph Font"/>
    <w:uiPriority w:val="1"/>
    <w:semiHidden/>
    <w:unhideWhenUsed/>
    <w:pPr>
      <w:pBdr/>
      <w:spacing/>
      <w:ind/>
    </w:pPr>
  </w:style>
  <w:style w:type="table" w:styleId="1014"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5" w:default="1">
    <w:name w:val="No List"/>
    <w:uiPriority w:val="99"/>
    <w:semiHidden/>
    <w:unhideWhenUsed/>
    <w:pPr>
      <w:pBdr/>
      <w:spacing/>
      <w:ind/>
    </w:pPr>
  </w:style>
  <w:style w:type="character" w:styleId="1016" w:customStyle="1">
    <w:name w:val="Heading 1 Char"/>
    <w:basedOn w:val="1013"/>
    <w:link w:val="1009"/>
    <w:pPr>
      <w:pBdr/>
      <w:spacing/>
      <w:ind/>
    </w:pPr>
    <w:rPr>
      <w:rFonts w:ascii="Times New Roman" w:hAnsi="Times New Roman" w:eastAsia="Times New Roman" w:cs="Times New Roman"/>
      <w:b/>
      <w:bCs/>
      <w:sz w:val="27"/>
      <w:szCs w:val="27"/>
    </w:rPr>
  </w:style>
  <w:style w:type="character" w:styleId="1017" w:customStyle="1">
    <w:name w:val="Heading 2 Char"/>
    <w:basedOn w:val="1013"/>
    <w:link w:val="1010"/>
    <w:uiPriority w:val="9"/>
    <w:pPr>
      <w:pBdr/>
      <w:spacing/>
      <w:ind/>
    </w:pPr>
    <w:rPr>
      <w:rFonts w:asciiTheme="majorHAnsi" w:hAnsiTheme="majorHAnsi" w:eastAsiaTheme="majorEastAsia" w:cstheme="majorBidi"/>
      <w:color w:val="365f91" w:themeColor="accent1" w:themeShade="BF"/>
      <w:sz w:val="26"/>
      <w:szCs w:val="26"/>
    </w:rPr>
  </w:style>
  <w:style w:type="character" w:styleId="1018" w:customStyle="1">
    <w:name w:val="Heading 3 Char"/>
    <w:basedOn w:val="1013"/>
    <w:link w:val="1011"/>
    <w:pPr>
      <w:pBdr/>
      <w:spacing/>
      <w:ind/>
    </w:pPr>
    <w:rPr>
      <w:rFonts w:ascii="Times New Roman" w:hAnsi="Times New Roman" w:eastAsia="Times New Roman" w:cs="Times New Roman"/>
      <w:sz w:val="28"/>
      <w:szCs w:val="28"/>
    </w:rPr>
  </w:style>
  <w:style w:type="character" w:styleId="1019" w:customStyle="1">
    <w:name w:val="Heading 4 Char"/>
    <w:basedOn w:val="1013"/>
    <w:link w:val="1012"/>
    <w:pPr>
      <w:pBdr/>
      <w:spacing/>
      <w:ind/>
    </w:pPr>
    <w:rPr>
      <w:rFonts w:ascii="Times New Roman" w:hAnsi="Times New Roman" w:eastAsia="Times New Roman" w:cs="Times New Roman"/>
      <w:b/>
      <w:bCs/>
      <w:sz w:val="24"/>
      <w:szCs w:val="24"/>
    </w:rPr>
  </w:style>
  <w:style w:type="character" w:styleId="1020">
    <w:name w:val="Hyperlink"/>
    <w:uiPriority w:val="99"/>
    <w:pPr>
      <w:pBdr/>
      <w:spacing/>
      <w:ind/>
    </w:pPr>
    <w:rPr>
      <w:color w:val="000000"/>
      <w:u w:val="single"/>
    </w:rPr>
  </w:style>
  <w:style w:type="character" w:styleId="1021">
    <w:name w:val="Strong"/>
    <w:uiPriority w:val="22"/>
    <w:qFormat/>
    <w:pPr>
      <w:pBdr/>
      <w:spacing/>
      <w:ind/>
    </w:pPr>
    <w:rPr>
      <w:b/>
      <w:bCs/>
    </w:rPr>
  </w:style>
  <w:style w:type="paragraph" w:styleId="1022">
    <w:name w:val="Balloon Text"/>
    <w:basedOn w:val="1008"/>
    <w:link w:val="1023"/>
    <w:uiPriority w:val="99"/>
    <w:semiHidden/>
    <w:unhideWhenUsed/>
    <w:pPr>
      <w:pBdr/>
      <w:spacing/>
      <w:ind/>
    </w:pPr>
    <w:rPr>
      <w:rFonts w:ascii="Tahoma" w:hAnsi="Tahoma" w:cs="Tahoma"/>
      <w:sz w:val="16"/>
      <w:szCs w:val="16"/>
    </w:rPr>
  </w:style>
  <w:style w:type="character" w:styleId="1023" w:customStyle="1">
    <w:name w:val="Balloon Text Char"/>
    <w:basedOn w:val="1013"/>
    <w:link w:val="1022"/>
    <w:uiPriority w:val="99"/>
    <w:semiHidden/>
    <w:pPr>
      <w:pBdr/>
      <w:spacing/>
      <w:ind/>
    </w:pPr>
    <w:rPr>
      <w:rFonts w:ascii="Tahoma" w:hAnsi="Tahoma" w:eastAsia="Times New Roman" w:cs="Tahoma"/>
      <w:sz w:val="16"/>
      <w:szCs w:val="16"/>
    </w:rPr>
  </w:style>
  <w:style w:type="paragraph" w:styleId="1024">
    <w:name w:val="Header"/>
    <w:basedOn w:val="1008"/>
    <w:link w:val="1025"/>
    <w:unhideWhenUsed/>
    <w:pPr>
      <w:pBdr/>
      <w:tabs>
        <w:tab w:val="center" w:leader="none" w:pos="4680"/>
        <w:tab w:val="right" w:leader="none" w:pos="9360"/>
      </w:tabs>
      <w:spacing/>
      <w:ind/>
    </w:pPr>
  </w:style>
  <w:style w:type="character" w:styleId="1025" w:customStyle="1">
    <w:name w:val="Header Char"/>
    <w:basedOn w:val="1013"/>
    <w:link w:val="1024"/>
    <w:pPr>
      <w:pBdr/>
      <w:spacing/>
      <w:ind/>
    </w:pPr>
    <w:rPr>
      <w:rFonts w:ascii="Times New Roman" w:hAnsi="Times New Roman" w:eastAsia="Times New Roman" w:cs="Times New Roman"/>
      <w:sz w:val="24"/>
      <w:szCs w:val="24"/>
    </w:rPr>
  </w:style>
  <w:style w:type="paragraph" w:styleId="1026">
    <w:name w:val="Footer"/>
    <w:basedOn w:val="1008"/>
    <w:link w:val="1027"/>
    <w:uiPriority w:val="99"/>
    <w:unhideWhenUsed/>
    <w:pPr>
      <w:pBdr/>
      <w:tabs>
        <w:tab w:val="center" w:leader="none" w:pos="4680"/>
        <w:tab w:val="right" w:leader="none" w:pos="9360"/>
      </w:tabs>
      <w:spacing/>
      <w:ind/>
    </w:pPr>
  </w:style>
  <w:style w:type="character" w:styleId="1027" w:customStyle="1">
    <w:name w:val="Footer Char"/>
    <w:basedOn w:val="1013"/>
    <w:link w:val="1026"/>
    <w:uiPriority w:val="99"/>
    <w:pPr>
      <w:pBdr/>
      <w:spacing/>
      <w:ind/>
    </w:pPr>
    <w:rPr>
      <w:rFonts w:ascii="Times New Roman" w:hAnsi="Times New Roman" w:eastAsia="Times New Roman" w:cs="Times New Roman"/>
      <w:sz w:val="24"/>
      <w:szCs w:val="24"/>
    </w:rPr>
  </w:style>
  <w:style w:type="character" w:styleId="1028" w:customStyle="1">
    <w:name w:val="normal-h1"/>
    <w:pPr>
      <w:pBdr/>
      <w:spacing/>
      <w:ind/>
    </w:pPr>
    <w:rPr>
      <w:rFonts w:hint="default" w:ascii=".VnTime" w:hAnsi=".VnTime"/>
      <w:color w:val="0000ff"/>
      <w:sz w:val="24"/>
      <w:szCs w:val="24"/>
    </w:rPr>
  </w:style>
  <w:style w:type="paragraph" w:styleId="1029" w:customStyle="1">
    <w:name w:val="normal-p"/>
    <w:basedOn w:val="1008"/>
    <w:pPr>
      <w:pBdr/>
      <w:spacing/>
      <w:ind/>
      <w:jc w:val="both"/>
    </w:pPr>
    <w:rPr>
      <w:sz w:val="20"/>
      <w:szCs w:val="20"/>
    </w:rPr>
  </w:style>
  <w:style w:type="paragraph" w:styleId="1030">
    <w:name w:val="List Paragraph"/>
    <w:basedOn w:val="1008"/>
    <w:link w:val="1117"/>
    <w:uiPriority w:val="34"/>
    <w:qFormat/>
    <w:pPr>
      <w:pBdr/>
      <w:spacing/>
      <w:ind w:left="720"/>
    </w:pPr>
  </w:style>
  <w:style w:type="paragraph" w:styleId="1031">
    <w:name w:val="Normal (Web)"/>
    <w:basedOn w:val="1008"/>
    <w:uiPriority w:val="99"/>
    <w:pPr>
      <w:pBdr/>
      <w:spacing w:after="100" w:afterAutospacing="1" w:before="100" w:beforeAutospacing="1"/>
      <w:ind/>
    </w:pPr>
  </w:style>
  <w:style w:type="paragraph" w:styleId="1032">
    <w:name w:val="Body Text"/>
    <w:basedOn w:val="1008"/>
    <w:link w:val="1033"/>
    <w:pPr>
      <w:pBdr/>
      <w:spacing w:after="120"/>
      <w:ind/>
      <w:jc w:val="both"/>
    </w:pPr>
  </w:style>
  <w:style w:type="character" w:styleId="1033" w:customStyle="1">
    <w:name w:val="Body Text Char"/>
    <w:basedOn w:val="1013"/>
    <w:link w:val="1032"/>
    <w:pPr>
      <w:pBdr/>
      <w:spacing/>
      <w:ind/>
    </w:pPr>
    <w:rPr>
      <w:rFonts w:ascii="Times New Roman" w:hAnsi="Times New Roman" w:eastAsia="Times New Roman" w:cs="Times New Roman"/>
      <w:sz w:val="24"/>
      <w:szCs w:val="24"/>
    </w:rPr>
  </w:style>
  <w:style w:type="table" w:styleId="1034">
    <w:name w:val="Table Grid"/>
    <w:basedOn w:val="1014"/>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5"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6">
    <w:name w:val="annotation reference"/>
    <w:basedOn w:val="1013"/>
    <w:uiPriority w:val="99"/>
    <w:semiHidden/>
    <w:unhideWhenUsed/>
    <w:pPr>
      <w:pBdr/>
      <w:spacing/>
      <w:ind/>
    </w:pPr>
    <w:rPr>
      <w:sz w:val="16"/>
      <w:szCs w:val="16"/>
    </w:rPr>
  </w:style>
  <w:style w:type="paragraph" w:styleId="1037">
    <w:name w:val="annotation text"/>
    <w:basedOn w:val="1008"/>
    <w:link w:val="1038"/>
    <w:uiPriority w:val="99"/>
    <w:unhideWhenUsed/>
    <w:pPr>
      <w:pBdr/>
      <w:spacing/>
      <w:ind/>
    </w:pPr>
    <w:rPr>
      <w:sz w:val="20"/>
      <w:szCs w:val="20"/>
    </w:rPr>
  </w:style>
  <w:style w:type="character" w:styleId="1038" w:customStyle="1">
    <w:name w:val="Comment Text Char"/>
    <w:basedOn w:val="1013"/>
    <w:link w:val="1037"/>
    <w:uiPriority w:val="99"/>
    <w:pPr>
      <w:pBdr/>
      <w:spacing/>
      <w:ind/>
    </w:pPr>
    <w:rPr>
      <w:rFonts w:ascii="Times New Roman" w:hAnsi="Times New Roman" w:eastAsia="Times New Roman" w:cs="Times New Roman"/>
      <w:sz w:val="20"/>
      <w:szCs w:val="20"/>
    </w:rPr>
  </w:style>
  <w:style w:type="paragraph" w:styleId="1039">
    <w:name w:val="annotation subject"/>
    <w:basedOn w:val="1037"/>
    <w:next w:val="1037"/>
    <w:link w:val="1040"/>
    <w:uiPriority w:val="99"/>
    <w:semiHidden/>
    <w:unhideWhenUsed/>
    <w:pPr>
      <w:pBdr/>
      <w:spacing/>
      <w:ind/>
    </w:pPr>
    <w:rPr>
      <w:b/>
      <w:bCs/>
    </w:rPr>
  </w:style>
  <w:style w:type="character" w:styleId="1040" w:customStyle="1">
    <w:name w:val="Comment Subject Char"/>
    <w:basedOn w:val="1038"/>
    <w:link w:val="1039"/>
    <w:uiPriority w:val="99"/>
    <w:semiHidden/>
    <w:pPr>
      <w:pBdr/>
      <w:spacing/>
      <w:ind/>
    </w:pPr>
    <w:rPr>
      <w:rFonts w:ascii="Times New Roman" w:hAnsi="Times New Roman" w:eastAsia="Times New Roman" w:cs="Times New Roman"/>
      <w:b/>
      <w:bCs/>
      <w:sz w:val="20"/>
      <w:szCs w:val="20"/>
    </w:rPr>
  </w:style>
  <w:style w:type="paragraph" w:styleId="1041" w:customStyle="1">
    <w:name w:val="font5"/>
    <w:basedOn w:val="1008"/>
    <w:pPr>
      <w:pBdr/>
      <w:spacing w:after="100" w:afterAutospacing="1" w:before="100" w:beforeAutospacing="1"/>
      <w:ind/>
    </w:pPr>
    <w:rPr>
      <w:rFonts w:ascii="Tahoma" w:hAnsi="Tahoma" w:cs="Tahoma"/>
      <w:color w:val="000000"/>
      <w:sz w:val="18"/>
      <w:szCs w:val="18"/>
    </w:rPr>
  </w:style>
  <w:style w:type="paragraph" w:styleId="1042" w:customStyle="1">
    <w:name w:val="font6"/>
    <w:basedOn w:val="1008"/>
    <w:pPr>
      <w:pBdr/>
      <w:spacing w:after="100" w:afterAutospacing="1" w:before="100" w:beforeAutospacing="1"/>
      <w:ind/>
    </w:pPr>
    <w:rPr>
      <w:rFonts w:ascii="Tahoma" w:hAnsi="Tahoma" w:cs="Tahoma"/>
      <w:b/>
      <w:bCs/>
      <w:color w:val="000000"/>
      <w:sz w:val="18"/>
      <w:szCs w:val="18"/>
    </w:rPr>
  </w:style>
  <w:style w:type="paragraph" w:styleId="1043" w:customStyle="1">
    <w:name w:val="xl233"/>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4" w:customStyle="1">
    <w:name w:val="xl234"/>
    <w:basedOn w:val="1008"/>
    <w:pPr>
      <w:pBdr/>
      <w:spacing w:after="100" w:afterAutospacing="1" w:before="100" w:beforeAutospacing="1"/>
      <w:ind/>
      <w:jc w:val="center"/>
    </w:pPr>
  </w:style>
  <w:style w:type="paragraph" w:styleId="1045" w:customStyle="1">
    <w:name w:val="xl235"/>
    <w:basedOn w:val="1008"/>
    <w:pPr>
      <w:pBdr/>
      <w:spacing w:after="100" w:afterAutospacing="1" w:before="100" w:beforeAutospacing="1"/>
      <w:ind/>
      <w:jc w:val="center"/>
    </w:pPr>
    <w:rPr>
      <w:b/>
      <w:bCs/>
    </w:rPr>
  </w:style>
  <w:style w:type="paragraph" w:styleId="1046" w:customStyle="1">
    <w:name w:val="xl236"/>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7" w:customStyle="1">
    <w:name w:val="xl237"/>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8" w:customStyle="1">
    <w:name w:val="xl238"/>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9" w:customStyle="1">
    <w:name w:val="xl239"/>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0" w:customStyle="1">
    <w:name w:val="xl240"/>
    <w:basedOn w:val="1008"/>
    <w:pPr>
      <w:pBdr/>
      <w:spacing w:after="100" w:afterAutospacing="1" w:before="100" w:beforeAutospacing="1"/>
      <w:ind/>
    </w:pPr>
  </w:style>
  <w:style w:type="paragraph" w:styleId="1051" w:customStyle="1">
    <w:name w:val="xl241"/>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2" w:customStyle="1">
    <w:name w:val="xl242"/>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3"/>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4" w:customStyle="1">
    <w:name w:val="xl244"/>
    <w:basedOn w:val="1008"/>
    <w:pPr>
      <w:pBdr/>
      <w:spacing w:after="100" w:afterAutospacing="1" w:before="100" w:beforeAutospacing="1"/>
      <w:ind/>
    </w:pPr>
    <w:rPr>
      <w:b/>
      <w:bCs/>
    </w:rPr>
  </w:style>
  <w:style w:type="paragraph" w:styleId="1055" w:customStyle="1">
    <w:name w:val="xl245"/>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6" w:customStyle="1">
    <w:name w:val="xl246"/>
    <w:basedOn w:val="1008"/>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7" w:customStyle="1">
    <w:name w:val="xl247"/>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8" w:customStyle="1">
    <w:name w:val="xl248"/>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9" w:customStyle="1">
    <w:name w:val="xl249"/>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0" w:customStyle="1">
    <w:name w:val="xl250"/>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1" w:customStyle="1">
    <w:name w:val="xl251"/>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2"/>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3"/>
    <w:basedOn w:val="1008"/>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4"/>
    <w:basedOn w:val="1008"/>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5" w:customStyle="1">
    <w:name w:val="xl255"/>
    <w:basedOn w:val="1008"/>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56"/>
    <w:basedOn w:val="1008"/>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7" w:customStyle="1">
    <w:name w:val="xl257"/>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8"/>
    <w:basedOn w:val="1008"/>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9"/>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0" w:customStyle="1">
    <w:name w:val="xl260"/>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1" w:customStyle="1">
    <w:name w:val="xl261"/>
    <w:basedOn w:val="1008"/>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2"/>
    <w:basedOn w:val="1008"/>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3" w:customStyle="1">
    <w:name w:val="xl263"/>
    <w:basedOn w:val="1008"/>
    <w:pPr>
      <w:pBdr/>
      <w:shd w:val="clear" w:color="000000" w:fill="ffffff"/>
      <w:spacing w:after="100" w:afterAutospacing="1" w:before="100" w:beforeAutospacing="1"/>
      <w:ind/>
    </w:pPr>
  </w:style>
  <w:style w:type="paragraph" w:styleId="1074" w:customStyle="1">
    <w:name w:val="xl264"/>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5" w:customStyle="1">
    <w:name w:val="xl265"/>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6" w:customStyle="1">
    <w:name w:val="xl266"/>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7" w:customStyle="1">
    <w:name w:val="xl267"/>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8" w:customStyle="1">
    <w:name w:val="xl268"/>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9" w:customStyle="1">
    <w:name w:val="xl269"/>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70"/>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1" w:customStyle="1">
    <w:name w:val="xl271"/>
    <w:basedOn w:val="1008"/>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2" w:customStyle="1">
    <w:name w:val="xl272"/>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3" w:customStyle="1">
    <w:name w:val="xl273"/>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4" w:customStyle="1">
    <w:name w:val="xl274"/>
    <w:basedOn w:val="1008"/>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5" w:customStyle="1">
    <w:name w:val="xl275"/>
    <w:basedOn w:val="1008"/>
    <w:pPr>
      <w:pBdr/>
      <w:spacing w:after="100" w:afterAutospacing="1" w:before="100" w:beforeAutospacing="1"/>
      <w:ind/>
    </w:pPr>
  </w:style>
  <w:style w:type="paragraph" w:styleId="1086" w:customStyle="1">
    <w:name w:val="xl276"/>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7" w:customStyle="1">
    <w:name w:val="xl277"/>
    <w:basedOn w:val="1008"/>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8" w:customStyle="1">
    <w:name w:val="xl278"/>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9" w:customStyle="1">
    <w:name w:val="xl279"/>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0" w:customStyle="1">
    <w:name w:val="xl280"/>
    <w:basedOn w:val="1008"/>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1" w:customStyle="1">
    <w:name w:val="xl281"/>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2" w:customStyle="1">
    <w:name w:val="xl282"/>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3"/>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4"/>
    <w:basedOn w:val="1008"/>
    <w:pPr>
      <w:pBdr>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5"/>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6" w:customStyle="1">
    <w:name w:val="xl286"/>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7" w:customStyle="1">
    <w:name w:val="xl287"/>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8" w:customStyle="1">
    <w:name w:val="xl288"/>
    <w:basedOn w:val="1008"/>
    <w:pPr>
      <w:pBdr>
        <w:top w:val="single" w:color="000000" w:sz="4" w:space="0"/>
        <w:left w:val="single" w:color="000000" w:sz="4" w:space="0"/>
        <w:right w:val="single" w:color="000000" w:sz="4" w:space="0"/>
      </w:pBdr>
      <w:spacing w:after="100" w:afterAutospacing="1" w:before="100" w:beforeAutospacing="1"/>
      <w:ind/>
    </w:pPr>
  </w:style>
  <w:style w:type="paragraph" w:styleId="1099" w:customStyle="1">
    <w:name w:val="xl289"/>
    <w:basedOn w:val="1008"/>
    <w:pPr>
      <w:pBdr>
        <w:left w:val="single" w:color="000000" w:sz="4" w:space="0"/>
        <w:right w:val="single" w:color="000000" w:sz="4" w:space="0"/>
      </w:pBdr>
      <w:spacing w:after="100" w:afterAutospacing="1" w:before="100" w:beforeAutospacing="1"/>
      <w:ind/>
    </w:pPr>
    <w:rPr>
      <w:b/>
      <w:bCs/>
    </w:rPr>
  </w:style>
  <w:style w:type="paragraph" w:styleId="1100" w:customStyle="1">
    <w:name w:val="xl290"/>
    <w:basedOn w:val="1008"/>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1" w:customStyle="1">
    <w:name w:val="xl291"/>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2" w:customStyle="1">
    <w:name w:val="xl292"/>
    <w:basedOn w:val="1008"/>
    <w:pPr>
      <w:pBdr>
        <w:top w:val="single" w:color="000000" w:sz="4" w:space="0"/>
        <w:left w:val="single" w:color="000000" w:sz="4" w:space="0"/>
        <w:right w:val="single" w:color="000000" w:sz="4" w:space="0"/>
      </w:pBdr>
      <w:spacing w:after="100" w:afterAutospacing="1" w:before="100" w:beforeAutospacing="1"/>
      <w:ind/>
    </w:pPr>
  </w:style>
  <w:style w:type="paragraph" w:styleId="1103" w:customStyle="1">
    <w:name w:val="xl293"/>
    <w:basedOn w:val="1008"/>
    <w:pPr>
      <w:pBdr>
        <w:left w:val="single" w:color="000000" w:sz="4" w:space="0"/>
        <w:bottom w:val="single" w:color="000000" w:sz="4" w:space="0"/>
        <w:right w:val="single" w:color="000000" w:sz="4" w:space="0"/>
      </w:pBdr>
      <w:spacing w:after="100" w:afterAutospacing="1" w:before="100" w:beforeAutospacing="1"/>
      <w:ind/>
    </w:pPr>
  </w:style>
  <w:style w:type="paragraph" w:styleId="1104" w:customStyle="1">
    <w:name w:val="xl294"/>
    <w:basedOn w:val="1008"/>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5">
    <w:name w:val="Title"/>
    <w:basedOn w:val="1008"/>
    <w:link w:val="1106"/>
    <w:qFormat/>
    <w:pPr>
      <w:pBdr/>
      <w:spacing/>
      <w:ind/>
      <w:jc w:val="center"/>
    </w:pPr>
    <w:rPr>
      <w:b/>
      <w:bCs/>
      <w:sz w:val="32"/>
      <w:szCs w:val="26"/>
    </w:rPr>
  </w:style>
  <w:style w:type="character" w:styleId="1106" w:customStyle="1">
    <w:name w:val="Title Char"/>
    <w:basedOn w:val="1013"/>
    <w:link w:val="1105"/>
    <w:pPr>
      <w:pBdr/>
      <w:spacing/>
      <w:ind/>
    </w:pPr>
    <w:rPr>
      <w:rFonts w:ascii="Times New Roman" w:hAnsi="Times New Roman" w:eastAsia="Times New Roman" w:cs="Times New Roman"/>
      <w:b/>
      <w:bCs/>
      <w:sz w:val="32"/>
      <w:szCs w:val="26"/>
    </w:rPr>
  </w:style>
  <w:style w:type="character" w:styleId="1107" w:customStyle="1">
    <w:name w:val="Unresolved Mention1"/>
    <w:basedOn w:val="1013"/>
    <w:uiPriority w:val="99"/>
    <w:semiHidden/>
    <w:unhideWhenUsed/>
    <w:pPr>
      <w:pBdr/>
      <w:spacing/>
      <w:ind/>
    </w:pPr>
    <w:rPr>
      <w:color w:val="605e5c"/>
      <w:shd w:val="clear" w:color="auto" w:fill="e1dfdd"/>
    </w:rPr>
  </w:style>
  <w:style w:type="character" w:styleId="1108" w:customStyle="1">
    <w:name w:val="Body text (3)_"/>
    <w:link w:val="1109"/>
    <w:pPr>
      <w:pBdr/>
      <w:spacing/>
      <w:ind/>
    </w:pPr>
    <w:rPr>
      <w:rFonts w:ascii="Times New Roman" w:hAnsi="Times New Roman" w:cs="Times New Roman"/>
      <w:i/>
      <w:iCs/>
      <w:spacing w:val="4"/>
      <w:shd w:val="clear" w:color="auto" w:fill="ffffff"/>
    </w:rPr>
  </w:style>
  <w:style w:type="paragraph" w:styleId="1109" w:customStyle="1">
    <w:name w:val="Body text (3)1"/>
    <w:basedOn w:val="1008"/>
    <w:link w:val="1108"/>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0" w:customStyle="1">
    <w:name w:val="t-j"/>
    <w:basedOn w:val="1008"/>
    <w:pPr>
      <w:pBdr/>
      <w:spacing w:after="100" w:afterAutospacing="1" w:before="100" w:beforeAutospacing="1"/>
      <w:ind/>
    </w:pPr>
  </w:style>
  <w:style w:type="character" w:styleId="1111" w:customStyle="1">
    <w:name w:val="Unresolved Mention2"/>
    <w:basedOn w:val="1013"/>
    <w:uiPriority w:val="99"/>
    <w:semiHidden/>
    <w:unhideWhenUsed/>
    <w:pPr>
      <w:pBdr/>
      <w:spacing/>
      <w:ind/>
    </w:pPr>
    <w:rPr>
      <w:color w:val="605e5c"/>
      <w:shd w:val="clear" w:color="auto" w:fill="e1dfdd"/>
    </w:rPr>
  </w:style>
  <w:style w:type="character" w:styleId="1112">
    <w:name w:val="FollowedHyperlink"/>
    <w:basedOn w:val="1013"/>
    <w:uiPriority w:val="99"/>
    <w:semiHidden/>
    <w:unhideWhenUsed/>
    <w:pPr>
      <w:pBdr/>
      <w:spacing/>
      <w:ind/>
    </w:pPr>
    <w:rPr>
      <w:color w:val="800080" w:themeColor="followedHyperlink"/>
      <w:u w:val="single"/>
    </w:rPr>
  </w:style>
  <w:style w:type="character" w:styleId="1113" w:customStyle="1">
    <w:name w:val="text"/>
    <w:basedOn w:val="1013"/>
    <w:pPr>
      <w:pBdr/>
      <w:spacing/>
      <w:ind/>
    </w:pPr>
  </w:style>
  <w:style w:type="character" w:styleId="1114" w:customStyle="1">
    <w:name w:val="card-send-time__sendtime"/>
    <w:basedOn w:val="1013"/>
    <w:pPr>
      <w:pBdr/>
      <w:spacing/>
      <w:ind/>
    </w:pPr>
  </w:style>
  <w:style w:type="character" w:styleId="1115" w:customStyle="1">
    <w:name w:val="Đề cập Chưa giải quyết1"/>
    <w:basedOn w:val="1013"/>
    <w:uiPriority w:val="99"/>
    <w:semiHidden/>
    <w:unhideWhenUsed/>
    <w:pPr>
      <w:pBdr/>
      <w:spacing/>
      <w:ind/>
    </w:pPr>
    <w:rPr>
      <w:color w:val="605e5c"/>
      <w:shd w:val="clear" w:color="auto" w:fill="e1dfdd"/>
    </w:rPr>
  </w:style>
  <w:style w:type="paragraph" w:styleId="1116" w:customStyle="1">
    <w:name w:val="nqtitle"/>
    <w:basedOn w:val="1008"/>
    <w:pPr>
      <w:pBdr/>
      <w:spacing w:after="100" w:afterAutospacing="1" w:before="100" w:beforeAutospacing="1"/>
      <w:ind/>
    </w:pPr>
    <w:rPr>
      <w:lang w:val="vi-VN" w:eastAsia="vi-VN"/>
    </w:rPr>
  </w:style>
  <w:style w:type="character" w:styleId="1117" w:customStyle="1">
    <w:name w:val="List Paragraph Char"/>
    <w:link w:val="1030"/>
    <w:uiPriority w:val="34"/>
    <w:qFormat/>
    <w:pPr>
      <w:pBdr/>
      <w:spacing/>
      <w:ind/>
    </w:pPr>
    <w:rPr>
      <w:rFonts w:ascii="Times New Roman" w:hAnsi="Times New Roman" w:eastAsia="Times New Roman" w:cs="Times New Roman"/>
      <w:sz w:val="24"/>
      <w:szCs w:val="24"/>
    </w:rPr>
  </w:style>
  <w:style w:type="character" w:styleId="1118" w:customStyle="1">
    <w:name w:val="Đề cập Chưa giải quyết2"/>
    <w:basedOn w:val="1013"/>
    <w:uiPriority w:val="99"/>
    <w:semiHidden/>
    <w:unhideWhenUsed/>
    <w:pPr>
      <w:pBdr/>
      <w:spacing/>
      <w:ind/>
    </w:pPr>
    <w:rPr>
      <w:color w:val="605e5c"/>
      <w:shd w:val="clear" w:color="auto" w:fill="e1dfdd"/>
    </w:rPr>
  </w:style>
  <w:style w:type="character" w:styleId="1119" w:customStyle="1">
    <w:name w:val="Unresolved Mention3"/>
    <w:basedOn w:val="1013"/>
    <w:uiPriority w:val="99"/>
    <w:semiHidden/>
    <w:unhideWhenUsed/>
    <w:pPr>
      <w:pBdr/>
      <w:spacing/>
      <w:ind/>
    </w:pPr>
    <w:rPr>
      <w:color w:val="605e5c"/>
      <w:shd w:val="clear" w:color="auto" w:fill="e1dfdd"/>
    </w:rPr>
  </w:style>
  <w:style w:type="character" w:styleId="1120" w:customStyle="1">
    <w:name w:val="copy"/>
    <w:basedOn w:val="1013"/>
    <w:pPr>
      <w:pBdr/>
      <w:spacing/>
      <w:ind/>
    </w:pPr>
  </w:style>
  <w:style w:type="paragraph" w:styleId="1121" w:customStyle="1">
    <w:name w:val="align-justify"/>
    <w:basedOn w:val="1008"/>
    <w:pPr>
      <w:pBdr/>
      <w:spacing w:after="100" w:afterAutospacing="1" w:before="100" w:beforeAutospacing="1"/>
      <w:ind/>
    </w:pPr>
  </w:style>
  <w:style w:type="character" w:styleId="1122" w:customStyle="1">
    <w:name w:val="btn"/>
    <w:basedOn w:val="1013"/>
    <w:pPr>
      <w:pBdr/>
      <w:spacing/>
      <w:ind/>
    </w:pPr>
  </w:style>
  <w:style w:type="character" w:styleId="1123" w:customStyle="1">
    <w:name w:val="hide_mobile"/>
    <w:basedOn w:val="1013"/>
    <w:pPr>
      <w:pBdr/>
      <w:spacing/>
      <w:ind/>
    </w:pPr>
  </w:style>
  <w:style w:type="character" w:styleId="1124">
    <w:name w:val="Emphasis"/>
    <w:basedOn w:val="1013"/>
    <w:uiPriority w:val="20"/>
    <w:qFormat/>
    <w:pPr>
      <w:pBdr/>
      <w:spacing/>
      <w:ind/>
    </w:pPr>
    <w:rPr>
      <w:i/>
      <w:iCs/>
    </w:rPr>
  </w:style>
  <w:style w:type="character" w:styleId="1125" w:customStyle="1">
    <w:name w:val="t1"/>
    <w:basedOn w:val="1013"/>
    <w:pPr>
      <w:pBdr/>
      <w:spacing/>
      <w:ind/>
    </w:pPr>
  </w:style>
  <w:style w:type="character" w:styleId="1126" w:customStyle="1">
    <w:name w:val="Unresolved Mention4"/>
    <w:basedOn w:val="1013"/>
    <w:uiPriority w:val="99"/>
    <w:semiHidden/>
    <w:unhideWhenUsed/>
    <w:pPr>
      <w:pBdr/>
      <w:spacing/>
      <w:ind/>
    </w:pPr>
    <w:rPr>
      <w:color w:val="605e5c"/>
      <w:shd w:val="clear" w:color="auto" w:fill="e1dfdd"/>
    </w:rPr>
  </w:style>
  <w:style w:type="character" w:styleId="1127">
    <w:name w:val="Unresolved Mention"/>
    <w:basedOn w:val="1013"/>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vneconomy.vn/da-tang-gia-chung-cu-ha-noi-chung-lai-trong-quy-1-2025.htm"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Đình Duy</cp:lastModifiedBy>
  <cp:revision>270</cp:revision>
  <dcterms:created xsi:type="dcterms:W3CDTF">2025-09-15T09:58:00Z</dcterms:created>
  <dcterms:modified xsi:type="dcterms:W3CDTF">2025-12-19T02:17:18Z</dcterms:modified>
</cp:coreProperties>
</file>