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444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444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275/2026/0051/VFI-CT.55.A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ĐÀO QUANG TRUNG</w:t>
                            </w:r>
                            <w:r>
                              <w:rPr>
                                <w:rFonts w:ascii="Times New Roman Bold" w:hAnsi="Times New Roman Bold"/>
                                <w:b/>
                                <w:lang w:val="pt-BR"/>
                              </w:rPr>
                            </w:r>
                            <w:r>
                              <w:rPr>
                                <w:rFonts w:ascii="Times New Roman Bold" w:hAnsi="Times New Roman Bold"/>
                                <w:b/>
                                <w:lang w:val="pt-BR"/>
                              </w:rPr>
                            </w:r>
                          </w:p>
                          <w:p w14:paraId="0371D64D">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eastAsia="Times New Roman" w:cs="Times New Roman"/>
                                <w:b/>
                                <w:bCs/>
                                <w:color w:val="000000"/>
                                <w:sz w:val="24"/>
                                <w:szCs w:val="24"/>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color w:val="000000"/>
                                <w:sz w:val="24"/>
                              </w:rPr>
                              <w:t xml:space="preserve">Quyền sử dụng đất tại thửa đất số: 469, tờ bản đồ số 41 có địa chỉ: Phường Tiền Châu, thành phố Phúc Yên, Tỉnh Vĩnh Phúc (nay là Phường Phúc Yên, tỉnh Phú Thọ) theo Giấy chứng nhận quyền sử dụng đất quyền sở hữu nhà ở và tài sản khác gắn liền với đất số: D</w:t>
                            </w:r>
                            <w:r>
                              <w:rPr>
                                <w:rFonts w:ascii="Times New Roman" w:hAnsi="Times New Roman" w:eastAsia="Times New Roman" w:cs="Times New Roman"/>
                                <w:b/>
                                <w:color w:val="000000"/>
                                <w:sz w:val="24"/>
                              </w:rPr>
                              <w:t xml:space="preserve">M 028298, số vào sổ cấp GCN: CN 03763 do Chi nhánh văn phòng đăng ký đất đai thành phố Phúc Yên cấp ngày 15/8/2023; Chủ sử dụng đất là Ông Lưu Văn Thuyên</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14:paraId="083745C8">
                            <w:pPr>
                              <w:pBdr>
                                <w:top w:val="none" w:color="000000" w:sz="4" w:space="0"/>
                                <w:left w:val="none" w:color="000000" w:sz="4" w:space="0"/>
                                <w:bottom w:val="none" w:color="000000" w:sz="4" w:space="0"/>
                                <w:right w:val="none" w:color="000000" w:sz="4" w:space="0"/>
                              </w:pBdr>
                              <w:spacing w:after="0" w:line="276" w:lineRule="auto"/>
                              <w:ind w:right="0" w:firstLine="0" w:left="0"/>
                              <w:jc w:val="both"/>
                              <w:rPr>
                                <w:sz w:val="24"/>
                                <w:szCs w:val="24"/>
                              </w:rPr>
                            </w:pPr>
                            <w:r>
                              <w:rPr>
                                <w:rFonts w:ascii="Times New Roman" w:hAnsi="Times New Roman" w:eastAsia="Times New Roman" w:cs="Times New Roman"/>
                                <w:b/>
                                <w:color w:val="000000"/>
                                <w:sz w:val="24"/>
                                <w:highlight w:val="none"/>
                              </w:rPr>
                            </w:r>
                            <w:r>
                              <w:rPr>
                                <w:sz w:val="24"/>
                                <w:szCs w:val="24"/>
                              </w:rPr>
                            </w:r>
                            <w:r>
                              <w:rPr>
                                <w:sz w:val="24"/>
                                <w:szCs w:val="24"/>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3.3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275/2026/0051/VFI-CT.55.A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ĐÀO QUANG TRUNG</w:t>
                      </w:r>
                      <w:r>
                        <w:rPr>
                          <w:rFonts w:ascii="Times New Roman Bold" w:hAnsi="Times New Roman Bold"/>
                          <w:b/>
                          <w:lang w:val="pt-BR"/>
                        </w:rPr>
                      </w:r>
                      <w:r>
                        <w:rPr>
                          <w:rFonts w:ascii="Times New Roman Bold" w:hAnsi="Times New Roman Bold"/>
                          <w:b/>
                          <w:lang w:val="pt-BR"/>
                        </w:rPr>
                      </w:r>
                    </w:p>
                    <w:p w14:paraId="0371D64D">
                      <w:pPr>
                        <w:pBdr>
                          <w:top w:val="none" w:color="000000" w:sz="4" w:space="0"/>
                          <w:left w:val="none" w:color="000000" w:sz="4" w:space="0"/>
                          <w:bottom w:val="none" w:color="000000" w:sz="4" w:space="0"/>
                          <w:right w:val="none" w:color="000000" w:sz="4" w:space="0"/>
                        </w:pBdr>
                        <w:spacing w:after="0" w:line="276" w:lineRule="auto"/>
                        <w:ind w:right="0" w:firstLine="0" w:left="0"/>
                        <w:jc w:val="both"/>
                        <w:rPr>
                          <w:rFonts w:ascii="Times New Roman" w:hAnsi="Times New Roman" w:eastAsia="Times New Roman" w:cs="Times New Roman"/>
                          <w:b/>
                          <w:bCs/>
                          <w:color w:val="000000"/>
                          <w:sz w:val="24"/>
                          <w:szCs w:val="24"/>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color w:val="000000"/>
                          <w:sz w:val="24"/>
                        </w:rPr>
                        <w:t xml:space="preserve">Quyền sử dụng đất tại thửa đất số: 469, tờ bản đồ số 41 có địa chỉ: Phường Tiền Châu, thành phố Phúc Yên, Tỉnh Vĩnh Phúc (nay là Phường Phúc Yên, tỉnh Phú Thọ) theo Giấy chứng nhận quyền sử dụng đất quyền sở hữu nhà ở và tài sản khác gắn liền với đất số: D</w:t>
                      </w:r>
                      <w:r>
                        <w:rPr>
                          <w:rFonts w:ascii="Times New Roman" w:hAnsi="Times New Roman" w:eastAsia="Times New Roman" w:cs="Times New Roman"/>
                          <w:b/>
                          <w:color w:val="000000"/>
                          <w:sz w:val="24"/>
                        </w:rPr>
                        <w:t xml:space="preserve">M 028298, số vào sổ cấp GCN: CN 03763 do Chi nhánh văn phòng đăng ký đất đai thành phố Phúc Yên cấp ngày 15/8/2023; Chủ sử dụng đất là Ông Lưu Văn Thuyên</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14:paraId="083745C8">
                      <w:pPr>
                        <w:pBdr>
                          <w:top w:val="none" w:color="000000" w:sz="4" w:space="0"/>
                          <w:left w:val="none" w:color="000000" w:sz="4" w:space="0"/>
                          <w:bottom w:val="none" w:color="000000" w:sz="4" w:space="0"/>
                          <w:right w:val="none" w:color="000000" w:sz="4" w:space="0"/>
                        </w:pBdr>
                        <w:spacing w:after="0" w:line="276" w:lineRule="auto"/>
                        <w:ind w:right="0" w:firstLine="0" w:left="0"/>
                        <w:jc w:val="both"/>
                        <w:rPr>
                          <w:sz w:val="24"/>
                          <w:szCs w:val="24"/>
                        </w:rPr>
                      </w:pPr>
                      <w:r>
                        <w:rPr>
                          <w:rFonts w:ascii="Times New Roman" w:hAnsi="Times New Roman" w:eastAsia="Times New Roman" w:cs="Times New Roman"/>
                          <w:b/>
                          <w:color w:val="000000"/>
                          <w:sz w:val="24"/>
                          <w:highlight w:val="none"/>
                        </w:rPr>
                      </w:r>
                      <w:r>
                        <w:rPr>
                          <w:sz w:val="24"/>
                          <w:szCs w:val="24"/>
                        </w:rPr>
                      </w:r>
                      <w:r>
                        <w:rPr>
                          <w:sz w:val="24"/>
                          <w:szCs w:val="24"/>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ayout w:type="fixed"/>
        <w:tblLook w:val="04A0" w:firstRow="1" w:lastRow="0" w:firstColumn="1" w:lastColumn="0" w:noHBand="0" w:noVBand="1"/>
      </w:tblPr>
      <w:tblGrid>
        <w:gridCol w:w="29"/>
        <w:gridCol w:w="1829"/>
        <w:gridCol w:w="2139"/>
        <w:gridCol w:w="6094"/>
        <w:gridCol w:w="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69" w:type="dxa"/>
            <w:textDirection w:val="lrTb"/>
            <w:noWrap w:val="false"/>
          </w:tcPr>
          <w:p w14:paraId="103F6C0D" w14:textId="77777777">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275/2026/0051/VFI-CT.55.A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094" w:type="dxa"/>
            <w:textDirection w:val="lrTb"/>
            <w:noWrap w:val="false"/>
          </w:tcPr>
          <w:p w14:paraId="6C20F813" w14:textId="77777777">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12 tháng 1 năm 2026</w:t>
            </w:r>
            <w:r>
              <w:rPr>
                <w:color w:val="000000" w:themeColor="text1"/>
                <w:sz w:val="24"/>
                <w:szCs w:val="24"/>
                <w:lang w:val="vi-VN"/>
              </w:rPr>
            </w:r>
            <w:r>
              <w:rPr>
                <w:color w:val="000000" w:themeColor="text1"/>
                <w:sz w:val="24"/>
                <w:szCs w:val="24"/>
                <w:lang w:val="vi-VN"/>
              </w:rPr>
            </w:r>
          </w:p>
        </w:tc>
      </w:tr>
    </w:tbl>
    <w:p w14:paraId="60EC0402" w14:textId="3594439F">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 ÔNG</w:t>
      </w:r>
      <w:r>
        <w:rPr>
          <w:b/>
          <w:lang w:val="pt-BR"/>
        </w:rPr>
        <w:t xml:space="preserve"> </w:t>
      </w:r>
      <w:r>
        <w:rPr>
          <w:rFonts w:ascii="Times New Roman Bold" w:hAnsi="Times New Roman Bold"/>
          <w:b/>
          <w:color w:val="000000" w:themeColor="text1"/>
          <w:lang w:val="pt-BR"/>
        </w:rPr>
        <w:t xml:space="preserve">ĐÀO TRUNG QUANG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275/2026/0051/VFI-HĐTĐ.55.A</w:t>
      </w:r>
      <w:r>
        <w:rPr>
          <w:spacing w:val="-4"/>
          <w:lang w:val="vi-VN"/>
        </w:rPr>
        <w:t xml:space="preserve"> ký ngày </w:t>
      </w:r>
      <w:r>
        <w:rPr>
          <w:color w:val="000000" w:themeColor="text1"/>
          <w:spacing w:val="-4"/>
        </w:rPr>
        <w:t xml:space="preserve">12 tháng 1 năm 2026</w:t>
      </w:r>
      <w:r>
        <w:rPr>
          <w:spacing w:val="-4"/>
          <w:lang w:val="vi-VN"/>
        </w:rPr>
        <w:t xml:space="preserve"> </w:t>
      </w:r>
      <w:r>
        <w:rPr>
          <w:spacing w:val="-4"/>
          <w:lang w:val="vi-VN"/>
        </w:rPr>
        <w:t xml:space="preserve">giữa Ông </w:t>
      </w:r>
      <w:r>
        <w:rPr>
          <w:color w:val="000000" w:themeColor="text1"/>
          <w:spacing w:val="-4"/>
        </w:rPr>
        <w:t xml:space="preserve">Đào Quang Trung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275/2026/0051/VFI-BC.55.A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12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1DD8A83C">
            <w:pPr>
              <w:pBdr/>
              <w:spacing w:after="40" w:before="40" w:line="276" w:lineRule="auto"/>
              <w:ind/>
              <w:rPr>
                <w:bCs/>
                <w:lang w:val="pt-BR"/>
              </w:rPr>
            </w:pPr>
            <w:r>
              <w:rPr>
                <w:bCs/>
                <w:lang w:val="pt-BR"/>
              </w:rPr>
              <w:t xml:space="preserve">Tên khách hàng</w:t>
            </w:r>
            <w:r>
              <w:rPr>
                <w:bCs/>
                <w:lang w:val="pt-BR"/>
              </w:rPr>
            </w:r>
            <w:r>
              <w:rPr>
                <w:bCs/>
                <w:lang w:val="pt-BR"/>
              </w:rPr>
            </w:r>
          </w:p>
        </w:tc>
        <w:tc>
          <w:tcPr>
            <w:tcBorders/>
            <w:tcW w:w="289" w:type="dxa"/>
            <w:vAlign w:val="center"/>
            <w:textDirection w:val="lrTb"/>
            <w:noWrap w:val="false"/>
          </w:tcPr>
          <w:p w14:paraId="17BECB0E">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5506FD21">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Ông Đào Quang Trung</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6B715CD8">
            <w:pPr>
              <w:pBdr/>
              <w:spacing w:after="40" w:before="40" w:line="276" w:lineRule="auto"/>
              <w:ind/>
              <w:rPr>
                <w:bCs/>
              </w:rPr>
            </w:pPr>
            <w:r>
              <w:rPr>
                <w:bCs/>
              </w:rPr>
              <w:t xml:space="preserve">Năm sinh</w:t>
            </w:r>
            <w:r>
              <w:rPr>
                <w:bCs/>
              </w:rPr>
            </w:r>
            <w:r>
              <w:rPr>
                <w:bCs/>
              </w:rPr>
            </w:r>
          </w:p>
        </w:tc>
        <w:tc>
          <w:tcPr>
            <w:tcBorders/>
            <w:tcW w:w="289" w:type="dxa"/>
            <w:vAlign w:val="center"/>
            <w:textDirection w:val="lrTb"/>
            <w:noWrap w:val="false"/>
          </w:tcPr>
          <w:p w14:paraId="7317166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56B73DF1">
            <w:pPr>
              <w:pBdr/>
              <w:spacing w:after="40" w:before="40" w:line="276" w:lineRule="auto"/>
              <w:ind/>
              <w:rPr>
                <w:spacing w:val="-6"/>
                <w:lang w:val="pt-BR"/>
              </w:rPr>
            </w:pPr>
            <w:r>
              <w:rPr>
                <w:color w:val="000000" w:themeColor="text1"/>
                <w:spacing w:val="-2"/>
              </w:rPr>
              <w:t xml:space="preserve">1980</w:t>
            </w:r>
            <w:r>
              <w:rPr>
                <w:spacing w:val="-6"/>
                <w:lang w:val="pt-BR"/>
              </w:rPr>
            </w:r>
            <w:r>
              <w:rPr>
                <w:spacing w:val="-6"/>
                <w:lang w:val="pt-BR"/>
              </w:rPr>
            </w:r>
          </w:p>
        </w:tc>
      </w:tr>
      <w:tr>
        <w:trPr>
          <w:trHeight w:val="20"/>
        </w:trPr>
        <w:tc>
          <w:tcPr>
            <w:tcBorders/>
            <w:tcW w:w="2269" w:type="dxa"/>
            <w:vAlign w:val="center"/>
            <w:textDirection w:val="lrTb"/>
            <w:noWrap w:val="false"/>
          </w:tcPr>
          <w:p w14:paraId="58357C59">
            <w:pPr>
              <w:pBdr/>
              <w:spacing w:after="40" w:before="40" w:line="276" w:lineRule="auto"/>
              <w:ind/>
              <w:rPr>
                <w:bCs/>
              </w:rPr>
            </w:pPr>
            <w:r>
              <w:rPr>
                <w:bCs/>
              </w:rPr>
              <w:t xml:space="preserve">CCCD</w:t>
            </w:r>
            <w:r>
              <w:rPr>
                <w:bCs/>
              </w:rPr>
            </w:r>
            <w:r>
              <w:rPr>
                <w:bCs/>
              </w:rPr>
            </w:r>
          </w:p>
        </w:tc>
        <w:tc>
          <w:tcPr>
            <w:tcBorders/>
            <w:tcW w:w="289" w:type="dxa"/>
            <w:vAlign w:val="center"/>
            <w:textDirection w:val="lrTb"/>
            <w:noWrap w:val="false"/>
          </w:tcPr>
          <w:p w14:paraId="54B8A05C">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4804B893">
            <w:pPr>
              <w:pBdr/>
              <w:tabs>
                <w:tab w:val="left" w:leader="none" w:pos="3382"/>
              </w:tabs>
              <w:spacing w:after="40" w:before="40" w:line="276" w:lineRule="auto"/>
              <w:ind/>
              <w:rPr>
                <w:iCs/>
              </w:rPr>
            </w:pPr>
            <w:r>
              <w:rPr>
                <w:iCs/>
                <w:color w:val="000000" w:themeColor="text1"/>
              </w:rPr>
              <w:t xml:space="preserve">026080000384</w:t>
            </w:r>
            <w:r>
              <w:rPr>
                <w:iCs/>
              </w:rPr>
            </w:r>
            <w:r>
              <w:rPr>
                <w:iCs/>
              </w:rPr>
            </w:r>
          </w:p>
        </w:tc>
      </w:tr>
      <w:tr>
        <w:trPr>
          <w:trHeight w:val="20"/>
        </w:trPr>
        <w:tc>
          <w:tcPr>
            <w:tcBorders/>
            <w:tcW w:w="2269" w:type="dxa"/>
            <w:vAlign w:val="center"/>
            <w:textDirection w:val="lrTb"/>
            <w:noWrap w:val="false"/>
          </w:tcPr>
          <w:p w14:paraId="26A9A5D0">
            <w:pPr>
              <w:pBdr/>
              <w:spacing w:after="40" w:before="40" w:line="276" w:lineRule="auto"/>
              <w:ind/>
              <w:rPr>
                <w:bCs/>
              </w:rPr>
            </w:pPr>
            <w:r>
              <w:rPr>
                <w:bCs/>
              </w:rPr>
              <w:t xml:space="preserve">Địa chỉ</w:t>
            </w:r>
            <w:r>
              <w:rPr>
                <w:bCs/>
              </w:rPr>
            </w:r>
            <w:r>
              <w:rPr>
                <w:bCs/>
              </w:rPr>
            </w:r>
          </w:p>
        </w:tc>
        <w:tc>
          <w:tcPr>
            <w:tcBorders/>
            <w:tcW w:w="289" w:type="dxa"/>
            <w:vAlign w:val="center"/>
            <w:textDirection w:val="lrTb"/>
            <w:noWrap w:val="false"/>
          </w:tcPr>
          <w:p w14:paraId="72404568">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6882A83">
            <w:pPr>
              <w:pBdr/>
              <w:spacing w:after="40" w:before="40" w:line="276" w:lineRule="auto"/>
              <w:ind/>
              <w:rPr>
                <w:bCs/>
              </w:rPr>
            </w:pPr>
            <w:r>
              <w:rPr>
                <w:bCs/>
                <w:color w:val="000000" w:themeColor="text1"/>
              </w:rPr>
              <w:t xml:space="preserve">Tổ 3 Trưng Nhị, thành phố Phúc Yên, Vĩnh Phúc </w:t>
            </w:r>
            <w:r>
              <w:rPr>
                <w:bCs/>
              </w:rPr>
            </w:r>
            <w:r>
              <w:rPr>
                <w:bCs/>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8E2E97F">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rPr>
        <w:t xml:space="preserve">Quyền sử dụng đất tại thửa đất số: 469, tờ bản đồ số 41 có địa chỉ: Phường Tiền Châu, thành phố Phúc Yên, Tỉnh Vĩnh Phúc (nay là Phường Phúc Yên, tỉnh Phú Thọ) theo Giấy chứng nhận quyền sử dụng đất quyền sở hữu nhà ở và tài sản khác gắn liền với đất số: D</w:t>
      </w:r>
      <w:r>
        <w:rPr>
          <w:rFonts w:ascii="Times New Roman" w:hAnsi="Times New Roman" w:eastAsia="Times New Roman" w:cs="Times New Roman"/>
          <w:b w:val="0"/>
          <w:bCs w:val="0"/>
          <w:color w:val="000000"/>
          <w:sz w:val="24"/>
        </w:rPr>
        <w:t xml:space="preserve">M 028298, số vào sổ cấp GCN: CN 03763 do Chi nhánh văn phòng đăng ký đất đai thành phố Phúc Yên cấp ngày 15/8/2023; Chủ sử dụng đất là Ông Lưu Văn Thuyên.</w:t>
      </w:r>
      <w:r/>
    </w:p>
    <w:p w14:paraId="10609946">
      <w:pPr>
        <w:pBdr/>
        <w:spacing w:after="120" w:before="120" w:line="312" w:lineRule="auto"/>
        <w:ind/>
        <w:jc w:val="both"/>
        <w:rPr>
          <w:b/>
          <w:bCs/>
        </w:rPr>
      </w:pPr>
      <w:r>
        <w:rPr>
          <w:color w:val="000000" w:themeColor="text1"/>
        </w:rPr>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0A306A9D">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469, tờ bản đồ số 41 có địa chỉ: Phường Tiền Châu, thành phố Phúc Yên, Tỉnh Vĩnh Phúc (nay là Phường Phúc Yên, tỉnh Phú Thọ) theo Giấy chứng nhận quyền sử dụng đất quyền sở hữu nhà ở và tài sản khác gắn liền với đất số: D</w:t>
            </w:r>
            <w:r>
              <w:rPr>
                <w:rFonts w:ascii="Times New Roman" w:hAnsi="Times New Roman" w:eastAsia="Times New Roman" w:cs="Times New Roman"/>
                <w:b/>
                <w:color w:val="000000"/>
                <w:sz w:val="24"/>
              </w:rPr>
              <w:t xml:space="preserve">M 028298, số vào sổ cấp GCN: CN 03763 do Chi nhánh văn phòng đăng ký đất đai thành phố Phúc Yên cấp ngày 15/8/2023; Chủ sử dụng đất là Ông Lưu Văn Thuyên.</w:t>
            </w:r>
            <w:r>
              <w:rPr>
                <w:sz w:val="24"/>
              </w:rPr>
            </w: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tại đô thị</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100</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50.000.000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5.000.000.000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5.000.000.000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5.000.000.000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ayout w:type="fixed"/>
        <w:tblLook w:val="04A0" w:firstRow="1" w:lastRow="0" w:firstColumn="1" w:lastColumn="0" w:noHBand="0" w:noVBand="1"/>
      </w:tblPr>
      <w:tblGrid>
        <w:gridCol w:w="29"/>
        <w:gridCol w:w="1829"/>
        <w:gridCol w:w="2388"/>
        <w:gridCol w:w="5846"/>
        <w:gridCol w:w="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217" w:type="dxa"/>
            <w:textDirection w:val="lrTb"/>
            <w:noWrap w:val="false"/>
          </w:tcPr>
          <w:p w14:paraId="55E7402E" w14:textId="77777777">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275/2026/0051/VFI-CT.55.A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846" w:type="dxa"/>
            <w:textDirection w:val="lrTb"/>
            <w:noWrap w:val="false"/>
          </w:tcPr>
          <w:p w14:paraId="2396134F" w14:textId="77777777">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12 tháng 1 năm 2026</w:t>
            </w:r>
            <w:r>
              <w:rPr>
                <w:color w:val="000000" w:themeColor="text1"/>
                <w:sz w:val="24"/>
                <w:szCs w:val="24"/>
                <w:lang w:val="vi-VN"/>
              </w:rPr>
            </w:r>
            <w:r>
              <w:rPr>
                <w:color w:val="000000" w:themeColor="text1"/>
                <w:sz w:val="24"/>
                <w:szCs w:val="24"/>
                <w:lang w:val="vi-VN"/>
              </w:rPr>
            </w:r>
          </w:p>
        </w:tc>
      </w:tr>
    </w:tbl>
    <w:p w14:paraId="53E21BF3" w14:textId="59EB6EC9">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275/2026/0051/VFI-CT.55.A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1B58DBA1">
            <w:pPr>
              <w:pBdr/>
              <w:spacing w:after="40" w:before="40" w:line="276" w:lineRule="auto"/>
              <w:ind/>
              <w:rPr>
                <w:bCs/>
                <w:lang w:val="pt-BR"/>
              </w:rPr>
            </w:pPr>
            <w:r>
              <w:rPr>
                <w:bCs/>
                <w:lang w:val="pt-BR"/>
              </w:rPr>
              <w:t xml:space="preserve">Tên khách hàng</w:t>
            </w:r>
            <w:r>
              <w:rPr>
                <w:bCs/>
                <w:lang w:val="pt-BR"/>
              </w:rPr>
            </w:r>
            <w:r>
              <w:rPr>
                <w:bCs/>
                <w:lang w:val="pt-BR"/>
              </w:rPr>
            </w:r>
          </w:p>
        </w:tc>
        <w:tc>
          <w:tcPr>
            <w:tcBorders/>
            <w:tcW w:w="289" w:type="dxa"/>
            <w:vAlign w:val="center"/>
            <w:textDirection w:val="lrTb"/>
            <w:noWrap w:val="false"/>
          </w:tcPr>
          <w:p w14:paraId="3964D819">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18AD5002">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Ông Đào Quang Trung</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0AEF20C4">
            <w:pPr>
              <w:pBdr/>
              <w:spacing w:after="40" w:before="40" w:line="276" w:lineRule="auto"/>
              <w:ind/>
              <w:rPr>
                <w:bCs/>
              </w:rPr>
            </w:pPr>
            <w:r>
              <w:rPr>
                <w:bCs/>
              </w:rPr>
              <w:t xml:space="preserve">Năm sinh</w:t>
            </w:r>
            <w:r>
              <w:rPr>
                <w:bCs/>
              </w:rPr>
            </w:r>
            <w:r>
              <w:rPr>
                <w:bCs/>
              </w:rPr>
            </w:r>
          </w:p>
        </w:tc>
        <w:tc>
          <w:tcPr>
            <w:tcBorders/>
            <w:tcW w:w="289" w:type="dxa"/>
            <w:vAlign w:val="center"/>
            <w:textDirection w:val="lrTb"/>
            <w:noWrap w:val="false"/>
          </w:tcPr>
          <w:p w14:paraId="0FD28B30">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AE3057A">
            <w:pPr>
              <w:pBdr/>
              <w:spacing w:after="40" w:before="40" w:line="276" w:lineRule="auto"/>
              <w:ind/>
              <w:rPr>
                <w:spacing w:val="-6"/>
                <w:lang w:val="pt-BR"/>
              </w:rPr>
            </w:pPr>
            <w:r>
              <w:rPr>
                <w:color w:val="000000" w:themeColor="text1"/>
                <w:spacing w:val="-2"/>
              </w:rPr>
              <w:t xml:space="preserve">1980</w:t>
            </w:r>
            <w:r>
              <w:rPr>
                <w:spacing w:val="-6"/>
                <w:lang w:val="pt-BR"/>
              </w:rPr>
            </w:r>
            <w:r>
              <w:rPr>
                <w:spacing w:val="-6"/>
                <w:lang w:val="pt-BR"/>
              </w:rPr>
            </w:r>
          </w:p>
        </w:tc>
      </w:tr>
      <w:tr>
        <w:trPr>
          <w:trHeight w:val="20"/>
        </w:trPr>
        <w:tc>
          <w:tcPr>
            <w:tcBorders/>
            <w:tcW w:w="2269" w:type="dxa"/>
            <w:vAlign w:val="center"/>
            <w:textDirection w:val="lrTb"/>
            <w:noWrap w:val="false"/>
          </w:tcPr>
          <w:p w14:paraId="16E5A358">
            <w:pPr>
              <w:pBdr/>
              <w:spacing w:after="40" w:before="40" w:line="276" w:lineRule="auto"/>
              <w:ind/>
              <w:rPr>
                <w:bCs/>
              </w:rPr>
            </w:pPr>
            <w:r>
              <w:rPr>
                <w:bCs/>
              </w:rPr>
              <w:t xml:space="preserve">CCCD</w:t>
            </w:r>
            <w:r>
              <w:rPr>
                <w:bCs/>
              </w:rPr>
            </w:r>
            <w:r>
              <w:rPr>
                <w:bCs/>
              </w:rPr>
            </w:r>
          </w:p>
        </w:tc>
        <w:tc>
          <w:tcPr>
            <w:tcBorders/>
            <w:tcW w:w="289" w:type="dxa"/>
            <w:vAlign w:val="center"/>
            <w:textDirection w:val="lrTb"/>
            <w:noWrap w:val="false"/>
          </w:tcPr>
          <w:p w14:paraId="5E7E6DC9">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426A1AFD">
            <w:pPr>
              <w:pBdr/>
              <w:tabs>
                <w:tab w:val="left" w:leader="none" w:pos="3382"/>
              </w:tabs>
              <w:spacing w:after="40" w:before="40" w:line="276" w:lineRule="auto"/>
              <w:ind/>
              <w:rPr>
                <w:iCs/>
              </w:rPr>
            </w:pPr>
            <w:r>
              <w:rPr>
                <w:iCs/>
                <w:color w:val="000000" w:themeColor="text1"/>
              </w:rPr>
              <w:t xml:space="preserve">026080000384</w:t>
            </w:r>
            <w:r>
              <w:rPr>
                <w:iCs/>
              </w:rPr>
            </w:r>
            <w:r>
              <w:rPr>
                <w:iCs/>
              </w:rPr>
            </w:r>
          </w:p>
        </w:tc>
      </w:tr>
      <w:tr>
        <w:trPr>
          <w:trHeight w:val="20"/>
        </w:trPr>
        <w:tc>
          <w:tcPr>
            <w:tcBorders/>
            <w:tcW w:w="2269" w:type="dxa"/>
            <w:vAlign w:val="center"/>
            <w:textDirection w:val="lrTb"/>
            <w:noWrap w:val="false"/>
          </w:tcPr>
          <w:p w14:paraId="68E61BE8">
            <w:pPr>
              <w:pBdr/>
              <w:spacing w:after="40" w:before="40" w:line="276" w:lineRule="auto"/>
              <w:ind/>
              <w:rPr>
                <w:bCs/>
              </w:rPr>
            </w:pPr>
            <w:r>
              <w:rPr>
                <w:bCs/>
              </w:rPr>
              <w:t xml:space="preserve">Địa chỉ</w:t>
            </w:r>
            <w:r>
              <w:rPr>
                <w:bCs/>
              </w:rPr>
            </w:r>
            <w:r>
              <w:rPr>
                <w:bCs/>
              </w:rPr>
            </w:r>
          </w:p>
        </w:tc>
        <w:tc>
          <w:tcPr>
            <w:tcBorders/>
            <w:tcW w:w="289" w:type="dxa"/>
            <w:vAlign w:val="center"/>
            <w:textDirection w:val="lrTb"/>
            <w:noWrap w:val="false"/>
          </w:tcPr>
          <w:p w14:paraId="790EA06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223D6CDB">
            <w:pPr>
              <w:pBdr/>
              <w:spacing w:after="40" w:before="40" w:line="276" w:lineRule="auto"/>
              <w:ind/>
              <w:rPr>
                <w:bCs/>
              </w:rPr>
            </w:pPr>
            <w:r>
              <w:rPr>
                <w:bCs/>
                <w:color w:val="000000" w:themeColor="text1"/>
              </w:rPr>
              <w:t xml:space="preserve">Tổ 3 Trưng Nhị, thành phố Phúc Yên, Vĩnh Phúc </w:t>
            </w:r>
            <w:r>
              <w:rPr>
                <w:bCs/>
              </w:rPr>
            </w:r>
            <w:r>
              <w:rPr>
                <w:bCs/>
              </w:rPr>
            </w:r>
          </w:p>
        </w:tc>
      </w:tr>
    </w:tbl>
    <w:p w14:paraId="621972A2" w14:textId="7EAC10D2">
      <w:pPr>
        <w:pStyle w:val="1025"/>
        <w:pBdr/>
        <w:tabs>
          <w:tab w:val="left" w:leader="none" w:pos="284"/>
        </w:tabs>
        <w:spacing w:after="120" w:line="320" w:lineRule="atLeast"/>
        <w:ind w:left="0"/>
        <w:jc w:val="both"/>
        <w:rPr>
          <w:b/>
          <w:bCs/>
          <w:highlight w:val="none"/>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highlight w:val="none"/>
          <w:lang w:val="pt-BR"/>
        </w:rPr>
      </w:r>
      <w:r>
        <w:rPr>
          <w:b/>
          <w:bCs/>
          <w:highlight w:val="none"/>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Giấy chứng nhận số DM028298, Số vào sổ cấp GCN CN 03763, Nơi cấp CN VP Đăng Ký Đất Đai Thành Phố Phúc Yên, Ngày</w:t>
            </w:r>
            <w:r>
              <w:rPr>
                <w:bCs/>
                <w:color w:val="000000" w:themeColor="text1"/>
                <w:lang w:val="pt-BR"/>
              </w:rPr>
              <w:t xml:space="preserve"> cấp 15/08/2023, Số thửa 469, Tờ bản đồ 41, Địa chỉ trên sổ Phường Tiền Châu, thành phố Phúc Yên Tỉnh Vĩnh Phúc | Tài sản tại: Xã Tiền Châu, Thị xã Phúc Yên, Tỉnh Vĩnh Phúc, độ rộng đường trước mặt tài sản 10m, mặt tiền 5m, 21.225527777778, 105.70111111111</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Tiền Châu, thành phố Phúc Yên Tỉnh Vĩnh Phúc</w:t>
            </w:r>
            <w:r>
              <w:rPr>
                <w:color w:val="ee0000"/>
                <w:lang w:val="pt-BR"/>
              </w:rPr>
            </w:r>
            <w:r>
              <w:rPr>
                <w:color w:val="ee0000"/>
                <w:lang w:val="pt-BR"/>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b w:val="0"/>
          <w:bCs w:val="0"/>
          <w:i/>
          <w:iCs/>
        </w:rPr>
      </w:pPr>
      <w:r>
        <w:rPr>
          <w:b w:val="0"/>
          <w:bCs w:val="0"/>
          <w:color w:val="000000" w:themeColor="text1"/>
          <w:lang w:val="pt-BR"/>
        </w:rPr>
      </w:r>
      <w:r>
        <w:rPr>
          <w:rFonts w:ascii="Times New Roman" w:hAnsi="Times New Roman" w:eastAsia="Times New Roman" w:cs="Times New Roman"/>
          <w:b w:val="0"/>
          <w:bCs w:val="0"/>
          <w:color w:val="000000"/>
          <w:sz w:val="24"/>
        </w:rPr>
        <w:t xml:space="preserve">Giấy chứng nhận quyền sử dụng đất quyền sở hữu nhà ở và tài sản khác gắn liền với đất số: DM 028298, số vào sổ cấp GCN: CN 03763 do Chi nhánh văn phòng đăng ký đất đai thành phố Phúc Yên cấp ngày 15/8/2023; Chủ sử dụng đất là Ông Lưu Văn Thuyên</w:t>
      </w:r>
      <w:r>
        <w:rPr>
          <w:b w:val="0"/>
          <w:bCs w:val="0"/>
          <w:color w:val="000000" w:themeColor="text1"/>
          <w:lang w:val="pt-BR"/>
        </w:rPr>
        <w:t xml:space="preserve">.</w:t>
      </w:r>
      <w:r>
        <w:rPr>
          <w:b w:val="0"/>
          <w:bCs w:val="0"/>
          <w:i/>
          <w:iCs/>
        </w:rPr>
      </w:r>
      <w:r>
        <w:rPr>
          <w:b w:val="0"/>
          <w:bCs w:val="0"/>
          <w:i/>
          <w:iCs/>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275/2026/0051/VFI-HĐTĐ.55.A ngày 12/01/2026 giữa Đào Quang Trung với Công ty Cổ phần Thẩm định và Đầu tư Tài chính Hoa Sen.</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right="0" w:firstLine="425" w:left="0"/>
        <w:jc w:val="both"/>
        <w:rPr>
          <w:rFonts w:ascii="Times New Roman" w:hAnsi="Times New Roman" w:cs="Times New Roman"/>
          <w:b w:val="0"/>
          <w:bCs w:val="0"/>
          <w:iCs/>
          <w:color w:val="000000" w:themeColor="text1"/>
          <w:sz w:val="24"/>
          <w:szCs w:val="24"/>
          <w:highlight w:val="none"/>
        </w:rPr>
      </w:pPr>
      <w:r>
        <w:rPr>
          <w:rFonts w:ascii="Times New Roman" w:hAnsi="Times New Roman" w:eastAsia="Times New Roman" w:cs="Times New Roman"/>
          <w:b w:val="0"/>
          <w:bCs w:val="0"/>
          <w:color w:val="000000" w:themeColor="text1"/>
          <w:sz w:val="24"/>
          <w:szCs w:val="24"/>
          <w:lang w:val="pt-BR"/>
        </w:rPr>
        <w:tab/>
      </w:r>
      <w:r>
        <w:rPr>
          <w:rFonts w:ascii="Times New Roman" w:hAnsi="Times New Roman" w:eastAsia="Times New Roman" w:cs="Times New Roman"/>
          <w:b w:val="0"/>
          <w:bCs w:val="0"/>
          <w:color w:val="000000" w:themeColor="text1"/>
          <w:sz w:val="24"/>
          <w:szCs w:val="24"/>
          <w:highlight w:val="white"/>
        </w:rPr>
        <w:t xml:space="preserve">Dự án Khu đô thị Hùng Vương có vị trí nằm cạnh đường QL2A, phường Hùng Vương và phường Tiền Châu, thành phố Phúc Yên, tỉnh Vĩnh Phúc. Dự án Khu đô thị Hùng Vương có phía Bắc giáp khu dân cư trục QL2A; phía Đông giáp khu dân cư và tỉnh lộ 317; phía Tây giáp</w:t>
      </w:r>
      <w:r>
        <w:rPr>
          <w:rFonts w:ascii="Times New Roman" w:hAnsi="Times New Roman" w:eastAsia="Times New Roman" w:cs="Times New Roman"/>
          <w:b w:val="0"/>
          <w:bCs w:val="0"/>
          <w:color w:val="000000" w:themeColor="text1"/>
          <w:sz w:val="24"/>
          <w:szCs w:val="24"/>
          <w:highlight w:val="white"/>
        </w:rPr>
        <w:t xml:space="preserve"> QL23 và đất ruộng xã Tiền Châu; phía Nam giáp khu dân cư xã Thanh Lâm.</w:t>
      </w:r>
      <w:r>
        <w:rPr>
          <w:rFonts w:ascii="Times New Roman" w:hAnsi="Times New Roman" w:cs="Times New Roman"/>
          <w:b w:val="0"/>
          <w:bCs w:val="0"/>
          <w:iCs/>
          <w:color w:val="000000" w:themeColor="text1"/>
          <w:sz w:val="24"/>
          <w:szCs w:val="24"/>
          <w:highlight w:val="none"/>
        </w:rPr>
      </w:r>
      <w:r>
        <w:rPr>
          <w:rFonts w:ascii="Times New Roman" w:hAnsi="Times New Roman" w:cs="Times New Roman"/>
          <w:b w:val="0"/>
          <w:bCs w:val="0"/>
          <w:iCs/>
          <w:color w:val="000000" w:themeColor="text1"/>
          <w:sz w:val="24"/>
          <w:szCs w:val="24"/>
          <w:highlight w:val="none"/>
        </w:rPr>
      </w:r>
    </w:p>
    <w:p w14:paraId="61F9DE7C">
      <w:pPr>
        <w:pBdr/>
        <w:tabs>
          <w:tab w:val="left" w:leader="none" w:pos="426"/>
        </w:tabs>
        <w:spacing w:after="120" w:before="120" w:line="276" w:lineRule="auto"/>
        <w:ind w:right="0" w:firstLine="425" w:left="0"/>
        <w:jc w:val="both"/>
        <w:rPr>
          <w:rFonts w:ascii="Times New Roman" w:hAnsi="Times New Roman" w:cs="Times New Roman"/>
          <w:b w:val="0"/>
          <w:bCs w:val="0"/>
          <w:color w:val="000000" w:themeColor="text1"/>
          <w:sz w:val="24"/>
          <w:szCs w:val="24"/>
          <w:highlight w:val="none"/>
        </w:rPr>
      </w:pPr>
      <w:r>
        <w:rPr>
          <w:rFonts w:ascii="Times New Roman" w:hAnsi="Times New Roman" w:eastAsia="Times New Roman" w:cs="Times New Roman"/>
          <w:b w:val="0"/>
          <w:bCs w:val="0"/>
          <w:color w:val="000000" w:themeColor="text1"/>
          <w:sz w:val="24"/>
          <w:szCs w:val="24"/>
          <w:highlight w:val="none"/>
          <w:shd w:val="clear" w:color="auto" w:fill="ffffff"/>
          <w:lang w:val="pt-BR" w:bidi="pt-BR"/>
        </w:rPr>
      </w:r>
      <w:r>
        <w:rPr>
          <w:rFonts w:ascii="Times New Roman" w:hAnsi="Times New Roman" w:eastAsia="Times New Roman" w:cs="Times New Roman"/>
          <w:b w:val="0"/>
          <w:bCs w:val="0"/>
          <w:color w:val="000000" w:themeColor="text1"/>
          <w:sz w:val="24"/>
          <w:szCs w:val="24"/>
          <w:highlight w:val="white"/>
        </w:rPr>
        <w:t xml:space="preserve">Dự án Khu đô thị Hùng Vương có tổng diện tích quy hoạch 82,34 ha; diện tích đất nhà phố liền kề 95.680 m2; diện tích đất biệt thự 48.897 m2; diện tích xây dựng tòa nhà cao tầng 96.300 m2, mật độ xây dựng đạt 30%.</w:t>
      </w:r>
      <w:r>
        <w:rPr>
          <w:rFonts w:ascii="Times New Roman" w:hAnsi="Times New Roman" w:cs="Times New Roman"/>
          <w:b w:val="0"/>
          <w:bCs w:val="0"/>
          <w:color w:val="000000" w:themeColor="text1"/>
          <w:sz w:val="24"/>
          <w:szCs w:val="24"/>
          <w:highlight w:val="none"/>
        </w:rPr>
      </w:r>
      <w:r>
        <w:rPr>
          <w:rFonts w:ascii="Times New Roman" w:hAnsi="Times New Roman" w:cs="Times New Roman"/>
          <w:b w:val="0"/>
          <w:bCs w:val="0"/>
          <w:color w:val="000000" w:themeColor="text1"/>
          <w:sz w:val="24"/>
          <w:szCs w:val="24"/>
          <w:highlight w:val="none"/>
        </w:rPr>
      </w:r>
    </w:p>
    <w:p w14:paraId="11DFE732">
      <w:pPr>
        <w:pBdr>
          <w:top w:val="none" w:color="000000" w:sz="4" w:space="0"/>
          <w:left w:val="none" w:color="000000" w:sz="4" w:space="0"/>
          <w:bottom w:val="none" w:color="000000" w:sz="4" w:space="0"/>
          <w:right w:val="none" w:color="000000" w:sz="4" w:space="0"/>
        </w:pBdr>
        <w:shd w:val="clear" w:color="ffffff" w:fill="ffffff"/>
        <w:spacing w:after="150" w:before="0" w:line="450" w:lineRule="atLeast"/>
        <w:ind w:right="0" w:firstLine="425" w:left="0"/>
        <w:jc w:val="both"/>
        <w:rPr>
          <w:rFonts w:ascii="Times New Roman" w:hAnsi="Times New Roman" w:cs="Times New Roman"/>
          <w:b w:val="0"/>
          <w:bCs w:val="0"/>
          <w:color w:val="000000" w:themeColor="text1"/>
          <w:szCs w:val="24"/>
        </w:rPr>
      </w:pPr>
      <w:r>
        <w:rPr>
          <w:rFonts w:ascii="Times New Roman" w:hAnsi="Times New Roman" w:eastAsia="Times New Roman" w:cs="Times New Roman"/>
          <w:b w:val="0"/>
          <w:bCs w:val="0"/>
          <w:color w:val="000000" w:themeColor="text1"/>
          <w:sz w:val="24"/>
          <w:szCs w:val="24"/>
        </w:rPr>
        <w:t xml:space="preserve">ự án Khu đô thị Hùng Vương do Công ty Cổ phần Xây dựng Thăng Long làm chủ đầu tư, có trụ sở chính tại khu đô thị mới Hùng Vương, phường Tiền Châu và phường Hùng Vương, thành phố Phúc Yên, tỉnh Vĩnh Phúc.</w:t>
      </w:r>
      <w:r>
        <w:rPr>
          <w:rFonts w:ascii="Times New Roman" w:hAnsi="Times New Roman" w:cs="Times New Roman"/>
          <w:b w:val="0"/>
          <w:bCs w:val="0"/>
          <w:color w:val="000000" w:themeColor="text1"/>
          <w:szCs w:val="24"/>
        </w:rPr>
      </w:r>
      <w:r>
        <w:rPr>
          <w:rFonts w:ascii="Times New Roman" w:hAnsi="Times New Roman" w:cs="Times New Roman"/>
          <w:b w:val="0"/>
          <w:bCs w:val="0"/>
          <w:color w:val="000000" w:themeColor="text1"/>
          <w:szCs w:val="24"/>
        </w:rPr>
      </w:r>
    </w:p>
    <w:p w14:paraId="66A5EC7D">
      <w:pPr>
        <w:pBdr>
          <w:top w:val="none" w:color="000000" w:sz="4" w:space="0"/>
          <w:left w:val="none" w:color="000000" w:sz="4" w:space="0"/>
          <w:bottom w:val="none" w:color="000000" w:sz="4" w:space="0"/>
          <w:right w:val="none" w:color="000000" w:sz="4" w:space="0"/>
        </w:pBdr>
        <w:shd w:val="clear" w:color="ffffff" w:fill="ffffff"/>
        <w:spacing w:after="150" w:before="0" w:line="450" w:lineRule="atLeast"/>
        <w:ind w:right="0" w:firstLine="425" w:left="0"/>
        <w:jc w:val="both"/>
        <w:rPr>
          <w:rFonts w:ascii="Times New Roman" w:hAnsi="Times New Roman" w:cs="Times New Roman"/>
          <w:b w:val="0"/>
          <w:bCs w:val="0"/>
          <w:color w:val="000000" w:themeColor="text1"/>
          <w:szCs w:val="24"/>
        </w:rPr>
      </w:pPr>
      <w:r>
        <w:rPr>
          <w:rFonts w:ascii="Times New Roman" w:hAnsi="Times New Roman" w:eastAsia="Times New Roman" w:cs="Times New Roman"/>
          <w:b w:val="0"/>
          <w:bCs w:val="0"/>
          <w:color w:val="000000" w:themeColor="text1"/>
          <w:sz w:val="24"/>
          <w:szCs w:val="24"/>
        </w:rPr>
        <w:t xml:space="preserve">Công ty Cổ phần Xây dựng Thăng Long thành lập ngày 15/12/2006 do ông Nguyễn Thế Vinh làm người đại diện pháp luật, hoạt động chính trong các lĩnh vực kinh doanh bất động sản, quyền sử dụng đất thuộc chủ sở hữu, chủ sử dụng hoặc đi thuê; tư vấn, môi giới, đ</w:t>
      </w:r>
      <w:r>
        <w:rPr>
          <w:rFonts w:ascii="Times New Roman" w:hAnsi="Times New Roman" w:eastAsia="Times New Roman" w:cs="Times New Roman"/>
          <w:b w:val="0"/>
          <w:bCs w:val="0"/>
          <w:color w:val="000000" w:themeColor="text1"/>
          <w:sz w:val="24"/>
          <w:szCs w:val="24"/>
        </w:rPr>
        <w:t xml:space="preserve">ấu giá bất động sản, đấu giá quyền sử dụng đất; dịch vụ lưu trú ngắn ngày; hoạt động xây dựng chuyên dụng khác; hoàn thiện công trình xây dựng.</w:t>
      </w:r>
      <w:r>
        <w:rPr>
          <w:rFonts w:ascii="Times New Roman" w:hAnsi="Times New Roman" w:cs="Times New Roman"/>
          <w:b w:val="0"/>
          <w:bCs w:val="0"/>
          <w:color w:val="000000" w:themeColor="text1"/>
          <w:szCs w:val="24"/>
        </w:rPr>
      </w:r>
      <w:r>
        <w:rPr>
          <w:rFonts w:ascii="Times New Roman" w:hAnsi="Times New Roman" w:cs="Times New Roman"/>
          <w:b w:val="0"/>
          <w:bCs w:val="0"/>
          <w:color w:val="000000" w:themeColor="text1"/>
          <w:szCs w:val="24"/>
        </w:rPr>
      </w:r>
    </w:p>
    <w:p w14:paraId="40FFFF20">
      <w:pPr>
        <w:pBdr/>
        <w:tabs>
          <w:tab w:val="left" w:leader="none" w:pos="426"/>
        </w:tabs>
        <w:spacing w:after="120" w:before="120" w:line="276" w:lineRule="auto"/>
        <w:ind w:right="0" w:firstLine="425" w:left="0"/>
        <w:jc w:val="both"/>
        <w:rPr>
          <w:rFonts w:ascii="Times New Roman" w:hAnsi="Times New Roman" w:cs="Times New Roman"/>
          <w:b w:val="0"/>
          <w:bCs w:val="0"/>
          <w:color w:val="000000" w:themeColor="text1"/>
          <w:sz w:val="24"/>
          <w:szCs w:val="24"/>
          <w:highlight w:val="none"/>
        </w:rPr>
      </w:pPr>
      <w:r>
        <w:rPr>
          <w:rFonts w:ascii="Times New Roman" w:hAnsi="Times New Roman" w:eastAsia="Times New Roman" w:cs="Times New Roman"/>
          <w:b w:val="0"/>
          <w:bCs w:val="0"/>
          <w:color w:val="000000" w:themeColor="text1"/>
          <w:sz w:val="24"/>
          <w:szCs w:val="24"/>
          <w:highlight w:val="none"/>
          <w:shd w:val="clear" w:color="auto" w:fill="ffffff"/>
          <w:lang w:val="pt-BR" w:bidi="pt-BR"/>
        </w:rPr>
      </w:r>
      <w:r>
        <w:rPr>
          <w:rFonts w:ascii="Times New Roman" w:hAnsi="Times New Roman" w:eastAsia="Times New Roman" w:cs="Times New Roman"/>
          <w:b w:val="0"/>
          <w:bCs w:val="0"/>
          <w:color w:val="000000" w:themeColor="text1"/>
          <w:sz w:val="24"/>
          <w:szCs w:val="24"/>
          <w:highlight w:val="white"/>
        </w:rPr>
        <w:t xml:space="preserve">Tiện ích ngoại khu dự án Khu đô thị Hùng Vương: Cách chân cầu Thăng Long 10 km, cách đường trục chính huyện Mê Linh 200 m, trung tâm thị xã Phúc Yên, cách bệnh viện đa khoa khu vực Phúc Yên 500 m, bệnh viện 74 khoảng 400 m, cách bến xe thành phố 200 m…</w:t>
      </w:r>
      <w:r>
        <w:rPr>
          <w:rFonts w:ascii="Times New Roman" w:hAnsi="Times New Roman" w:cs="Times New Roman"/>
          <w:b w:val="0"/>
          <w:bCs w:val="0"/>
          <w:color w:val="000000" w:themeColor="text1"/>
          <w:sz w:val="24"/>
          <w:szCs w:val="24"/>
          <w:highlight w:val="none"/>
        </w:rPr>
      </w:r>
      <w:r>
        <w:rPr>
          <w:rFonts w:ascii="Times New Roman" w:hAnsi="Times New Roman" w:cs="Times New Roman"/>
          <w:b w:val="0"/>
          <w:bCs w:val="0"/>
          <w:color w:val="000000" w:themeColor="text1"/>
          <w:sz w:val="24"/>
          <w:szCs w:val="24"/>
          <w:highlight w:val="none"/>
        </w:rPr>
      </w:r>
    </w:p>
    <w:p w14:paraId="5AE8197B">
      <w:pPr>
        <w:pBdr/>
        <w:tabs>
          <w:tab w:val="left" w:leader="none" w:pos="426"/>
        </w:tabs>
        <w:spacing w:after="120" w:before="120" w:line="276" w:lineRule="auto"/>
        <w:ind w:right="0" w:firstLine="425" w:left="0"/>
        <w:jc w:val="center"/>
        <w:rPr>
          <w:rFonts w:ascii="Times New Roman" w:hAnsi="Times New Roman" w:cs="Times New Roman"/>
          <w:b w:val="0"/>
          <w:bCs w:val="0"/>
          <w:i/>
          <w:color w:val="000000" w:themeColor="text1"/>
          <w:sz w:val="24"/>
          <w:szCs w:val="24"/>
        </w:rPr>
      </w:pPr>
      <w:r>
        <w:rPr>
          <w:rFonts w:ascii="Times New Roman" w:hAnsi="Times New Roman" w:eastAsia="Times New Roman" w:cs="Times New Roman"/>
          <w:b w:val="0"/>
          <w:bCs w:val="0"/>
          <w:color w:val="000000" w:themeColor="text1"/>
          <w:sz w:val="24"/>
          <w:szCs w:val="24"/>
          <w:highlight w:val="none"/>
          <w:shd w:val="clear" w:color="auto" w:fill="ffffff"/>
          <w:lang w:val="pt-BR" w:bidi="pt-BR"/>
        </w:rPr>
        <w:t xml:space="preserve">(</w:t>
      </w:r>
      <w:hyperlink r:id="rId17" w:tooltip="https://cafeland.vn/du-an/hung-vuong-du-an-khu-do-thi-tai-vinh-phuc-3543.html" w:history="1">
        <w:r>
          <w:rPr>
            <w:rStyle w:val="1015"/>
            <w:rFonts w:ascii="Times New Roman" w:hAnsi="Times New Roman" w:eastAsia="Times New Roman" w:cs="Times New Roman"/>
            <w:b w:val="0"/>
            <w:bCs w:val="0"/>
            <w:color w:val="000000" w:themeColor="text1"/>
            <w:sz w:val="24"/>
            <w:szCs w:val="24"/>
            <w:u w:val="single"/>
          </w:rPr>
          <w:t xml:space="preserve">Khu đô thị Hùng Vương - CafeLand.Vn</w:t>
        </w:r>
      </w:hyperlink>
      <w:r>
        <w:rPr>
          <w:rFonts w:ascii="Times New Roman" w:hAnsi="Times New Roman" w:eastAsia="Times New Roman" w:cs="Times New Roman"/>
          <w:b w:val="0"/>
          <w:bCs w:val="0"/>
          <w:color w:val="000000" w:themeColor="text1"/>
          <w:sz w:val="24"/>
          <w:szCs w:val="24"/>
          <w:highlight w:val="none"/>
          <w:shd w:val="clear" w:color="auto" w:fill="ffffff"/>
          <w:lang w:val="pt-BR" w:bidi="pt-BR"/>
        </w:rPr>
        <w:t xml:space="preserve">)</w:t>
      </w:r>
      <w:r>
        <w:rPr>
          <w:rFonts w:ascii="Times New Roman" w:hAnsi="Times New Roman" w:cs="Times New Roman"/>
          <w:b w:val="0"/>
          <w:bCs w:val="0"/>
          <w:i/>
          <w:color w:val="000000" w:themeColor="text1"/>
          <w:sz w:val="24"/>
          <w:szCs w:val="24"/>
        </w:rPr>
      </w:r>
      <w:r>
        <w:rPr>
          <w:rFonts w:ascii="Times New Roman" w:hAnsi="Times New Roman" w:cs="Times New Roman"/>
          <w:b w:val="0"/>
          <w:bCs w:val="0"/>
          <w:i/>
          <w:color w:val="000000" w:themeColor="text1"/>
          <w:sz w:val="24"/>
          <w:szCs w:val="24"/>
        </w:rP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2119"/>
        <w:gridCol w:w="2028"/>
        <w:gridCol w:w="2424"/>
        <w:gridCol w:w="2358"/>
      </w:tblGrid>
      <w:tr>
        <w:trPr>
          <w:trHeight w:val="1559"/>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6DD89970">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930" w:type="dxa"/>
            <w:vAlign w:val="center"/>
            <w:textDirection w:val="lrTb"/>
            <w:noWrap w:val="false"/>
          </w:tcPr>
          <w:p w14:paraId="04A8EAD2">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469, tờ bản đồ số 41 có địa chỉ: Phường Tiền Châu, thành phố Phúc Yên, Tỉnh Vĩnh Phúc (nay là Phường Phúc Yên, tỉnh Phú Thọ) theo Giấy chứng nhận quyền sử dụng đất quyền sở hữu nhà ở và tài sản khác gắn liền với đất số: D</w:t>
            </w:r>
            <w:r>
              <w:rPr>
                <w:rFonts w:ascii="Times New Roman" w:hAnsi="Times New Roman" w:eastAsia="Times New Roman" w:cs="Times New Roman"/>
                <w:b/>
                <w:color w:val="000000"/>
                <w:sz w:val="24"/>
              </w:rPr>
              <w:t xml:space="preserve">M 028298, số vào sổ cấp GCN: CN 03763 do Chi nhánh văn phòng đăng ký đất đai thành phố Phúc Yên cấp ngày 15/8/2023; Chủ sử dụng đất là Ông Lưu Văn Thuyên.</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2B6A609C">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930" w:type="dxa"/>
            <w:vAlign w:val="center"/>
            <w:textDirection w:val="lrTb"/>
            <w:noWrap w:val="false"/>
          </w:tcPr>
          <w:p w14:paraId="7B4992C5">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7FCD018B">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0B1F7C5D">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0" w:type="dxa"/>
              <w:top w:w="0" w:type="dxa"/>
              <w:right w:w="0" w:type="dxa"/>
              <w:bottom w:w="0" w:type="dxa"/>
            </w:tcMar>
            <w:tcW w:w="2028" w:type="dxa"/>
            <w:vAlign w:val="center"/>
            <w:textDirection w:val="lrTb"/>
            <w:noWrap w:val="false"/>
          </w:tcPr>
          <w:p w14:paraId="688D8336">
            <w:pPr>
              <w:pBdr/>
              <w:spacing w:after="0" w:before="0" w:line="240" w:lineRule="auto"/>
              <w:ind/>
              <w:jc w:val="center"/>
              <w:rPr/>
            </w:pPr>
            <w:r>
              <w:rPr>
                <w:rFonts w:ascii="Times New Roman" w:hAnsi="Times New Roman" w:eastAsia="Times New Roman" w:cs="Times New Roman"/>
                <w:color w:val="000000"/>
                <w:sz w:val="24"/>
              </w:rPr>
              <w:t xml:space="preserve">469</w:t>
            </w:r>
            <w:r/>
          </w:p>
        </w:tc>
        <w:tc>
          <w:tcPr>
            <w:tcBorders>
              <w:bottom w:val="single" w:color="000000" w:sz="5" w:space="0"/>
              <w:right w:val="single" w:color="000000" w:sz="5" w:space="0"/>
            </w:tcBorders>
            <w:tcMar>
              <w:left w:w="0" w:type="dxa"/>
              <w:top w:w="0" w:type="dxa"/>
              <w:right w:w="0" w:type="dxa"/>
              <w:bottom w:w="0" w:type="dxa"/>
            </w:tcMar>
            <w:tcW w:w="2424" w:type="dxa"/>
            <w:vAlign w:val="center"/>
            <w:textDirection w:val="lrTb"/>
            <w:noWrap w:val="false"/>
          </w:tcPr>
          <w:p w14:paraId="5B77A422">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358" w:type="dxa"/>
            <w:vAlign w:val="center"/>
            <w:textDirection w:val="lrTb"/>
            <w:noWrap w:val="false"/>
          </w:tcPr>
          <w:p w14:paraId="37F5AA09">
            <w:pPr>
              <w:pBdr/>
              <w:spacing w:after="0" w:before="0" w:line="240" w:lineRule="auto"/>
              <w:ind/>
              <w:jc w:val="center"/>
              <w:rPr/>
            </w:pPr>
            <w:r>
              <w:rPr>
                <w:rFonts w:ascii="Times New Roman" w:hAnsi="Times New Roman" w:eastAsia="Times New Roman" w:cs="Times New Roman"/>
                <w:color w:val="000000"/>
                <w:sz w:val="24"/>
              </w:rPr>
              <w:t xml:space="preserve">41</w:t>
            </w:r>
            <w:r/>
          </w:p>
        </w:tc>
      </w:tr>
      <w:tr>
        <w:trPr>
          <w:trHeight w:val="67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1241EE92">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21F8204F">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11" w:type="dxa"/>
            <w:vAlign w:val="center"/>
            <w:textDirection w:val="lrTb"/>
            <w:noWrap w:val="false"/>
          </w:tcPr>
          <w:p w14:paraId="0A272832">
            <w:pPr>
              <w:pBdr/>
              <w:spacing w:after="0" w:before="0" w:line="240" w:lineRule="auto"/>
              <w:ind/>
              <w:jc w:val="both"/>
              <w:rPr/>
            </w:pPr>
            <w:r>
              <w:rPr>
                <w:rFonts w:ascii="Times New Roman" w:hAnsi="Times New Roman" w:eastAsia="Times New Roman" w:cs="Times New Roman"/>
                <w:color w:val="000000"/>
                <w:sz w:val="24"/>
              </w:rPr>
              <w:t xml:space="preserve">Phường Tiền Châu, thành phố Phúc Yên, Tỉnh Vĩnh Phúc (nay là Phường Phúc Yên, tỉnh Phú Thọ)</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64DFC676">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39FD028D">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2028" w:type="dxa"/>
            <w:vAlign w:val="center"/>
            <w:textDirection w:val="lrTb"/>
            <w:noWrap w:val="false"/>
          </w:tcPr>
          <w:p w14:paraId="1EDC1B31">
            <w:pPr>
              <w:pBdr/>
              <w:spacing w:after="0" w:before="0" w:line="240" w:lineRule="auto"/>
              <w:ind/>
              <w:jc w:val="center"/>
              <w:rPr/>
            </w:pPr>
            <w:r>
              <w:rPr>
                <w:rFonts w:ascii="Times New Roman" w:hAnsi="Times New Roman" w:eastAsia="Times New Roman" w:cs="Times New Roman"/>
                <w:color w:val="000000"/>
                <w:sz w:val="24"/>
              </w:rPr>
              <w:t xml:space="preserve">100,0</w:t>
            </w:r>
            <w:r/>
          </w:p>
        </w:tc>
        <w:tc>
          <w:tcPr>
            <w:tcBorders>
              <w:bottom w:val="single" w:color="000000" w:sz="5" w:space="0"/>
              <w:right w:val="single" w:color="000000" w:sz="5" w:space="0"/>
            </w:tcBorders>
            <w:tcMar>
              <w:left w:w="0" w:type="dxa"/>
              <w:top w:w="0" w:type="dxa"/>
              <w:right w:w="0" w:type="dxa"/>
              <w:bottom w:w="0" w:type="dxa"/>
            </w:tcMar>
            <w:tcW w:w="2424" w:type="dxa"/>
            <w:vAlign w:val="center"/>
            <w:textDirection w:val="lrTb"/>
            <w:noWrap w:val="false"/>
          </w:tcPr>
          <w:p w14:paraId="5ACC9A5A">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358" w:type="dxa"/>
            <w:vAlign w:val="center"/>
            <w:textDirection w:val="lrTb"/>
            <w:noWrap w:val="false"/>
          </w:tcPr>
          <w:p w14:paraId="50C62852">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4B4D92BF">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05597E7B">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2028" w:type="dxa"/>
            <w:vAlign w:val="center"/>
            <w:textDirection w:val="lrTb"/>
            <w:noWrap w:val="false"/>
          </w:tcPr>
          <w:p w14:paraId="57E3E678">
            <w:pPr>
              <w:pBdr/>
              <w:spacing w:after="0" w:before="0" w:line="240" w:lineRule="auto"/>
              <w:ind/>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5" w:space="0"/>
              <w:right w:val="single" w:color="000000" w:sz="5" w:space="0"/>
            </w:tcBorders>
            <w:tcMar>
              <w:left w:w="0" w:type="dxa"/>
              <w:top w:w="0" w:type="dxa"/>
              <w:right w:w="0" w:type="dxa"/>
              <w:bottom w:w="0" w:type="dxa"/>
            </w:tcMar>
            <w:tcW w:w="2424" w:type="dxa"/>
            <w:vAlign w:val="center"/>
            <w:textDirection w:val="lrTb"/>
            <w:noWrap w:val="false"/>
          </w:tcPr>
          <w:p w14:paraId="5C885858">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358" w:type="dxa"/>
            <w:vAlign w:val="center"/>
            <w:textDirection w:val="lrTb"/>
            <w:noWrap w:val="false"/>
          </w:tcPr>
          <w:p w14:paraId="573CC8FD">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vMerge w:val="restart"/>
            <w:textDirection w:val="lrTb"/>
            <w:noWrap w:val="false"/>
          </w:tcPr>
          <w:p w14:paraId="4696D1F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vMerge w:val="restart"/>
            <w:textDirection w:val="lrTb"/>
            <w:noWrap w:val="false"/>
          </w:tcPr>
          <w:p w14:paraId="3E069736">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11" w:type="dxa"/>
            <w:vAlign w:val="center"/>
            <w:vMerge w:val="restart"/>
            <w:textDirection w:val="lrTb"/>
            <w:noWrap w:val="false"/>
          </w:tcPr>
          <w:p w14:paraId="25D2DF1E">
            <w:pPr>
              <w:pBdr>
                <w:top w:val="none" w:color="000000" w:sz="4" w:space="0"/>
                <w:left w:val="none" w:color="000000" w:sz="4" w:space="0"/>
                <w:bottom w:val="none" w:color="000000" w:sz="4" w:space="0"/>
                <w:right w:val="none" w:color="000000" w:sz="4" w:space="0"/>
              </w:pBdr>
              <w:spacing w:line="276" w:lineRule="atLeast"/>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5F8EA553">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4C03435A">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11" w:type="dxa"/>
            <w:vAlign w:val="center"/>
            <w:textDirection w:val="lrTb"/>
            <w:noWrap w:val="false"/>
          </w:tcPr>
          <w:p w14:paraId="27857A94">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thậm định chưa thu thập được các thông tin quy hoạch liên quan đến thửa đất thẩm định giá.</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4DD41A09">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930" w:type="dxa"/>
            <w:vAlign w:val="center"/>
            <w:textDirection w:val="lrTb"/>
            <w:noWrap w:val="false"/>
          </w:tcPr>
          <w:p w14:paraId="386E9A85">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68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30D1F30D">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930" w:type="dxa"/>
            <w:vAlign w:val="center"/>
            <w:textDirection w:val="lrTb"/>
            <w:noWrap w:val="false"/>
          </w:tcPr>
          <w:p w14:paraId="1CC42404">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8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424788E1">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74D6A11B">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11" w:type="dxa"/>
            <w:vAlign w:val="center"/>
            <w:textDirection w:val="lrTb"/>
            <w:noWrap w:val="false"/>
          </w:tcPr>
          <w:p w14:paraId="1875229F">
            <w:pPr>
              <w:pBdr/>
              <w:spacing w:after="0" w:before="0" w:line="240" w:lineRule="auto"/>
              <w:ind/>
              <w:jc w:val="both"/>
              <w:rPr/>
            </w:pPr>
            <w:r>
              <w:rPr>
                <w:rFonts w:ascii="Times New Roman" w:hAnsi="Times New Roman" w:eastAsia="Times New Roman" w:cs="Times New Roman"/>
                <w:color w:val="000000"/>
                <w:sz w:val="24"/>
              </w:rPr>
              <w:t xml:space="preserve">Phường Tiền Châu, thành phố Phúc Yên, Tỉnh Vĩnh Phúc (nay là Phường Phúc Yên, tỉnh Phú Thọ)</w:t>
            </w:r>
            <w:r/>
          </w:p>
        </w:tc>
      </w:tr>
      <w:tr>
        <w:trPr>
          <w:trHeight w:val="5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766DE75A">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119" w:type="dxa"/>
            <w:vAlign w:val="center"/>
            <w:textDirection w:val="lrTb"/>
            <w:noWrap w:val="false"/>
          </w:tcPr>
          <w:p w14:paraId="61A456B6">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5" w:space="0"/>
            </w:tcBorders>
            <w:tcMar>
              <w:left w:w="0" w:type="dxa"/>
              <w:top w:w="0" w:type="dxa"/>
              <w:right w:w="0" w:type="dxa"/>
              <w:bottom w:w="0" w:type="dxa"/>
            </w:tcMar>
            <w:tcW w:w="2028" w:type="dxa"/>
            <w:vAlign w:val="center"/>
            <w:textDirection w:val="lrTb"/>
            <w:noWrap w:val="false"/>
          </w:tcPr>
          <w:p w14:paraId="5C5EECF1">
            <w:pPr>
              <w:pBdr/>
              <w:spacing w:after="0" w:before="0" w:line="240" w:lineRule="auto"/>
              <w:ind/>
              <w:jc w:val="center"/>
              <w:rPr/>
            </w:pPr>
            <w:r>
              <w:rPr>
                <w:rFonts w:ascii="Times New Roman" w:hAnsi="Times New Roman" w:eastAsia="Times New Roman" w:cs="Times New Roman"/>
                <w:color w:val="000000"/>
                <w:sz w:val="24"/>
              </w:rPr>
              <w:t xml:space="preserve">Đường nhựa</w:t>
            </w:r>
            <w:r/>
          </w:p>
        </w:tc>
        <w:tc>
          <w:tcPr>
            <w:tcBorders>
              <w:right w:val="single" w:color="000000" w:sz="5" w:space="0"/>
            </w:tcBorders>
            <w:tcMar>
              <w:left w:w="0" w:type="dxa"/>
              <w:top w:w="0" w:type="dxa"/>
              <w:right w:w="0" w:type="dxa"/>
              <w:bottom w:w="0" w:type="dxa"/>
            </w:tcMar>
            <w:tcW w:w="2424" w:type="dxa"/>
            <w:vAlign w:val="center"/>
            <w:textDirection w:val="lrTb"/>
            <w:noWrap w:val="false"/>
          </w:tcPr>
          <w:p w14:paraId="6EAE3E67">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5" w:space="0"/>
            </w:tcBorders>
            <w:tcMar>
              <w:left w:w="0" w:type="dxa"/>
              <w:top w:w="0" w:type="dxa"/>
              <w:right w:w="0" w:type="dxa"/>
              <w:bottom w:w="0" w:type="dxa"/>
            </w:tcMar>
            <w:tcW w:w="2358" w:type="dxa"/>
            <w:vAlign w:val="center"/>
            <w:textDirection w:val="lrTb"/>
            <w:noWrap w:val="false"/>
          </w:tcPr>
          <w:p w14:paraId="262BE6E8">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r>
      <w:tr>
        <w:trPr>
          <w:trHeight w:val="1248"/>
        </w:trPr>
        <w:tc>
          <w:tcPr>
            <w:tcBorders>
              <w:left w:val="single" w:color="000000" w:sz="5" w:space="0"/>
              <w:bottom w:val="single" w:color="000000" w:sz="5" w:space="0"/>
            </w:tcBorders>
            <w:tcMar>
              <w:left w:w="0" w:type="dxa"/>
              <w:top w:w="0" w:type="dxa"/>
              <w:right w:w="0" w:type="dxa"/>
              <w:bottom w:w="0" w:type="dxa"/>
            </w:tcMar>
            <w:tcW w:w="595" w:type="dxa"/>
            <w:vAlign w:val="center"/>
            <w:textDirection w:val="lrTb"/>
            <w:noWrap w:val="false"/>
          </w:tcPr>
          <w:p w14:paraId="6686574C">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2B1202FE">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028" w:type="dxa"/>
            <w:vAlign w:val="center"/>
            <w:textDirection w:val="lrTb"/>
            <w:noWrap w:val="false"/>
          </w:tcPr>
          <w:p w14:paraId="357212D3">
            <w:pPr>
              <w:pBdr/>
              <w:spacing w:after="0" w:before="0" w:line="240" w:lineRule="auto"/>
              <w:ind/>
              <w:jc w:val="center"/>
              <w:rPr/>
            </w:pPr>
            <w:r>
              <w:rPr>
                <w:rFonts w:ascii="Times New Roman" w:hAnsi="Times New Roman" w:eastAsia="Times New Roman" w:cs="Times New Roman"/>
                <w:color w:val="000000"/>
                <w:sz w:val="24"/>
              </w:rPr>
              <w:t xml:space="preserve">Khoảng 13,5m</w:t>
            </w:r>
            <w:r/>
          </w:p>
        </w:tc>
        <w:tc>
          <w:tcPr>
            <w:tcBorders>
              <w:top w:val="single" w:color="000000" w:sz="5" w:space="0"/>
              <w:bottom w:val="single" w:color="000000" w:sz="5" w:space="0"/>
              <w:right w:val="single" w:color="000000" w:sz="5" w:space="0"/>
            </w:tcBorders>
            <w:tcMar>
              <w:left w:w="0" w:type="dxa"/>
              <w:top w:w="0" w:type="dxa"/>
              <w:right w:w="0" w:type="dxa"/>
              <w:bottom w:w="0" w:type="dxa"/>
            </w:tcMar>
            <w:tcW w:w="2424" w:type="dxa"/>
            <w:vAlign w:val="center"/>
            <w:textDirection w:val="lrTb"/>
            <w:noWrap w:val="false"/>
          </w:tcPr>
          <w:p w14:paraId="5B6F5D27">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58" w:type="dxa"/>
            <w:vAlign w:val="center"/>
            <w:textDirection w:val="lrTb"/>
            <w:noWrap w:val="false"/>
          </w:tcPr>
          <w:p w14:paraId="02E78BDF">
            <w:pPr>
              <w:pBdr/>
              <w:spacing w:after="0" w:before="0" w:line="240" w:lineRule="auto"/>
              <w:ind/>
              <w:jc w:val="center"/>
              <w:rPr/>
            </w:pPr>
            <w:r>
              <w:rPr>
                <w:rFonts w:ascii="Times New Roman" w:hAnsi="Times New Roman" w:eastAsia="Times New Roman" w:cs="Times New Roman"/>
                <w:color w:val="000000"/>
                <w:sz w:val="24"/>
              </w:rPr>
              <w:t xml:space="preserve">Khoảng 13,5m</w:t>
            </w:r>
            <w:r/>
          </w:p>
        </w:tc>
      </w:tr>
      <w:tr>
        <w:trPr>
          <w:trHeight w:val="98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04BF8D4B">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119" w:type="dxa"/>
            <w:vAlign w:val="center"/>
            <w:textDirection w:val="lrTb"/>
            <w:noWrap w:val="false"/>
          </w:tcPr>
          <w:p w14:paraId="6CBBD61D">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11" w:type="dxa"/>
            <w:vAlign w:val="center"/>
            <w:textDirection w:val="lrTb"/>
            <w:noWrap w:val="false"/>
          </w:tcPr>
          <w:p w14:paraId="3AA7703F">
            <w:pPr>
              <w:pBdr/>
              <w:spacing w:after="0" w:before="0" w:line="240" w:lineRule="auto"/>
              <w:ind/>
              <w:jc w:val="both"/>
              <w:rPr/>
            </w:pPr>
            <w:r>
              <w:rPr>
                <w:rFonts w:ascii="Times New Roman" w:hAnsi="Times New Roman" w:eastAsia="Times New Roman" w:cs="Times New Roman"/>
                <w:color w:val="000000"/>
                <w:sz w:val="24"/>
              </w:rPr>
              <w:t xml:space="preserve">Tài sản nằm tại Phường Tiền Châu, thành phố Phúc Yên, Tỉnh Vĩnh Phúc (nay là Phường Phúc Yên, tỉnh Phú Thọ);  Tài sản cách đường Minh Châu khoảng 170m.</w:t>
            </w:r>
            <w:r/>
          </w:p>
        </w:tc>
      </w:tr>
      <w:tr>
        <w:trPr>
          <w:trHeight w:val="67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5EA89F60">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50667AD3">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11" w:type="dxa"/>
            <w:vAlign w:val="center"/>
            <w:textDirection w:val="lrTb"/>
            <w:noWrap w:val="false"/>
          </w:tcPr>
          <w:p w14:paraId="5FD177CC">
            <w:pPr>
              <w:pBdr/>
              <w:spacing w:after="0" w:before="0" w:line="240" w:lineRule="auto"/>
              <w:ind/>
              <w:jc w:val="left"/>
              <w:rPr/>
            </w:pPr>
            <w:r>
              <w:rPr>
                <w:rFonts w:ascii="Times New Roman" w:hAnsi="Times New Roman" w:eastAsia="Times New Roman" w:cs="Times New Roman"/>
                <w:color w:val="000000"/>
                <w:sz w:val="24"/>
              </w:rPr>
              <w:t xml:space="preserve">Hướng Bắc: Tiếp giáp đường nhựa khoảng 13,5m.</w:t>
              <w:br/>
              <w:t xml:space="preserve">Các hướng khác: Tiếp giáp các thửa đất khác.</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01AD0C4B">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930" w:type="dxa"/>
            <w:vAlign w:val="center"/>
            <w:textDirection w:val="lrTb"/>
            <w:noWrap w:val="false"/>
          </w:tcPr>
          <w:p w14:paraId="099EA535">
            <w:pPr>
              <w:pBdr/>
              <w:spacing w:after="0" w:before="0" w:line="240" w:lineRule="auto"/>
              <w:ind/>
              <w:rPr/>
            </w:pPr>
            <w:r>
              <w:rPr>
                <w:rFonts w:ascii="Times New Roman" w:hAnsi="Times New Roman" w:eastAsia="Times New Roman" w:cs="Times New Roman"/>
                <w:color w:val="000000"/>
                <w:sz w:val="24"/>
              </w:rPr>
              <w:t xml:space="preserve">Vị trí trên bản đồ vệ tinh: (21.225550, 105.701058)</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071A131F">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930" w:type="dxa"/>
            <w:vAlign w:val="center"/>
            <w:textDirection w:val="lrTb"/>
            <w:noWrap w:val="false"/>
          </w:tcPr>
          <w:p w14:paraId="1D1AD440">
            <w:pPr>
              <w:pBdr/>
              <w:spacing w:after="0" w:before="0" w:line="240" w:lineRule="auto"/>
              <w:ind/>
              <w:rPr/>
            </w:pPr>
            <w:r>
              <mc:AlternateContent>
                <mc:Choice Requires="wpg">
                  <w:drawing>
                    <wp:inline xmlns:wp="http://schemas.openxmlformats.org/drawingml/2006/wordprocessingDrawing" distT="0" distB="0" distL="0" distR="0">
                      <wp:extent cx="5690601" cy="288744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45995" name=""/>
                              <pic:cNvPicPr>
                                <a:picLocks noChangeAspect="1"/>
                              </pic:cNvPicPr>
                              <pic:nvPr/>
                            </pic:nvPicPr>
                            <pic:blipFill rotWithShape="1">
                              <a:blip r:embed="rId18"/>
                              <a:stretch/>
                            </pic:blipFill>
                            <pic:spPr bwMode="auto">
                              <a:xfrm flipH="0" flipV="0">
                                <a:off x="0" y="0"/>
                                <a:ext cx="5690601" cy="28874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8.08pt;height:227.36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1518BA97">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930" w:type="dxa"/>
            <w:vAlign w:val="center"/>
            <w:textDirection w:val="lrTb"/>
            <w:noWrap w:val="false"/>
          </w:tcPr>
          <w:p w14:paraId="4D37208B">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4EB26A9A">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6BE5D084">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5" w:space="0"/>
              <w:right w:val="single" w:color="000000" w:sz="5" w:space="0"/>
            </w:tcBorders>
            <w:tcMar>
              <w:left w:w="0" w:type="dxa"/>
              <w:top w:w="0" w:type="dxa"/>
              <w:right w:w="0" w:type="dxa"/>
              <w:bottom w:w="0" w:type="dxa"/>
            </w:tcMar>
            <w:tcW w:w="2028" w:type="dxa"/>
            <w:vAlign w:val="center"/>
            <w:textDirection w:val="lrTb"/>
            <w:noWrap w:val="false"/>
          </w:tcPr>
          <w:p w14:paraId="7FD7B26D">
            <w:pPr>
              <w:pBdr/>
              <w:spacing w:after="0" w:before="0" w:line="240" w:lineRule="auto"/>
              <w:ind/>
              <w:jc w:val="center"/>
              <w:rPr/>
            </w:pPr>
            <w:r>
              <w:rPr>
                <w:rFonts w:ascii="Times New Roman" w:hAnsi="Times New Roman" w:eastAsia="Times New Roman" w:cs="Times New Roman"/>
                <w:color w:val="000000"/>
                <w:sz w:val="24"/>
              </w:rPr>
              <w:t xml:space="preserve">100,0</w:t>
            </w:r>
            <w:r/>
          </w:p>
        </w:tc>
        <w:tc>
          <w:tcPr>
            <w:tcBorders>
              <w:bottom w:val="single" w:color="000000" w:sz="5" w:space="0"/>
              <w:right w:val="single" w:color="000000" w:sz="5" w:space="0"/>
            </w:tcBorders>
            <w:tcMar>
              <w:left w:w="0" w:type="dxa"/>
              <w:top w:w="0" w:type="dxa"/>
              <w:right w:w="0" w:type="dxa"/>
              <w:bottom w:w="0" w:type="dxa"/>
            </w:tcMar>
            <w:tcW w:w="2424" w:type="dxa"/>
            <w:vAlign w:val="center"/>
            <w:textDirection w:val="lrTb"/>
            <w:noWrap w:val="false"/>
          </w:tcPr>
          <w:p w14:paraId="11EBA556">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5" w:space="0"/>
            </w:tcBorders>
            <w:tcMar>
              <w:left w:w="0" w:type="dxa"/>
              <w:top w:w="0" w:type="dxa"/>
              <w:right w:w="0" w:type="dxa"/>
              <w:bottom w:w="0" w:type="dxa"/>
            </w:tcMar>
            <w:tcW w:w="2358" w:type="dxa"/>
            <w:vAlign w:val="center"/>
            <w:textDirection w:val="lrTb"/>
            <w:noWrap w:val="false"/>
          </w:tcPr>
          <w:p w14:paraId="04F3EB1C">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4C2E2717">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002B743F">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5" w:space="0"/>
              <w:right w:val="single" w:color="000000" w:sz="5" w:space="0"/>
            </w:tcBorders>
            <w:tcMar>
              <w:left w:w="0" w:type="dxa"/>
              <w:top w:w="0" w:type="dxa"/>
              <w:right w:w="0" w:type="dxa"/>
              <w:bottom w:w="0" w:type="dxa"/>
            </w:tcMar>
            <w:tcW w:w="2028" w:type="dxa"/>
            <w:vAlign w:val="center"/>
            <w:textDirection w:val="lrTb"/>
            <w:noWrap w:val="false"/>
          </w:tcPr>
          <w:p w14:paraId="6FABC258">
            <w:pPr>
              <w:pBdr/>
              <w:spacing w:after="0" w:before="0" w:line="240" w:lineRule="auto"/>
              <w:ind/>
              <w:jc w:val="center"/>
              <w:rPr/>
            </w:pPr>
            <w:r>
              <w:rPr>
                <w:rFonts w:ascii="Times New Roman" w:hAnsi="Times New Roman" w:eastAsia="Times New Roman" w:cs="Times New Roman"/>
                <w:color w:val="000000"/>
                <w:sz w:val="24"/>
              </w:rPr>
              <w:t xml:space="preserve">5,00</w:t>
            </w:r>
            <w:r/>
          </w:p>
        </w:tc>
        <w:tc>
          <w:tcPr>
            <w:tcBorders>
              <w:bottom w:val="single" w:color="000000" w:sz="5" w:space="0"/>
              <w:right w:val="single" w:color="000000" w:sz="5" w:space="0"/>
            </w:tcBorders>
            <w:tcMar>
              <w:left w:w="0" w:type="dxa"/>
              <w:top w:w="0" w:type="dxa"/>
              <w:right w:w="0" w:type="dxa"/>
              <w:bottom w:w="0" w:type="dxa"/>
            </w:tcMar>
            <w:tcW w:w="2424" w:type="dxa"/>
            <w:vAlign w:val="center"/>
            <w:textDirection w:val="lrTb"/>
            <w:noWrap w:val="false"/>
          </w:tcPr>
          <w:p w14:paraId="014B024E">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5" w:space="0"/>
              <w:right w:val="single" w:color="000000" w:sz="5" w:space="0"/>
            </w:tcBorders>
            <w:tcMar>
              <w:left w:w="0" w:type="dxa"/>
              <w:top w:w="0" w:type="dxa"/>
              <w:right w:w="0" w:type="dxa"/>
              <w:bottom w:w="0" w:type="dxa"/>
            </w:tcMar>
            <w:tcW w:w="2358" w:type="dxa"/>
            <w:vAlign w:val="center"/>
            <w:textDirection w:val="lrTb"/>
            <w:noWrap w:val="false"/>
          </w:tcPr>
          <w:p w14:paraId="288CEA2F">
            <w:pPr>
              <w:pBdr/>
              <w:spacing w:after="0" w:before="0" w:line="240" w:lineRule="auto"/>
              <w:ind/>
              <w:jc w:val="center"/>
              <w:rPr/>
            </w:pPr>
            <w:r>
              <w:rPr>
                <w:rFonts w:ascii="Times New Roman" w:hAnsi="Times New Roman" w:eastAsia="Times New Roman" w:cs="Times New Roman"/>
                <w:color w:val="000000"/>
                <w:sz w:val="24"/>
              </w:rPr>
              <w:t xml:space="preserve">10,00</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01BD5BD5">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344D3059">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2028" w:type="dxa"/>
            <w:vAlign w:val="center"/>
            <w:textDirection w:val="lrTb"/>
            <w:noWrap w:val="false"/>
          </w:tcPr>
          <w:p w14:paraId="265F25D1">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5" w:space="0"/>
              <w:right w:val="single" w:color="000000" w:sz="5" w:space="0"/>
            </w:tcBorders>
            <w:tcMar>
              <w:left w:w="0" w:type="dxa"/>
              <w:top w:w="0" w:type="dxa"/>
              <w:right w:w="0" w:type="dxa"/>
              <w:bottom w:w="0" w:type="dxa"/>
            </w:tcMar>
            <w:tcW w:w="2424" w:type="dxa"/>
            <w:vAlign w:val="center"/>
            <w:textDirection w:val="lrTb"/>
            <w:noWrap w:val="false"/>
          </w:tcPr>
          <w:p w14:paraId="311FF157">
            <w:pPr>
              <w:pBdr/>
              <w:spacing w:after="0" w:before="0" w:line="240" w:lineRule="auto"/>
              <w:ind/>
              <w:rPr/>
            </w:pPr>
            <w:r>
              <w:rPr>
                <w:rFonts w:ascii="Times New Roman" w:hAnsi="Times New Roman" w:eastAsia="Times New Roman" w:cs="Times New Roman"/>
                <w:color w:val="000000"/>
                <w:sz w:val="24"/>
              </w:rPr>
              <w:t xml:space="preserve">Hướng:</w:t>
            </w:r>
            <w:r/>
          </w:p>
        </w:tc>
        <w:tc>
          <w:tcPr>
            <w:tcBorders>
              <w:bottom w:val="single" w:color="000000" w:sz="5" w:space="0"/>
              <w:right w:val="single" w:color="000000" w:sz="5" w:space="0"/>
            </w:tcBorders>
            <w:tcMar>
              <w:left w:w="0" w:type="dxa"/>
              <w:top w:w="0" w:type="dxa"/>
              <w:right w:w="0" w:type="dxa"/>
              <w:bottom w:w="0" w:type="dxa"/>
            </w:tcMar>
            <w:tcW w:w="2358" w:type="dxa"/>
            <w:vAlign w:val="center"/>
            <w:textDirection w:val="lrTb"/>
            <w:noWrap w:val="false"/>
          </w:tcPr>
          <w:p w14:paraId="072EA84F">
            <w:pPr>
              <w:pBdr/>
              <w:spacing w:after="0" w:before="0" w:line="240" w:lineRule="auto"/>
              <w:ind/>
              <w:jc w:val="center"/>
              <w:rPr/>
            </w:pPr>
            <w:r>
              <w:rPr>
                <w:rFonts w:ascii="Times New Roman" w:hAnsi="Times New Roman" w:eastAsia="Times New Roman" w:cs="Times New Roman"/>
                <w:color w:val="000000"/>
                <w:sz w:val="24"/>
              </w:rPr>
              <w:t xml:space="preserve">Tây Bắc</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6D053E0B">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930" w:type="dxa"/>
            <w:vAlign w:val="center"/>
            <w:textDirection w:val="lrTb"/>
            <w:noWrap w:val="false"/>
          </w:tcPr>
          <w:p w14:paraId="6D68F4CC">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118108D2">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7FBC3204">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11" w:type="dxa"/>
            <w:vAlign w:val="center"/>
            <w:textDirection w:val="lrTb"/>
            <w:noWrap w:val="false"/>
          </w:tcPr>
          <w:p w14:paraId="1EBA09CB">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04DE1FC9">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0D3DEF63">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11" w:type="dxa"/>
            <w:vAlign w:val="center"/>
            <w:textDirection w:val="lrTb"/>
            <w:noWrap w:val="false"/>
          </w:tcPr>
          <w:p w14:paraId="4A1F802A">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1655B684">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7A476687">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2028" w:type="dxa"/>
            <w:vAlign w:val="center"/>
            <w:textDirection w:val="lrTb"/>
            <w:noWrap w:val="false"/>
          </w:tcPr>
          <w:p w14:paraId="2EE6A7EB">
            <w:pPr>
              <w:pBdr/>
              <w:spacing w:after="0" w:before="0" w:line="240" w:lineRule="auto"/>
              <w:ind/>
              <w:jc w:val="center"/>
              <w:rPr/>
            </w:pPr>
            <w:r>
              <w:rPr>
                <w:rFonts w:ascii="Times New Roman" w:hAnsi="Times New Roman" w:eastAsia="Times New Roman" w:cs="Times New Roman"/>
                <w:color w:val="000000"/>
                <w:sz w:val="24"/>
              </w:rPr>
              <w:t xml:space="preserve">Khá đông đúc</w:t>
            </w:r>
            <w:r/>
          </w:p>
        </w:tc>
        <w:tc>
          <w:tcPr>
            <w:tcBorders>
              <w:bottom w:val="single" w:color="000000" w:sz="5" w:space="0"/>
              <w:right w:val="single" w:color="000000" w:sz="5" w:space="0"/>
            </w:tcBorders>
            <w:tcMar>
              <w:left w:w="0" w:type="dxa"/>
              <w:top w:w="0" w:type="dxa"/>
              <w:right w:w="0" w:type="dxa"/>
              <w:bottom w:w="0" w:type="dxa"/>
            </w:tcMar>
            <w:tcW w:w="2424" w:type="dxa"/>
            <w:vAlign w:val="center"/>
            <w:textDirection w:val="lrTb"/>
            <w:noWrap w:val="false"/>
          </w:tcPr>
          <w:p w14:paraId="7BF98573">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358" w:type="dxa"/>
            <w:vAlign w:val="center"/>
            <w:textDirection w:val="lrTb"/>
            <w:noWrap w:val="false"/>
          </w:tcPr>
          <w:p w14:paraId="61A40A7B">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68919E46">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096F9F61">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2028" w:type="dxa"/>
            <w:vAlign w:val="center"/>
            <w:textDirection w:val="lrTb"/>
            <w:noWrap w:val="false"/>
          </w:tcPr>
          <w:p w14:paraId="3E3F2875">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bottom w:val="single" w:color="000000" w:sz="5" w:space="0"/>
              <w:right w:val="single" w:color="000000" w:sz="5" w:space="0"/>
            </w:tcBorders>
            <w:tcMar>
              <w:left w:w="0" w:type="dxa"/>
              <w:top w:w="0" w:type="dxa"/>
              <w:right w:w="0" w:type="dxa"/>
              <w:bottom w:w="0" w:type="dxa"/>
            </w:tcMar>
            <w:tcW w:w="2424" w:type="dxa"/>
            <w:vAlign w:val="center"/>
            <w:textDirection w:val="lrTb"/>
            <w:noWrap w:val="false"/>
          </w:tcPr>
          <w:p w14:paraId="59163A92">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358" w:type="dxa"/>
            <w:vAlign w:val="center"/>
            <w:textDirection w:val="lrTb"/>
            <w:noWrap w:val="false"/>
          </w:tcPr>
          <w:p w14:paraId="53EF4476">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751EE0E5">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4CC4F834">
            <w:pPr>
              <w:pBdr/>
              <w:spacing w:after="0" w:before="0" w:line="240" w:lineRule="auto"/>
              <w:ind/>
              <w:jc w:val="both"/>
              <w:rPr/>
            </w:pPr>
            <w:r>
              <w:rPr>
                <w:rFonts w:ascii="Times New Roman" w:hAnsi="Times New Roman" w:eastAsia="Times New Roman" w:cs="Times New Roman"/>
                <w:color w:val="000000"/>
                <w:sz w:val="24"/>
              </w:rPr>
              <w:t xml:space="preserve">Diện tích ngoài QHGT (m²):</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11" w:type="dxa"/>
            <w:vAlign w:val="center"/>
            <w:textDirection w:val="lrTb"/>
            <w:noWrap w:val="false"/>
          </w:tcPr>
          <w:p w14:paraId="5672E818">
            <w:pPr>
              <w:pBdr/>
              <w:spacing w:after="0" w:before="0" w:line="240" w:lineRule="auto"/>
              <w:ind/>
              <w:rPr/>
            </w:pPr>
            <w:r>
              <w:rPr>
                <w:rFonts w:ascii="Times New Roman" w:hAnsi="Times New Roman" w:eastAsia="Times New Roman" w:cs="Times New Roman"/>
                <w:color w:val="000000"/>
                <w:sz w:val="24"/>
              </w:rPr>
              <w:t xml:space="preserve">Phù hợp với Giấy chứng nhận quyền sử dụng đất. </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5EFB252A">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45E59332">
            <w:pPr>
              <w:pBdr/>
              <w:spacing w:after="0" w:before="0" w:line="240" w:lineRule="auto"/>
              <w:ind/>
              <w:jc w:val="both"/>
              <w:rPr/>
            </w:pPr>
            <w:r>
              <w:rPr>
                <w:rFonts w:ascii="Times New Roman" w:hAnsi="Times New Roman" w:eastAsia="Times New Roman" w:cs="Times New Roman"/>
                <w:color w:val="000000"/>
                <w:sz w:val="24"/>
              </w:rPr>
              <w:t xml:space="preserve">Kích thước mặt tiền (m):</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11" w:type="dxa"/>
            <w:vAlign w:val="center"/>
            <w:textDirection w:val="lrTb"/>
            <w:noWrap w:val="false"/>
          </w:tcPr>
          <w:p w14:paraId="4CCBB34B">
            <w:pPr>
              <w:pBdr/>
              <w:spacing w:after="0" w:before="0" w:line="240" w:lineRule="auto"/>
              <w:ind/>
              <w:rPr/>
            </w:pPr>
            <w:r>
              <w:rPr>
                <w:rFonts w:ascii="Times New Roman" w:hAnsi="Times New Roman" w:eastAsia="Times New Roman" w:cs="Times New Roman"/>
                <w:color w:val="000000"/>
                <w:sz w:val="24"/>
              </w:rPr>
              <w:t xml:space="preserve">Phù hợp với Giấy chứng nhận quyền sử dụng đất. </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44754892">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340CC7EB">
            <w:pPr>
              <w:pBdr/>
              <w:spacing w:after="0" w:before="0" w:line="240" w:lineRule="auto"/>
              <w:ind/>
              <w:jc w:val="both"/>
              <w:rPr/>
            </w:pPr>
            <w:r>
              <w:rPr>
                <w:rFonts w:ascii="Times New Roman" w:hAnsi="Times New Roman" w:eastAsia="Times New Roman" w:cs="Times New Roman"/>
                <w:color w:val="000000"/>
                <w:sz w:val="24"/>
              </w:rPr>
              <w:t xml:space="preserve">Kích thước mặt hậu (m):</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11" w:type="dxa"/>
            <w:vAlign w:val="center"/>
            <w:textDirection w:val="lrTb"/>
            <w:noWrap w:val="false"/>
          </w:tcPr>
          <w:p w14:paraId="02D247D7">
            <w:pPr>
              <w:pBdr/>
              <w:spacing w:after="0" w:before="0" w:line="240" w:lineRule="auto"/>
              <w:ind/>
              <w:rPr/>
            </w:pPr>
            <w:r>
              <w:rPr>
                <w:rFonts w:ascii="Times New Roman" w:hAnsi="Times New Roman" w:eastAsia="Times New Roman" w:cs="Times New Roman"/>
                <w:color w:val="000000"/>
                <w:sz w:val="24"/>
              </w:rPr>
              <w:t xml:space="preserve">Phù hợp với Giấy chứng nhận quyền sử dụng đất.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5DE7B799">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7875A953">
            <w:pPr>
              <w:pBdr/>
              <w:spacing w:after="0" w:before="0" w:line="240" w:lineRule="auto"/>
              <w:ind/>
              <w:jc w:val="both"/>
              <w:rPr/>
            </w:pPr>
            <w:r>
              <w:rPr>
                <w:rFonts w:ascii="Times New Roman" w:hAnsi="Times New Roman" w:eastAsia="Times New Roman" w:cs="Times New Roman"/>
                <w:color w:val="000000"/>
                <w:sz w:val="24"/>
              </w:rPr>
              <w:t xml:space="preserve">Chiều sâu:</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11" w:type="dxa"/>
            <w:vAlign w:val="center"/>
            <w:textDirection w:val="lrTb"/>
            <w:noWrap w:val="false"/>
          </w:tcPr>
          <w:p w14:paraId="3F3E58AF">
            <w:pPr>
              <w:pBdr/>
              <w:spacing w:after="0" w:before="0" w:line="240" w:lineRule="auto"/>
              <w:ind/>
              <w:rPr/>
            </w:pPr>
            <w:r>
              <w:rPr>
                <w:rFonts w:ascii="Times New Roman" w:hAnsi="Times New Roman" w:eastAsia="Times New Roman" w:cs="Times New Roman"/>
                <w:color w:val="000000"/>
                <w:sz w:val="24"/>
              </w:rPr>
              <w:t xml:space="preserve">Phù hợp với Giấy chứng nhận quyền sử dụng đất.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147327E5">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7D3A67C7">
            <w:pPr>
              <w:pBdr/>
              <w:spacing w:after="0" w:before="0" w:line="240" w:lineRule="auto"/>
              <w:ind/>
              <w:jc w:val="both"/>
              <w:rPr/>
            </w:pPr>
            <w:r>
              <w:rPr>
                <w:rFonts w:ascii="Times New Roman" w:hAnsi="Times New Roman" w:eastAsia="Times New Roman" w:cs="Times New Roman"/>
                <w:color w:val="000000"/>
                <w:sz w:val="24"/>
              </w:rPr>
              <w:t xml:space="preserve">Hình dáng:</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11" w:type="dxa"/>
            <w:vAlign w:val="center"/>
            <w:textDirection w:val="lrTb"/>
            <w:noWrap w:val="false"/>
          </w:tcPr>
          <w:p w14:paraId="45E7A2E9">
            <w:pPr>
              <w:pBdr/>
              <w:spacing w:after="0" w:before="0" w:line="240" w:lineRule="auto"/>
              <w:ind/>
              <w:rPr/>
            </w:pPr>
            <w:r>
              <w:rPr>
                <w:rFonts w:ascii="Times New Roman" w:hAnsi="Times New Roman" w:eastAsia="Times New Roman" w:cs="Times New Roman"/>
                <w:color w:val="000000"/>
                <w:sz w:val="24"/>
              </w:rPr>
              <w:t xml:space="preserve">Phù hợp với Giấy chứng nhận quyền sử dụng đất.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5E585FB8">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0C3119C9">
            <w:pPr>
              <w:pBdr/>
              <w:spacing w:after="0" w:before="0" w:line="240" w:lineRule="auto"/>
              <w:ind/>
              <w:jc w:val="both"/>
              <w:rPr/>
            </w:pPr>
            <w:r>
              <w:rPr>
                <w:rFonts w:ascii="Times New Roman" w:hAnsi="Times New Roman" w:eastAsia="Times New Roman" w:cs="Times New Roman"/>
                <w:color w:val="000000"/>
                <w:sz w:val="24"/>
              </w:rPr>
              <w:t xml:space="preserve">Hướng tiếp giáp:</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11" w:type="dxa"/>
            <w:vAlign w:val="center"/>
            <w:textDirection w:val="lrTb"/>
            <w:noWrap w:val="false"/>
          </w:tcPr>
          <w:p w14:paraId="2C88242F">
            <w:pPr>
              <w:pBdr/>
              <w:spacing w:after="0" w:before="0" w:line="240" w:lineRule="auto"/>
              <w:ind/>
              <w:rPr/>
            </w:pPr>
            <w:r>
              <w:rPr>
                <w:rFonts w:ascii="Times New Roman" w:hAnsi="Times New Roman" w:eastAsia="Times New Roman" w:cs="Times New Roman"/>
                <w:color w:val="000000"/>
                <w:sz w:val="24"/>
              </w:rPr>
              <w:t xml:space="preserve">Phù hợp với Giấy chứng nhận quyền sử dụng đất.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240CB828">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930" w:type="dxa"/>
            <w:vAlign w:val="center"/>
            <w:textDirection w:val="lrTb"/>
            <w:noWrap w:val="false"/>
          </w:tcPr>
          <w:p w14:paraId="4704C17C">
            <w:pPr>
              <w:pBdr/>
              <w:spacing w:after="0" w:before="0" w:line="240" w:lineRule="auto"/>
              <w:ind/>
              <w:rPr/>
            </w:pPr>
            <w:r>
              <w:rPr>
                <w:rFonts w:ascii="Times New Roman" w:hAnsi="Times New Roman" w:eastAsia="Times New Roman" w:cs="Times New Roman"/>
                <w:b/>
                <w:color w:val="000000"/>
                <w:sz w:val="24"/>
              </w:rPr>
              <w:t xml:space="preserve"> Tài sản gắn liền với đất: Đất trống</w:t>
            </w:r>
            <w:r/>
          </w:p>
        </w:tc>
      </w:tr>
    </w:tbl>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Phường Tiền Châu, thành phố Phúc Yên Tỉnh Vĩnh Phúc ✔</w:t>
            </w:r>
            <w:r/>
          </w:p>
        </w:tc>
        <w:tc>
          <w:tcPr>
            <w:tcBorders/>
            <w:tcW w:w="1605" w:type="dxa"/>
            <w:vAlign w:val="center"/>
            <w:textDirection w:val="lrTb"/>
            <w:noWrap w:val="false"/>
          </w:tcPr>
          <w:p w14:paraId="79F97508" w14:textId="77777777">
            <w:pPr>
              <w:pBdr/>
              <w:spacing/>
              <w:ind/>
              <w:jc w:val="center"/>
              <w:rPr/>
            </w:pPr>
            <w:r>
              <w:t xml:space="preserve">Phường Tiền Châu, thành phố Phúc Yên Tỉnh Vĩnh Phúc</w:t>
            </w:r>
            <w:r/>
          </w:p>
        </w:tc>
        <w:tc>
          <w:tcPr>
            <w:tcBorders/>
            <w:tcW w:w="1371" w:type="dxa"/>
            <w:vAlign w:val="center"/>
            <w:textDirection w:val="lrTb"/>
            <w:noWrap w:val="false"/>
          </w:tcPr>
          <w:p w14:paraId="0298B386">
            <w:pPr>
              <w:pBdr/>
              <w:spacing/>
              <w:ind/>
              <w:jc w:val="center"/>
              <w:rPr/>
            </w:pPr>
            <w:r>
              <w:t xml:space="preserve">Không</w:t>
            </w:r>
            <w:r/>
          </w:p>
          <w:p w14:paraId="720BC03F" w14:textId="77777777">
            <w:pPr>
              <w:pBdr/>
              <w:spacing/>
              <w:ind/>
              <w:jc w:val="left"/>
              <w:rPr/>
            </w:pP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Xã Tiền Châu, Thị xã Phúc Yên, Tỉnh Vĩnh Phúc</w:t>
            </w:r>
            <w:r/>
          </w:p>
        </w:tc>
        <w:tc>
          <w:tcPr>
            <w:tcBorders/>
            <w:tcW w:w="1605" w:type="dxa"/>
            <w:vAlign w:val="center"/>
            <w:textDirection w:val="lrTb"/>
            <w:noWrap w:val="false"/>
          </w:tcPr>
          <w:p w14:paraId="79F97508" w14:textId="77777777">
            <w:pPr>
              <w:pBdr/>
              <w:spacing/>
              <w:ind/>
              <w:jc w:val="center"/>
              <w:rPr/>
            </w:pPr>
            <w:r>
              <w:t xml:space="preserve">Xã Tiền Châu, Thị xã Phúc Yên, Tỉnh Vĩnh Phúc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w:t>
            </w:r>
            <w:r/>
          </w:p>
        </w:tc>
        <w:tc>
          <w:tcPr>
            <w:tcBorders/>
            <w:tcW w:w="1605" w:type="dxa"/>
            <w:vAlign w:val="center"/>
            <w:textDirection w:val="lrTb"/>
            <w:noWrap w:val="false"/>
          </w:tcPr>
          <w:p w14:paraId="4CC40B89">
            <w:pPr>
              <w:pBdr/>
              <w:spacing/>
              <w:ind/>
              <w:jc w:val="center"/>
              <w:rPr/>
            </w:pPr>
            <w:r>
              <w:t xml:space="preserve">Giấy chứng nhận quyền sử dụng đất</w:t>
            </w:r>
            <w:r/>
          </w:p>
          <w:p w14:paraId="79F97508" w14:textId="77777777">
            <w:pPr>
              <w:pBdr/>
              <w:spacing/>
              <w:ind/>
              <w:jc w:val="center"/>
              <w:rPr/>
            </w:pPr>
            <w:r>
              <w:t xml:space="preserve">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tại đô thị</w:t>
            </w:r>
            <w:r/>
          </w:p>
        </w:tc>
        <w:tc>
          <w:tcPr>
            <w:tcBorders/>
            <w:tcW w:w="1605" w:type="dxa"/>
            <w:vAlign w:val="center"/>
            <w:textDirection w:val="lrTb"/>
            <w:noWrap w:val="false"/>
          </w:tcPr>
          <w:p w14:paraId="79F97508" w14:textId="77777777">
            <w:pPr>
              <w:pBdr/>
              <w:spacing/>
              <w:ind/>
              <w:jc w:val="center"/>
              <w:rPr/>
            </w:pPr>
            <w:r>
              <w:t xml:space="preserve">Đất ở tại đô thị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093032B9">
            <w:pPr>
              <w:pBdr/>
              <w:spacing/>
              <w:ind/>
              <w:jc w:val="center"/>
              <w:rPr/>
            </w:pPr>
            <w:r>
              <w:t xml:space="preserve">Không</w:t>
            </w:r>
            <w:r/>
          </w:p>
          <w:p w14:paraId="720BC03F" w14:textId="77777777">
            <w:pPr>
              <w:pBdr/>
              <w:spacing/>
              <w:ind/>
              <w:jc w:val="left"/>
              <w:rPr/>
            </w:pP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không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13.5 </w:t>
            </w:r>
            <w:r/>
          </w:p>
        </w:tc>
        <w:tc>
          <w:tcPr>
            <w:tcBorders/>
            <w:tcW w:w="1605" w:type="dxa"/>
            <w:vAlign w:val="center"/>
            <w:textDirection w:val="lrTb"/>
            <w:noWrap w:val="false"/>
          </w:tcPr>
          <w:p w14:paraId="79F97508" w14:textId="77777777">
            <w:pPr>
              <w:pBdr/>
              <w:spacing/>
              <w:ind/>
              <w:jc w:val="center"/>
              <w:rPr/>
            </w:pPr>
            <w:r>
              <w:t xml:space="preserve">13.5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t xml:space="preserve">Hạ tầng khu đô thị, khu phân lô/tái định cư</w:t>
            </w:r>
            <w:r/>
          </w:p>
        </w:tc>
        <w:tc>
          <w:tcPr>
            <w:tcBorders/>
            <w:tcW w:w="1605" w:type="dxa"/>
            <w:vAlign w:val="center"/>
            <w:textDirection w:val="lrTb"/>
            <w:noWrap w:val="false"/>
          </w:tcPr>
          <w:p w14:paraId="79F97508" w14:textId="77777777">
            <w:pPr>
              <w:pBdr/>
              <w:spacing/>
              <w:ind/>
              <w:jc w:val="center"/>
              <w:rPr/>
            </w:pPr>
            <w:r>
              <w:t xml:space="preserve">Hạ tầng khu đô thị, khu phân lô/tái định cư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100</w:t>
            </w:r>
            <w:r/>
          </w:p>
        </w:tc>
        <w:tc>
          <w:tcPr>
            <w:tcBorders/>
            <w:tcW w:w="1605" w:type="dxa"/>
            <w:vAlign w:val="center"/>
            <w:textDirection w:val="lrTb"/>
            <w:noWrap w:val="false"/>
          </w:tcPr>
          <w:p w14:paraId="79F97508" w14:textId="77777777">
            <w:pPr>
              <w:pBdr/>
              <w:spacing/>
              <w:ind/>
              <w:jc w:val="center"/>
              <w:rPr/>
            </w:pPr>
            <w:r>
              <w:t xml:space="preserve">100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5</w:t>
            </w:r>
            <w:r/>
          </w:p>
        </w:tc>
        <w:tc>
          <w:tcPr>
            <w:tcBorders/>
            <w:tcW w:w="1605" w:type="dxa"/>
            <w:vAlign w:val="center"/>
            <w:textDirection w:val="lrTb"/>
            <w:noWrap w:val="false"/>
          </w:tcPr>
          <w:p w14:paraId="79F97508" w14:textId="77777777">
            <w:pPr>
              <w:pBdr/>
              <w:spacing/>
              <w:ind/>
              <w:jc w:val="center"/>
              <w:rPr/>
            </w:pPr>
            <w:r>
              <w:t xml:space="preserve">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58BF436B">
            <w:pPr>
              <w:pBdr/>
              <w:spacing/>
              <w:ind/>
              <w:jc w:val="center"/>
              <w:rPr/>
            </w:pPr>
            <w:r>
              <w:t xml:space="preserve">20</w:t>
            </w:r>
            <w:r/>
          </w:p>
        </w:tc>
        <w:tc>
          <w:tcPr>
            <w:tcBorders/>
            <w:tcW w:w="1605" w:type="dxa"/>
            <w:vAlign w:val="center"/>
            <w:textDirection w:val="lrTb"/>
            <w:noWrap w:val="false"/>
          </w:tcPr>
          <w:p w14:paraId="79F97508" w14:textId="77777777">
            <w:pPr>
              <w:pBdr/>
              <w:spacing/>
              <w:ind/>
              <w:jc w:val="center"/>
              <w:rPr/>
            </w:pPr>
            <w:r>
              <w:t xml:space="preserve">20</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Hình chữ nhật</w:t>
            </w:r>
            <w:r/>
          </w:p>
        </w:tc>
        <w:tc>
          <w:tcPr>
            <w:tcBorders/>
            <w:tcW w:w="1605" w:type="dxa"/>
            <w:vAlign w:val="center"/>
            <w:textDirection w:val="lrTb"/>
            <w:noWrap w:val="false"/>
          </w:tcPr>
          <w:p w14:paraId="79F97508" w14:textId="77777777">
            <w:pPr>
              <w:pBdr/>
              <w:spacing/>
              <w:ind/>
              <w:jc w:val="center"/>
              <w:rPr/>
            </w:pPr>
            <w:r>
              <w:t xml:space="preserve">Hình chữ nhật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t xml:space="preserve">Tây Bắc</w:t>
            </w:r>
            <w:r/>
          </w:p>
        </w:tc>
        <w:tc>
          <w:tcPr>
            <w:tcBorders/>
            <w:tcW w:w="1605" w:type="dxa"/>
            <w:vAlign w:val="center"/>
            <w:textDirection w:val="lrTb"/>
            <w:noWrap w:val="false"/>
          </w:tcPr>
          <w:p w14:paraId="79F97508" w14:textId="77777777">
            <w:pPr>
              <w:pBdr/>
              <w:spacing/>
              <w:ind/>
              <w:jc w:val="center"/>
              <w:rPr/>
            </w:pPr>
            <w:r>
              <w:t xml:space="preserve">Tây Bắc ✔</w:t>
            </w:r>
            <w:r/>
          </w:p>
        </w:tc>
        <w:tc>
          <w:tcPr>
            <w:tcBorders/>
            <w:tcW w:w="1371" w:type="dxa"/>
            <w:vAlign w:val="center"/>
            <w:textDirection w:val="lrTb"/>
            <w:noWrap w:val="false"/>
          </w:tcPr>
          <w:p w14:paraId="48D3B172">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t xml:space="preserve">View khu dân cư</w:t>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thương mại</w:t>
            </w:r>
            <w:r/>
          </w:p>
        </w:tc>
        <w:tc>
          <w:tcPr>
            <w:tcBorders/>
            <w:tcW w:w="1560" w:type="dxa"/>
            <w:vAlign w:val="center"/>
            <w:textDirection w:val="lrTb"/>
            <w:noWrap w:val="false"/>
          </w:tcPr>
          <w:p w14:paraId="4576CF3F" w14:textId="77777777">
            <w:pPr>
              <w:pBdr/>
              <w:spacing/>
              <w:ind/>
              <w:jc w:val="center"/>
              <w:rPr/>
            </w:pPr>
            <w:r>
              <w:t xml:space="preserve">Đường vào thoáng không đâm thẳng cửa chính 'Thế tránh tiễn khí' ✔</w:t>
            </w:r>
            <w:r/>
          </w:p>
        </w:tc>
        <w:tc>
          <w:tcPr>
            <w:tcBorders/>
            <w:tcW w:w="1605" w:type="dxa"/>
            <w:vAlign w:val="center"/>
            <w:textDirection w:val="lrTb"/>
            <w:noWrap w:val="false"/>
          </w:tcPr>
          <w:p w14:paraId="79F97508" w14:textId="77777777">
            <w:pPr>
              <w:pBdr/>
              <w:spacing/>
              <w:ind/>
              <w:jc w:val="center"/>
              <w:rPr/>
            </w:pPr>
            <w:r>
              <w:t xml:space="preserve">Đường vào thoáng không đâm thẳng cửa chính 'Thế tránh tiễn khí' </w:t>
            </w:r>
            <w:r/>
          </w:p>
        </w:tc>
        <w:tc>
          <w:tcPr>
            <w:tcBorders/>
            <w:tcW w:w="1371" w:type="dxa"/>
            <w:vAlign w:val="center"/>
            <w:textDirection w:val="lrTb"/>
            <w:noWrap w:val="false"/>
          </w:tcPr>
          <w:p w14:paraId="02B4BF06">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19</w:t>
            </w:r>
            <w:r/>
          </w:p>
        </w:tc>
        <w:tc>
          <w:tcPr>
            <w:tcBorders/>
            <w:tcW w:w="1663" w:type="dxa"/>
            <w:vAlign w:val="center"/>
            <w:textDirection w:val="lrTb"/>
            <w:noWrap w:val="false"/>
          </w:tcPr>
          <w:p w14:paraId="02850E00" w14:textId="77777777">
            <w:pPr>
              <w:pBdr/>
              <w:spacing/>
              <w:ind/>
              <w:jc w:val="center"/>
              <w:rPr/>
            </w:pPr>
            <w:r>
              <w:t xml:space="preserve">Bất lợi thương mại</w:t>
            </w:r>
            <w:r/>
          </w:p>
        </w:tc>
        <w:tc>
          <w:tcPr>
            <w:tcBorders/>
            <w:tcW w:w="1560" w:type="dxa"/>
            <w:vAlign w:val="center"/>
            <w:textDirection w:val="lrTb"/>
            <w:noWrap w:val="false"/>
          </w:tcPr>
          <w:p w14:paraId="4576CF3F" w14:textId="77777777">
            <w:pPr>
              <w:pBdr/>
              <w:spacing/>
              <w:ind/>
              <w:jc w:val="center"/>
              <w:rPr/>
            </w:pPr>
            <w:r>
              <w:t xml:space="preserve">Không có bất lợi thương mại</w:t>
            </w:r>
            <w:r/>
          </w:p>
        </w:tc>
        <w:tc>
          <w:tcPr>
            <w:tcBorders/>
            <w:tcW w:w="1605" w:type="dxa"/>
            <w:vAlign w:val="center"/>
            <w:textDirection w:val="lrTb"/>
            <w:noWrap w:val="false"/>
          </w:tcPr>
          <w:p w14:paraId="79F97508" w14:textId="77777777">
            <w:pPr>
              <w:pBdr/>
              <w:spacing/>
              <w:ind/>
              <w:jc w:val="center"/>
              <w:rPr/>
            </w:pPr>
            <w:r>
              <w:t xml:space="preserve">Không có bất lợi thương mại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20</w:t>
            </w:r>
            <w:r/>
          </w:p>
        </w:tc>
        <w:tc>
          <w:tcPr>
            <w:tcBorders/>
            <w:tcW w:w="1663" w:type="dxa"/>
            <w:vAlign w:val="center"/>
            <w:textDirection w:val="lrTb"/>
            <w:noWrap w:val="false"/>
          </w:tcPr>
          <w:p w14:paraId="02850E00" w14:textId="77777777">
            <w:pPr>
              <w:pBdr/>
              <w:spacing/>
              <w:ind/>
              <w:jc w:val="center"/>
              <w:rPr/>
            </w:pPr>
            <w:r>
              <w:t xml:space="preserve">Khả năng chuyển nhượng</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97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Tiền Châu, Thị xã Phúc Yên,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Tiền Châu, Thị xã Phúc Yên,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Tiền Châu, Thị xã Phúc Yên, Tỉnh Vĩnh Phúc</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Tiền Châu, Thị xã Phúc Yên, Tỉnh Vĩnh Phúc</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https://batdongsan.com.vn/ban-dat-nen-du-an-duong-quoc-lo-2a-phuong-tien-chau-prj-khu-do-thi-hung-vuong/ban-tai-phuc-yen-vinh-phuc-6-6-ty-130m2-pr44708437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https://batdongsan.com.vn/ban-dat-nen-du-an-duong-quoc-lo-2a-phuong-tien-chau-prj-khu-do-thi-hung-vuong/ban-dich-vu-kdt-phuc-yen-phu-tho-hang-hiem-kho-tim-dien-tich-so-hong-106-5-pr44800005</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0388660586</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0388660586</w:t>
            </w:r>
            <w:r>
              <w:rPr>
                <w:sz w:val="22"/>
                <w:szCs w:val="22"/>
              </w:rPr>
              <w:br/>
            </w:r>
            <w:r>
              <w:rPr>
                <w:sz w:val="22"/>
                <w:szCs w:val="22"/>
              </w:rPr>
              <w:t xml:space="preserve">(</w:t>
            </w:r>
            <w:r>
              <w:rPr>
                <w:sz w:val="22"/>
                <w:szCs w:val="22"/>
              </w:rPr>
              <w:t xml:space="preserve">sa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0986888156</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themeColor="text1"/>
                <w:sz w:val="22"/>
                <w:szCs w:val="22"/>
              </w:rPr>
            </w:pPr>
            <w:r>
              <w:rPr>
                <w:color w:val="000000" w:themeColor="text1"/>
                <w:sz w:val="22"/>
                <w:szCs w:val="22"/>
              </w:rPr>
              <w:t xml:space="preserve">Có</w:t>
            </w:r>
            <w:r>
              <w:rPr>
                <w:color w:val="000000" w:themeColor="text1"/>
                <w:sz w:val="22"/>
                <w:szCs w:val="22"/>
              </w:rPr>
              <w:t xml:space="preserve"> 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A9DDCE2">
            <w:pPr>
              <w:pBdr/>
              <w:spacing/>
              <w:ind/>
              <w:jc w:val="center"/>
              <w:rPr/>
            </w:pPr>
            <w:r>
              <w:rPr>
                <w:color w:val="000000" w:themeColor="text1"/>
                <w:sz w:val="22"/>
                <w:szCs w:val="22"/>
              </w:rPr>
              <w:t xml:space="preserve">Có</w:t>
            </w:r>
            <w:r>
              <w:rPr>
                <w:color w:val="000000" w:themeColor="text1"/>
                <w:sz w:val="22"/>
                <w:szCs w:val="22"/>
              </w:rPr>
              <w:t xml:space="preserve"> giấy chứng nhận quyền sử dụng đất</w:t>
            </w:r>
            <w:r>
              <w:rPr>
                <w:color w:val="000000" w:themeColor="text1"/>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8DB630D">
            <w:pPr>
              <w:pBdr/>
              <w:spacing/>
              <w:ind/>
              <w:jc w:val="center"/>
              <w:rPr/>
            </w:pPr>
            <w:r>
              <w:rPr>
                <w:color w:val="000000" w:themeColor="text1"/>
                <w:sz w:val="22"/>
                <w:szCs w:val="22"/>
              </w:rPr>
              <w:t xml:space="preserve">Có</w:t>
            </w:r>
            <w:r>
              <w:rPr>
                <w:color w:val="000000" w:themeColor="text1"/>
                <w:sz w:val="22"/>
                <w:szCs w:val="22"/>
              </w:rPr>
              <w:t xml:space="preserve"> giấy chứng nhận quyền sử dụng đất</w:t>
            </w:r>
            <w:r>
              <w:rPr>
                <w:color w:val="000000" w:themeColor="text1"/>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9D1BDF9">
            <w:pPr>
              <w:pBdr/>
              <w:spacing/>
              <w:ind/>
              <w:jc w:val="center"/>
              <w:rPr/>
            </w:pPr>
            <w:r>
              <w:rPr>
                <w:color w:val="000000" w:themeColor="text1"/>
                <w:sz w:val="22"/>
                <w:szCs w:val="22"/>
              </w:rPr>
              <w:t xml:space="preserve">Có</w:t>
            </w:r>
            <w:r>
              <w:rPr>
                <w:color w:val="000000" w:themeColor="text1"/>
                <w:sz w:val="22"/>
                <w:szCs w:val="22"/>
              </w:rPr>
              <w:t xml:space="preserve"> giấy chứng nhận quyền sử dụng đất</w:t>
            </w:r>
            <w:r>
              <w:rPr>
                <w:color w:val="000000" w:themeColor="text1"/>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Tiền Châu, Thị xã Phúc Yên, Tỉnh Vĩnh Phúc cách QL23 khoảng 170m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 Tài sản trong KĐT Hùng Vương cách đường QL23 khoảng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Tài sản trong KĐT Hùng Vương cách đường QL23 khoảng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Tài sản trong KĐT Hùng Vương cách đường QL23 khoảng 170m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106.5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3D1F1BD">
            <w:pPr>
              <w:pBdr/>
              <w:spacing/>
              <w:ind/>
              <w:jc w:val="center"/>
              <w:rPr/>
            </w:pPr>
            <w:r>
              <w:rPr>
                <w:color w:val="000000" w:themeColor="text1"/>
                <w:sz w:val="22"/>
                <w:szCs w:val="22"/>
              </w:rPr>
              <w:t xml:space="preserve">Tương đối vuông vức</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CA6B63">
            <w:pPr>
              <w:pBdr/>
              <w:spacing/>
              <w:ind/>
              <w:jc w:val="center"/>
              <w:rPr/>
            </w:pPr>
            <w:r>
              <w:rPr>
                <w:color w:val="000000" w:themeColor="text1"/>
                <w:sz w:val="22"/>
                <w:szCs w:val="22"/>
              </w:rPr>
              <w:t xml:space="preserve">Tương đối vuông vức</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9ABF29">
            <w:pPr>
              <w:pBdr/>
              <w:spacing/>
              <w:ind/>
              <w:jc w:val="center"/>
              <w:rPr/>
            </w:pPr>
            <w:r>
              <w:rPr>
                <w:color w:val="000000" w:themeColor="text1"/>
                <w:sz w:val="22"/>
                <w:szCs w:val="22"/>
              </w:rPr>
              <w:t xml:space="preserve">Tương đối vuông vức</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6.900.000.000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5.040.000.000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5.857.500.000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6.210.000.000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4.536.000.000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5.388.900.000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6.210.000.000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4.536.000.000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5.388.900.000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highlight w:val="none"/>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highlight w:val="none"/>
          <w:lang w:val="it-IT"/>
        </w:rPr>
      </w:r>
      <w:r>
        <w:rPr>
          <w:highlight w:val="none"/>
          <w:lang w:val="it-IT"/>
        </w:rPr>
      </w:r>
      <w:r>
        <w:rPr>
          <w:highlight w:val="none"/>
          <w:lang w:val="it-IT" w:bidi="it-IT"/>
        </w:rPr>
      </w:r>
      <w:r>
        <w:rPr>
          <w:lang w:val="it-IT"/>
        </w:rPr>
      </w:r>
      <w:r>
        <w:rPr>
          <w:lang w:val="it-IT"/>
        </w:rPr>
      </w:r>
      <w:r>
        <w:rPr>
          <w:highlight w:val="none"/>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11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46"/>
        <w:gridCol w:w="1765"/>
        <w:gridCol w:w="1030"/>
        <w:gridCol w:w="1522"/>
        <w:gridCol w:w="1522"/>
        <w:gridCol w:w="1522"/>
        <w:gridCol w:w="1522"/>
      </w:tblGrid>
      <w:tr>
        <w:trPr>
          <w:trHeight w:val="20"/>
          <w:tblHeader/>
        </w:trPr>
        <w:tc>
          <w:tcPr>
            <w:shd w:val="clear" w:color="000000" w:fill="ffffff"/>
            <w:tcBorders/>
            <w:tcW w:w="746"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6.210.000.000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4.536.000.000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5.388.900.000</w:t>
            </w:r>
            <w:r>
              <w:rPr>
                <w:color w:val="000000"/>
                <w:sz w:val="20"/>
                <w:szCs w:val="20"/>
              </w:rPr>
            </w:r>
            <w:r>
              <w:rPr>
                <w:color w:val="000000"/>
                <w:sz w:val="20"/>
                <w:szCs w:val="20"/>
              </w:rPr>
            </w:r>
          </w:p>
        </w:tc>
      </w:tr>
      <w:tr>
        <w:trPr>
          <w:trHeight w:val="20"/>
        </w:trPr>
        <w:tc>
          <w:tcPr>
            <w:shd w:val="clear" w:color="000000" w:fill="ffffff"/>
            <w:tcBorders/>
            <w:tcW w:w="746"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Có 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8955FD9">
            <w:pPr>
              <w:pBdr/>
              <w:spacing/>
              <w:ind/>
              <w:jc w:val="center"/>
              <w:rPr/>
            </w:pPr>
            <w:r>
              <w:rPr>
                <w:color w:val="000000" w:themeColor="text1"/>
                <w:sz w:val="22"/>
                <w:szCs w:val="22"/>
              </w:rPr>
              <w:t xml:space="preserve">Có 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14:paraId="39FCE54C">
            <w:pPr>
              <w:pBdr/>
              <w:spacing/>
              <w:ind/>
              <w:jc w:val="center"/>
              <w:rPr/>
            </w:pPr>
            <w:r>
              <w:rPr>
                <w:color w:val="000000" w:themeColor="text1"/>
                <w:sz w:val="22"/>
                <w:szCs w:val="22"/>
              </w:rPr>
              <w:t xml:space="preserve">Có 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14:paraId="33D59594">
            <w:pPr>
              <w:pBdr/>
              <w:spacing/>
              <w:ind/>
              <w:jc w:val="center"/>
              <w:rPr/>
            </w:pPr>
            <w:r>
              <w:rPr>
                <w:color w:val="000000" w:themeColor="text1"/>
                <w:sz w:val="22"/>
                <w:szCs w:val="22"/>
              </w:rPr>
              <w:t xml:space="preserve">Có giấy chứng nhận quyền sử dụng đất</w:t>
            </w:r>
            <w:r>
              <w:rPr>
                <w:b/>
                <w:bCs/>
                <w:color w:val="000000"/>
                <w:sz w:val="22"/>
                <w:szCs w:val="22"/>
              </w:rPr>
            </w: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r>
            <w:r>
              <w:rPr>
                <w:color w:val="000000" w:themeColor="text1"/>
                <w:sz w:val="22"/>
                <w:szCs w:val="22"/>
              </w:rPr>
              <w:t xml:space="preserve">Tài sản trong KĐT Hùng Vương cách đường QL23 khoảng 170m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 Tài sản trong KĐT Hùng Vương cách đường QL23 khoảng 300m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trong KĐT Hùng Vương cách đường QL23 khoảng 300m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 Tài sản trong KĐT Hùng Vương cách đường QL23 khoảng 170m</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13.5</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106.5</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2.388.462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50.157.693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6.45</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-1.518.000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50.157.693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49.082.000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50.157.693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49.082.000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color w:val="000000" w:themeColor="text1"/>
                <w:sz w:val="22"/>
                <w:szCs w:val="22"/>
                <w:highlight w:val="none"/>
              </w:rPr>
            </w:pPr>
            <w:r>
              <w:rPr>
                <w:color w:val="000000" w:themeColor="text1"/>
                <w:sz w:val="22"/>
                <w:szCs w:val="22"/>
              </w:rPr>
              <w:t xml:space="preserve">Tương đối vuông vức</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14:paraId="1C348B1B">
            <w:pPr>
              <w:pBdr/>
              <w:spacing/>
              <w:ind/>
              <w:jc w:val="center"/>
              <w:rPr/>
            </w:pPr>
            <w:r>
              <w:rPr>
                <w:color w:val="000000" w:themeColor="text1"/>
                <w:sz w:val="22"/>
                <w:szCs w:val="22"/>
              </w:rPr>
              <w:t xml:space="preserve">Tương đối vuông vức</w:t>
            </w:r>
            <w:r>
              <w:rPr>
                <w:color w:val="000000" w:themeColor="text1"/>
                <w:sz w:val="22"/>
                <w:szCs w:val="22"/>
                <w:highlight w:val="none"/>
              </w:rPr>
            </w:r>
            <w:r/>
          </w:p>
        </w:tc>
        <w:tc>
          <w:tcPr>
            <w:shd w:val="clear" w:color="000000" w:fill="ffffff"/>
            <w:tcBorders/>
            <w:tcW w:w="1522" w:type="dxa"/>
            <w:vAlign w:val="center"/>
            <w:textDirection w:val="lrTb"/>
            <w:noWrap w:val="false"/>
          </w:tcPr>
          <w:p w14:paraId="793EA5D9">
            <w:pPr>
              <w:pBdr/>
              <w:spacing/>
              <w:ind/>
              <w:jc w:val="center"/>
              <w:rPr/>
            </w:pPr>
            <w:r>
              <w:rPr>
                <w:color w:val="000000" w:themeColor="text1"/>
                <w:sz w:val="22"/>
                <w:szCs w:val="22"/>
              </w:rPr>
              <w:t xml:space="preserve">Tương đối vuông vức</w:t>
            </w:r>
            <w:r>
              <w:rPr>
                <w:color w:val="000000" w:themeColor="text1"/>
                <w:sz w:val="22"/>
                <w:szCs w:val="22"/>
                <w:highlight w:val="none"/>
              </w:rPr>
            </w:r>
            <w:r/>
          </w:p>
        </w:tc>
        <w:tc>
          <w:tcPr>
            <w:shd w:val="clear" w:color="000000" w:fill="ffffff"/>
            <w:tcBorders/>
            <w:tcW w:w="1522" w:type="dxa"/>
            <w:vAlign w:val="center"/>
            <w:textDirection w:val="lrTb"/>
            <w:noWrap w:val="false"/>
          </w:tcPr>
          <w:p w14:paraId="430D6506">
            <w:pPr>
              <w:pBdr/>
              <w:spacing/>
              <w:ind/>
              <w:jc w:val="center"/>
              <w:rPr/>
            </w:pPr>
            <w:r>
              <w:rPr>
                <w:color w:val="000000" w:themeColor="text1"/>
                <w:sz w:val="22"/>
                <w:szCs w:val="22"/>
              </w:rPr>
              <w:t xml:space="preserve">Tương đối vuông vức</w:t>
            </w:r>
            <w:r>
              <w:rPr>
                <w:color w:val="000000" w:themeColor="text1"/>
                <w:sz w:val="22"/>
                <w:szCs w:val="22"/>
                <w:highlight w:val="none"/>
              </w:rPr>
            </w: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50.157.693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49.082.000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50.157.693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49.082.000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50.157.693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49.082.000</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50.157.693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50.400.000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49.082.000</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49.879.898</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0,56%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1,04%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2.388.462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1.518.000</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746"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- 3%</w:t>
            </w:r>
            <w:r>
              <w:rPr>
                <w:sz w:val="22"/>
                <w:szCs w:val="22"/>
              </w:rPr>
            </w:r>
            <w:r>
              <w:rPr>
                <w:sz w:val="22"/>
                <w:szCs w:val="22"/>
              </w:rPr>
            </w:r>
          </w:p>
        </w:tc>
      </w:tr>
      <w:tr>
        <w:trPr>
          <w:trHeight w:val="20"/>
        </w:trPr>
        <w:tc>
          <w:tcPr>
            <w:shd w:val="clear" w:color="000000" w:fill="ffffff"/>
            <w:tcBorders/>
            <w:tcW w:w="746"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2.388.462</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1.518.000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-1,6</w:t>
      </w:r>
      <w:r>
        <w:t xml:space="preserve">% </w:t>
      </w:r>
      <w:r>
        <w:t xml:space="preserve">đến</w:t>
      </w:r>
      <w:r>
        <w:t xml:space="preserve"> </w:t>
      </w:r>
      <w:r>
        <w:t xml:space="preserve"> </w:t>
      </w:r>
      <w:r>
        <w:t xml:space="preserve">1,04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50.157.693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16.722.575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50.400.000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16.798.320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49.082.000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16.359.031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49.879.926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50.000.000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50.000.000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2E4650BA">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469, tờ bản đồ số 41 có địa chỉ: Phường Tiền Châu, thành phố Phúc Yên, Tỉnh Vĩnh Phúc (nay là Phường Phúc Yên, tỉnh Phú Thọ) theo Giấy chứng nhận quyền sử dụng đất quyền sở hữu nhà ở và tài sản khác gắn liền với đất số: D</w:t>
            </w:r>
            <w:r>
              <w:rPr>
                <w:rFonts w:ascii="Times New Roman" w:hAnsi="Times New Roman" w:eastAsia="Times New Roman" w:cs="Times New Roman"/>
                <w:b/>
                <w:color w:val="000000"/>
                <w:sz w:val="24"/>
              </w:rPr>
              <w:t xml:space="preserve">M 028298, số vào sổ cấp GCN: CN 03763 do Chi nhánh văn phòng đăng ký đất đai thành phố Phúc Yên cấp ngày 15/8/2023; Chủ sử dụng đất là Ông Lưu Văn Thuyên.</w:t>
            </w:r>
            <w:r>
              <w:rPr>
                <w:sz w:val="24"/>
              </w:rPr>
            </w: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tại đô thị</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100</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50.000.000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5.000.000.000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5.000.000.000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5.000.000.000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đồng chẵn</w:t>
            </w:r>
            <w:r>
              <w:rPr>
                <w:b/>
                <w:bCs/>
                <w:i/>
                <w:iCs/>
                <w:color w:val="000000"/>
              </w:rPr>
              <w:t xml:space="preserve">./.)</w:t>
            </w:r>
            <w:r>
              <w:rPr>
                <w:b/>
                <w:bCs/>
                <w:i/>
                <w:iCs/>
                <w:color w:val="000000"/>
              </w:rPr>
            </w:r>
            <w:r>
              <w:rPr>
                <w:b/>
                <w:bCs/>
                <w:i/>
                <w:iCs/>
                <w:color w:val="000000"/>
              </w:rPr>
            </w:r>
          </w:p>
        </w:tc>
      </w:tr>
    </w:tbl>
    <w:p w14:paraId="187E2E91" w14:textId="56B58432">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5"/>
        <w:pBdr/>
        <w:tabs>
          <w:tab w:val="left" w:leader="none" w:pos="993"/>
        </w:tabs>
        <w:spacing w:after="120" w:before="120" w:line="288"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highlight w:val="none"/>
          <w:lang w:val="pt-BR"/>
        </w:rPr>
      </w:r>
      <w:r>
        <w:rPr>
          <w:highlight w:val="none"/>
          <w:lang w:val="pt-BR"/>
        </w:rPr>
      </w:r>
    </w:p>
    <w:p w14:paraId="44597721">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14:paraId="44DE0E0E">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14:paraId="7D6E10FB">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14:paraId="7369A395">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14:paraId="2729D452">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14:paraId="6162156A">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14:paraId="63A4894B">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14:paraId="09CCF916">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14:paraId="28870785">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14:paraId="01AC2741">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14:paraId="22D573C6">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14:paraId="734FD758">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p w14:paraId="07F45645">
      <w:pPr>
        <w:pStyle w:val="1025"/>
        <w:pBdr/>
        <w:tabs>
          <w:tab w:val="left" w:leader="none" w:pos="993"/>
        </w:tabs>
        <w:spacing w:after="120" w:before="120" w:line="288" w:lineRule="auto"/>
        <w:ind w:left="0"/>
        <w:jc w:val="both"/>
        <w:rPr>
          <w:lang w:val="pt-BR"/>
        </w:rPr>
      </w:pPr>
      <w:r>
        <w:rPr>
          <w:highlight w:val="none"/>
          <w:lang w:val="pt-BR" w:bidi="pt-BR"/>
        </w:rPr>
      </w:r>
      <w:r>
        <w:rPr>
          <w:lang w:val="pt-BR"/>
        </w:rPr>
      </w:r>
      <w:r>
        <w:rPr>
          <w:lang w:val="pt-BR"/>
        </w:rPr>
      </w:r>
    </w:p>
    <w:p w14:paraId="699F9D9D" w14:textId="4418D349">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275/2026/0051/VFI-CT.55.A</w:t>
      </w:r>
      <w:r>
        <w:rPr>
          <w:color w:val="ff0000"/>
          <w:lang w:val="vi-VN"/>
        </w:rPr>
        <w:t xml:space="preserve"> </w:t>
      </w:r>
      <w:r>
        <w:rPr>
          <w:color w:val="000000" w:themeColor="text1"/>
        </w:rPr>
        <w:t xml:space="preserve">ngày 12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Quốc Đại</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275/2026/0051/VFI-BC.55.A</w:t>
      </w:r>
      <w:r>
        <w:rPr>
          <w:i/>
          <w:lang w:val="pt-BR"/>
        </w:rPr>
        <w:t xml:space="preserve"> </w:t>
      </w:r>
      <w:r>
        <w:rPr>
          <w:i/>
          <w:lang w:val="pt-BR"/>
        </w:rPr>
        <w:t xml:space="preserve">12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10018" cy="242175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290863" name=""/>
                              <pic:cNvPicPr>
                                <a:picLocks noChangeAspect="1"/>
                              </pic:cNvPicPr>
                              <pic:nvPr/>
                            </pic:nvPicPr>
                            <pic:blipFill rotWithShape="1">
                              <a:blip r:embed="rId19"/>
                              <a:stretch/>
                            </pic:blipFill>
                            <pic:spPr bwMode="auto">
                              <a:xfrm flipH="0" flipV="0">
                                <a:off x="0" y="0"/>
                                <a:ext cx="2710017" cy="24217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13.39pt;height:190.6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19409" cy="219315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627739" name=""/>
                              <pic:cNvPicPr>
                                <a:picLocks noChangeAspect="1"/>
                              </pic:cNvPicPr>
                              <pic:nvPr/>
                            </pic:nvPicPr>
                            <pic:blipFill rotWithShape="1">
                              <a:blip r:embed="rId20"/>
                              <a:stretch/>
                            </pic:blipFill>
                            <pic:spPr bwMode="auto">
                              <a:xfrm flipH="0" flipV="0">
                                <a:off x="0" y="0"/>
                                <a:ext cx="2619408" cy="21931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6.25pt;height:172.6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44410" cy="198933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341985" name=""/>
                              <pic:cNvPicPr>
                                <a:picLocks noChangeAspect="1"/>
                              </pic:cNvPicPr>
                              <pic:nvPr/>
                            </pic:nvPicPr>
                            <pic:blipFill rotWithShape="1">
                              <a:blip r:embed="rId21"/>
                              <a:stretch/>
                            </pic:blipFill>
                            <pic:spPr bwMode="auto">
                              <a:xfrm flipH="0" flipV="0">
                                <a:off x="0" y="0"/>
                                <a:ext cx="2444410" cy="19893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2.47pt;height:156.6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2949" cy="213221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64535" name=""/>
                              <pic:cNvPicPr>
                                <a:picLocks noChangeAspect="1"/>
                              </pic:cNvPicPr>
                              <pic:nvPr/>
                            </pic:nvPicPr>
                            <pic:blipFill rotWithShape="1">
                              <a:blip r:embed="rId22"/>
                              <a:stretch/>
                            </pic:blipFill>
                            <pic:spPr bwMode="auto">
                              <a:xfrm flipH="0" flipV="0">
                                <a:off x="0" y="0"/>
                                <a:ext cx="2842948" cy="21322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3.85pt;height:167.89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77115" cy="185783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158643" name=""/>
                              <pic:cNvPicPr>
                                <a:picLocks noChangeAspect="1"/>
                              </pic:cNvPicPr>
                              <pic:nvPr/>
                            </pic:nvPicPr>
                            <pic:blipFill rotWithShape="1">
                              <a:blip r:embed="rId23"/>
                              <a:stretch/>
                            </pic:blipFill>
                            <pic:spPr bwMode="auto">
                              <a:xfrm flipH="0" flipV="0">
                                <a:off x="0" y="0"/>
                                <a:ext cx="2477115" cy="18578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5.05pt;height:146.29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92368" cy="209427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275069" name=""/>
                              <pic:cNvPicPr>
                                <a:picLocks noChangeAspect="1"/>
                              </pic:cNvPicPr>
                              <pic:nvPr/>
                            </pic:nvPicPr>
                            <pic:blipFill rotWithShape="1">
                              <a:blip r:embed="rId24"/>
                              <a:stretch/>
                            </pic:blipFill>
                            <pic:spPr bwMode="auto">
                              <a:xfrm flipH="0" flipV="0">
                                <a:off x="0" y="0"/>
                                <a:ext cx="2792367" cy="20942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9.87pt;height:164.90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BFCA64">
      <w:pPr>
        <w:pBdr/>
        <w:spacing w:after="200" w:line="276" w:lineRule="auto"/>
        <w:ind/>
        <w:jc w:val="center"/>
        <w:rPr>
          <w:b/>
          <w:bCs/>
          <w:highlight w:val="none"/>
        </w:rPr>
      </w:pPr>
      <w:r>
        <w:rPr>
          <w:b/>
          <w:highlight w:val="none"/>
        </w:rPr>
        <w:t xml:space="preserve">GIẤY CHỨNG NHẬN QUYỀN SỬ DỤNG ĐẤT</w:t>
      </w:r>
      <w:r>
        <w:rPr>
          <w:b/>
          <w:bCs/>
          <w:highlight w:val="none"/>
        </w:rPr>
      </w:r>
      <w:r>
        <w:rPr>
          <w:b/>
          <w:bCs/>
          <w:highlight w:val="none"/>
        </w:rPr>
      </w:r>
    </w:p>
    <w:p w14:paraId="0EB161E5">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351991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717171" name=""/>
                        <pic:cNvPicPr>
                          <a:picLocks noChangeAspect="1"/>
                        </pic:cNvPicPr>
                        <pic:nvPr/>
                      </pic:nvPicPr>
                      <pic:blipFill rotWithShape="1">
                        <a:blip r:embed="rId25"/>
                        <a:stretch/>
                      </pic:blipFill>
                      <pic:spPr bwMode="auto">
                        <a:xfrm flipH="0" flipV="0">
                          <a:off x="0" y="0"/>
                          <a:ext cx="6048374" cy="35199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277.16pt;mso-wrap-distance-left:0.00pt;mso-wrap-distance-top:0.00pt;mso-wrap-distance-right:0.00pt;mso-wrap-distance-bottom:0.00pt;z-index:1;" stroked="false">
                <v:imagedata r:id="rId25" o:title=""/>
                <o:lock v:ext="edit" rotation="t"/>
              </v:shape>
            </w:pict>
          </mc:Fallback>
        </mc:AlternateContent>
      </w:r>
      <w:r>
        <w:rPr>
          <w:b/>
          <w:bCs/>
          <w:highlight w:val="none"/>
        </w:rPr>
      </w:r>
      <w:r>
        <w:rPr>
          <w:b/>
          <w:bCs/>
          <w:highlight w:val="none"/>
        </w:rPr>
      </w:r>
    </w:p>
    <w:p w14:paraId="1CC01605">
      <w:pPr>
        <w:pBdr/>
        <w:spacing w:after="200" w:line="276" w:lineRule="auto"/>
        <w:ind/>
        <w:jc w:val="center"/>
        <w:rPr>
          <w:b/>
          <w:bCs/>
          <w:highlight w:val="none"/>
          <w:lang w:val="pt-BR" w:bidi="pt-BR"/>
        </w:rPr>
      </w:pPr>
      <w:r>
        <w:rPr>
          <w:b/>
          <w:highlight w:val="none"/>
          <w:lang w:val="pt-BR" w:bidi="pt-BR"/>
        </w:rPr>
      </w:r>
      <w:r>
        <mc:AlternateContent>
          <mc:Choice Requires="wpg">
            <w:drawing>
              <wp:inline xmlns:wp="http://schemas.openxmlformats.org/drawingml/2006/wordprocessingDrawing" distT="0" distB="0" distL="0" distR="0">
                <wp:extent cx="6048375" cy="468452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5243" name=""/>
                        <pic:cNvPicPr>
                          <a:picLocks noChangeAspect="1"/>
                        </pic:cNvPicPr>
                        <pic:nvPr/>
                      </pic:nvPicPr>
                      <pic:blipFill rotWithShape="1">
                        <a:blip r:embed="rId26"/>
                        <a:stretch/>
                      </pic:blipFill>
                      <pic:spPr bwMode="auto">
                        <a:xfrm flipH="0" flipV="0">
                          <a:off x="0" y="0"/>
                          <a:ext cx="6048374" cy="46845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68.86pt;mso-wrap-distance-left:0.00pt;mso-wrap-distance-top:0.00pt;mso-wrap-distance-right:0.00pt;mso-wrap-distance-bottom:0.00pt;z-index:1;" stroked="false">
                <v:imagedata r:id="rId26" o:title=""/>
                <o:lock v:ext="edit" rotation="t"/>
              </v:shape>
            </w:pict>
          </mc:Fallback>
        </mc:AlternateContent>
      </w:r>
      <w:r>
        <w:rPr>
          <w:b/>
          <w:bCs/>
          <w:highlight w:val="none"/>
          <w:lang w:val="pt-BR" w:bidi="pt-BR"/>
        </w:rPr>
      </w:r>
      <w:r>
        <w:rPr>
          <w:b/>
          <w:bCs/>
          <w:highlight w:val="none"/>
          <w:lang w:val="pt-BR" w:bidi="pt-BR"/>
        </w:rPr>
      </w:r>
    </w:p>
    <w:p w14:paraId="453D1907">
      <w:pPr>
        <w:pBdr/>
        <w:spacing w:after="200" w:line="276" w:lineRule="auto"/>
        <w:ind/>
        <w:jc w:val="center"/>
        <w:rPr>
          <w:b/>
          <w:bCs/>
          <w:highlight w:val="none"/>
          <w:lang w:val="pt-BR" w:bidi="pt-BR"/>
        </w:rPr>
      </w:pPr>
      <w:r>
        <w:rPr>
          <w:b/>
          <w:highlight w:val="none"/>
          <w:lang w:val="pt-BR" w:bidi="pt-BR"/>
        </w:rPr>
      </w:r>
      <w:r>
        <w:rPr>
          <w:b/>
          <w:bCs/>
          <w:highlight w:val="none"/>
          <w:lang w:val="pt-BR" w:bidi="pt-BR"/>
        </w:rPr>
      </w:r>
      <w:r>
        <w:rPr>
          <w:b/>
          <w:bCs/>
          <w:highlight w:val="none"/>
          <w:lang w:val="pt-BR" w:bidi="pt-BR"/>
        </w:rPr>
      </w:r>
    </w:p>
    <w:p w14:paraId="1F8378FA">
      <w:pPr>
        <w:pBdr/>
        <w:spacing w:after="200" w:line="276" w:lineRule="auto"/>
        <w:ind/>
        <w:jc w:val="center"/>
        <w:rPr>
          <w:b/>
          <w:bCs/>
          <w:highlight w:val="none"/>
          <w:lang w:val="pt-BR" w:bidi="pt-BR"/>
        </w:rPr>
      </w:pPr>
      <w:r>
        <w:rPr>
          <w:b/>
          <w:highlight w:val="none"/>
          <w:lang w:val="pt-BR" w:bidi="pt-BR"/>
        </w:rPr>
        <w:t xml:space="preserve">BIÊN BẢN KHẢO SÁT</w:t>
      </w:r>
      <w:r>
        <w:rPr>
          <w:b/>
          <w:bCs/>
          <w:highlight w:val="none"/>
          <w:lang w:val="pt-BR" w:bidi="pt-BR"/>
        </w:rPr>
      </w:r>
      <w:r>
        <w:rPr>
          <w:b/>
          <w:bCs/>
          <w:highlight w:val="none"/>
          <w:lang w:val="pt-BR" w:bidi="pt-BR"/>
        </w:rPr>
      </w:r>
    </w:p>
    <w:p w14:paraId="2B93D182">
      <w:pPr>
        <w:pBdr/>
        <w:spacing w:after="200" w:line="276" w:lineRule="auto"/>
        <w:ind/>
        <w:jc w:val="center"/>
        <w:rPr>
          <w:bCs/>
          <w:i/>
          <w:lang w:val="pt-BR"/>
        </w:rPr>
      </w:pPr>
      <w:r>
        <w:rPr>
          <w:bCs/>
          <w:i/>
          <w:lang w:val="pt-BR"/>
        </w:rPr>
      </w:r>
      <w:r>
        <mc:AlternateContent>
          <mc:Choice Requires="wpg">
            <w:drawing>
              <wp:inline xmlns:wp="http://schemas.openxmlformats.org/drawingml/2006/wordprocessingDrawing" distT="0" distB="0" distL="0" distR="0">
                <wp:extent cx="6048375" cy="80645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284368" name=""/>
                        <pic:cNvPicPr>
                          <a:picLocks noChangeAspect="1"/>
                        </pic:cNvPicPr>
                        <pic:nvPr/>
                      </pic:nvPicPr>
                      <pic:blipFill rotWithShape="1">
                        <a:blip r:embed="rId2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00pt;mso-wrap-distance-left:0.00pt;mso-wrap-distance-top:0.00pt;mso-wrap-distance-right:0.00pt;mso-wrap-distance-bottom:0.00pt;z-index:1;" stroked="false">
                <v:imagedata r:id="rId27" o:title=""/>
                <o:lock v:ext="edit" rotation="t"/>
              </v:shape>
            </w:pict>
          </mc:Fallback>
        </mc:AlternateContent>
      </w:r>
      <w:r>
        <w:rPr>
          <w:bCs/>
          <w:i/>
          <w:lang w:val="pt-BR"/>
        </w:rPr>
      </w:r>
      <w:r>
        <w:rPr>
          <w:bCs/>
          <w:i/>
          <w:lang w:val="pt-BR"/>
        </w:rPr>
      </w:r>
    </w:p>
    <w:p w14:paraId="12995DE3">
      <w:pPr>
        <w:pBdr/>
        <w:spacing w:after="200" w:line="276" w:lineRule="auto"/>
        <w:ind/>
        <w:jc w:val="center"/>
        <w:rPr>
          <w:bCs/>
          <w:i/>
          <w:lang w:val="pt-BR"/>
        </w:rPr>
      </w:pPr>
      <w:r>
        <w:rPr>
          <w:bCs/>
          <w:i/>
          <w:lang w:val="pt-BR"/>
        </w:rPr>
      </w:r>
      <w:r>
        <w:rPr>
          <w:bCs/>
          <w:i/>
          <w:lang w:val="pt-BR"/>
        </w:rPr>
      </w:r>
      <w:r>
        <w:rPr>
          <w:bCs/>
          <w:i/>
          <w:lang w:val="pt-BR"/>
        </w:rPr>
      </w:r>
    </w:p>
    <w:p w14:paraId="63DAC869">
      <w:pPr>
        <w:pBdr/>
        <w:spacing w:after="200" w:line="276" w:lineRule="auto"/>
        <w:ind/>
        <w:jc w:val="left"/>
        <w:rPr>
          <w:bCs/>
          <w:i/>
          <w:lang w:val="pt-BR"/>
        </w:rPr>
      </w:pPr>
      <w:r>
        <w:rPr>
          <w:b/>
          <w:highlight w:val="none"/>
          <w:lang w:val="pt-BR" w:bidi="pt-BR"/>
        </w:rPr>
      </w:r>
      <w:r>
        <w:rPr>
          <w:bCs/>
          <w:i/>
          <w:lang w:val="pt-BR"/>
        </w:rPr>
      </w:r>
      <w:r>
        <w:rPr>
          <w:bCs/>
          <w:i/>
          <w:lang w:val="pt-BR"/>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275/2026/0051/VFI-BC.55.A</w:t>
      </w:r>
      <w:r>
        <w:rPr>
          <w:i/>
          <w:lang w:val="pt-BR"/>
        </w:rPr>
        <w:t xml:space="preserve"> </w:t>
      </w:r>
      <w:r>
        <w:rPr>
          <w:i/>
          <w:lang w:val="pt-BR"/>
        </w:rPr>
        <w:t xml:space="preserve">12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https://batdongsan.com.vn/ban-dat-nen-du-an-duong-quoc-lo-2a-phuong-tien-chau-prj-khu-do-thi-hung-vuong/ban-tai-phuc-yen-vinh-phuc-6-6-ty-130m2-pr44708437</w:t>
            </w:r>
            <w:r>
              <w:rPr>
                <w:color w:val="000000" w:themeColor="text1"/>
                <w:sz w:val="22"/>
                <w:szCs w:val="22"/>
              </w:rPr>
              <w:br/>
              <w:t xml:space="preserve">0388660586</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6.900.000.000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6.210.000.000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(130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trong KĐT Hùng Vương cách đường QL23 khoảng 300m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t xml:space="preserve">Đường vào thoáng không đâm thẳng cửa chính 'Thế tránh tiễn khí'</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83190" cy="1424391"/>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2483189" cy="142439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95.53pt;height:112.16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87965" cy="1421860"/>
                      <wp:effectExtent l="0" t="0" r="0" b="0"/>
                      <wp:docPr id="16" name=""/>
                      <wp:cNvGraphicFramePr/>
                      <a:graphic xmlns:a="http://schemas.openxmlformats.org/drawingml/2006/main">
                        <a:graphicData uri="http://schemas.openxmlformats.org/drawingml/2006/picture">
                          <pic:pic xmlns:pic="http://schemas.openxmlformats.org/drawingml/2006/picture">
                            <pic:nvPicPr>
                              <pic:cNvPr id="576994937" name="" descr=""/>
                              <pic:cNvPicPr/>
                              <pic:nvPr/>
                            </pic:nvPicPr>
                            <pic:blipFill rotWithShape="1">
                              <a:blip r:embed="rId29"/>
                              <a:stretch/>
                            </pic:blipFill>
                            <pic:spPr bwMode="auto">
                              <a:xfrm flipH="0" flipV="0">
                                <a:off x="0" y="0"/>
                                <a:ext cx="2587964" cy="14218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3.78pt;height:111.96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Đặng Quốc Đại</w:t>
            </w:r>
            <w:r/>
          </w:p>
        </w:tc>
      </w:tr>
    </w:tbl>
    <w:p w14:paraId="5147EF97">
      <w:pPr>
        <w:pBdr/>
        <w:spacing w:after="200" w:line="276" w:lineRule="auto"/>
        <w:ind/>
        <w:rPr>
          <w:b/>
          <w:bCs/>
          <w:lang w:val="pt-BR"/>
        </w:rPr>
      </w:pPr>
      <w:r>
        <w:rPr>
          <w:b/>
          <w:bCs/>
          <w:iCs/>
          <w:highlight w:val="none"/>
          <w:lang w:val="pt-BR"/>
        </w:rPr>
      </w:r>
      <w:r>
        <w:rPr>
          <w:b/>
          <w:bCs/>
          <w:lang w:val="pt-BR"/>
        </w:rPr>
      </w:r>
      <w:r>
        <w:rPr>
          <w:b/>
          <w:bCs/>
          <w:lang w:val="pt-BR"/>
        </w:rPr>
      </w:r>
    </w:p>
    <w:p w14:paraId="26B4769F" w14:textId="77777777">
      <w:pPr>
        <w:pBdr/>
        <w:spacing w:after="200" w:line="276" w:lineRule="auto"/>
        <w:ind/>
        <w:jc w:val="center"/>
        <w:rPr>
          <w:b/>
          <w:bCs/>
          <w:iCs/>
          <w:highlight w:val="none"/>
          <w:lang w:val="pt-BR"/>
        </w:rPr>
      </w:pPr>
      <w:r>
        <w:rPr>
          <w:b/>
          <w:bCs/>
          <w:iCs/>
          <w:lang w:val="pt-BR"/>
        </w:rPr>
      </w:r>
      <w:r>
        <w:rPr>
          <w:b/>
          <w:bCs/>
          <w:iCs/>
          <w:lang w:val="pt-BR"/>
        </w:rPr>
        <w:t xml:space="preserve">TSSS2</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0388660586</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5.040.000.000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4.536.000.000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(90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trong KĐT Hùng Vương cách đường QL23 khoảng 300m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t xml:space="preserve">Đường vào thoáng không đâm thẳng cửa chính 'Thế tránh tiễn khí'</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7633C3A5"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845140" cy="1684440"/>
                      <wp:effectExtent l="0" t="0" r="0" b="0"/>
                      <wp:docPr id="17" name=""/>
                      <wp:cNvGraphicFramePr/>
                      <a:graphic xmlns:a="http://schemas.openxmlformats.org/drawingml/2006/main">
                        <a:graphicData uri="http://schemas.openxmlformats.org/drawingml/2006/picture">
                          <pic:pic xmlns:pic="http://schemas.openxmlformats.org/drawingml/2006/picture">
                            <pic:nvPicPr>
                              <pic:cNvPr id="917793460" name="" descr=""/>
                              <pic:cNvPicPr/>
                              <pic:nvPr/>
                            </pic:nvPicPr>
                            <pic:blipFill rotWithShape="1">
                              <a:blip r:embed="rId30"/>
                              <a:stretch/>
                            </pic:blipFill>
                            <pic:spPr bwMode="auto">
                              <a:xfrm flipH="0" flipV="0">
                                <a:off x="0" y="0"/>
                                <a:ext cx="2845139" cy="16844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4.03pt;height:132.63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92690" cy="1517110"/>
                      <wp:effectExtent l="0" t="0" r="0" b="0"/>
                      <wp:docPr id="18" name=""/>
                      <wp:cNvGraphicFramePr/>
                      <a:graphic xmlns:a="http://schemas.openxmlformats.org/drawingml/2006/main">
                        <a:graphicData uri="http://schemas.openxmlformats.org/drawingml/2006/picture">
                          <pic:pic xmlns:pic="http://schemas.openxmlformats.org/drawingml/2006/picture">
                            <pic:nvPicPr>
                              <pic:cNvPr id="1411552825" name="" descr=""/>
                              <pic:cNvPicPr/>
                              <pic:nvPr/>
                            </pic:nvPicPr>
                            <pic:blipFill rotWithShape="1">
                              <a:blip r:embed="rId31"/>
                              <a:stretch/>
                            </pic:blipFill>
                            <pic:spPr bwMode="auto">
                              <a:xfrm flipH="0" flipV="0">
                                <a:off x="0" y="0"/>
                                <a:ext cx="2292689" cy="15171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0.53pt;height:119.46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Đặng Quốc Đại</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https://batdongsan.com.vn/ban-dat-nen-du-an-duong-quoc-lo-2a-phuong-tien-chau-prj-khu-do-thi-hung-vuong/ban-dich-vu-kdt-phuc-yen-phu-tho-hang-hiem-kho-tim-dien-tich-so-hong-106-5-pr44800005</w:t>
            </w:r>
            <w:r>
              <w:rPr>
                <w:color w:val="000000" w:themeColor="text1"/>
                <w:sz w:val="22"/>
                <w:szCs w:val="22"/>
              </w:rPr>
              <w:br/>
            </w:r>
            <w:r>
              <w:rPr>
                <w:sz w:val="22"/>
                <w:szCs w:val="22"/>
              </w:rPr>
              <w:t xml:space="preserve">SĐT: </w:t>
            </w:r>
            <w:r>
              <w:rPr>
                <w:color w:val="000000" w:themeColor="text1"/>
                <w:sz w:val="22"/>
                <w:szCs w:val="22"/>
              </w:rPr>
              <w:t xml:space="preserve">0986888156</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5.857.500.000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5.388.900.000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(106.5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trong KĐT Hùng Vương cách đường QL23 khoảng 170m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106.5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6.45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t xml:space="preserve">Đường vào thoáng không đâm thẳng cửa chính 'Thế tránh tiễn khí'</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1872AF4F"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416515" cy="1812265"/>
                      <wp:effectExtent l="0" t="0" r="0" b="0"/>
                      <wp:docPr id="19" name=""/>
                      <wp:cNvGraphicFramePr/>
                      <a:graphic xmlns:a="http://schemas.openxmlformats.org/drawingml/2006/main">
                        <a:graphicData uri="http://schemas.openxmlformats.org/drawingml/2006/picture">
                          <pic:pic xmlns:pic="http://schemas.openxmlformats.org/drawingml/2006/picture">
                            <pic:nvPicPr>
                              <pic:cNvPr id="1577643282" name="" descr=""/>
                              <pic:cNvPicPr/>
                              <pic:nvPr/>
                            </pic:nvPicPr>
                            <pic:blipFill rotWithShape="1">
                              <a:blip r:embed="rId32"/>
                              <a:stretch/>
                            </pic:blipFill>
                            <pic:spPr bwMode="auto">
                              <a:xfrm flipH="0" flipV="0">
                                <a:off x="0" y="0"/>
                                <a:ext cx="2416514" cy="181226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90.28pt;height:142.7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07015" cy="1857495"/>
                      <wp:effectExtent l="0" t="0" r="0" b="0"/>
                      <wp:docPr id="20" name=""/>
                      <wp:cNvGraphicFramePr/>
                      <a:graphic xmlns:a="http://schemas.openxmlformats.org/drawingml/2006/main">
                        <a:graphicData uri="http://schemas.openxmlformats.org/drawingml/2006/picture">
                          <pic:pic xmlns:pic="http://schemas.openxmlformats.org/drawingml/2006/picture">
                            <pic:nvPicPr>
                              <pic:cNvPr id="1216617718" name="" descr=""/>
                              <pic:cNvPicPr/>
                              <pic:nvPr/>
                            </pic:nvPicPr>
                            <pic:blipFill rotWithShape="1">
                              <a:blip r:embed="rId33"/>
                              <a:stretch/>
                            </pic:blipFill>
                            <pic:spPr bwMode="auto">
                              <a:xfrm flipH="0" flipV="0">
                                <a:off x="0" y="0"/>
                                <a:ext cx="2607014" cy="185749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05.28pt;height:146.26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19ECA950" w14:textId="77777777">
            <w:pPr>
              <w:pBdr/>
              <w:spacing/>
              <w:ind/>
              <w:jc w:val="left"/>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42D23DAE">
            <w:pPr>
              <w:pBdr/>
              <w:spacing/>
              <w:ind/>
              <w:jc w:val="center"/>
              <w:rPr/>
            </w:pPr>
            <w:r>
              <w:t xml:space="preserve">Đặng Quốc Đại</w:t>
            </w:r>
            <w:r>
              <w:rPr>
                <w:b/>
                <w:bCs/>
              </w:rPr>
            </w: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cafeland.vn/du-an/hung-vuong-du-an-khu-do-thi-tai-vinh-phuc-3543.html"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Đặng Quốc Đại</cp:lastModifiedBy>
  <cp:revision>274</cp:revision>
  <dcterms:created xsi:type="dcterms:W3CDTF">2025-09-15T09:58:00Z</dcterms:created>
  <dcterms:modified xsi:type="dcterms:W3CDTF">2026-01-15T06:04:28Z</dcterms:modified>
</cp:coreProperties>
</file>