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bCs/>
          <w:sz w:val="28"/>
          <w:szCs w:val="28"/>
        </w:rPr>
      </w:pPr>
      <w:r>
        <w:rPr>
          <w:b/>
          <w:sz w:val="28"/>
        </w:rPr>
      </w:r>
      <w:r>
        <w:rPr>
          <w:b/>
          <w:bCs/>
          <w:sz w:val="28"/>
          <w:szCs w:val="28"/>
        </w:rPr>
      </w:r>
      <w:r>
        <w:rPr>
          <w:b/>
          <w:bCs/>
          <w:sz w:val="28"/>
          <w:szCs w:val="28"/>
        </w:rPr>
      </w:r>
    </w:p>
    <w:p>
      <w:pPr>
        <w:pBdr/>
        <w:spacing/>
        <w:ind w:right="-1"/>
        <w:jc w:val="center"/>
        <w:rPr>
          <w:b/>
          <w:bCs/>
          <w:sz w:val="28"/>
          <w:szCs w:val="28"/>
        </w:rPr>
      </w:pPr>
      <w:r>
        <w:rPr>
          <w:b/>
          <w:bCs/>
          <w:sz w:val="28"/>
          <w:szCs w:val="28"/>
        </w:rPr>
      </w:r>
      <w:r>
        <w:rPr>
          <w:b/>
          <w:bCs/>
          <w:sz w:val="28"/>
          <w:szCs w:val="28"/>
        </w:rPr>
      </w:r>
      <w:r>
        <w:rPr>
          <w:b/>
          <w:bCs/>
          <w:sz w:val="28"/>
          <w:szCs w:val="28"/>
        </w:rPr>
      </w:r>
    </w:p>
    <w:p>
      <w:pPr>
        <w:pBdr/>
        <w:spacing/>
        <w:ind w:right="-1"/>
        <w:jc w:val="center"/>
        <w:rPr>
          <w:b/>
          <w:bCs/>
          <w:sz w:val="28"/>
          <w:szCs w:val="28"/>
        </w:rPr>
      </w:pPr>
      <w:r>
        <w:rPr>
          <w:b/>
          <w:bCs/>
          <w:sz w:val="28"/>
          <w:szCs w:val="28"/>
        </w:rPr>
      </w:r>
      <w:r>
        <w:rPr>
          <w:b/>
          <w:bCs/>
          <w:sz w:val="28"/>
          <w:szCs w:val="28"/>
        </w:rPr>
      </w:r>
      <w:r>
        <w:rPr>
          <w:b/>
          <w:bCs/>
          <w:sz w:val="28"/>
          <w:szCs w:val="28"/>
        </w:rPr>
      </w:r>
    </w:p>
    <w:p>
      <w:pPr>
        <w:pBdr/>
        <w:spacing/>
        <w:ind w:right="-1"/>
        <w:jc w:val="center"/>
        <w:rPr>
          <w:b/>
          <w:bCs/>
          <w:sz w:val="28"/>
          <w:szCs w:val="28"/>
        </w:rPr>
      </w:pPr>
      <w:r>
        <w:rPr>
          <w:b/>
          <w:bCs/>
          <w:sz w:val="28"/>
          <w:szCs w:val="28"/>
        </w:rPr>
      </w:r>
      <w:r>
        <w:rPr>
          <w:b/>
          <w:bCs/>
          <w:sz w:val="28"/>
          <w:szCs w:val="28"/>
        </w:rPr>
      </w:r>
      <w:r>
        <w:rPr>
          <w:b/>
          <w:bCs/>
          <w:sz w:val="28"/>
          <w:szCs w:val="28"/>
        </w:rPr>
      </w:r>
    </w:p>
    <w:p>
      <w:pPr>
        <w:pBdr/>
        <w:spacing/>
        <w:ind w:right="-1"/>
        <w:jc w:val="center"/>
        <w:rPr>
          <w:b/>
          <w:bCs/>
          <w:sz w:val="28"/>
          <w:szCs w:val="28"/>
        </w:rPr>
      </w:pPr>
      <w:r>
        <w:rPr>
          <w:b/>
          <w:sz w:val="28"/>
        </w:rPr>
      </w:r>
      <w:r>
        <w:rPr>
          <w:b/>
          <w:bCs/>
          <w:sz w:val="28"/>
          <w:szCs w:val="28"/>
        </w:rPr>
      </w:r>
      <w:r>
        <w:rPr>
          <w:b/>
          <w:bCs/>
          <w:sz w:val="28"/>
          <w:szCs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255141"/>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255141"/>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275/2026/0213/VFI-CT.48.A</w:t>
                            </w:r>
                            <w:r>
                              <w:rPr>
                                <w:b/>
                              </w:rPr>
                            </w:r>
                            <w:r>
                              <w:rPr>
                                <w:b/>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bCs/>
                                <w:lang w:val="pt-BR"/>
                              </w:rPr>
                            </w:r>
                            <w:r>
                              <w:rPr>
                                <w:rFonts w:ascii="Times New Roman Bold" w:hAnsi="Times New Roman Bold"/>
                                <w:b/>
                                <w:bCs/>
                                <w:lang w:val="pt-BR"/>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lang w:val="pt-BR"/>
                              </w:rPr>
                            </w:r>
                            <w:r>
                              <w:rPr>
                                <w:rFonts w:ascii="Times New Roman Bold" w:hAnsi="Times New Roman Bold"/>
                                <w:b/>
                                <w:color w:val="000000" w:themeColor="text1"/>
                                <w:lang w:val="pt-BR"/>
                              </w:rPr>
                              <w:t xml:space="preserve">CÔNG TY TNHH XÂY DỰNG VÀ KỸ THUẬT CÔNG NGHIỆP THĂNG LONG</w:t>
                            </w:r>
                            <w:r>
                              <w:rPr>
                                <w:rFonts w:ascii="Times New Roman Bold" w:hAnsi="Times New Roman Bold"/>
                                <w:b/>
                                <w:bCs/>
                                <w:lang w:val="pt-BR"/>
                              </w:rPr>
                            </w:r>
                            <w:r>
                              <w:rPr>
                                <w:rFonts w:ascii="Times New Roman Bold" w:hAnsi="Times New Roman Bold"/>
                                <w:b/>
                                <w:bCs/>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và tài sản gắn liền với đất tại thửa đất số: ./., tờ bản đồ số: ./. có địa chỉ: A8-LK17, Khu nhà ở Phú Thịnh, phường Phú Thịnh, thị xã Sơn Tây, thành phố Hà Nội (nay là phường Sơn Tây, thành </w:t>
                            </w:r>
                            <w:r>
                              <w:rPr>
                                <w:color w:val="000000"/>
                              </w:rPr>
                              <w:t xml:space="preserve">phố Hà Nội) theo Giấy chứng nhận quyền sử dụng đất quyền sở hữu nhà ở và tài sản khác gắn liền với đất số: CU 430990, số vào sổ cấp GCN: CS06360 do Sở Tài nguyên và Môi trường thành phố Hà Nội cấp ngày 19/02/2020 cho Ông Đặng Minh Đức và Bà Nguyễn Thị Thuý</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35.0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275/2026/0213/VFI-CT.48.A</w:t>
                      </w:r>
                      <w:r>
                        <w:rPr>
                          <w:b/>
                        </w:rPr>
                      </w:r>
                      <w:r>
                        <w:rPr>
                          <w:b/>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bCs/>
                          <w:lang w:val="pt-BR"/>
                        </w:rPr>
                      </w:r>
                      <w:r>
                        <w:rPr>
                          <w:rFonts w:ascii="Times New Roman Bold" w:hAnsi="Times New Roman Bold"/>
                          <w:b/>
                          <w:bCs/>
                          <w:lang w:val="pt-BR"/>
                        </w:rPr>
                      </w:r>
                    </w:p>
                    <w:p>
                      <w:pPr>
                        <w:pBdr/>
                        <w:tabs>
                          <w:tab w:val="left" w:leader="none" w:pos="3002"/>
                        </w:tabs>
                        <w:spacing w:after="120" w:before="120" w:line="276" w:lineRule="auto"/>
                        <w:ind/>
                        <w:jc w:val="center"/>
                        <w:rPr>
                          <w:rFonts w:ascii="Times New Roman Bold" w:hAnsi="Times New Roman Bold"/>
                          <w:b/>
                          <w:bCs/>
                          <w:lang w:val="pt-BR"/>
                        </w:rPr>
                      </w:pPr>
                      <w:r>
                        <w:rPr>
                          <w:rFonts w:ascii="Times New Roman Bold" w:hAnsi="Times New Roman Bold"/>
                          <w:b/>
                          <w:lang w:val="pt-BR"/>
                        </w:rPr>
                      </w:r>
                      <w:r>
                        <w:rPr>
                          <w:rFonts w:ascii="Times New Roman Bold" w:hAnsi="Times New Roman Bold"/>
                          <w:b/>
                          <w:color w:val="000000" w:themeColor="text1"/>
                          <w:lang w:val="pt-BR"/>
                        </w:rPr>
                        <w:t xml:space="preserve">CÔNG TY TNHH XÂY DỰNG VÀ KỸ THUẬT CÔNG NGHIỆP THĂNG LONG</w:t>
                      </w:r>
                      <w:r>
                        <w:rPr>
                          <w:rFonts w:ascii="Times New Roman Bold" w:hAnsi="Times New Roman Bold"/>
                          <w:b/>
                          <w:bCs/>
                          <w:lang w:val="pt-BR"/>
                        </w:rPr>
                      </w:r>
                      <w:r>
                        <w:rPr>
                          <w:rFonts w:ascii="Times New Roman Bold" w:hAnsi="Times New Roman Bold"/>
                          <w:b/>
                          <w:bCs/>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và tài sản gắn liền với đất tại thửa đất số: ./., tờ bản đồ số: ./. có địa chỉ: A8-LK17, Khu nhà ở Phú Thịnh, phường Phú Thịnh, thị xã Sơn Tây, thành phố Hà Nội (nay là phường Sơn Tây, thành </w:t>
                      </w:r>
                      <w:r>
                        <w:rPr>
                          <w:color w:val="000000"/>
                        </w:rPr>
                        <w:t xml:space="preserve">phố Hà Nội) theo Giấy chứng nhận quyền sử dụng đất quyền sở hữu nhà ở và tài sản khác gắn liền với đất số: CU 430990, số vào sổ cấp GCN: CS06360 do Sở Tài nguyên và Môi trường thành phố Hà Nội cấp ngày 19/02/2020 cho Ông Đặng Minh Đức và Bà Nguyễn Thị Thuý</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left"/>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t xml:space="preserve">            21-25</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1871"/>
        <w:gridCol w:w="3090"/>
        <w:gridCol w:w="4961"/>
        <w:gridCol w:w="29"/>
      </w:tblGrid>
      <w:tr>
        <w:trPr>
          <w:trHeight w:val="1152"/>
        </w:trPr>
        <w:tc>
          <w:tcPr>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7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275/2026/0213/VFI-CT.48.A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27 tháng 1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XÂY DỰNG VÀ KỸ THUẬT CÔNG NGHIỆP THĂNG LONG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275/2026/0213/VFI-HĐTĐ.48.A</w:t>
      </w:r>
      <w:r>
        <w:rPr>
          <w:spacing w:val="-4"/>
          <w:lang w:val="vi-VN"/>
        </w:rPr>
        <w:t xml:space="preserve"> ký ngày </w:t>
      </w:r>
      <w:r>
        <w:rPr>
          <w:color w:val="000000" w:themeColor="text1"/>
          <w:spacing w:val="-4"/>
        </w:rPr>
        <w:t xml:space="preserve">24 tháng 1 năm 2026</w:t>
      </w:r>
      <w:r>
        <w:rPr>
          <w:spacing w:val="-4"/>
          <w:lang w:val="vi-VN"/>
        </w:rPr>
        <w:t xml:space="preserve"> </w:t>
      </w:r>
      <w:r>
        <w:rPr>
          <w:spacing w:val="-4"/>
          <w:lang w:val="vi-VN"/>
        </w:rPr>
        <w:t xml:space="preserve">giữa </w:t>
      </w:r>
      <w:r>
        <w:rPr>
          <w:color w:val="000000" w:themeColor="text1"/>
          <w:spacing w:val="-4"/>
        </w:rPr>
        <w:t xml:space="preserve">Công ty TNHH Xây dựng và Kỹ thuật công nghiệp Thăng Long</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275/2026/0213/VFI-BC.48.A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27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highlight w:val="none"/>
          <w:lang w:val="vi-VN"/>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lang w:val="vi-VN"/>
        </w:rPr>
      </w:r>
      <w:r>
        <w:rPr>
          <w:b/>
          <w:bCs/>
          <w:highlight w:val="none"/>
          <w:lang w:val="vi-VN"/>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Tên khách hàng</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tabs>
                <w:tab w:val="left" w:leader="none" w:pos="1189"/>
              </w:tabs>
              <w:spacing w:after="40" w:before="40" w:line="276" w:lineRule="auto"/>
              <w:ind/>
              <w:rPr>
                <w:rFonts w:ascii="Times New Roman Bold" w:hAnsi="Times New Roman Bold"/>
                <w:b/>
                <w:bCs/>
                <w:spacing w:val="-16"/>
                <w:lang w:val="pt-BR"/>
              </w:rPr>
            </w:pPr>
            <w:r>
              <w:rPr>
                <w:b/>
                <w:bCs/>
                <w:color w:val="000000" w:themeColor="text1"/>
                <w:spacing w:val="-4"/>
                <w:lang w:val="pt-BR"/>
              </w:rPr>
            </w:r>
            <w:r>
              <w:rPr>
                <w:rFonts w:ascii="Times New Roman Bold" w:hAnsi="Times New Roman Bold"/>
                <w:b/>
                <w:color w:val="000000" w:themeColor="text1"/>
                <w:lang w:val="pt-BR"/>
              </w:rPr>
              <w:t xml:space="preserve">CÔNG TY TNHH XÂY DỰNG VÀ KỸ THUẬT CÔNG NGHIỆP THĂNG LONG</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MST</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0106806181</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Số 23 Xóm Cơ Giới, thôn Áng Đông, xã Quảng Oai, thành phố Hà Nội</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lang w:val="vi-VN"/>
              </w:rPr>
              <w:t xml:space="preserve">Đặng Hữu Thiện</w:t>
              <w:tab/>
              <w:t xml:space="preserve">Chức vụ: </w:t>
            </w:r>
            <w:r>
              <w:rPr>
                <w:b/>
                <w:bCs/>
              </w:rPr>
              <w:t xml:space="preserve"> Giám Đốc</w:t>
            </w:r>
            <w:r>
              <w:rPr>
                <w:b/>
                <w:bCs/>
                <w:lang w:val="vi-VN"/>
              </w:rPr>
            </w:r>
            <w:r>
              <w:rPr>
                <w:b/>
                <w:bCs/>
                <w:lang w:val="vi-VN"/>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và tài sản gắn liền với đất tại thửa đất số: ./., tờ bản đồ số: ./. có địa chỉ: A8-LK17, Khu nhà ở Phú Thịnh, phường Phú Thịnh, thị xã Sơn Tây, thành phố Hà Nội (nay là phường Sơn Tây, thành </w:t>
      </w:r>
      <w:r>
        <w:rPr>
          <w:color w:val="000000" w:themeColor="text1"/>
        </w:rPr>
        <w:t xml:space="preserve">phố Hà Nội) theo Giấy chứng nhận quyền sử dụng đất quyền sở hữu nhà ở và tài sản khác gắn liền với đất số: CU 430990, số vào sổ cấp GCN: CS06360 do Sở Tài nguyên và Môi trường thành phố Hà Nội cấp ngày 19/02/2020 cho Ông Đặng Minh Đức và Bà Nguyễn Thị Thuý</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276"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99"/>
        <w:gridCol w:w="982"/>
        <w:gridCol w:w="940"/>
        <w:gridCol w:w="1198"/>
        <w:gridCol w:w="2089"/>
        <w:gridCol w:w="1758"/>
        <w:gridCol w:w="1758"/>
      </w:tblGrid>
      <w:tr>
        <w:trPr>
          <w:trHeight w:val="0"/>
        </w:trPr>
        <w:tc>
          <w:tcPr>
            <w:shd w:val="clear" w:color="000000" w:fill="ffffff"/>
            <w:tcBorders/>
            <w:tcW w:w="799"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gridSpan w:val="2"/>
            <w:shd w:val="clear" w:color="000000" w:fill="ffffff"/>
            <w:tcBorders/>
            <w:tcW w:w="1922"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198"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089"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758" w:type="dxa"/>
            <w:vAlign w:val="center"/>
            <w:textDirection w:val="lrTb"/>
            <w:noWrap w:val="false"/>
          </w:tcPr>
          <w:p>
            <w:pPr>
              <w:pBdr/>
              <w:spacing/>
              <w:ind/>
              <w:rPr>
                <w:b/>
                <w:bCs/>
              </w:rPr>
            </w:pPr>
            <w:r>
              <w:rPr>
                <w:b/>
                <w:bCs/>
              </w:rPr>
              <w:t xml:space="preserve">CLCL  (%)</w:t>
            </w:r>
            <w:r>
              <w:rPr>
                <w:b/>
                <w:bCs/>
              </w:rPr>
            </w:r>
            <w:r>
              <w:rPr>
                <w:b/>
                <w:bCs/>
              </w:rPr>
            </w:r>
          </w:p>
        </w:tc>
        <w:tc>
          <w:tcPr>
            <w:shd w:val="clear" w:color="000000" w:fill="ffffff"/>
            <w:tcBorders/>
            <w:tcW w:w="1758"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0"/>
        </w:trPr>
        <w:tc>
          <w:tcPr>
            <w:shd w:val="clear" w:color="000000" w:fill="ffffff"/>
            <w:tcBorders/>
            <w:tcW w:w="799"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5"/>
            <w:shd w:val="clear" w:color="000000" w:fill="ffffff"/>
            <w:tcBorders/>
            <w:tcW w:w="6967" w:type="dxa"/>
            <w:vAlign w:val="center"/>
            <w:textDirection w:val="lrTb"/>
            <w:noWrap w:val="false"/>
          </w:tcPr>
          <w:p>
            <w:pPr>
              <w:pBdr/>
              <w:spacing w:after="40" w:before="40" w:line="288" w:lineRule="auto"/>
              <w:ind/>
              <w:jc w:val="both"/>
              <w:rPr>
                <w:b/>
                <w:bCs/>
              </w:rPr>
            </w:pPr>
            <w:r>
              <w:rPr>
                <w:color w:val="000000"/>
              </w:rPr>
              <w:t xml:space="preserve">Quyền sử dụng đất và tài sản gắn liền với đất tại thửa đất số: ./., tờ bản đồ số: ./. có địa chỉ: A8-LK17, Khu nhà ở Phú Thịnh, phường Phú Thịnh, thị xã Sơn Tây, thành phố Hà Nội (nay là phường Sơn Tây, thành </w:t>
            </w:r>
            <w:r>
              <w:rPr>
                <w:color w:val="000000"/>
              </w:rPr>
              <w:t xml:space="preserve">phố Hà Nội) theo Giấy chứng nhận quyền sử dụng đất quyền sở hữu nhà ở và tài sản khác gắn liền với đất số: CU 430990, số vào sổ cấp GCN: CS06360 do Sở Tài nguyên và Môi trường thành phố Hà Nội cấp ngày 19/02/2020 cho Ông Đặng Minh Đức và Bà Nguyễn Thị Thuý</w:t>
            </w:r>
            <w:r>
              <w:rPr>
                <w:b/>
                <w:bCs/>
              </w:rPr>
              <w:t xml:space="preserve">.</w:t>
            </w:r>
            <w:r>
              <w:rPr>
                <w:b/>
                <w:bCs/>
              </w:rPr>
            </w:r>
            <w:r>
              <w:rPr>
                <w:b/>
                <w:bCs/>
              </w:rPr>
            </w:r>
          </w:p>
        </w:tc>
        <w:tc>
          <w:tcPr>
            <w:shd w:val="clear" w:color="000000" w:fill="ffffff"/>
            <w:tcBorders/>
            <w:tcW w:w="1758"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0"/>
        </w:trPr>
        <w:tc>
          <w:tcPr>
            <w:shd w:val="clear" w:color="000000" w:fill="ffffff"/>
            <w:tcBorders/>
            <w:tcW w:w="799" w:type="dxa"/>
            <w:vAlign w:val="center"/>
            <w:textDirection w:val="lrTb"/>
            <w:noWrap w:val="false"/>
          </w:tcPr>
          <w:p>
            <w:pPr>
              <w:pBdr/>
              <w:spacing w:after="40" w:before="40" w:line="288" w:lineRule="auto"/>
              <w:ind/>
              <w:jc w:val="center"/>
              <w:rPr/>
            </w:pPr>
            <w:r>
              <w:rPr>
                <w:b/>
                <w:bCs/>
              </w:rPr>
              <w:t xml:space="preserve">1</w:t>
            </w:r>
            <w:r/>
          </w:p>
        </w:tc>
        <w:tc>
          <w:tcPr>
            <w:gridSpan w:val="2"/>
            <w:shd w:val="clear" w:color="000000" w:fill="ffffff"/>
            <w:tcBorders/>
            <w:tcW w:w="1922" w:type="dxa"/>
            <w:vAlign w:val="center"/>
            <w:textDirection w:val="lrTb"/>
            <w:noWrap w:val="false"/>
          </w:tcPr>
          <w:p>
            <w:pPr>
              <w:pBdr/>
              <w:spacing w:after="40" w:before="40" w:line="288" w:lineRule="auto"/>
              <w:ind/>
              <w:rPr/>
            </w:pPr>
            <w:r>
              <w:rPr>
                <w:b/>
                <w:bCs/>
              </w:rPr>
              <w:t xml:space="preserve">Đất ở tại đô thị</w:t>
            </w:r>
            <w:r/>
          </w:p>
        </w:tc>
        <w:tc>
          <w:tcPr>
            <w:tcBorders/>
            <w:tcW w:w="1198" w:type="dxa"/>
            <w:vAlign w:val="center"/>
            <w:textDirection w:val="lrTb"/>
            <w:noWrap/>
          </w:tcPr>
          <w:p>
            <w:pPr>
              <w:pBdr/>
              <w:spacing w:after="40" w:before="40" w:line="288" w:lineRule="auto"/>
              <w:ind/>
              <w:jc w:val="center"/>
              <w:rPr>
                <w:color w:val="000000"/>
              </w:rPr>
            </w:pPr>
            <w:r>
              <w:rPr>
                <w:color w:val="000000" w:themeColor="text1"/>
              </w:rPr>
              <w:t xml:space="preserve">90,0</w:t>
            </w:r>
            <w:r>
              <w:rPr>
                <w:color w:val="000000"/>
              </w:rPr>
            </w:r>
            <w:r>
              <w:rPr>
                <w:color w:val="000000"/>
              </w:rPr>
            </w:r>
          </w:p>
        </w:tc>
        <w:tc>
          <w:tcPr>
            <w:shd w:val="clear" w:color="000000" w:fill="ffffff"/>
            <w:tcBorders/>
            <w:tcW w:w="2089" w:type="dxa"/>
            <w:vAlign w:val="center"/>
            <w:textDirection w:val="lrTb"/>
            <w:noWrap w:val="false"/>
          </w:tcPr>
          <w:p>
            <w:pPr>
              <w:pBdr/>
              <w:spacing w:after="40" w:before="40" w:line="288" w:lineRule="auto"/>
              <w:ind/>
              <w:jc w:val="center"/>
              <w:rPr/>
            </w:pPr>
            <w:r>
              <w:rPr>
                <w:color w:val="000000" w:themeColor="text1"/>
              </w:rPr>
              <w:t xml:space="preserve">63.000.000</w:t>
            </w:r>
            <w:r/>
          </w:p>
        </w:tc>
        <w:tc>
          <w:tcPr>
            <w:shd w:val="clear" w:color="000000" w:fill="ffffff"/>
            <w:tcBorders/>
            <w:tcW w:w="1758"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1758" w:type="dxa"/>
            <w:vAlign w:val="center"/>
            <w:textDirection w:val="lrTb"/>
            <w:noWrap w:val="false"/>
          </w:tcPr>
          <w:p>
            <w:pPr>
              <w:pBdr/>
              <w:spacing w:after="40" w:before="40" w:line="288" w:lineRule="auto"/>
              <w:ind/>
              <w:jc w:val="center"/>
              <w:rPr/>
            </w:pPr>
            <w:r>
              <w:rPr>
                <w:color w:val="000000" w:themeColor="text1"/>
              </w:rPr>
              <w:t xml:space="preserve">5.670.000.000</w:t>
            </w:r>
            <w:r/>
          </w:p>
        </w:tc>
      </w:tr>
      <w:tr>
        <w:trPr>
          <w:trHeight w:val="0"/>
        </w:trPr>
        <w:tc>
          <w:tcPr>
            <w:shd w:val="clear" w:color="000000" w:fill="ffffff"/>
            <w:tcBorders/>
            <w:tcW w:w="799" w:type="dxa"/>
            <w:vAlign w:val="center"/>
            <w:textDirection w:val="lrTb"/>
            <w:noWrap w:val="false"/>
          </w:tcPr>
          <w:p>
            <w:pPr>
              <w:pBdr/>
              <w:spacing w:after="40" w:before="40" w:line="288" w:lineRule="auto"/>
              <w:ind/>
              <w:jc w:val="center"/>
              <w:rPr/>
            </w:pPr>
            <w:r>
              <w:rPr>
                <w:b/>
                <w:bCs/>
              </w:rPr>
              <w:t xml:space="preserve">2</w:t>
            </w:r>
            <w:r/>
          </w:p>
        </w:tc>
        <w:tc>
          <w:tcPr>
            <w:gridSpan w:val="2"/>
            <w:shd w:val="clear" w:color="000000" w:fill="ffffff"/>
            <w:tcBorders/>
            <w:tcW w:w="1922" w:type="dxa"/>
            <w:vAlign w:val="center"/>
            <w:textDirection w:val="lrTb"/>
            <w:noWrap w:val="false"/>
          </w:tcPr>
          <w:p>
            <w:pPr>
              <w:pBdr/>
              <w:spacing w:after="40" w:before="40" w:line="288" w:lineRule="auto"/>
              <w:ind/>
              <w:rPr/>
            </w:pPr>
            <w:r>
              <w:rPr>
                <w:b/>
                <w:bCs/>
              </w:rPr>
              <w:t xml:space="preserve">Nhà 3 tầng </w:t>
            </w:r>
            <w:r/>
          </w:p>
        </w:tc>
        <w:tc>
          <w:tcPr>
            <w:tcBorders/>
            <w:tcW w:w="1198" w:type="dxa"/>
            <w:vAlign w:val="center"/>
            <w:textDirection w:val="lrTb"/>
            <w:noWrap/>
          </w:tcPr>
          <w:p>
            <w:pPr>
              <w:pBdr/>
              <w:spacing w:after="40" w:before="40" w:line="288" w:lineRule="auto"/>
              <w:ind/>
              <w:jc w:val="center"/>
              <w:rPr>
                <w:color w:val="000000"/>
              </w:rPr>
            </w:pPr>
            <w:r>
              <w:rPr>
                <w:color w:val="000000" w:themeColor="text1"/>
              </w:rPr>
              <w:t xml:space="preserve">264,2</w:t>
            </w:r>
            <w:r>
              <w:rPr>
                <w:color w:val="000000"/>
              </w:rPr>
            </w:r>
            <w:r>
              <w:rPr>
                <w:color w:val="000000"/>
              </w:rPr>
            </w:r>
          </w:p>
        </w:tc>
        <w:tc>
          <w:tcPr>
            <w:shd w:val="clear" w:color="000000" w:fill="ffffff"/>
            <w:tcBorders/>
            <w:tcW w:w="2089" w:type="dxa"/>
            <w:vAlign w:val="center"/>
            <w:textDirection w:val="lrTb"/>
            <w:noWrap w:val="false"/>
          </w:tcPr>
          <w:p>
            <w:pPr>
              <w:pBdr/>
              <w:spacing w:after="40" w:before="40" w:line="288" w:lineRule="auto"/>
              <w:ind/>
              <w:jc w:val="center"/>
              <w:rPr/>
            </w:pPr>
            <w:r>
              <w:rPr>
                <w:color w:val="000000" w:themeColor="text1"/>
              </w:rPr>
            </w:r>
            <w:r>
              <w:rPr>
                <w:rFonts w:ascii="Times New Roman" w:hAnsi="Times New Roman" w:eastAsia="Times New Roman" w:cs="Times New Roman"/>
                <w:color w:val="000000"/>
                <w:sz w:val="24"/>
              </w:rPr>
              <w:t xml:space="preserve">1.613.616.295</w:t>
            </w:r>
            <w:r/>
          </w:p>
        </w:tc>
        <w:tc>
          <w:tcPr>
            <w:shd w:val="clear" w:color="000000" w:fill="ffffff"/>
            <w:tcBorders/>
            <w:tcW w:w="1758" w:type="dxa"/>
            <w:vAlign w:val="center"/>
            <w:textDirection w:val="lrTb"/>
            <w:noWrap w:val="false"/>
          </w:tcPr>
          <w:p>
            <w:pPr>
              <w:pBdr/>
              <w:spacing/>
              <w:ind/>
              <w:jc w:val="center"/>
              <w:rPr>
                <w:color w:val="000000" w:themeColor="text1"/>
              </w:rPr>
            </w:pPr>
            <w:r>
              <w:rPr>
                <w:color w:val="000000" w:themeColor="text1"/>
              </w:rPr>
              <w:t xml:space="preserve">78%</w:t>
            </w:r>
            <w:r>
              <w:rPr>
                <w:color w:val="000000" w:themeColor="text1"/>
              </w:rPr>
            </w:r>
            <w:r>
              <w:rPr>
                <w:color w:val="000000" w:themeColor="text1"/>
              </w:rPr>
            </w:r>
          </w:p>
        </w:tc>
        <w:tc>
          <w:tcPr>
            <w:shd w:val="clear" w:color="000000" w:fill="ffffff"/>
            <w:tcBorders/>
            <w:tcW w:w="1758" w:type="dxa"/>
            <w:vAlign w:val="center"/>
            <w:textDirection w:val="lrTb"/>
            <w:noWrap w:val="false"/>
          </w:tcPr>
          <w:p>
            <w:pPr>
              <w:pBdr/>
              <w:spacing w:after="40" w:before="40" w:line="288" w:lineRule="auto"/>
              <w:ind/>
              <w:jc w:val="center"/>
              <w:rPr/>
            </w:pPr>
            <w:r>
              <w:rPr>
                <w:color w:val="000000" w:themeColor="text1"/>
              </w:rPr>
              <w:t xml:space="preserve">1.403.564.191</w:t>
            </w:r>
            <w:r/>
          </w:p>
        </w:tc>
      </w:tr>
      <w:tr>
        <w:trPr>
          <w:trHeight w:val="0"/>
        </w:trPr>
        <w:tc>
          <w:tcPr>
            <w:gridSpan w:val="6"/>
            <w:tcBorders/>
            <w:tcW w:w="7767"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758" w:type="dxa"/>
            <w:vAlign w:val="center"/>
            <w:textDirection w:val="lrTb"/>
            <w:noWrap/>
          </w:tcPr>
          <w:p>
            <w:pPr>
              <w:pBdr/>
              <w:spacing w:after="40" w:before="40" w:line="288" w:lineRule="auto"/>
              <w:ind/>
              <w:jc w:val="center"/>
              <w:rPr>
                <w:b/>
                <w:bCs/>
                <w:color w:val="000000"/>
              </w:rPr>
            </w:pPr>
            <w:r>
              <w:t xml:space="preserve">7.283.616.295</w:t>
            </w:r>
            <w:r>
              <w:rPr>
                <w:b/>
                <w:bCs/>
                <w:color w:val="000000"/>
              </w:rPr>
            </w:r>
            <w:r>
              <w:rPr>
                <w:b/>
                <w:bCs/>
                <w:color w:val="000000"/>
              </w:rPr>
            </w:r>
          </w:p>
        </w:tc>
      </w:tr>
      <w:tr>
        <w:trPr>
          <w:trHeight w:val="0"/>
        </w:trPr>
        <w:tc>
          <w:tcPr>
            <w:gridSpan w:val="6"/>
            <w:tcBorders/>
            <w:tcW w:w="7767"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758" w:type="dxa"/>
            <w:vAlign w:val="center"/>
            <w:textDirection w:val="lrTb"/>
            <w:noWrap/>
          </w:tcPr>
          <w:p>
            <w:pPr>
              <w:pBdr/>
              <w:spacing w:after="40" w:before="40" w:line="288" w:lineRule="auto"/>
              <w:ind/>
              <w:jc w:val="center"/>
              <w:rPr>
                <w:b/>
                <w:bCs/>
                <w:color w:val="000000"/>
              </w:rPr>
            </w:pPr>
            <w:r>
              <w:rPr>
                <w:b/>
                <w:bCs/>
                <w:color w:val="000000"/>
              </w:rPr>
              <w:t xml:space="preserve">7.284.000.000</w:t>
            </w:r>
            <w:r>
              <w:rPr>
                <w:b/>
                <w:bCs/>
                <w:color w:val="000000"/>
              </w:rPr>
            </w:r>
            <w:r>
              <w:rPr>
                <w:b/>
                <w:bCs/>
                <w:color w:val="000000"/>
              </w:rPr>
            </w:r>
          </w:p>
        </w:tc>
      </w:tr>
      <w:tr>
        <w:trPr>
          <w:trHeight w:val="0"/>
        </w:trPr>
        <w:tc>
          <w:tcPr>
            <w:gridSpan w:val="7"/>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Bảy tỷ hai trăm tám mươi tư triệu đồng./.)</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729"/>
        <w:gridCol w:w="3302"/>
        <w:gridCol w:w="5031"/>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5031"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275/2026/0213/VFI-CT.48.A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27 tháng 1 năm 2026</w:t>
            </w:r>
            <w:r>
              <w:rPr>
                <w:color w:val="000000" w:themeColor="text1"/>
                <w:sz w:val="24"/>
                <w:szCs w:val="24"/>
                <w:lang w:val="vi-VN"/>
              </w:rPr>
            </w:r>
            <w:r>
              <w:rPr>
                <w:color w:val="000000" w:themeColor="text1"/>
                <w:sz w:val="24"/>
                <w:szCs w:val="24"/>
                <w:lang w:val="vi-VN"/>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275/2026/0213/VFI-CT.48.A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27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highlight w:val="none"/>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highlight w:val="none"/>
          <w:lang w:val="pt-BR"/>
        </w:rPr>
      </w:r>
      <w:r>
        <w:rPr>
          <w:b/>
          <w:bCs/>
          <w:highlight w:val="none"/>
          <w:lang w:val="pt-BR"/>
        </w:rPr>
      </w:r>
    </w:p>
    <w:tbl>
      <w:tblPr>
        <w:tblInd w:w="-34" w:type="dxa"/>
        <w:tblW w:w="9842" w:type="dxa"/>
        <w:tblBorders/>
        <w:tblLayout w:type="fixed"/>
        <w:tblLook w:val="04A0" w:firstRow="1" w:lastRow="0" w:firstColumn="1" w:lastColumn="0" w:noHBand="0" w:noVBand="1"/>
      </w:tblPr>
      <w:tblGrid>
        <w:gridCol w:w="2538"/>
        <w:gridCol w:w="289"/>
        <w:gridCol w:w="7015"/>
      </w:tblGrid>
      <w:tr>
        <w:trPr>
          <w:trHeight w:val="20"/>
        </w:trPr>
        <w:tc>
          <w:tcPr>
            <w:tcBorders/>
            <w:tcW w:w="2538" w:type="dxa"/>
            <w:vAlign w:val="center"/>
            <w:textDirection w:val="lrTb"/>
            <w:noWrap w:val="false"/>
          </w:tcPr>
          <w:p>
            <w:pPr>
              <w:pBdr/>
              <w:spacing w:after="40" w:before="40" w:line="276" w:lineRule="auto"/>
              <w:ind/>
              <w:rPr>
                <w:bCs/>
                <w:lang w:val="pt-BR"/>
              </w:rPr>
            </w:pPr>
            <w:r>
              <w:rPr>
                <w:bCs/>
                <w:lang w:val="pt-BR"/>
              </w:rPr>
              <w:t xml:space="preserve">Tên khách hàng</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015" w:type="dxa"/>
            <w:vAlign w:val="center"/>
            <w:textDirection w:val="lrTb"/>
            <w:noWrap w:val="false"/>
          </w:tcPr>
          <w:p>
            <w:pPr>
              <w:pBdr/>
              <w:tabs>
                <w:tab w:val="left" w:leader="none" w:pos="1189"/>
              </w:tabs>
              <w:spacing w:after="40" w:before="40" w:line="276" w:lineRule="auto"/>
              <w:ind/>
              <w:rPr>
                <w:rFonts w:ascii="Times New Roman Bold" w:hAnsi="Times New Roman Bold"/>
                <w:b/>
                <w:bCs/>
                <w:spacing w:val="-16"/>
                <w:lang w:val="pt-BR"/>
              </w:rPr>
            </w:pPr>
            <w:r>
              <w:rPr>
                <w:b/>
                <w:bCs/>
                <w:color w:val="000000" w:themeColor="text1"/>
                <w:spacing w:val="-4"/>
                <w:lang w:val="pt-BR"/>
              </w:rPr>
            </w:r>
            <w:r>
              <w:rPr>
                <w:rFonts w:ascii="Times New Roman Bold" w:hAnsi="Times New Roman Bold"/>
                <w:b/>
                <w:color w:val="000000" w:themeColor="text1"/>
                <w:lang w:val="pt-BR"/>
              </w:rPr>
              <w:t xml:space="preserve">CÔNG TY TNHH XÂY DỰNG VÀ KỸ THUẬT CÔNG NGHIỆP THĂNG LONG</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538" w:type="dxa"/>
            <w:vAlign w:val="center"/>
            <w:textDirection w:val="lrTb"/>
            <w:noWrap w:val="false"/>
          </w:tcPr>
          <w:p>
            <w:pPr>
              <w:pBdr/>
              <w:spacing w:after="40" w:before="40" w:line="276" w:lineRule="auto"/>
              <w:ind/>
              <w:rPr>
                <w:bCs/>
              </w:rPr>
            </w:pPr>
            <w:r>
              <w:rPr>
                <w:bCs/>
              </w:rPr>
              <w:t xml:space="preserve">MST</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015" w:type="dxa"/>
            <w:vAlign w:val="center"/>
            <w:textDirection w:val="lrTb"/>
            <w:noWrap w:val="false"/>
          </w:tcPr>
          <w:p>
            <w:pPr>
              <w:pBdr/>
              <w:spacing w:after="40" w:before="40" w:line="276" w:lineRule="auto"/>
              <w:ind/>
              <w:rPr>
                <w:spacing w:val="-6"/>
                <w:lang w:val="pt-BR"/>
              </w:rPr>
            </w:pPr>
            <w:r>
              <w:rPr>
                <w:color w:val="000000" w:themeColor="text1"/>
                <w:spacing w:val="-2"/>
              </w:rPr>
              <w:t xml:space="preserve">0106806181</w:t>
            </w:r>
            <w:r>
              <w:rPr>
                <w:spacing w:val="-6"/>
                <w:lang w:val="pt-BR"/>
              </w:rPr>
            </w:r>
            <w:r>
              <w:rPr>
                <w:spacing w:val="-6"/>
                <w:lang w:val="pt-BR"/>
              </w:rPr>
            </w:r>
          </w:p>
        </w:tc>
      </w:tr>
      <w:tr>
        <w:trPr>
          <w:trHeight w:val="20"/>
        </w:trPr>
        <w:tc>
          <w:tcPr>
            <w:tcBorders/>
            <w:tcW w:w="2538" w:type="dxa"/>
            <w:vAlign w:val="center"/>
            <w:textDirection w:val="lrTb"/>
            <w:noWrap w:val="false"/>
          </w:tcPr>
          <w:p>
            <w:pPr>
              <w:pBdr/>
              <w:spacing w:after="40" w:before="40" w:line="276" w:lineRule="auto"/>
              <w:ind/>
              <w:rPr>
                <w:bCs/>
              </w:rPr>
            </w:pPr>
            <w:r>
              <w:rPr>
                <w:bCs/>
                <w:lang w:val="pt-BR"/>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0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Số 23 Xóm Cơ Giới, thôn Áng Đông, xã Quảng Oai, thành phố Hà Nội</w:t>
            </w:r>
            <w:r>
              <w:rPr>
                <w:iCs/>
              </w:rPr>
            </w:r>
            <w:r>
              <w:rPr>
                <w:iCs/>
              </w:rPr>
            </w:r>
          </w:p>
        </w:tc>
      </w:tr>
      <w:tr>
        <w:trPr>
          <w:trHeight w:val="20"/>
        </w:trPr>
        <w:tc>
          <w:tcPr>
            <w:tcBorders/>
            <w:tcW w:w="2538"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015" w:type="dxa"/>
            <w:vAlign w:val="center"/>
            <w:textDirection w:val="lrTb"/>
            <w:noWrap w:val="false"/>
          </w:tcPr>
          <w:p>
            <w:pPr>
              <w:pBdr/>
              <w:spacing w:after="40" w:before="40" w:line="276" w:lineRule="auto"/>
              <w:ind/>
              <w:rPr>
                <w:b/>
                <w:bCs/>
                <w:lang w:val="vi-VN"/>
              </w:rPr>
            </w:pPr>
            <w:r>
              <w:rPr>
                <w:b/>
                <w:bCs/>
                <w:lang w:val="vi-VN"/>
              </w:rPr>
              <w:t xml:space="preserve">Ông </w:t>
            </w:r>
            <w:r>
              <w:rPr>
                <w:b/>
                <w:bCs/>
                <w:lang w:val="vi-VN"/>
              </w:rPr>
              <w:t xml:space="preserve">Đặng Hữu Thiện</w:t>
              <w:tab/>
              <w:t xml:space="preserve">Chức vụ: </w:t>
            </w:r>
            <w:r>
              <w:rPr>
                <w:b/>
                <w:bCs/>
              </w:rPr>
              <w:t xml:space="preserve"> Giám Đốc</w:t>
            </w:r>
            <w:r>
              <w:rPr>
                <w:b/>
                <w:bCs/>
                <w:lang w:val="vi-VN"/>
              </w:rPr>
            </w:r>
            <w:r>
              <w:rPr>
                <w:b/>
                <w:bCs/>
                <w:lang w:val="vi-VN"/>
              </w:rPr>
            </w:r>
          </w:p>
        </w:tc>
      </w:tr>
    </w:tbl>
    <w:tbl>
      <w:tblPr>
        <w:tblW w:w="9767" w:type="dxa"/>
        <w:tblBorders/>
        <w:tblLayout w:type="fixed"/>
        <w:tblLook w:val="04A0" w:firstRow="1" w:lastRow="0" w:firstColumn="1" w:lastColumn="0" w:noHBand="0" w:noVBand="1"/>
      </w:tblPr>
      <w:tblGrid>
        <w:gridCol w:w="2538"/>
        <w:gridCol w:w="284"/>
        <w:gridCol w:w="6945"/>
      </w:tblGrid>
      <w:tr>
        <w:trPr>
          <w:trHeight w:val="20"/>
        </w:trPr>
        <w:tc>
          <w:tcPr>
            <w:tcBorders/>
            <w:tcW w:w="253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tài sản gắn liền với đất tại thửa đất số: ./., tờ bản đồ số: ./. có địa chỉ: A8-LK17, Khu nhà ở Phú Thịnh, phường Phú Thịnh, thị xã Sơn Tây, thành phố Hà Nội (nay là phường Sơn Tây, thành </w:t>
            </w:r>
            <w:r>
              <w:rPr>
                <w:bCs/>
                <w:color w:val="000000" w:themeColor="text1"/>
                <w:lang w:val="pt-BR"/>
              </w:rPr>
              <w:t xml:space="preserve">phố Hà Nội) theo Giấy chứng nhận quyền sử dụng đất quyền sở hữu nhà ở và tài sản khác gắn liền với đất số: CU 430990, số vào sổ cấp GCN: CS06360 do Sở Tài nguyên và Môi trường thành phố Hà Nội cấp ngày 19/02/2020 cho Ông Đặng Minh Đức và Bà Nguyễn Thị Thuý</w:t>
            </w:r>
            <w:r>
              <w:rPr>
                <w:bCs/>
                <w:spacing w:val="2"/>
              </w:rPr>
              <w:t xml:space="preserve">.</w:t>
            </w:r>
            <w:r>
              <w:rPr>
                <w:b/>
                <w:bCs/>
                <w:spacing w:val="2"/>
                <w:lang w:val="vi-VN"/>
              </w:rPr>
            </w:r>
            <w:r>
              <w:rPr>
                <w:b/>
                <w:bCs/>
                <w:spacing w:val="2"/>
                <w:lang w:val="vi-VN"/>
              </w:rPr>
            </w:r>
          </w:p>
        </w:tc>
      </w:tr>
      <w:tr>
        <w:trPr>
          <w:trHeight w:val="20"/>
        </w:trPr>
        <w:tc>
          <w:tcPr>
            <w:tcBorders/>
            <w:tcW w:w="253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3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3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3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Phường Sơn Tây, thành </w:t>
            </w:r>
            <w:r>
              <w:rPr>
                <w:bCs/>
                <w:color w:val="000000" w:themeColor="text1"/>
                <w:lang w:val="pt-BR"/>
              </w:rPr>
              <w:t xml:space="preserve">phố Hà Nội</w:t>
            </w:r>
            <w:r>
              <w:rPr>
                <w:color w:val="ee0000"/>
                <w:lang w:val="pt-BR"/>
              </w:rPr>
            </w:r>
            <w:r>
              <w:rPr>
                <w:color w:val="ee0000"/>
                <w:lang w:val="pt-BR"/>
              </w:rPr>
            </w:r>
          </w:p>
        </w:tc>
      </w:tr>
      <w:tr>
        <w:trPr>
          <w:trHeight w:val="20"/>
        </w:trPr>
        <w:tc>
          <w:tcPr>
            <w:tcBorders/>
            <w:tcW w:w="253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(21.1438056, 105.5018889)</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3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9"/>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CU 430990, số vào sổ cấp GCN: CS06360 do Sở Tài nguyên và Môi trường thành phố Hà Nội cấp ngày 19/02/2020 cho Ông Đặng Minh Đức và Bà Nguyễn Thị Thuý</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275/2026/0213/VFI-HĐTĐ.48.A ngày 24/01/2026 giữa </w:t>
      </w:r>
      <w:r>
        <w:rPr>
          <w:color w:val="000000" w:themeColor="text1"/>
          <w:spacing w:val="-4"/>
        </w:rPr>
        <w:t xml:space="preserve">Công ty TNHH Xây dựng và Kỹ thuật công nghiệp Thăng Long</w:t>
      </w:r>
      <w:r>
        <w:rPr>
          <w:color w:val="000000" w:themeColor="text1"/>
          <w:lang w:val="pt-BR"/>
        </w:rPr>
        <w:t xml:space="preserve">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highlight w:val="none"/>
          <w:lang w:val="pt-BR"/>
        </w:rPr>
      </w:pPr>
      <w:r>
        <w:rPr>
          <w:b/>
          <w:bCs/>
          <w:lang w:val="pt-BR"/>
        </w:rPr>
        <w:t xml:space="preserve">III</w:t>
      </w:r>
      <w:r>
        <w:rPr>
          <w:b/>
          <w:bCs/>
          <w:lang w:val="pt-BR"/>
        </w:rPr>
        <w:t xml:space="preserve">. TỔNG QUAN VỀ THỊ TRƯỜNG CỦA TÀI SẢN THẨM ĐỊNH GIÁ</w:t>
      </w:r>
      <w:r>
        <w:rPr>
          <w:b/>
          <w:bCs/>
          <w:highlight w:val="none"/>
          <w:lang w:val="pt-BR"/>
        </w:rPr>
      </w:r>
      <w:r>
        <w:rPr>
          <w:b/>
          <w:bCs/>
          <w:highlight w:val="none"/>
          <w:lang w:val="pt-BR"/>
        </w:rPr>
      </w:r>
    </w:p>
    <w:p>
      <w:pPr>
        <w:pBdr/>
        <w:spacing w:after="120" w:before="120" w:line="380" w:lineRule="atLeast"/>
        <w:ind w:firstLine="0"/>
        <w:jc w:val="both"/>
        <w:rPr>
          <w:b/>
          <w:bCs/>
          <w:lang w:val="pt-BR"/>
        </w:rPr>
      </w:pPr>
      <w:r>
        <w:rPr>
          <w:b/>
          <w:bCs/>
          <w:highlight w:val="none"/>
          <w:lang w:val="pt-BR" w:bidi="pt-BR"/>
        </w:rPr>
        <w:t xml:space="preserve">       Tổng quan thị trường thị xã Sơn Tây cũ</w:t>
      </w:r>
      <w:r>
        <w:rPr>
          <w:b/>
          <w:bCs/>
          <w:lang w:val="pt-BR"/>
        </w:rPr>
      </w:r>
      <w:r>
        <w:rPr>
          <w:b/>
          <w:bCs/>
          <w:lang w:val="pt-BR"/>
        </w:rPr>
      </w:r>
    </w:p>
    <w:p>
      <w:pPr>
        <w:pBdr/>
        <w:tabs>
          <w:tab w:val="left" w:leader="none" w:pos="426"/>
        </w:tabs>
        <w:spacing w:after="120" w:before="120" w:line="276" w:lineRule="auto"/>
        <w:ind/>
        <w:rPr>
          <w:i/>
          <w:iCs/>
          <w:lang w:val="pt-BR"/>
        </w:rPr>
      </w:pPr>
      <w:r>
        <w:rPr>
          <w:shd w:val="clear" w:color="auto" w:fill="ffffff"/>
        </w:rPr>
        <w:tab/>
      </w:r>
      <w:r>
        <w:rPr>
          <w:rFonts w:ascii="Times New Roman" w:hAnsi="Times New Roman" w:eastAsia="Times New Roman" w:cs="Times New Roman"/>
          <w:color w:val="000000"/>
          <w:sz w:val="24"/>
          <w:highlight w:val="white"/>
        </w:rPr>
        <w:t xml:space="preserve">Thị xã Sơn Tây, nằm ở phía Tây Bắc Hà Nội, đang nổi lên như một "điểm vàng" trong làn sóng phát triển bất động sản nhờ vị trí đẹp và tiềm năng bứt phá mạnh mẽ. Với quy hoạch đô thị vệ tinh hiện đại, hạ tầng giao thông đồng bộ và lợi thế từ các di sản văn h</w:t>
      </w:r>
      <w:r>
        <w:rPr>
          <w:rFonts w:ascii="Times New Roman" w:hAnsi="Times New Roman" w:eastAsia="Times New Roman" w:cs="Times New Roman"/>
          <w:color w:val="000000"/>
          <w:sz w:val="24"/>
          <w:highlight w:val="white"/>
        </w:rPr>
        <w:t xml:space="preserve">óa, Sơn Tây không chỉ thu hút sự quan tâm của nhà đầu tư mà còn trở thành lựa chọn lý tưởng cho nhu cầu an cư và nghỉ dưỡng. Những dự án bất động sản nơi đây hứa hẹn mang lại cơ hội sinh lời hấp dẫn, mở ra một tương lai phát triển bền vững cho khu vực này.</w:t>
      </w:r>
      <w:r>
        <w:rPr>
          <w:rFonts w:ascii="Times New Roman" w:hAnsi="Times New Roman" w:eastAsia="Times New Roman" w:cs="Times New Roman"/>
          <w:color w:val="000000"/>
          <w:sz w:val="24"/>
          <w:highlight w:val="white"/>
        </w:rPr>
        <w:br/>
        <w:t xml:space="preserve"> </w:t>
        <w:tab/>
        <w:t xml:space="preserve">Tại các phường trung tâm như Xuân Khanh, Cổ Đông, và Lê Lợi, giá nhà đất có xu hướng tăng trong năm 2024 do nhu cầu ngày càng cao. Vị trí này không chỉ có hệ thống giao thông thuận lợi mà còn gần các khu dịch vụ, tiện ích, khiến đây trở thành lựa chọn l</w:t>
      </w:r>
      <w:r>
        <w:rPr>
          <w:rFonts w:ascii="Times New Roman" w:hAnsi="Times New Roman" w:eastAsia="Times New Roman" w:cs="Times New Roman"/>
          <w:color w:val="000000"/>
          <w:sz w:val="24"/>
          <w:highlight w:val="white"/>
        </w:rPr>
        <w:t xml:space="preserve">ý tưởng cho người dân muốn an cư lạc nghiệp. Giá bán nhà tại những khu vực này theo Batdongsan tháng 10/2024 dao động từ 10-26 triệu đồng/m², tùy thuộc vào vị trí cụ thể và tiện ích đi kèm. Ngoài ra, các dự án khu đô thị mới với quy hoạch hiện đại, cơ sở h</w:t>
      </w:r>
      <w:r>
        <w:rPr>
          <w:rFonts w:ascii="Times New Roman" w:hAnsi="Times New Roman" w:eastAsia="Times New Roman" w:cs="Times New Roman"/>
          <w:color w:val="000000"/>
          <w:sz w:val="24"/>
          <w:highlight w:val="white"/>
        </w:rPr>
        <w:t xml:space="preserve">ạ tầng hoàn thiện cũng đã tạo ra nguồn cung dồi dào cho thị trường nhà ở tại Sơn Tây.</w:t>
        <w:br/>
        <w:t xml:space="preserve"> </w:t>
        <w:tab/>
        <w:t xml:space="preserve">Thị trường mua bán nhà ở tại Sơn Tây cũng ghi nhận sự tham gia mạnh mẽ của các nhà đầu tư. Với tiềm năng phát triển đô thị và du lịch, nhiều dự án bất động sản đã được </w:t>
      </w:r>
      <w:r>
        <w:rPr>
          <w:rFonts w:ascii="Times New Roman" w:hAnsi="Times New Roman" w:eastAsia="Times New Roman" w:cs="Times New Roman"/>
          <w:color w:val="000000"/>
          <w:sz w:val="24"/>
          <w:highlight w:val="white"/>
        </w:rPr>
        <w:t xml:space="preserve">khởi động, từ đó thúc đẩy các hoạt động mua bán nhà ở trở nên sôi động. Nhà đầu tư đang tập trung vào các phân khúc như nhà phố, biệt thự, và căn hộ chung cư, với kỳ vọng về sự tăng trưởng giá trị trong tương lai khi Sơn Tây hoàn thiện quy hoạch và trở thà</w:t>
      </w:r>
      <w:r>
        <w:rPr>
          <w:rFonts w:ascii="Times New Roman" w:hAnsi="Times New Roman" w:eastAsia="Times New Roman" w:cs="Times New Roman"/>
          <w:color w:val="000000"/>
          <w:sz w:val="24"/>
          <w:highlight w:val="white"/>
        </w:rPr>
        <w:t xml:space="preserve">nh đô thị vệ tinh quan trọng của Hà Nội.</w:t>
        <w:br/>
        <w:t xml:space="preserve"> </w:t>
        <w:tab/>
        <w:t xml:space="preserve">Thị xã Sơn Tây trong năm 2024 đang nổi lên như một vùng trọng điểm phát triển với nhiều tiềm năng, đặc biệt trong lĩnh vực du lịch và bảo tồn văn hóa. Theo các số liệu mới nhất, thị xã có tổng diện tích 113,5 km² </w:t>
      </w:r>
      <w:r>
        <w:rPr>
          <w:rFonts w:ascii="Times New Roman" w:hAnsi="Times New Roman" w:eastAsia="Times New Roman" w:cs="Times New Roman"/>
          <w:color w:val="000000"/>
          <w:sz w:val="24"/>
          <w:highlight w:val="white"/>
        </w:rPr>
        <w:t xml:space="preserve">và dân số đạt khoảng 148.000 người. Với vị trí chiến lược ở phía Tây Bắc Hà Nội, Sơn Tây được quy hoạch để trở thành đô thị vệ tinh, giúp giảm áp lực cho trung tâm thủ đô.</w:t>
        <w:br/>
        <w:t xml:space="preserve"> </w:t>
        <w:tab/>
        <w:t xml:space="preserve">Về phát triển du lịch, năm 2024, thị xã đã đầu tư mạnh mẽ vào hạ tầng giao thông v</w:t>
      </w:r>
      <w:r>
        <w:rPr>
          <w:rFonts w:ascii="Times New Roman" w:hAnsi="Times New Roman" w:eastAsia="Times New Roman" w:cs="Times New Roman"/>
          <w:color w:val="000000"/>
          <w:sz w:val="24"/>
          <w:highlight w:val="white"/>
        </w:rPr>
        <w:t xml:space="preserve">à dịch vụ du lịch, đặc biệt là khu vực làng cổ Đường Lâm và thành cổ Sơn Tây. Với hơn 150.000 lượt khách du lịch ghé thăm mỗi năm, Sơn Tây đang khai thác tốt tiềm năng từ các di sản văn hóa và lịch sử. Đồng thời, việc kết nối giao thông qua các tuyến đường</w:t>
      </w:r>
      <w:r>
        <w:rPr>
          <w:rFonts w:ascii="Times New Roman" w:hAnsi="Times New Roman" w:eastAsia="Times New Roman" w:cs="Times New Roman"/>
          <w:color w:val="000000"/>
          <w:sz w:val="24"/>
          <w:highlight w:val="white"/>
        </w:rPr>
        <w:t xml:space="preserve"> quốc lộ quan trọng và nâng cấp hệ thống đường sá địa phương giúp thúc đẩy phát triển các khu vực ngoại vi, thu hút đầu tư từ các dự án bất động sản nghỉ dưỡng và nhà ở.</w:t>
        <w:br/>
        <w:t xml:space="preserve"> </w:t>
      </w:r>
      <w:r>
        <w:rPr>
          <w:rFonts w:ascii="Times New Roman" w:hAnsi="Times New Roman" w:eastAsia="Times New Roman" w:cs="Times New Roman"/>
          <w:i/>
          <w:color w:val="000000"/>
          <w:sz w:val="24"/>
          <w:highlight w:val="white"/>
        </w:rPr>
        <w:t xml:space="preserve">(Nguồn: https://onehousing.vn/blog/bat-dong-san-thi-xa-son-tay-tiem-nang-va-vi-tri-dep-n17t)</w:t>
      </w:r>
      <w:r>
        <w:rPr>
          <w:i/>
          <w:iCs/>
          <w:lang w:val="pt-BR"/>
        </w:rPr>
      </w:r>
      <w:r>
        <w:rPr>
          <w:i/>
          <w:iCs/>
          <w:lang w:val="pt-BR"/>
        </w:rP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và tài sản gắn liền với đất tại thửa đất số: ./., tờ bản đồ số: ./. có địa chỉ: A8-LK17, Khu nhà ở Phú Thịnh, phường Phú Thịnh, thị xã Sơn Tây, thành phố Hà Nội (nay là phường Sơn Tây, thành </w:t>
            </w:r>
            <w:r>
              <w:rPr>
                <w:b/>
                <w:bCs/>
                <w:color w:val="000000"/>
              </w:rPr>
              <w:t xml:space="preserve">phố Hà Nội) theo Giấy chứng nhận quyền sử dụng đất quyền sở hữu nhà ở và tài sản khác gắn liền với đất số: CU 430990, số vào sổ cấp GCN: CS06360 do Sở Tài nguyên và Môi trường thành phố Hà Nội cấp ngày 19/02/2020 cho Ông Đặng Minh Đức và Bà Nguyễn Thị Thuý</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b w:val="0"/>
                <w:bCs w:val="0"/>
                <w:color w:val="000000"/>
              </w:rPr>
              <w:t xml:space="preserve">A8-LK17, Khu nhà ở Phú Thịnh, phường Phú Thịnh, thị xã Sơn Tây, thành phố Hà Nội (nay là phường Sơn Tây, thành </w:t>
            </w:r>
            <w:r>
              <w:rPr>
                <w:b w:val="0"/>
                <w:bCs w:val="0"/>
                <w:color w:val="000000"/>
              </w:rPr>
              <w:t xml:space="preserve">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90,0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nhựa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đường trước sau</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13.5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t xml:space="preserve">Tài sản cách QL32 khoảng 400m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Hướng Đông Bắc: Tiếp giáp đường giao thông.</w:t>
              <w:br/>
              <w:t xml:space="preserve">Hướng Các hướng khác: Tiếp giáp đường giao thông.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(21.1438056, 105.5018889)</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5,0</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18,0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 Nhà 3 tầng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b w:val="0"/>
                <w:bCs w:val="0"/>
                <w:color w:val="000000"/>
              </w:rPr>
            </w:pPr>
            <w:r>
              <w:rPr>
                <w:color w:val="000000"/>
              </w:rPr>
              <w:t xml:space="preserve">+</w:t>
            </w:r>
            <w:r>
              <w:rPr>
                <w:rFonts w:ascii="Times New Roman" w:hAnsi="Times New Roman" w:eastAsia="Times New Roman" w:cs="Times New Roman"/>
                <w:color w:val="000000"/>
                <w:sz w:val="24"/>
              </w:rPr>
              <w:t xml:space="preserve">Tại thời điểm khảo sát, tổ thẩm định nhận thấy trên đất có 01 nhà 3 tầng, kết cấu BTCT, tường gạch chịu lực, sàn lát gạch men, ngoại quan còn khá. Công trình được xây dựng năm 2015. Diện tích xây dựng 72,5m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sà</w:t>
            </w:r>
            <w:r>
              <w:rPr>
                <w:rFonts w:ascii="Times New Roman" w:hAnsi="Times New Roman" w:eastAsia="Times New Roman" w:cs="Times New Roman"/>
                <w:b w:val="0"/>
                <w:bCs w:val="0"/>
                <w:color w:val="000000"/>
                <w:sz w:val="24"/>
              </w:rPr>
              <w:t xml:space="preserve">n, tổng diện tích xây dựng 264,2m</w:t>
            </w:r>
            <w:r>
              <w:rPr>
                <w:rFonts w:ascii="Times New Roman" w:hAnsi="Times New Roman" w:eastAsia="Times New Roman" w:cs="Times New Roman"/>
                <w:b w:val="0"/>
                <w:bCs w:val="0"/>
                <w:color w:val="000000"/>
                <w:sz w:val="24"/>
                <w:vertAlign w:val="superscript"/>
              </w:rPr>
              <w:t xml:space="preserve">2</w:t>
            </w:r>
            <w:r>
              <w:rPr>
                <w:rFonts w:ascii="Times New Roman" w:hAnsi="Times New Roman" w:eastAsia="Times New Roman" w:cs="Times New Roman"/>
                <w:b w:val="0"/>
                <w:bCs w:val="0"/>
                <w:color w:val="000000"/>
                <w:sz w:val="24"/>
              </w:rPr>
              <w:t xml:space="preserve">.  Hiện công trình đã được chứng nhận trên GCN số</w:t>
            </w:r>
            <w:r>
              <w:rPr>
                <w:rFonts w:ascii="Times New Roman" w:hAnsi="Times New Roman" w:eastAsia="Times New Roman" w:cs="Times New Roman"/>
                <w:b w:val="0"/>
                <w:bCs w:val="0"/>
                <w:color w:val="000000"/>
                <w:spacing w:val="3"/>
                <w:sz w:val="24"/>
                <w:highlight w:val="white"/>
              </w:rPr>
              <w:t xml:space="preserve"> </w:t>
            </w:r>
            <w:r>
              <w:rPr>
                <w:b w:val="0"/>
                <w:bCs w:val="0"/>
                <w:color w:val="000000"/>
              </w:rPr>
              <w:t xml:space="preserve">CU 430990</w:t>
            </w:r>
            <w:r>
              <w:rPr>
                <w:rFonts w:ascii="Times New Roman" w:hAnsi="Times New Roman" w:eastAsia="Times New Roman" w:cs="Times New Roman"/>
                <w:b w:val="0"/>
                <w:bCs w:val="0"/>
                <w:color w:val="000000"/>
                <w:sz w:val="24"/>
              </w:rPr>
              <w:t xml:space="preserve">.</w:t>
            </w:r>
            <w:r>
              <w:rPr>
                <w:b w:val="0"/>
                <w:bCs w:val="0"/>
                <w:color w:val="000000"/>
              </w:rPr>
            </w:r>
            <w:r>
              <w:rPr>
                <w:b w:val="0"/>
                <w:bCs w:val="0"/>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9"/>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9"/>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9"/>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Ind w:w="28" w:type="dxa"/>
        <w:tblW w:w="0" w:type="auto"/>
        <w:tblBorders/>
        <w:tblLayout w:type="fixed"/>
        <w:tblLook w:val="04A0" w:firstRow="1" w:lastRow="0" w:firstColumn="1" w:lastColumn="0" w:noHBand="0" w:noVBand="1"/>
      </w:tblPr>
      <w:tblGrid>
        <w:gridCol w:w="676"/>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676"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Phú Thịnh, Thị xã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Phú Thịnh, Thị xã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Phú Thịnh, Thị xã Sơn Tây,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Phú Thịnh, Thị xã Sơn Tây,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Facebook</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0963637997</w:t>
            </w:r>
            <w:r>
              <w:rPr>
                <w:sz w:val="22"/>
                <w:szCs w:val="22"/>
              </w:rPr>
              <w:t xml:space="preserve"> </w:t>
            </w:r>
            <w:r>
              <w:rPr>
                <w:sz w:val="22"/>
                <w:szCs w:val="22"/>
              </w:rPr>
              <w:br/>
              <w:t xml:space="preserve">(</w:t>
            </w:r>
            <w:r>
              <w:rPr>
                <w:sz w:val="22"/>
                <w:szCs w:val="22"/>
              </w:rPr>
              <w:t xml:space="preserve">Minh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0968994891</w:t>
            </w:r>
            <w:r>
              <w:rPr>
                <w:sz w:val="22"/>
                <w:szCs w:val="22"/>
              </w:rPr>
              <w:br/>
            </w:r>
            <w:r>
              <w:rPr>
                <w:sz w:val="22"/>
                <w:szCs w:val="22"/>
              </w:rPr>
              <w:t xml:space="preserve">(</w:t>
            </w:r>
            <w:r>
              <w:rPr>
                <w:sz w:val="22"/>
                <w:szCs w:val="22"/>
              </w:rPr>
              <w:t xml:space="preserve">Huyền Land</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0982858445</w:t>
            </w:r>
            <w:r>
              <w:rPr>
                <w:sz w:val="22"/>
                <w:szCs w:val="22"/>
              </w:rPr>
              <w:br/>
            </w:r>
            <w:r>
              <w:rPr>
                <w:sz w:val="22"/>
                <w:szCs w:val="22"/>
              </w:rPr>
              <w:t xml:space="preserve">(</w:t>
            </w:r>
            <w:r>
              <w:rPr>
                <w:sz w:val="22"/>
                <w:szCs w:val="22"/>
              </w:rPr>
              <w:t xml:space="preserve">Trung Thực</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 </w:t>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r>
      <w:tr>
        <w:trPr>
          <w:trHeight w:val="429"/>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QL32 khoảng 400m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QL32 khoảng 200m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QL32 khoảng 200m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QL32 khoảng 200m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676"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3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3,5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3,5 tầng</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676"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Số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3,0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3,5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3,5</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676"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Diện tích sàn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244,2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253,8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244,8</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7.740.000.000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6.975.000.000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7.998.000.000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1.720.921.356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808.988.515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1.625.626.958</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xây</w:t>
            </w:r>
            <w:r>
              <w:rPr>
                <w:color w:val="000000"/>
                <w:sz w:val="22"/>
                <w:szCs w:val="22"/>
              </w:rPr>
              <w:t xml:space="preserve"> </w:t>
            </w:r>
            <w:r>
              <w:rPr>
                <w:color w:val="000000"/>
                <w:sz w:val="22"/>
                <w:szCs w:val="22"/>
              </w:rPr>
              <w:t xml:space="preserve">dựng</w:t>
            </w:r>
            <w:r>
              <w:rPr>
                <w:color w:val="000000"/>
                <w:sz w:val="22"/>
                <w:szCs w:val="22"/>
              </w:rPr>
              <w:t xml:space="preserve"> </w:t>
            </w:r>
            <w:r>
              <w:rPr>
                <w:color w:val="000000"/>
                <w:sz w:val="22"/>
                <w:szCs w:val="22"/>
              </w:rPr>
              <w:t xml:space="preserve">theo</w:t>
            </w:r>
            <w:r>
              <w:rPr>
                <w:color w:val="000000"/>
                <w:sz w:val="22"/>
                <w:szCs w:val="22"/>
              </w:rPr>
              <w:t xml:space="preserve"> </w:t>
            </w:r>
            <w:r>
              <w:rPr>
                <w:color w:val="000000"/>
                <w:sz w:val="22"/>
                <w:szCs w:val="22"/>
              </w:rPr>
              <w:t xml:space="preserve">Quyết</w:t>
            </w:r>
            <w:r>
              <w:rPr>
                <w:color w:val="000000"/>
                <w:sz w:val="22"/>
                <w:szCs w:val="22"/>
              </w:rPr>
              <w:t xml:space="preserve"> </w:t>
            </w:r>
            <w:r>
              <w:rPr>
                <w:color w:val="000000"/>
                <w:sz w:val="22"/>
                <w:szCs w:val="22"/>
              </w:rPr>
              <w:t xml:space="preserve">định</w:t>
            </w:r>
            <w:r>
              <w:rPr>
                <w:color w:val="000000"/>
                <w:sz w:val="22"/>
                <w:szCs w:val="22"/>
              </w:rPr>
              <w:t xml:space="preserve"> </w:t>
            </w:r>
            <w:r>
              <w:rPr>
                <w:color w:val="000000"/>
                <w:sz w:val="22"/>
                <w:szCs w:val="22"/>
              </w:rPr>
              <w:t xml:space="preserve">số</w:t>
            </w:r>
            <w:r>
              <w:rPr>
                <w:color w:val="000000"/>
                <w:sz w:val="22"/>
                <w:szCs w:val="22"/>
              </w:rPr>
              <w:t xml:space="preserve"> 409/QĐ-BXD </w:t>
            </w:r>
            <w:r>
              <w:rPr>
                <w:color w:val="000000"/>
                <w:sz w:val="22"/>
                <w:szCs w:val="22"/>
              </w:rPr>
              <w:t xml:space="preserve">ngày</w:t>
            </w:r>
            <w:r>
              <w:rPr>
                <w:color w:val="000000"/>
                <w:sz w:val="22"/>
                <w:szCs w:val="22"/>
              </w:rPr>
              <w:t xml:space="preserve"> 11/4/2025 </w:t>
            </w:r>
            <w:r>
              <w:rPr>
                <w:color w:val="000000"/>
                <w:sz w:val="22"/>
                <w:szCs w:val="22"/>
              </w:rPr>
              <w:t xml:space="preserve">của</w:t>
            </w:r>
            <w:r>
              <w:rPr>
                <w:color w:val="000000"/>
                <w:sz w:val="22"/>
                <w:szCs w:val="22"/>
              </w:rPr>
              <w:t xml:space="preserve"> </w:t>
            </w:r>
            <w:r>
              <w:rPr>
                <w:color w:val="000000"/>
                <w:sz w:val="22"/>
                <w:szCs w:val="22"/>
              </w:rPr>
              <w:t xml:space="preserve">Bộ</w:t>
            </w:r>
            <w:r>
              <w:rPr>
                <w:color w:val="000000"/>
                <w:sz w:val="22"/>
                <w:szCs w:val="22"/>
              </w:rPr>
              <w:t xml:space="preserve"> </w:t>
            </w:r>
            <w:r>
              <w:rPr>
                <w:color w:val="000000"/>
                <w:sz w:val="22"/>
                <w:szCs w:val="22"/>
              </w:rPr>
              <w:t xml:space="preserve">Xây</w:t>
            </w:r>
            <w:r>
              <w:rPr>
                <w:color w:val="000000"/>
                <w:sz w:val="22"/>
                <w:szCs w:val="22"/>
              </w:rPr>
              <w:t xml:space="preserve"> </w:t>
            </w:r>
            <w:r>
              <w:rPr>
                <w:color w:val="000000"/>
                <w:sz w:val="22"/>
                <w:szCs w:val="22"/>
              </w:rPr>
              <w:t xml:space="preserve">Dựng</w:t>
            </w:r>
            <w:r>
              <w:rPr>
                <w:color w:val="000000"/>
                <w:sz w:val="22"/>
                <w:szCs w:val="22"/>
              </w:rPr>
              <w:t xml:space="preserve"> (</w:t>
            </w: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7.830.200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7.019.096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7.019.096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 </w:t>
            </w: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 CLCL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6.019.078.644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6.166.011.485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6.372.373.042</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60.190.786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61.660.115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63.723.730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676"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6.019.078.644</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6.166.011.485</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6.372.373.042</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60.190.786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61.660.115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63.723.730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60.190.786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61.660.115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63.723.730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QL32 khoảng 400m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QL32 khoảng 200m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QL32 khoảng 200m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QL32 khoảng 200m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-3.009.539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-3.083.006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-3.186.187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57.181.247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58.577.109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60.537.543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57.181.247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58.577.109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60.537.543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1.203.816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1.233.202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1.274.475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58.385.063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59.810.311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61.812.018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58.385.063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59.810.311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61.812.018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3.009.539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3.083.006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3.186.187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61.394.602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62.893.317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64.998.205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Hình chữ nhật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Hình chữ nhật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61.394.602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62.893.317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64.998.205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61.394.602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62.893.317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64.998.205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63.095.375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7.222.894</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7.399.214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7.646.849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1.203.816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1.233.202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1.274.475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0,32% </w:t>
      </w:r>
      <w:r>
        <w:t xml:space="preserve">đến</w:t>
      </w:r>
      <w:r>
        <w:t xml:space="preserve"> </w:t>
      </w:r>
      <w:r>
        <w:t xml:space="preserve">3,02</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61.394.602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20.468.960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62.893.317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20.962.343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64.998.205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21.663.902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63.095.205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63.000.000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63.000.000</w:t>
      </w:r>
      <w:r>
        <w:rPr>
          <w:b/>
          <w:bCs/>
          <w:color w:val="000000" w:themeColor="text1"/>
        </w:rPr>
        <w:t xml:space="preserve"> </w:t>
      </w:r>
      <w:r>
        <w:rPr>
          <w:b/>
          <w:bCs/>
        </w:rPr>
        <w:t xml:space="preserve">đồng</w:t>
      </w:r>
      <w:r>
        <w:rPr>
          <w:b/>
          <w:bCs/>
        </w:rPr>
        <w:t xml:space="preserve">/m².</w:t>
      </w:r>
      <w:r>
        <w:rPr>
          <w:b/>
          <w:bCs/>
        </w:rPr>
      </w:r>
      <w:r>
        <w:rPr>
          <w:b/>
          <w:bCs/>
        </w:rPr>
      </w:r>
    </w:p>
    <w:p>
      <w:pPr>
        <w:pStyle w:val="1029"/>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Qua tham khảo thị trường về đơn giá xây dựng mới đối với công trình Nhà 3 tầng, cân nhắc và xem xét với mức độ hoàn thiện của công trình xây dựng hiện có, Tổ thẩm định nhận thấy đơn giá vận dụng theo </w:t>
      </w:r>
      <w:r>
        <w:rPr>
          <w:rFonts w:ascii="Times New Roman" w:hAnsi="Times New Roman" w:eastAsia="Times New Roman" w:cs="Times New Roman"/>
          <w:color w:val="000000"/>
          <w:sz w:val="24"/>
          <w:highlight w:val="white"/>
        </w:rPr>
        <w:t xml:space="preserve">Đơn giá xây dựng theo Quyết định số 409/QĐ-BXD ngày 11/4/2025 của Bộ Xây Dựng</w:t>
      </w:r>
      <w:r>
        <w:rPr>
          <w:rFonts w:ascii="Times New Roman" w:hAnsi="Times New Roman" w:eastAsia="Times New Roman" w:cs="Times New Roman"/>
          <w:color w:val="000000"/>
          <w:sz w:val="24"/>
        </w:rPr>
        <w:t xml:space="preserve"> về việc công bố suất vốn đầu tư xây dựng và giá xây dựng tổng hợp bộ phận kết cấu công trình năm 2024 là khá phù hợp với thị trường, theo đó</w:t>
      </w:r>
      <w:r>
        <w:rPr>
          <w:rFonts w:ascii="Times New Roman" w:hAnsi="Times New Roman" w:eastAsia="Times New Roman" w:cs="Times New Roman"/>
          <w:color w:val="000000"/>
          <w:spacing w:val="-4"/>
          <w:sz w:val="24"/>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w:t>
      </w:r>
      <w:r>
        <w:rPr>
          <w:rFonts w:ascii="Times New Roman" w:hAnsi="Times New Roman" w:eastAsia="Times New Roman" w:cs="Times New Roman"/>
          <w:i/>
          <w:color w:val="000000"/>
          <w:spacing w:val="3"/>
          <w:sz w:val="24"/>
        </w:rPr>
        <w:t xml:space="preserve">Nhà từ 2 đến 3 tầng, kết cấu khung chịu lực BTCT; tường bao xây gạch; sàn, mái BTCT đổ tại chỗ không có tầng hầm </w:t>
      </w:r>
      <w:r>
        <w:rPr>
          <w:rFonts w:ascii="Times New Roman" w:hAnsi="Times New Roman" w:eastAsia="Times New Roman" w:cs="Times New Roman"/>
          <w:i/>
          <w:color w:val="000000"/>
          <w:spacing w:val="3"/>
          <w:sz w:val="24"/>
          <w:highlight w:val="white"/>
        </w:rPr>
        <w:t xml:space="preserve">có đơn giá là</w:t>
      </w:r>
      <w:r>
        <w:rPr>
          <w:rFonts w:ascii="Times New Roman" w:hAnsi="Times New Roman" w:eastAsia="Times New Roman" w:cs="Times New Roman"/>
          <w:b/>
          <w:i/>
          <w:color w:val="000000"/>
          <w:spacing w:val="3"/>
          <w:sz w:val="24"/>
        </w:rPr>
        <w:t xml:space="preserve"> 8.225.</w:t>
      </w:r>
      <w:r>
        <w:rPr>
          <w:rFonts w:ascii="Times New Roman" w:hAnsi="Times New Roman" w:eastAsia="Times New Roman" w:cs="Times New Roman"/>
          <w:b/>
          <w:i/>
          <w:color w:val="000000"/>
          <w:sz w:val="24"/>
        </w:rPr>
        <w:t xml:space="preserve">000 </w:t>
      </w:r>
      <w:r>
        <w:rPr>
          <w:rFonts w:ascii="Times New Roman" w:hAnsi="Times New Roman" w:eastAsia="Times New Roman" w:cs="Times New Roman"/>
          <w:i/>
          <w:color w:val="000000"/>
          <w:spacing w:val="3"/>
          <w:sz w:val="24"/>
          <w:highlight w:val="white"/>
        </w:rPr>
        <w:t xml:space="preserve">đồng/m² sàn.</w:t>
      </w:r>
      <w:r/>
    </w:p>
    <w:p>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i/>
          <w:color w:val="000000"/>
          <w:sz w:val="24"/>
          <w:highlight w:val="white"/>
        </w:rPr>
        <w:t xml:space="preserve">Hệ số điều chỉnh vùng cho Suất vốn đầu tư: Thành phố Hà Nội thuộc vùng 7 có hệ số điều chỉnh là 0,952.”</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xây dựng là: (Suất vốn đầu tư) x (Hệ số vùng) = </w:t>
      </w:r>
      <w:r>
        <w:rPr>
          <w:rFonts w:ascii="Times New Roman" w:hAnsi="Times New Roman" w:eastAsia="Times New Roman" w:cs="Times New Roman"/>
          <w:i/>
          <w:color w:val="000000"/>
          <w:sz w:val="24"/>
        </w:rPr>
        <w:t xml:space="preserve">8.225.000 </w:t>
      </w:r>
      <w:r>
        <w:rPr>
          <w:rFonts w:ascii="Times New Roman" w:hAnsi="Times New Roman" w:eastAsia="Times New Roman" w:cs="Times New Roman"/>
          <w:i/>
          <w:color w:val="000000"/>
          <w:spacing w:val="3"/>
          <w:sz w:val="24"/>
          <w:highlight w:val="white"/>
        </w:rPr>
        <w:t xml:space="preserve">x 0,952 =</w:t>
      </w:r>
      <w:r>
        <w:rPr>
          <w:rFonts w:ascii="Times New Roman" w:hAnsi="Times New Roman" w:eastAsia="Times New Roman" w:cs="Times New Roman"/>
          <w:b/>
          <w:i/>
          <w:color w:val="000000"/>
          <w:spacing w:val="3"/>
          <w:sz w:val="24"/>
          <w:highlight w:val="white"/>
        </w:rPr>
        <w:t xml:space="preserve"> </w:t>
      </w:r>
      <w:r>
        <w:rPr>
          <w:rFonts w:ascii="Times New Roman" w:hAnsi="Times New Roman" w:eastAsia="Times New Roman" w:cs="Times New Roman"/>
          <w:color w:val="000000"/>
          <w:sz w:val="24"/>
        </w:rPr>
        <w:t xml:space="preserve">7.830.200 </w:t>
      </w:r>
      <w:r>
        <w:rPr>
          <w:rFonts w:ascii="Times New Roman" w:hAnsi="Times New Roman" w:eastAsia="Times New Roman" w:cs="Times New Roman"/>
          <w:b/>
          <w:i/>
          <w:color w:val="000000"/>
          <w:spacing w:val="3"/>
          <w:sz w:val="24"/>
          <w:highlight w:val="white"/>
        </w:rPr>
        <w:t xml:space="preserve">đồng/m² sàn.</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Theo thông tin khách hàng cung cấp, công trình được hoàn công năm 2015</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ước tính là 50 năm.</w:t>
      </w:r>
      <w:r/>
    </w:p>
    <w:tbl>
      <w:tblPr>
        <w:tblStyle w:val="103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728"/>
        <w:gridCol w:w="2817"/>
        <w:gridCol w:w="1270"/>
        <w:gridCol w:w="1150"/>
        <w:gridCol w:w="1278"/>
        <w:gridCol w:w="1260"/>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Tên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8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Năm xây dựng hoàn thành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Tỉ lệ hao mòn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7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Nhà 3 tầng</w:t>
            </w:r>
            <w:r/>
          </w:p>
        </w:tc>
        <w:tc>
          <w:tcPr>
            <w:tcBorders>
              <w:bottom w:val="single" w:color="000000" w:sz="8" w:space="0"/>
              <w:right w:val="single" w:color="000000" w:sz="8" w:space="0"/>
            </w:tcBorders>
            <w:tcMar>
              <w:left w:w="108" w:type="dxa"/>
              <w:top w:w="0" w:type="dxa"/>
              <w:right w:w="108" w:type="dxa"/>
              <w:bottom w:w="0" w:type="dxa"/>
            </w:tcMar>
            <w:tcW w:w="2817"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5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22%</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Tổ thẩm định xác định tỉ lệ hao mòn của tài sản thẩm định là: </w:t>
      </w:r>
      <w:r>
        <w:rPr>
          <w:rFonts w:ascii="Times New Roman" w:hAnsi="Times New Roman" w:eastAsia="Times New Roman" w:cs="Times New Roman"/>
          <w:b/>
          <w:color w:val="000000"/>
          <w:sz w:val="24"/>
        </w:rPr>
        <w:t xml:space="preserve">22%</w:t>
      </w:r>
      <w:r>
        <w:rPr>
          <w:rFonts w:ascii="Times New Roman" w:hAnsi="Times New Roman" w:eastAsia="Times New Roman" w:cs="Times New Roman"/>
          <w:color w:val="000000"/>
          <w:sz w:val="24"/>
        </w:rPr>
        <w:t xml:space="preserve">, tương đương tỷ lệ chất lượng còn lại của tài sản là: </w:t>
      </w:r>
      <w:r>
        <w:rPr>
          <w:rFonts w:ascii="Times New Roman" w:hAnsi="Times New Roman" w:eastAsia="Times New Roman" w:cs="Times New Roman"/>
          <w:b/>
          <w:color w:val="000000"/>
          <w:sz w:val="24"/>
        </w:rPr>
        <w:t xml:space="preserve">78%.</w:t>
      </w:r>
      <w:r/>
    </w:p>
    <w:p>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33"/>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3"/>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67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Tổng giá trị hao mòn </w:t>
            </w:r>
            <w:r/>
          </w:p>
        </w:tc>
      </w:tr>
    </w:tbl>
    <w:tbl>
      <w:tblPr>
        <w:tblStyle w:val="103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274"/>
        <w:gridCol w:w="1458"/>
        <w:gridCol w:w="1560"/>
        <w:gridCol w:w="1701"/>
        <w:gridCol w:w="1559"/>
        <w:gridCol w:w="1841"/>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Diện tích sàn (m²</w:t>
            </w:r>
            <w:r>
              <w:rPr>
                <w:rFonts w:ascii="Times New Roman" w:hAnsi="Times New Roman" w:eastAsia="Times New Roman" w:cs="Times New Roman"/>
                <w:b/>
                <w:color w:val="000000"/>
                <w:sz w:val="28"/>
              </w:rPr>
              <w:t xml:space="preserve">)</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Chi phí thay thế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Giá trị hao mòn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Giá trị thẩm định tại thời điểm thẩm định giá (đồng)</w:t>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5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(4) = (2) * (3)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2"/>
              </w:rPr>
              <w:t xml:space="preserve">(6) = (4) - (5)</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27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Nhà 3 tầng</w:t>
            </w:r>
            <w:r/>
          </w:p>
        </w:tc>
        <w:tc>
          <w:tcPr>
            <w:tcBorders>
              <w:bottom w:val="single" w:color="000000" w:sz="8" w:space="0"/>
              <w:right w:val="single" w:color="000000" w:sz="8" w:space="0"/>
            </w:tcBorders>
            <w:tcMar>
              <w:left w:w="108" w:type="dxa"/>
              <w:top w:w="0" w:type="dxa"/>
              <w:right w:w="108" w:type="dxa"/>
              <w:bottom w:w="0" w:type="dxa"/>
            </w:tcMar>
            <w:tcW w:w="1458"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264,2</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pacing w:val="3"/>
                <w:sz w:val="24"/>
              </w:rPr>
              <w:t xml:space="preserve">7.830.200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spacing w:after="0" w:before="0" w:line="240" w:lineRule="auto"/>
              <w:ind/>
              <w:jc w:val="center"/>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      2.068.738.840 </w:t>
            </w:r>
            <w:r>
              <w:rPr>
                <w:rFonts w:ascii="Times New Roman" w:hAnsi="Times New Roman" w:cs="Times New Roman"/>
                <w:sz w:val="24"/>
                <w:szCs w:val="24"/>
              </w:rPr>
            </w:r>
            <w:r>
              <w:rPr>
                <w:rFonts w:ascii="Times New Roman" w:hAnsi="Times New Roman" w:cs="Times New Roman"/>
                <w:sz w:val="24"/>
                <w:szCs w:val="24"/>
              </w:rP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455.122.545</w:t>
            </w:r>
            <w:r/>
          </w:p>
        </w:tc>
        <w:tc>
          <w:tcPr>
            <w:tcBorders>
              <w:bottom w:val="single" w:color="000000" w:sz="8" w:space="0"/>
              <w:right w:val="single" w:color="000000" w:sz="8" w:space="0"/>
            </w:tcBorders>
            <w:tcMar>
              <w:left w:w="108" w:type="dxa"/>
              <w:top w:w="0" w:type="dxa"/>
              <w:right w:w="108" w:type="dxa"/>
              <w:bottom w:w="0" w:type="dxa"/>
            </w:tcMar>
            <w:tcW w:w="18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1.613.616.295</w:t>
            </w:r>
            <w:r/>
          </w:p>
        </w:tc>
      </w:tr>
    </w:tbl>
    <w:p>
      <w:pPr>
        <w:pStyle w:val="1029"/>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color w:val="000000" w:themeColor="text1"/>
          <w:lang w:val="pt-BR"/>
        </w:rP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99"/>
        <w:gridCol w:w="982"/>
        <w:gridCol w:w="940"/>
        <w:gridCol w:w="1198"/>
        <w:gridCol w:w="2089"/>
        <w:gridCol w:w="1758"/>
        <w:gridCol w:w="1758"/>
      </w:tblGrid>
      <w:tr>
        <w:trPr>
          <w:trHeight w:val="20"/>
        </w:trPr>
        <w:tc>
          <w:tcPr>
            <w:shd w:val="clear" w:color="000000" w:fill="ffffff"/>
            <w:tcBorders/>
            <w:tcW w:w="799"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gridSpan w:val="2"/>
            <w:shd w:val="clear" w:color="000000" w:fill="ffffff"/>
            <w:tcBorders/>
            <w:tcW w:w="1922"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198"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089"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758" w:type="dxa"/>
            <w:vAlign w:val="center"/>
            <w:textDirection w:val="lrTb"/>
            <w:noWrap w:val="false"/>
          </w:tcPr>
          <w:p>
            <w:pPr>
              <w:pBdr/>
              <w:spacing/>
              <w:ind/>
              <w:rPr>
                <w:b/>
                <w:bCs/>
              </w:rPr>
            </w:pPr>
            <w:r>
              <w:rPr>
                <w:b/>
                <w:bCs/>
              </w:rPr>
              <w:t xml:space="preserve">CLCL  (%)</w:t>
            </w:r>
            <w:r>
              <w:rPr>
                <w:b/>
                <w:bCs/>
              </w:rPr>
            </w:r>
            <w:r>
              <w:rPr>
                <w:b/>
                <w:bCs/>
              </w:rPr>
            </w:r>
          </w:p>
        </w:tc>
        <w:tc>
          <w:tcPr>
            <w:shd w:val="clear" w:color="000000" w:fill="ffffff"/>
            <w:tcBorders/>
            <w:tcW w:w="1758"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99"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5"/>
            <w:shd w:val="clear" w:color="000000" w:fill="ffffff"/>
            <w:tcBorders/>
            <w:tcW w:w="6967" w:type="dxa"/>
            <w:vAlign w:val="center"/>
            <w:textDirection w:val="lrTb"/>
            <w:noWrap w:val="false"/>
          </w:tcPr>
          <w:p>
            <w:pPr>
              <w:pBdr/>
              <w:spacing w:after="40" w:before="40" w:line="288" w:lineRule="auto"/>
              <w:ind/>
              <w:jc w:val="both"/>
              <w:rPr>
                <w:b/>
                <w:bCs/>
              </w:rPr>
            </w:pPr>
            <w:r>
              <w:rPr>
                <w:color w:val="000000"/>
              </w:rPr>
              <w:t xml:space="preserve">Quyền sử dụng đất và tài sản gắn liền với đất tại thửa đất số: ./., tờ bản đồ số: ./. có địa chỉ: A8-LK17, Khu nhà ở Phú Thịnh, phường Phú Thịnh, thị xã Sơn Tây, thành phố Hà Nội (nay là phường Sơn Tây, thành </w:t>
            </w:r>
            <w:r>
              <w:rPr>
                <w:color w:val="000000"/>
              </w:rPr>
              <w:t xml:space="preserve">phố Hà Nội) theo Giấy chứng nhận quyền sử dụng đất quyền sở hữu nhà ở và tài sản khác gắn liền với đất số: CU 430990, số vào sổ cấp GCN: CS06360 do Sở Tài nguyên và Môi trường thành phố Hà Nội cấp ngày 19/02/2020 cho Ông Đặng Minh Đức và Bà Nguyễn Thị Thuý</w:t>
            </w:r>
            <w:r>
              <w:rPr>
                <w:b/>
                <w:bCs/>
              </w:rPr>
              <w:t xml:space="preserve">.</w:t>
            </w:r>
            <w:r>
              <w:rPr>
                <w:b/>
                <w:bCs/>
              </w:rPr>
            </w:r>
            <w:r>
              <w:rPr>
                <w:b/>
                <w:bCs/>
              </w:rPr>
            </w:r>
          </w:p>
        </w:tc>
        <w:tc>
          <w:tcPr>
            <w:shd w:val="clear" w:color="000000" w:fill="ffffff"/>
            <w:tcBorders/>
            <w:tcW w:w="1758"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99" w:type="dxa"/>
            <w:vAlign w:val="center"/>
            <w:textDirection w:val="lrTb"/>
            <w:noWrap w:val="false"/>
          </w:tcPr>
          <w:p>
            <w:pPr>
              <w:pBdr/>
              <w:spacing w:after="40" w:before="40" w:line="288" w:lineRule="auto"/>
              <w:ind/>
              <w:jc w:val="center"/>
              <w:rPr/>
            </w:pPr>
            <w:r>
              <w:rPr>
                <w:b/>
                <w:bCs/>
              </w:rPr>
              <w:t xml:space="preserve">1</w:t>
            </w:r>
            <w:r/>
          </w:p>
        </w:tc>
        <w:tc>
          <w:tcPr>
            <w:gridSpan w:val="2"/>
            <w:shd w:val="clear" w:color="000000" w:fill="ffffff"/>
            <w:tcBorders/>
            <w:tcW w:w="1922" w:type="dxa"/>
            <w:vAlign w:val="center"/>
            <w:textDirection w:val="lrTb"/>
            <w:noWrap w:val="false"/>
          </w:tcPr>
          <w:p>
            <w:pPr>
              <w:pBdr/>
              <w:spacing w:after="40" w:before="40" w:line="288" w:lineRule="auto"/>
              <w:ind/>
              <w:rPr/>
            </w:pPr>
            <w:r>
              <w:rPr>
                <w:b/>
                <w:bCs/>
              </w:rPr>
              <w:t xml:space="preserve">Đất ở tại đô thị</w:t>
            </w:r>
            <w:r/>
          </w:p>
        </w:tc>
        <w:tc>
          <w:tcPr>
            <w:tcBorders/>
            <w:tcW w:w="1198" w:type="dxa"/>
            <w:vAlign w:val="center"/>
            <w:textDirection w:val="lrTb"/>
            <w:noWrap/>
          </w:tcPr>
          <w:p>
            <w:pPr>
              <w:pBdr/>
              <w:spacing w:after="40" w:before="40" w:line="288" w:lineRule="auto"/>
              <w:ind/>
              <w:jc w:val="center"/>
              <w:rPr>
                <w:color w:val="000000"/>
              </w:rPr>
            </w:pPr>
            <w:r>
              <w:rPr>
                <w:color w:val="000000" w:themeColor="text1"/>
              </w:rPr>
              <w:t xml:space="preserve">90,0</w:t>
            </w:r>
            <w:r>
              <w:rPr>
                <w:color w:val="000000"/>
              </w:rPr>
            </w:r>
            <w:r>
              <w:rPr>
                <w:color w:val="000000"/>
              </w:rPr>
            </w:r>
          </w:p>
        </w:tc>
        <w:tc>
          <w:tcPr>
            <w:shd w:val="clear" w:color="000000" w:fill="ffffff"/>
            <w:tcBorders/>
            <w:tcW w:w="2089" w:type="dxa"/>
            <w:vAlign w:val="center"/>
            <w:textDirection w:val="lrTb"/>
            <w:noWrap w:val="false"/>
          </w:tcPr>
          <w:p>
            <w:pPr>
              <w:pBdr/>
              <w:spacing w:after="40" w:before="40" w:line="288" w:lineRule="auto"/>
              <w:ind/>
              <w:jc w:val="center"/>
              <w:rPr/>
            </w:pPr>
            <w:r>
              <w:rPr>
                <w:color w:val="000000" w:themeColor="text1"/>
              </w:rPr>
              <w:t xml:space="preserve">63.000.000</w:t>
            </w:r>
            <w:r/>
          </w:p>
        </w:tc>
        <w:tc>
          <w:tcPr>
            <w:shd w:val="clear" w:color="000000" w:fill="ffffff"/>
            <w:tcBorders/>
            <w:tcW w:w="1758"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1758" w:type="dxa"/>
            <w:vAlign w:val="center"/>
            <w:textDirection w:val="lrTb"/>
            <w:noWrap w:val="false"/>
          </w:tcPr>
          <w:p>
            <w:pPr>
              <w:pBdr/>
              <w:spacing w:after="40" w:before="40" w:line="288" w:lineRule="auto"/>
              <w:ind/>
              <w:jc w:val="center"/>
              <w:rPr/>
            </w:pPr>
            <w:r>
              <w:rPr>
                <w:color w:val="000000" w:themeColor="text1"/>
              </w:rPr>
              <w:t xml:space="preserve">5.670.000.000</w:t>
            </w:r>
            <w:r/>
          </w:p>
        </w:tc>
      </w:tr>
      <w:tr>
        <w:trPr>
          <w:trHeight w:val="20"/>
        </w:trPr>
        <w:tc>
          <w:tcPr>
            <w:shd w:val="clear" w:color="000000" w:fill="ffffff"/>
            <w:tcBorders/>
            <w:tcW w:w="799" w:type="dxa"/>
            <w:vAlign w:val="center"/>
            <w:textDirection w:val="lrTb"/>
            <w:noWrap w:val="false"/>
          </w:tcPr>
          <w:p>
            <w:pPr>
              <w:pBdr/>
              <w:spacing w:after="40" w:before="40" w:line="288" w:lineRule="auto"/>
              <w:ind/>
              <w:jc w:val="center"/>
              <w:rPr/>
            </w:pPr>
            <w:r>
              <w:rPr>
                <w:b/>
                <w:bCs/>
              </w:rPr>
              <w:t xml:space="preserve">2</w:t>
            </w:r>
            <w:r/>
          </w:p>
        </w:tc>
        <w:tc>
          <w:tcPr>
            <w:gridSpan w:val="2"/>
            <w:shd w:val="clear" w:color="000000" w:fill="ffffff"/>
            <w:tcBorders/>
            <w:tcW w:w="1922" w:type="dxa"/>
            <w:vAlign w:val="center"/>
            <w:textDirection w:val="lrTb"/>
            <w:noWrap w:val="false"/>
          </w:tcPr>
          <w:p>
            <w:pPr>
              <w:pBdr/>
              <w:spacing w:after="40" w:before="40" w:line="288" w:lineRule="auto"/>
              <w:ind/>
              <w:rPr/>
            </w:pPr>
            <w:r>
              <w:rPr>
                <w:b/>
                <w:bCs/>
              </w:rPr>
              <w:t xml:space="preserve">Nhà 3 tầng </w:t>
            </w:r>
            <w:r/>
          </w:p>
        </w:tc>
        <w:tc>
          <w:tcPr>
            <w:tcBorders/>
            <w:tcW w:w="1198" w:type="dxa"/>
            <w:vAlign w:val="center"/>
            <w:textDirection w:val="lrTb"/>
            <w:noWrap/>
          </w:tcPr>
          <w:p>
            <w:pPr>
              <w:pBdr/>
              <w:spacing w:after="40" w:before="40" w:line="288" w:lineRule="auto"/>
              <w:ind/>
              <w:jc w:val="center"/>
              <w:rPr>
                <w:color w:val="000000"/>
              </w:rPr>
            </w:pPr>
            <w:r>
              <w:rPr>
                <w:color w:val="000000" w:themeColor="text1"/>
              </w:rPr>
              <w:t xml:space="preserve">264,2</w:t>
            </w:r>
            <w:r>
              <w:rPr>
                <w:color w:val="000000"/>
              </w:rPr>
            </w:r>
            <w:r>
              <w:rPr>
                <w:color w:val="000000"/>
              </w:rPr>
            </w:r>
          </w:p>
        </w:tc>
        <w:tc>
          <w:tcPr>
            <w:shd w:val="clear" w:color="000000" w:fill="ffffff"/>
            <w:tcBorders/>
            <w:tcW w:w="2089" w:type="dxa"/>
            <w:vAlign w:val="center"/>
            <w:textDirection w:val="lrTb"/>
            <w:noWrap w:val="false"/>
          </w:tcPr>
          <w:p>
            <w:pPr>
              <w:pBdr/>
              <w:spacing w:after="40" w:before="40" w:line="288" w:lineRule="auto"/>
              <w:ind/>
              <w:jc w:val="center"/>
              <w:rPr/>
            </w:pPr>
            <w:r>
              <w:rPr>
                <w:color w:val="000000" w:themeColor="text1"/>
              </w:rPr>
            </w:r>
            <w:r>
              <w:rPr>
                <w:rFonts w:ascii="Times New Roman" w:hAnsi="Times New Roman" w:eastAsia="Times New Roman" w:cs="Times New Roman"/>
                <w:color w:val="000000"/>
                <w:spacing w:val="3"/>
                <w:sz w:val="24"/>
              </w:rPr>
              <w:t xml:space="preserve">7.830.200</w:t>
            </w:r>
            <w:r>
              <w:rPr>
                <w:color w:val="000000" w:themeColor="text1"/>
              </w:rPr>
            </w:r>
            <w:r/>
          </w:p>
        </w:tc>
        <w:tc>
          <w:tcPr>
            <w:shd w:val="clear" w:color="000000" w:fill="ffffff"/>
            <w:tcBorders/>
            <w:tcW w:w="1758" w:type="dxa"/>
            <w:vAlign w:val="center"/>
            <w:textDirection w:val="lrTb"/>
            <w:noWrap w:val="false"/>
          </w:tcPr>
          <w:p>
            <w:pPr>
              <w:pBdr/>
              <w:spacing/>
              <w:ind/>
              <w:jc w:val="center"/>
              <w:rPr>
                <w:color w:val="000000" w:themeColor="text1"/>
              </w:rPr>
            </w:pPr>
            <w:r>
              <w:rPr>
                <w:color w:val="000000" w:themeColor="text1"/>
              </w:rPr>
              <w:t xml:space="preserve">78%</w:t>
            </w:r>
            <w:r>
              <w:rPr>
                <w:color w:val="000000" w:themeColor="text1"/>
              </w:rPr>
            </w:r>
            <w:r>
              <w:rPr>
                <w:color w:val="000000" w:themeColor="text1"/>
              </w:rPr>
            </w:r>
          </w:p>
        </w:tc>
        <w:tc>
          <w:tcPr>
            <w:shd w:val="clear" w:color="000000" w:fill="ffffff"/>
            <w:tcBorders/>
            <w:tcW w:w="1758" w:type="dxa"/>
            <w:vAlign w:val="center"/>
            <w:textDirection w:val="lrTb"/>
            <w:noWrap w:val="false"/>
          </w:tcPr>
          <w:p>
            <w:pPr>
              <w:pBdr/>
              <w:spacing w:after="40" w:before="40" w:line="288" w:lineRule="auto"/>
              <w:ind/>
              <w:jc w:val="center"/>
              <w:rPr/>
            </w:pPr>
            <w:r>
              <w:rPr>
                <w:color w:val="000000" w:themeColor="text1"/>
              </w:rPr>
              <w:t xml:space="preserve">1.613.616.295</w:t>
            </w:r>
            <w:r/>
          </w:p>
        </w:tc>
      </w:tr>
      <w:tr>
        <w:trPr>
          <w:trHeight w:val="20"/>
        </w:trPr>
        <w:tc>
          <w:tcPr>
            <w:gridSpan w:val="6"/>
            <w:tcBorders/>
            <w:tcW w:w="7767"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758" w:type="dxa"/>
            <w:vAlign w:val="center"/>
            <w:textDirection w:val="lrTb"/>
            <w:noWrap/>
          </w:tcPr>
          <w:p>
            <w:pPr>
              <w:pBdr/>
              <w:spacing w:after="40" w:before="40" w:line="288" w:lineRule="auto"/>
              <w:ind/>
              <w:jc w:val="center"/>
              <w:rPr>
                <w:b/>
                <w:bCs/>
                <w:color w:val="000000"/>
              </w:rPr>
            </w:pPr>
            <w:r>
              <w:t xml:space="preserve">7.283.616.295</w:t>
            </w:r>
            <w:r>
              <w:rPr>
                <w:b/>
                <w:bCs/>
                <w:color w:val="000000"/>
              </w:rPr>
            </w:r>
            <w:r>
              <w:rPr>
                <w:b/>
                <w:bCs/>
                <w:color w:val="000000"/>
              </w:rPr>
            </w:r>
          </w:p>
        </w:tc>
      </w:tr>
      <w:tr>
        <w:trPr>
          <w:trHeight w:val="20"/>
        </w:trPr>
        <w:tc>
          <w:tcPr>
            <w:gridSpan w:val="6"/>
            <w:tcBorders/>
            <w:tcW w:w="7767"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758" w:type="dxa"/>
            <w:vAlign w:val="center"/>
            <w:textDirection w:val="lrTb"/>
            <w:noWrap/>
          </w:tcPr>
          <w:p>
            <w:pPr>
              <w:pBdr/>
              <w:spacing w:after="40" w:before="40" w:line="288" w:lineRule="auto"/>
              <w:ind/>
              <w:jc w:val="center"/>
              <w:rPr>
                <w:b/>
                <w:bCs/>
                <w:color w:val="000000"/>
              </w:rPr>
            </w:pPr>
            <w:r>
              <w:rPr>
                <w:b/>
                <w:bCs/>
                <w:color w:val="000000"/>
              </w:rPr>
              <w:t xml:space="preserve">7.284.000.000</w:t>
            </w:r>
            <w:r>
              <w:rPr>
                <w:b/>
                <w:bCs/>
                <w:color w:val="000000"/>
              </w:rPr>
            </w:r>
            <w:r>
              <w:rPr>
                <w:b/>
                <w:bCs/>
                <w:color w:val="000000"/>
              </w:rPr>
            </w:r>
          </w:p>
        </w:tc>
      </w:tr>
      <w:tr>
        <w:trPr>
          <w:trHeight w:val="20"/>
        </w:trPr>
        <w:tc>
          <w:tcPr>
            <w:gridSpan w:val="7"/>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Bảy tỷ hai trăm tám mươi tư triệu đồng./.)</w:t>
            </w:r>
            <w:r>
              <w:rPr>
                <w:b/>
                <w:bCs/>
                <w:i/>
                <w:iCs/>
                <w:color w:val="000000"/>
              </w:rPr>
            </w:r>
            <w:r>
              <w:rPr>
                <w:b/>
                <w:bCs/>
                <w:i/>
                <w:iCs/>
                <w:color w:val="000000"/>
              </w:rPr>
            </w:r>
          </w:p>
        </w:tc>
      </w:tr>
    </w:tbl>
    <w:p>
      <w:pPr>
        <w:pStyle w:val="1029"/>
        <w:pBdr/>
        <w:tabs>
          <w:tab w:val="left" w:leader="none" w:pos="993"/>
        </w:tabs>
        <w:spacing w:after="120" w:before="120" w:line="276" w:lineRule="auto"/>
        <w:ind w:left="0"/>
        <w:jc w:val="both"/>
        <w:rPr/>
      </w:pPr>
      <w:r/>
      <w:r/>
    </w:p>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Bdr/>
        <w:shd w:val="nil" w:color="auto"/>
        <w:spacing/>
        <w:ind/>
        <w:rPr>
          <w:lang w:val="pt-BR"/>
        </w:rPr>
      </w:pPr>
      <w:r>
        <w:rPr>
          <w:highlight w:val="none"/>
          <w:lang w:val="vi-VN"/>
        </w:rPr>
        <w:br w:type="page" w:clear="all"/>
      </w:r>
      <w:r>
        <w:rPr>
          <w:lang w:val="pt-BR"/>
        </w:rPr>
      </w:r>
      <w:r>
        <w:rPr>
          <w:lang w:val="pt-BR"/>
        </w:rPr>
      </w:r>
    </w:p>
    <w:p>
      <w:pPr>
        <w:pStyle w:val="1029"/>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275/2026/0213/VFI-CT.48.A</w:t>
      </w:r>
      <w:r>
        <w:rPr>
          <w:color w:val="ff0000"/>
          <w:lang w:val="vi-VN"/>
        </w:rPr>
        <w:t xml:space="preserve"> </w:t>
      </w:r>
      <w:r>
        <w:rPr>
          <w:color w:val="000000" w:themeColor="text1"/>
        </w:rPr>
        <w:t xml:space="preserve">ngày 27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275/2026/0213/VFI-BC.48.A</w:t>
      </w:r>
      <w:r>
        <w:rPr>
          <w:i/>
        </w:rPr>
        <w:t xml:space="preserve"> </w:t>
      </w:r>
      <w:r>
        <w:rPr>
          <w:i/>
        </w:rPr>
        <w:t xml:space="preserve">ngày</w:t>
      </w:r>
      <w:r>
        <w:rPr>
          <w:i/>
          <w:lang w:val="pt-BR"/>
        </w:rPr>
        <w:t xml:space="preserve"> </w:t>
      </w:r>
      <w:r>
        <w:rPr>
          <w:i/>
          <w:lang w:val="pt-BR"/>
        </w:rPr>
        <w:t xml:space="preserve">27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142409" cy="253868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07558" name=""/>
                              <pic:cNvPicPr>
                                <a:picLocks noChangeAspect="1"/>
                              </pic:cNvPicPr>
                              <pic:nvPr/>
                            </pic:nvPicPr>
                            <pic:blipFill rotWithShape="1">
                              <a:blip r:embed="rId18"/>
                              <a:stretch/>
                            </pic:blipFill>
                            <pic:spPr bwMode="auto">
                              <a:xfrm flipH="0" flipV="0">
                                <a:off x="0" y="0"/>
                                <a:ext cx="1142408" cy="25386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89.95pt;height:199.90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934214" cy="257895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488838" name=""/>
                              <pic:cNvPicPr>
                                <a:picLocks noChangeAspect="1"/>
                              </pic:cNvPicPr>
                              <pic:nvPr/>
                            </pic:nvPicPr>
                            <pic:blipFill rotWithShape="1">
                              <a:blip r:embed="rId19"/>
                              <a:stretch/>
                            </pic:blipFill>
                            <pic:spPr bwMode="auto">
                              <a:xfrm flipH="0" flipV="0">
                                <a:off x="0" y="0"/>
                                <a:ext cx="1934212" cy="25789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52.30pt;height:203.07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48035" cy="206102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671689" name=""/>
                              <pic:cNvPicPr>
                                <a:picLocks noChangeAspect="1"/>
                              </pic:cNvPicPr>
                              <pic:nvPr/>
                            </pic:nvPicPr>
                            <pic:blipFill rotWithShape="1">
                              <a:blip r:embed="rId20"/>
                              <a:stretch/>
                            </pic:blipFill>
                            <pic:spPr bwMode="auto">
                              <a:xfrm flipH="0" flipV="0">
                                <a:off x="0" y="0"/>
                                <a:ext cx="2748035" cy="20610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6.38pt;height:162.29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79415" cy="200956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292205" name=""/>
                              <pic:cNvPicPr>
                                <a:picLocks noChangeAspect="1"/>
                              </pic:cNvPicPr>
                              <pic:nvPr/>
                            </pic:nvPicPr>
                            <pic:blipFill rotWithShape="1">
                              <a:blip r:embed="rId21"/>
                              <a:stretch/>
                            </pic:blipFill>
                            <pic:spPr bwMode="auto">
                              <a:xfrm flipH="0" flipV="0">
                                <a:off x="0" y="0"/>
                                <a:ext cx="2679415" cy="20095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0.98pt;height:158.23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t xml:space="preserve">Đường</w:t>
            </w:r>
            <w:r>
              <w:rPr>
                <w:b/>
                <w:bCs/>
                <w:i/>
                <w:lang w:val="pt-BR"/>
              </w:rPr>
              <w:t xml:space="preserve"> </w:t>
            </w:r>
            <w:r>
              <w:rPr>
                <w:b/>
                <w:bCs/>
                <w:i/>
                <w:lang w:val="pt-BR"/>
              </w:rPr>
              <w:t xml:space="preserve">sau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70300" cy="207772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692832" name=""/>
                              <pic:cNvPicPr>
                                <a:picLocks noChangeAspect="1"/>
                              </pic:cNvPicPr>
                              <pic:nvPr/>
                            </pic:nvPicPr>
                            <pic:blipFill rotWithShape="1">
                              <a:blip r:embed="rId22"/>
                              <a:stretch/>
                            </pic:blipFill>
                            <pic:spPr bwMode="auto">
                              <a:xfrm flipH="0" flipV="0">
                                <a:off x="0" y="0"/>
                                <a:ext cx="2770300" cy="20777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8.13pt;height:163.60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64585" cy="207343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126890" name=""/>
                              <pic:cNvPicPr>
                                <a:picLocks noChangeAspect="1"/>
                              </pic:cNvPicPr>
                              <pic:nvPr/>
                            </pic:nvPicPr>
                            <pic:blipFill rotWithShape="1">
                              <a:blip r:embed="rId23"/>
                              <a:stretch/>
                            </pic:blipFill>
                            <pic:spPr bwMode="auto">
                              <a:xfrm flipH="0" flipV="0">
                                <a:off x="0" y="0"/>
                                <a:ext cx="2764584" cy="20734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7.68pt;height:163.26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275/2026/0213/VFI-BC.48.A</w:t>
      </w:r>
      <w:r>
        <w:rPr>
          <w:i/>
        </w:rPr>
        <w:t xml:space="preserve"> </w:t>
      </w:r>
      <w:r>
        <w:rPr>
          <w:i/>
        </w:rPr>
        <w:t xml:space="preserve">ngày</w:t>
      </w:r>
      <w:r>
        <w:rPr>
          <w:i/>
          <w:lang w:val="pt-BR"/>
        </w:rPr>
        <w:t xml:space="preserve"> </w:t>
      </w:r>
      <w:r>
        <w:rPr>
          <w:i/>
          <w:lang w:val="pt-BR"/>
        </w:rPr>
        <w:t xml:space="preserve">27 tháng 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Facebook</w:t>
            </w:r>
            <w:r>
              <w:rPr>
                <w:color w:val="000000" w:themeColor="text1"/>
                <w:sz w:val="22"/>
                <w:szCs w:val="22"/>
              </w:rPr>
              <w:br/>
              <w:t xml:space="preserve">0963637997</w:t>
            </w:r>
            <w:r>
              <w:rPr>
                <w:sz w:val="22"/>
                <w:szCs w:val="22"/>
              </w:rPr>
              <w:t xml:space="preserve"> </w:t>
            </w:r>
            <w:r>
              <w:rPr>
                <w:sz w:val="22"/>
                <w:szCs w:val="22"/>
              </w:rPr>
              <w:br/>
              <w:t xml:space="preserve">(Minh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7.740.000.000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QL32 khoảng 200m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320652" cy="2163989"/>
                      <wp:effectExtent l="0" t="0" r="0" b="0"/>
                      <wp:docPr id="12" name=""/>
                      <wp:cNvGraphicFramePr/>
                      <a:graphic xmlns:a="http://schemas.openxmlformats.org/drawingml/2006/main">
                        <a:graphicData uri="http://schemas.openxmlformats.org/drawingml/2006/picture">
                          <pic:pic xmlns:pic="http://schemas.openxmlformats.org/drawingml/2006/picture">
                            <pic:nvPicPr>
                              <pic:cNvPr id="1747495103" name="" descr=""/>
                              <pic:cNvPicPr/>
                              <pic:nvPr/>
                            </pic:nvPicPr>
                            <pic:blipFill rotWithShape="1">
                              <a:blip r:embed="rId24"/>
                              <a:stretch/>
                            </pic:blipFill>
                            <pic:spPr bwMode="auto">
                              <a:xfrm flipH="0" flipV="0">
                                <a:off x="0" y="0"/>
                                <a:ext cx="3320651" cy="216398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61.47pt;height:170.39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Phạm Thị Dung</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0968994891</w:t>
            </w:r>
            <w:r>
              <w:rPr>
                <w:sz w:val="22"/>
                <w:szCs w:val="22"/>
              </w:rPr>
              <w:t xml:space="preserve"> </w:t>
            </w:r>
            <w:r>
              <w:rPr>
                <w:sz w:val="22"/>
                <w:szCs w:val="22"/>
              </w:rPr>
              <w:br/>
              <w:t xml:space="preserve">(Huyền Land</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6.975.000.000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QL32 khoảng 200m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16082" cy="2181136"/>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316081" cy="218113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2.37pt;height:171.74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299485" cy="1734643"/>
                      <wp:effectExtent l="0" t="0" r="0" b="0"/>
                      <wp:docPr id="14" name=""/>
                      <wp:cNvGraphicFramePr/>
                      <a:graphic xmlns:a="http://schemas.openxmlformats.org/drawingml/2006/main">
                        <a:graphicData uri="http://schemas.openxmlformats.org/drawingml/2006/picture">
                          <pic:pic xmlns:pic="http://schemas.openxmlformats.org/drawingml/2006/picture">
                            <pic:nvPicPr>
                              <pic:cNvPr id="1040479643" name="" descr=""/>
                              <pic:cNvPicPr/>
                              <pic:nvPr/>
                            </pic:nvPicPr>
                            <pic:blipFill rotWithShape="1">
                              <a:blip r:embed="rId26"/>
                              <a:stretch/>
                            </pic:blipFill>
                            <pic:spPr bwMode="auto">
                              <a:xfrm flipH="0" flipV="0">
                                <a:off x="0" y="0"/>
                                <a:ext cx="3299484" cy="173464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59.80pt;height:136.59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tabs>
                <w:tab w:val="center" w:leader="none" w:pos="2242"/>
                <w:tab w:val="center" w:leader="none" w:pos="2242"/>
              </w:tabs>
              <w:spacing/>
              <w:ind/>
              <w:jc w:val="center"/>
              <w:rPr>
                <w:b w:val="0"/>
                <w:bCs w:val="0"/>
              </w:rPr>
            </w:pPr>
            <w:r>
              <w:rPr>
                <w:b w:val="0"/>
                <w:bCs w:val="0"/>
              </w:rPr>
              <w:t xml:space="preserve">Phạm Thị Dung</w:t>
            </w:r>
            <w:r>
              <w:rPr>
                <w:b w:val="0"/>
                <w:bCs w:val="0"/>
              </w:rPr>
            </w:r>
            <w:r>
              <w:rPr>
                <w:b w:val="0"/>
                <w:bCs w:val="0"/>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0982858445</w:t>
            </w:r>
            <w:r>
              <w:rPr>
                <w:sz w:val="22"/>
                <w:szCs w:val="22"/>
              </w:rPr>
              <w:t xml:space="preserve"> </w:t>
            </w:r>
            <w:r>
              <w:rPr>
                <w:sz w:val="22"/>
                <w:szCs w:val="22"/>
              </w:rPr>
              <w:br/>
              <w:t xml:space="preserve">(Trung Thực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7.998.000.000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QL32 khoảng 200m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53332" cy="2558257"/>
                      <wp:effectExtent l="0" t="0" r="0" b="0"/>
                      <wp:docPr id="15" name=""/>
                      <wp:cNvGraphicFramePr/>
                      <a:graphic xmlns:a="http://schemas.openxmlformats.org/drawingml/2006/main">
                        <a:graphicData uri="http://schemas.openxmlformats.org/drawingml/2006/picture">
                          <pic:pic xmlns:pic="http://schemas.openxmlformats.org/drawingml/2006/picture">
                            <pic:nvPicPr>
                              <pic:cNvPr id="609257581" name="" descr=""/>
                              <pic:cNvPicPr/>
                              <pic:nvPr/>
                            </pic:nvPicPr>
                            <pic:blipFill rotWithShape="1">
                              <a:blip r:embed="rId27"/>
                              <a:stretch/>
                            </pic:blipFill>
                            <pic:spPr bwMode="auto">
                              <a:xfrm flipH="0" flipV="0">
                                <a:off x="0" y="0"/>
                                <a:ext cx="2353331" cy="255825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5.30pt;height:201.44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02473" cy="2337893"/>
                      <wp:effectExtent l="0" t="0" r="0" b="0"/>
                      <wp:docPr id="16" name=""/>
                      <wp:cNvGraphicFramePr/>
                      <a:graphic xmlns:a="http://schemas.openxmlformats.org/drawingml/2006/main">
                        <a:graphicData uri="http://schemas.openxmlformats.org/drawingml/2006/picture">
                          <pic:pic xmlns:pic="http://schemas.openxmlformats.org/drawingml/2006/picture">
                            <pic:nvPicPr>
                              <pic:cNvPr id="1595387714" name="" descr=""/>
                              <pic:cNvPicPr/>
                              <pic:nvPr/>
                            </pic:nvPicPr>
                            <pic:blipFill rotWithShape="1">
                              <a:blip r:embed="rId28"/>
                              <a:stretch/>
                            </pic:blipFill>
                            <pic:spPr bwMode="auto">
                              <a:xfrm flipH="0" flipV="0">
                                <a:off x="0" y="0"/>
                                <a:ext cx="2802473" cy="233789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0.67pt;height:184.09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Phạm Thị Dung</w:t>
            </w:r>
            <w:r>
              <w:rPr>
                <w:b/>
                <w:bCs/>
              </w:rPr>
            </w:r>
            <w:r>
              <w:rPr>
                <w:b/>
                <w:bCs/>
              </w:rPr>
            </w:r>
          </w:p>
        </w:tc>
      </w:tr>
    </w:tbl>
    <w:p>
      <w:pPr>
        <w:pBdr/>
        <w:spacing w:after="200" w:line="276" w:lineRule="auto"/>
        <w:ind/>
        <w:jc w:val="center"/>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w:rPr>
          <w:b/>
          <w:bCs/>
          <w:iCs/>
          <w:highlight w:val="none"/>
          <w:lang w:val="pt-BR"/>
        </w:rPr>
      </w:r>
      <w:r>
        <w:rPr>
          <w:b/>
          <w:bCs/>
          <w:highlight w:val="none"/>
          <w:lang w:val="pt-BR"/>
        </w:rPr>
      </w:r>
    </w:p>
    <w:p>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w:rPr>
          <w:b/>
          <w:bCs/>
          <w:iCs/>
          <w:highlight w:val="none"/>
          <w:lang w:val="pt-BR"/>
        </w:rPr>
        <mc:AlternateContent>
          <mc:Choice Requires="wpg">
            <w:drawing>
              <wp:inline xmlns:wp="http://schemas.openxmlformats.org/drawingml/2006/wordprocessingDrawing" distT="0" distB="0" distL="0" distR="0">
                <wp:extent cx="6048375" cy="4536281"/>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558033" name=""/>
                        <pic:cNvPicPr>
                          <a:picLocks noChangeAspect="1"/>
                        </pic:cNvPicPr>
                        <pic:nvPr/>
                      </pic:nvPicPr>
                      <pic:blipFill rotWithShape="1">
                        <a:blip r:embed="rId29"/>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357.19pt;mso-wrap-distance-left:0.00pt;mso-wrap-distance-top:0.00pt;mso-wrap-distance-right:0.00pt;mso-wrap-distance-bottom:0.00pt;z-index:1;" stroked="false">
                <v:imagedata r:id="rId29"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rPr>
      </w:pPr>
      <w:r>
        <w:rPr>
          <w:b/>
          <w:bCs/>
          <w:iCs/>
          <w:highlight w:val="none"/>
          <w:lang w:val="pt-BR"/>
        </w:rPr>
      </w:r>
      <w:r>
        <w:rPr>
          <w:b/>
          <w:bCs/>
          <w:iCs/>
          <w:highlight w:val="none"/>
          <w:lang w:val="pt-BR"/>
        </w:rPr>
        <mc:AlternateContent>
          <mc:Choice Requires="wpg">
            <w:drawing>
              <wp:inline xmlns:wp="http://schemas.openxmlformats.org/drawingml/2006/wordprocessingDrawing" distT="0" distB="0" distL="0" distR="0">
                <wp:extent cx="6048375" cy="393174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995973" name=""/>
                        <pic:cNvPicPr>
                          <a:picLocks noChangeAspect="1"/>
                        </pic:cNvPicPr>
                        <pic:nvPr/>
                      </pic:nvPicPr>
                      <pic:blipFill rotWithShape="1">
                        <a:blip r:embed="rId30"/>
                        <a:srcRect l="0" t="5950" r="0" b="7376"/>
                        <a:stretch/>
                      </pic:blipFill>
                      <pic:spPr bwMode="auto">
                        <a:xfrm flipH="0" flipV="0">
                          <a:off x="0" y="0"/>
                          <a:ext cx="6048373" cy="39317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309.59pt;mso-wrap-distance-left:0.00pt;mso-wrap-distance-top:0.00pt;mso-wrap-distance-right:0.00pt;mso-wrap-distance-bottom:0.00pt;z-index:1;" stroked="false">
                <v:imagedata r:id="rId30" o:title="" croptop="3899f" cropleft="0f" cropbottom="4834f" cropright="0f"/>
                <o:lock v:ext="edit" rotation="t"/>
              </v:shape>
            </w:pict>
          </mc:Fallback>
        </mc:AlternateContent>
      </w:r>
      <w:r>
        <w:rPr>
          <w:b/>
          <w:bCs/>
        </w:rPr>
      </w:r>
      <w:r>
        <w:rPr>
          <w:b/>
          <w:bCs/>
        </w:rPr>
      </w:r>
    </w:p>
    <w:p>
      <w:pPr>
        <w:pBdr/>
        <w:spacing w:after="200" w:line="276" w:lineRule="auto"/>
        <w:ind/>
        <w:jc w:val="center"/>
        <w:rPr>
          <w:b/>
          <w:bCs/>
          <w:highlight w:val="none"/>
        </w:rPr>
      </w:pPr>
      <w:r>
        <w:rPr>
          <w:b/>
          <w:bCs/>
          <w:highlight w:val="none"/>
        </w:rPr>
        <w:t xml:space="preserve">BIÊN BẢN KHẢO SÁT</w:t>
      </w:r>
      <w:r>
        <w:rPr>
          <w:b/>
          <w:bCs/>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69225" cy="8186278"/>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229549" name=""/>
                        <pic:cNvPicPr>
                          <a:picLocks noChangeAspect="1"/>
                        </pic:cNvPicPr>
                        <pic:nvPr/>
                      </pic:nvPicPr>
                      <pic:blipFill rotWithShape="1">
                        <a:blip r:embed="rId31"/>
                        <a:srcRect l="0" t="8023" r="0" b="16368"/>
                        <a:stretch/>
                      </pic:blipFill>
                      <pic:spPr bwMode="auto">
                        <a:xfrm flipH="0" flipV="0">
                          <a:off x="0" y="0"/>
                          <a:ext cx="6069224" cy="81862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7.89pt;height:644.59pt;mso-wrap-distance-left:0.00pt;mso-wrap-distance-top:0.00pt;mso-wrap-distance-right:0.00pt;mso-wrap-distance-bottom:0.00pt;z-index:1;" stroked="false">
                <v:imagedata r:id="rId31" o:title="" croptop="5258f" cropleft="0f" cropbottom="10727f" cropright="0f"/>
                <o:lock v:ext="edit" rotation="t"/>
              </v:shape>
            </w:pict>
          </mc:Fallback>
        </mc:AlternateContent>
      </w:r>
      <w:r>
        <w:rPr>
          <w:b/>
          <w:bCs/>
          <w:highlight w:val="none"/>
        </w:rPr>
      </w:r>
      <w:r>
        <w:rPr>
          <w:b/>
          <w:bCs/>
          <w:highlight w:val="none"/>
        </w:rPr>
      </w:r>
      <w:r>
        <w:rPr>
          <w:b/>
          <w:bCs/>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AC9E65C"/>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8">
    <w:nsid w:val="28216681"/>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510</cp:revision>
  <dcterms:created xsi:type="dcterms:W3CDTF">2025-09-15T02:01:00Z</dcterms:created>
  <dcterms:modified xsi:type="dcterms:W3CDTF">2026-01-28T01:29:55Z</dcterms:modified>
</cp:coreProperties>
</file>