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58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588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275/2026/0001/VFI-CT.48.A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QUỸ TÍN DỤNG NHÂN DÂN YÊN MINH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5.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275/2026/0001/VFI-CT.48.A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QUỸ TÍN DỤNG NHÂN DÂN YÊN MINH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013"/>
        <w:gridCol w:w="2835"/>
        <w:gridCol w:w="5102"/>
      </w:tblGrid>
      <w:tr>
        <w:trPr>
          <w:trHeight w:val="1152"/>
        </w:trPr>
        <w:tc>
          <w:tcPr>
            <w:tcBorders/>
            <w:tcW w:w="201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937"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847" w:type="dxa"/>
            <w:textDirection w:val="lrTb"/>
            <w:noWrap w:val="false"/>
          </w:tcPr>
          <w:p w14:paraId="103F6C0D"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275/2026/0001/VFI-CT.48.A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2" w:type="dxa"/>
            <w:textDirection w:val="lrTb"/>
            <w:noWrap w:val="false"/>
          </w:tcPr>
          <w:p w14:paraId="6C20F813"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5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QUỸ TÍN DỤNG NHÂN DÂN YÊN MINH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275/2026/0001/VFI-HĐTĐ.48.A</w:t>
      </w:r>
      <w:r>
        <w:rPr>
          <w:spacing w:val="-4"/>
          <w:lang w:val="vi-VN"/>
        </w:rPr>
        <w:t xml:space="preserve"> ký ngày </w:t>
      </w:r>
      <w:r>
        <w:rPr>
          <w:color w:val="000000" w:themeColor="text1"/>
          <w:spacing w:val="-4"/>
        </w:rPr>
        <w:t xml:space="preserve">31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Quỹ tín dụng nhân dân Yên Minh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275/2026/0001/VFI-BC.48.A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CFD1AB4">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pacing w:val="-8"/>
                <w:sz w:val="24"/>
              </w:rPr>
              <w:t xml:space="preserve">QUỸ TÍN DỤNG NHÂN DÂN YÊN MINH</w:t>
            </w:r>
            <w:r/>
          </w:p>
        </w:tc>
      </w:tr>
      <w:tr>
        <w:trPr>
          <w:trHeight w:val="20"/>
        </w:trPr>
        <w:tc>
          <w:tcPr>
            <w:shd w:val="clear" w:color="auto" w:fill="auto"/>
            <w:tcBorders/>
            <w:tcW w:w="1109" w:type="pct"/>
            <w:vAlign w:val="center"/>
            <w:textDirection w:val="lrTb"/>
            <w:noWrap w:val="false"/>
          </w:tcPr>
          <w:p w14:paraId="148165C5">
            <w:pPr>
              <w:pBdr>
                <w:top w:val="none" w:color="000000" w:sz="4" w:space="0"/>
                <w:left w:val="none" w:color="000000" w:sz="4" w:space="0"/>
                <w:bottom w:val="none" w:color="000000" w:sz="4" w:space="0"/>
                <w:right w:val="none" w:color="000000" w:sz="4" w:space="0"/>
              </w:pBdr>
              <w:spacing w:after="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AFCCD48">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4600455239</w:t>
            </w:r>
            <w:r/>
          </w:p>
        </w:tc>
      </w:tr>
      <w:tr>
        <w:trPr>
          <w:trHeight w:val="344"/>
        </w:trPr>
        <w:tc>
          <w:tcPr>
            <w:shd w:val="clear" w:color="auto" w:fill="auto"/>
            <w:tcBorders/>
            <w:tcW w:w="1109" w:type="pct"/>
            <w:vAlign w:val="center"/>
            <w:textDirection w:val="lrTb"/>
            <w:noWrap w:val="false"/>
          </w:tcPr>
          <w:p w14:paraId="1A2B7C86">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6128B53">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Số 7 đường Cao Vương, phường Vạn Xuân, tỉnh Thái Nguyên</w:t>
            </w:r>
            <w:r/>
          </w:p>
        </w:tc>
      </w:tr>
      <w:tr>
        <w:trPr>
          <w:trHeight w:val="20"/>
        </w:trPr>
        <w:tc>
          <w:tcPr>
            <w:shd w:val="clear" w:color="auto" w:fill="auto"/>
            <w:tcBorders/>
            <w:tcW w:w="1109" w:type="pct"/>
            <w:vAlign w:val="center"/>
            <w:textDirection w:val="lrTb"/>
            <w:noWrap w:val="false"/>
          </w:tcPr>
          <w:p w14:paraId="639787FC">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B620AD3">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Tạ Trung Bình</w:t>
            </w:r>
            <w:r/>
          </w:p>
        </w:tc>
      </w:tr>
      <w:tr>
        <w:trPr>
          <w:trHeight w:val="20"/>
        </w:trPr>
        <w:tc>
          <w:tcPr>
            <w:shd w:val="clear" w:color="ffffff" w:fill="ffffff"/>
            <w:tcBorders/>
            <w:tcW w:w="1109" w:type="pct"/>
            <w:vAlign w:val="center"/>
            <w:vMerge w:val="restart"/>
            <w:textDirection w:val="lrTb"/>
            <w:noWrap w:val="false"/>
          </w:tcPr>
          <w:p w14:paraId="6F61753E">
            <w:pPr>
              <w:pBdr>
                <w:top w:val="none" w:color="000000" w:sz="4" w:space="0"/>
                <w:left w:val="none" w:color="000000" w:sz="4" w:space="0"/>
                <w:bottom w:val="none" w:color="000000" w:sz="4" w:space="0"/>
                <w:right w:val="none" w:color="000000" w:sz="4" w:space="0"/>
              </w:pBdr>
              <w:shd w:val="clear" w:color="ffffff" w:fill="ffffff"/>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14:paraId="1FF76F47">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14:paraId="05F1A7F0">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Chủ tịch HĐQT</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128,0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1.792.000.000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1.792.000.000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1.792.000.000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bảy trăm chín mươi hai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145B2B00">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79" w:type="dxa"/>
        <w:tblBorders/>
        <w:tblLayout w:type="fixed"/>
        <w:tblLook w:val="04A0" w:firstRow="1" w:lastRow="0" w:firstColumn="1" w:lastColumn="0" w:noHBand="0" w:noVBand="1"/>
      </w:tblPr>
      <w:tblGrid>
        <w:gridCol w:w="1871"/>
        <w:gridCol w:w="3154"/>
        <w:gridCol w:w="5025"/>
        <w:gridCol w:w="29"/>
      </w:tblGrid>
      <w:tr>
        <w:trPr>
          <w:trHeight w:val="1152"/>
        </w:trPr>
        <w:tc>
          <w:tcPr>
            <w:tcBorders/>
            <w:tcW w:w="1871"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08"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25" w:type="dxa"/>
            <w:textDirection w:val="lrTb"/>
            <w:noWrap w:val="false"/>
          </w:tcPr>
          <w:p w14:paraId="55E7402E"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275/2026/0001/VFI-CT.48.A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25" w:type="dxa"/>
            <w:textDirection w:val="lrTb"/>
            <w:noWrap w:val="false"/>
          </w:tcPr>
          <w:p w14:paraId="2396134F"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5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275/2026/0001/VFI-CT.48.A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ayout w:type="fixed"/>
        <w:tblLook w:val="04A0" w:firstRow="1" w:lastRow="0" w:firstColumn="1" w:lastColumn="0" w:noHBand="0" w:noVBand="1"/>
      </w:tblPr>
      <w:tblGrid>
        <w:gridCol w:w="2902"/>
        <w:gridCol w:w="386"/>
        <w:gridCol w:w="6459"/>
      </w:tblGrid>
      <w:tr>
        <w:trPr>
          <w:trHeight w:val="20"/>
        </w:trPr>
        <w:tc>
          <w:tcPr>
            <w:tcBorders/>
            <w:tcW w:w="2902"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386"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054B512F">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pacing w:val="-8"/>
                <w:sz w:val="24"/>
              </w:rPr>
              <w:t xml:space="preserve">QUỸ TÍN DỤNG NHÂN DÂN YÊN MINH</w:t>
            </w:r>
            <w:r/>
          </w:p>
        </w:tc>
      </w:tr>
      <w:tr>
        <w:trPr>
          <w:trHeight w:val="20"/>
        </w:trPr>
        <w:tc>
          <w:tcPr>
            <w:tcBorders/>
            <w:tcW w:w="2902" w:type="dxa"/>
            <w:vAlign w:val="center"/>
            <w:textDirection w:val="lrTb"/>
            <w:noWrap w:val="false"/>
          </w:tcPr>
          <w:p w14:paraId="0EFB668B">
            <w:pPr>
              <w:pBdr>
                <w:top w:val="none" w:color="000000" w:sz="4" w:space="0"/>
                <w:left w:val="none" w:color="000000" w:sz="4" w:space="0"/>
                <w:bottom w:val="none" w:color="000000" w:sz="4" w:space="0"/>
                <w:right w:val="none" w:color="000000" w:sz="4" w:space="0"/>
              </w:pBdr>
              <w:spacing w:after="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386" w:type="dxa"/>
            <w:vAlign w:val="center"/>
            <w:textDirection w:val="lrTb"/>
            <w:noWrap w:val="false"/>
          </w:tcPr>
          <w:p w14:paraId="43C39D43">
            <w:pPr>
              <w:pBdr/>
              <w:spacing w:after="0" w:before="0" w:line="240" w:lineRule="auto"/>
              <w:ind/>
              <w:rPr/>
            </w:pPr>
            <w:r>
              <w:t xml:space="preserve">:</w:t>
            </w:r>
            <w:r/>
          </w:p>
        </w:tc>
        <w:tc>
          <w:tcPr>
            <w:tcBorders/>
            <w:tcW w:w="6459" w:type="dxa"/>
            <w:vAlign w:val="center"/>
            <w:textDirection w:val="lrTb"/>
            <w:noWrap w:val="false"/>
          </w:tcPr>
          <w:p w14:paraId="5D92185D">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4600455239</w:t>
            </w:r>
            <w:r/>
          </w:p>
        </w:tc>
      </w:tr>
      <w:tr>
        <w:trPr>
          <w:trHeight w:val="20"/>
        </w:trPr>
        <w:tc>
          <w:tcPr>
            <w:tcBorders/>
            <w:tcW w:w="2902" w:type="dxa"/>
            <w:vAlign w:val="center"/>
            <w:textDirection w:val="lrTb"/>
            <w:noWrap w:val="false"/>
          </w:tcPr>
          <w:p w14:paraId="49FAF4E7">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W w:w="386" w:type="dxa"/>
            <w:vAlign w:val="center"/>
            <w:textDirection w:val="lrTb"/>
            <w:noWrap w:val="false"/>
          </w:tcPr>
          <w:p w14:paraId="3C78DF4E">
            <w:pPr>
              <w:pBdr/>
              <w:spacing w:after="0" w:before="0" w:line="240" w:lineRule="auto"/>
              <w:ind/>
              <w:rPr/>
            </w:pPr>
            <w:r>
              <w:t xml:space="preserve">:</w:t>
            </w:r>
            <w:r/>
          </w:p>
        </w:tc>
        <w:tc>
          <w:tcPr>
            <w:tcBorders/>
            <w:tcW w:w="6459" w:type="dxa"/>
            <w:vAlign w:val="center"/>
            <w:textDirection w:val="lrTb"/>
            <w:noWrap w:val="false"/>
          </w:tcPr>
          <w:p w14:paraId="09CF49AB">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Số 7 đường Cao Vương, phường Vạn Xuân, tỉnh Thái Nguyên</w:t>
            </w:r>
            <w:r/>
          </w:p>
        </w:tc>
      </w:tr>
      <w:tr>
        <w:trPr>
          <w:trHeight w:val="20"/>
        </w:trPr>
        <w:tc>
          <w:tcPr>
            <w:tcBorders/>
            <w:tcW w:w="2902" w:type="dxa"/>
            <w:vAlign w:val="center"/>
            <w:textDirection w:val="lrTb"/>
            <w:noWrap w:val="false"/>
          </w:tcPr>
          <w:p w14:paraId="1BEB1532">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386" w:type="dxa"/>
            <w:vAlign w:val="center"/>
            <w:textDirection w:val="lrTb"/>
            <w:noWrap w:val="false"/>
          </w:tcPr>
          <w:p w14:paraId="268182E5">
            <w:pPr>
              <w:pBdr/>
              <w:spacing w:after="0" w:before="0" w:line="240" w:lineRule="auto"/>
              <w:ind/>
              <w:rPr/>
            </w:pPr>
            <w:r>
              <w:t xml:space="preserve">:</w:t>
            </w:r>
            <w:r/>
          </w:p>
        </w:tc>
        <w:tc>
          <w:tcPr>
            <w:tcBorders/>
            <w:tcW w:w="6459" w:type="dxa"/>
            <w:vAlign w:val="center"/>
            <w:textDirection w:val="lrTb"/>
            <w:noWrap w:val="false"/>
          </w:tcPr>
          <w:p w14:paraId="196CDB65">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Tạ Trung Bình</w:t>
            </w:r>
            <w:r/>
          </w:p>
        </w:tc>
      </w:tr>
      <w:tr>
        <w:trPr>
          <w:trHeight w:val="20"/>
        </w:trPr>
        <w:tc>
          <w:tcPr>
            <w:tcBorders/>
            <w:tcW w:w="2902" w:type="dxa"/>
            <w:vAlign w:val="center"/>
            <w:vMerge w:val="restart"/>
            <w:textDirection w:val="lrTb"/>
            <w:noWrap w:val="false"/>
          </w:tcPr>
          <w:p w14:paraId="2C91BD29">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386" w:type="dxa"/>
            <w:vAlign w:val="center"/>
            <w:vMerge w:val="restart"/>
            <w:textDirection w:val="lrTb"/>
            <w:noWrap w:val="false"/>
          </w:tcPr>
          <w:p w14:paraId="4AA2370F">
            <w:pPr>
              <w:pBdr/>
              <w:spacing w:after="0" w:before="0" w:line="240" w:lineRule="auto"/>
              <w:ind/>
              <w:rPr/>
            </w:pPr>
            <w:r>
              <w:t xml:space="preserve">:</w:t>
            </w:r>
            <w:r/>
          </w:p>
        </w:tc>
        <w:tc>
          <w:tcPr>
            <w:tcBorders/>
            <w:tcW w:w="6459" w:type="dxa"/>
            <w:vAlign w:val="center"/>
            <w:vMerge w:val="restart"/>
            <w:textDirection w:val="lrTb"/>
            <w:noWrap w:val="false"/>
          </w:tcPr>
          <w:p w14:paraId="59F8A832">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Chủ tịch HĐQT</w:t>
            </w:r>
            <w:r/>
          </w:p>
        </w:tc>
      </w:tr>
      <w:tr>
        <w:trPr>
          <w:trHeight w:val="20"/>
        </w:trPr>
        <w:tc>
          <w:tcPr>
            <w:tcBorders/>
            <w:tcW w:w="2902"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386"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
                <w:bCs/>
                <w:spacing w:val="2"/>
                <w:lang w:val="vi-VN"/>
              </w:rPr>
            </w:r>
            <w:r>
              <w:rPr>
                <w:b/>
                <w:bCs/>
                <w:spacing w:val="2"/>
                <w:lang w:val="vi-VN"/>
              </w:rPr>
            </w:r>
          </w:p>
        </w:tc>
      </w:tr>
      <w:tr>
        <w:trPr>
          <w:trHeight w:val="20"/>
        </w:trPr>
        <w:tc>
          <w:tcPr>
            <w:tcBorders/>
            <w:tcW w:w="2902"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386"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902"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386"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902"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386"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902"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386"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Vạn Xuân, Tỉnh Thái Nguyên.</w:t>
            </w:r>
            <w:r>
              <w:rPr>
                <w:color w:val="ee0000"/>
                <w:lang w:val="pt-BR"/>
              </w:rPr>
            </w:r>
            <w:r>
              <w:rPr>
                <w:color w:val="ee0000"/>
                <w:lang w:val="pt-BR"/>
              </w:rPr>
            </w:r>
          </w:p>
        </w:tc>
      </w:tr>
      <w:tr>
        <w:trPr>
          <w:trHeight w:val="20"/>
        </w:trPr>
        <w:tc>
          <w:tcPr>
            <w:tcBorders/>
            <w:tcW w:w="2902"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386"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21.3954461, 105.9129453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902"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386"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459"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6"/>
        </w:rPr>
        <w:t xml:space="preserve">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HSTD-20251208-0018/HĐTĐ-VFI ngày 31/12/2025 giữa Quỹ tín dụng nhân dân Yên Minh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F89EE8D">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lang w:val="pt-BR"/>
        </w:rPr>
        <w:tab/>
      </w:r>
      <w:r>
        <w:rPr>
          <w:rFonts w:ascii="Times New Roman" w:hAnsi="Times New Roman" w:eastAsia="Times New Roman" w:cs="Times New Roman"/>
          <w:color w:val="000000"/>
          <w:sz w:val="24"/>
        </w:rPr>
        <w:t xml:space="preserve">Thái Nguyên, với vị trí chiến lược trong tam giác kinh tế Hà Nội - Bắc Ninh - Vĩnh Phúc, đang trở thành tâm điểm chú ý của giới đầu tư bất động sản, đặc biệt là phân khúc đất nền. Thời gian gần đây, thị trường đất nền tại khu vực này ghi nhận nhiều chuyển </w:t>
      </w:r>
      <w:r>
        <w:rPr>
          <w:rFonts w:ascii="Times New Roman" w:hAnsi="Times New Roman" w:eastAsia="Times New Roman" w:cs="Times New Roman"/>
          <w:color w:val="000000"/>
          <w:sz w:val="24"/>
        </w:rPr>
        <w:t xml:space="preserve">biến tích cực nhờ các dự án hạ tầng trọng điểm và sức hút từ các khu công nghiệp. </w:t>
      </w:r>
      <w:r/>
    </w:p>
    <w:p w14:paraId="08859E20">
      <w:pPr>
        <w:pStyle w:val="1004"/>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Sơ lược về thị trường đất nền Thái Nguyên</w:t>
      </w:r>
      <w:r/>
    </w:p>
    <w:p w14:paraId="26FDA003">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Thái Nguyên - mảnh đất giàu tiềm năng đang dần khẳng định vị thế của mình trên bản đồ bất động sản Việt Nam. Với vị trí địa lý chiến lược nằm ở khu vực trung du và miền núi phía Bắc, nơi đây được biết đến là một trong những tỉnh có tốc độ phát triển hạ tần</w:t>
      </w:r>
      <w:r>
        <w:rPr>
          <w:rFonts w:ascii="Times New Roman" w:hAnsi="Times New Roman" w:eastAsia="Times New Roman" w:cs="Times New Roman"/>
          <w:color w:val="000000"/>
          <w:sz w:val="24"/>
        </w:rPr>
        <w:t xml:space="preserve">g nhanh chóng. </w:t>
      </w:r>
      <w:r/>
    </w:p>
    <w:p w14:paraId="11600A7E">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Nhờ vào hệ thống giao thông hiện đại với các tuyến đường huyết mạch như cao tốc Hà Nội – Thái Nguyên và quốc lộ 3, cùng với quy hoạch đô thị hóa mạnh mẽ, Thái Nguyên đang trở thành điểm sáng trên bản đồ bất động sản miền Bắc.</w:t>
      </w:r>
      <w:r/>
    </w:p>
    <w:p w14:paraId="0084356E">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Trong những năm gần đây, các khu vực trọng điểm như thành phố Thái Nguyên, thị xã Phổ Yên, huyện Đại Từ và Phú Bình đã thu hút được nhiều dự án đầu tư lớn, đặc biệt là phân khúc đất nền. Sự phát triển của các khu công nghiệp, cùng với nhu cầu nhà ở ngày cà</w:t>
      </w:r>
      <w:r>
        <w:rPr>
          <w:rFonts w:ascii="Times New Roman" w:hAnsi="Times New Roman" w:eastAsia="Times New Roman" w:cs="Times New Roman"/>
          <w:color w:val="000000"/>
          <w:sz w:val="24"/>
        </w:rPr>
        <w:t xml:space="preserve">ng tăng từ lực lượng lao động nhập cư, đã tạo nên một cơn sốt đất nền, không chỉ góp phần thúc đẩy kinh tế địa phương mà còn mang lại lợi nhuận hấp dẫn cho nhà đầu tư.</w:t>
      </w:r>
      <w:r/>
    </w:p>
    <w:p w14:paraId="39D9E650">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Thị trường đất nền Thái Nguyên không chỉ đóng vai trò quan trọng trong việc giải quyết nhu cầu nhà ở, mà còn là động lực phát triển cho nhiều ngành nghề khác, từ xây dựng, thương mại đến dịch vụ. Với tiềm năng tăng trưởng bền vững, đất nền Thái Nguyên hứa </w:t>
      </w:r>
      <w:r>
        <w:rPr>
          <w:rFonts w:ascii="Times New Roman" w:hAnsi="Times New Roman" w:eastAsia="Times New Roman" w:cs="Times New Roman"/>
          <w:color w:val="000000"/>
          <w:sz w:val="24"/>
        </w:rPr>
        <w:t xml:space="preserve">hẹn tiếp tục là kênh đầu tư an toàn và sinh lời cao trong tương lai.</w:t>
      </w:r>
      <w:r/>
    </w:p>
    <w:p w14:paraId="79944181">
      <w:pPr>
        <w:pStyle w:val="1004"/>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t xml:space="preserve">Cập nhật tình hình thị trường đất nền Thái Nguyên mới nhất</w:t>
      </w:r>
      <w:r/>
    </w:p>
    <w:p w14:paraId="43BCAA07">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Nhu cầu mua bán đất nền tăng cao, chủ yếu tập trung tại các khu vực có quy hoạch và hạ tầng giao thông được nâng cấp. Điều này khiến giá đất nền ở một số quận, huyện tại Thái Nguyên có sự biến động rõ rệt.</w:t>
      </w:r>
      <w:r/>
    </w:p>
    <w:p w14:paraId="7F72A08A">
      <w:pPr>
        <w:pStyle w:val="1005"/>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t xml:space="preserve">Phân tích cung cầu và xu hướng giá đất nền</w:t>
      </w:r>
      <w:r/>
    </w:p>
    <w:p w14:paraId="0DDF0662">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Theo số liệu từ các chuyên gia bất động sản, tình trạng cung đất nền hiện đang có dấu hiệu hạn chế tại các khu vực trung tâm thành phố Thái Nguyên. Cụ thể, ở quận thuộc thành phố Thái Nguyên và thị xã Phổ Yên, do sự gia tăng nhu cầu sở hữu bất động sản của</w:t>
      </w:r>
      <w:r>
        <w:rPr>
          <w:rFonts w:ascii="Times New Roman" w:hAnsi="Times New Roman" w:eastAsia="Times New Roman" w:cs="Times New Roman"/>
          <w:color w:val="000000"/>
          <w:sz w:val="24"/>
        </w:rPr>
        <w:t xml:space="preserve"> người dân và nhà đầu tư. Giá đất nền trung bình ở các khu vực này dao động từ 12 triệu - 15 triệu đồng/m², tăng nhẹ khoảng 5% so với cùng kỳ năm trước.</w:t>
      </w:r>
      <w:r/>
    </w:p>
    <w:p w14:paraId="203394A5">
      <w:pPr>
        <w:pStyle w:val="1005"/>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t xml:space="preserve">Đánh giá loại hình đất nền phát triển nhất</w:t>
      </w:r>
      <w:r/>
    </w:p>
    <w:p w14:paraId="16D62176">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Loại hình đất nền phát triển mạnh nhất tại Thái Nguyên năm nay là đất nền dự án. Sự ra đời của các khu đô thị mới và khu công nghiệp lớn đã đẩy mạnh nhu cầu sở hữu đất nền phục vụ xây dựng nhà ở và đầu tư lâu dài. Điều này đặc biệt thể hiện rõ tại các khu </w:t>
      </w:r>
      <w:r>
        <w:rPr>
          <w:rFonts w:ascii="Times New Roman" w:hAnsi="Times New Roman" w:eastAsia="Times New Roman" w:cs="Times New Roman"/>
          <w:color w:val="000000"/>
          <w:sz w:val="24"/>
        </w:rPr>
        <w:t xml:space="preserve">vực gần các tuyến giao thông huyết mạch và khu công nghiệp lớn như thị xã Phổ Yên và huyện Phú Bình.</w:t>
      </w:r>
      <w:r/>
    </w:p>
    <w:p w14:paraId="496E25FF">
      <w:pPr>
        <w:pStyle w:val="1005"/>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t xml:space="preserve">Tiềm năng phát triển của các quận, huyện</w:t>
      </w:r>
      <w:r/>
    </w:p>
    <w:p w14:paraId="584D500F">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Trong số các quận, huyện, thành phố Thái Nguyên, thị xã Phổ Yên và huyện Đại Từ được đánh giá có tiềm năng phát triển vượt trội. Yếu tố chính thúc đẩy sự tăng trưởng tại đây là nhờ vào chính sách quy hoạch đô thị thông minh, cùng với việc nâng cấp và mở rộ</w:t>
      </w:r>
      <w:r>
        <w:rPr>
          <w:rFonts w:ascii="Times New Roman" w:hAnsi="Times New Roman" w:eastAsia="Times New Roman" w:cs="Times New Roman"/>
          <w:color w:val="000000"/>
          <w:sz w:val="24"/>
        </w:rPr>
        <w:t xml:space="preserve">ng các tuyến giao thông trọng điểm như đường cao tốc Hà Nội - Thái Nguyên. </w:t>
      </w:r>
      <w:r/>
    </w:p>
    <w:p w14:paraId="4D9B32B9">
      <w:pPr>
        <w:pBdr>
          <w:top w:val="single" w:color="e5e5ea" w:sz="2" w:space="0"/>
          <w:left w:val="single" w:color="e5e5ea" w:sz="2" w:space="0"/>
          <w:bottom w:val="single" w:color="e5e5ea" w:sz="2" w:space="0"/>
          <w:right w:val="single" w:color="e5e5ea" w:sz="2" w:space="0"/>
        </w:pBdr>
        <w:spacing w:after="29" w:before="58" w:line="264" w:lineRule="auto"/>
        <w:ind w:right="0" w:firstLine="0" w:left="0"/>
        <w:jc w:val="both"/>
        <w:rPr/>
      </w:pPr>
      <w:r>
        <w:rPr>
          <w:rFonts w:ascii="Times New Roman" w:hAnsi="Times New Roman" w:eastAsia="Times New Roman" w:cs="Times New Roman"/>
          <w:b/>
          <w:color w:val="000000"/>
          <w:sz w:val="24"/>
        </w:rPr>
        <w:tab/>
      </w:r>
      <w:r>
        <w:rPr>
          <w:rFonts w:ascii="Times New Roman" w:hAnsi="Times New Roman" w:eastAsia="Times New Roman" w:cs="Times New Roman"/>
          <w:color w:val="000000"/>
          <w:sz w:val="24"/>
        </w:rPr>
        <w:t xml:space="preserve">Bên cạnh đó, các dự án mới về khu đô thị và khu công nghiệp liên tiếp được triển khai, tạo lực đẩy mạnh mẽ cho thị trường đất nền khu vực</w:t>
      </w:r>
      <w:r>
        <w:rPr>
          <w:rFonts w:ascii="Times New Roman" w:hAnsi="Times New Roman" w:eastAsia="Times New Roman" w:cs="Times New Roman"/>
          <w:color w:val="374151"/>
          <w:sz w:val="24"/>
        </w:rPr>
        <w:t xml:space="preserve">.</w:t>
      </w:r>
      <w:r/>
    </w:p>
    <w:p w14:paraId="04898094">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https://onehousing.vn/blog/tong-quan-tinh-hinh-thi-truong-dat-nen-thai-nguyen-cap-nhat-moi-nhat-n17t?utm_source=social_share&amp;utm_medium=copyurl&amp;utm_campaign=efc31d7e-04f8-4713-9ae1-5036060f4085)</w:t>
      </w:r>
      <w:r>
        <w:rPr>
          <w:i/>
          <w:iCs/>
          <w:lang w:val="pt-BR"/>
        </w:rPr>
      </w:r>
      <w:r>
        <w:rPr>
          <w:bCs/>
          <w:i/>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909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80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Phường Vạn Xuân, Tỉnh Thái Nguyên.</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128,0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chung của nhóm người được cấp Giấy chứng nhận</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mc:AlternateContent>
                <mc:Choice Requires="wpg">
                  <w:drawing>
                    <wp:inline xmlns:wp="http://schemas.openxmlformats.org/drawingml/2006/wordprocessingDrawing" distT="0" distB="0" distL="0" distR="0">
                      <wp:extent cx="3769700" cy="181638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67342" name=""/>
                              <pic:cNvPicPr>
                                <a:picLocks noChangeAspect="1"/>
                              </pic:cNvPicPr>
                              <pic:nvPr/>
                            </pic:nvPicPr>
                            <pic:blipFill rotWithShape="1">
                              <a:blip r:embed="rId17"/>
                              <a:stretch/>
                            </pic:blipFill>
                            <pic:spPr bwMode="auto">
                              <a:xfrm flipH="0" flipV="0">
                                <a:off x="0" y="0"/>
                                <a:ext cx="3769699" cy="18163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6.83pt;height:143.0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Tài sản liền thửa với thửa phía trước, chung chủ sử dụng, sơ đồ không có lối đi vào.</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Tây Nam: Tiếp giáp đường giao thông.</w:t>
              <w:br/>
              <w:t xml:space="preserve">Hướng Các hướng khác: Tiếp giáp thửa đất khác.</w:t>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21.3954461</w:t>
            </w:r>
            <w:r>
              <w:rPr>
                <w:color w:val="000000"/>
              </w:rPr>
              <w:t xml:space="preserve">, </w:t>
            </w:r>
            <w:r>
              <w:rPr>
                <w:color w:val="000000"/>
              </w:rPr>
              <w:t xml:space="preserve">105.9129453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128,0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10,05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12,72</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3 tầng</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Tại thời điểm khảo sát, tổ thẩm định nhận thấy trên đất có 01 nhà 3 tầng, kết cấu BTCT, tường gạch chịu lực, sàn lát gạch men, ngoại quan còn khá.Công trình được xây dựng năm 2022, diện tích xây dựng 128m/sàn.  Hiện công trình chưa được chứng nhận trên GCN</w:t>
            </w:r>
            <w:r>
              <w:rPr>
                <w:rFonts w:ascii="Times New Roman" w:hAnsi="Times New Roman" w:eastAsia="Times New Roman" w:cs="Times New Roman"/>
                <w:color w:val="000000"/>
                <w:sz w:val="26"/>
              </w:rPr>
              <w:t xml:space="preserve">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r>
            <w:r>
              <w:rPr>
                <w:rFonts w:ascii="Times New Roman" w:hAnsi="Times New Roman" w:eastAsia="Times New Roman" w:cs="Times New Roman"/>
                <w:color w:val="000000"/>
                <w:sz w:val="26"/>
              </w:rPr>
              <w:t xml:space="preserve">AA 05492710</w:t>
            </w:r>
            <w:r/>
            <w:r>
              <w:rPr>
                <w:rFonts w:ascii="Times New Roman" w:hAnsi="Times New Roman" w:eastAsia="Times New Roman" w:cs="Times New Roman"/>
                <w:color w:val="000000"/>
                <w:sz w:val="24"/>
              </w:rPr>
            </w: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08C160AB">
      <w:pPr>
        <w:pStyle w:val="102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6"/>
        </w:rPr>
      </w:r>
      <w:r>
        <w:rPr>
          <w:rFonts w:ascii="Times New Roman" w:hAnsi="Times New Roman" w:eastAsia="Times New Roman" w:cs="Times New Roman"/>
          <w:color w:val="000000"/>
          <w:sz w:val="26"/>
        </w:rPr>
        <w:t xml:space="preserve">Tại thời điểm khảo sát, tổ thẩm định nhận thấy trên đất có 01 nhà 3 tầng, kết cấu BTCT, tường gạch chịu lực, sàn lát gạch men, ngoại quan còn khá.Công trình được xây dựng năm 2022, diện tích xây dựng 128m/sàn.  Hiện công trình chưa được chứng nhận trên GCN</w:t>
      </w:r>
      <w:r>
        <w:rPr>
          <w:rFonts w:ascii="Times New Roman" w:hAnsi="Times New Roman" w:eastAsia="Times New Roman" w:cs="Times New Roman"/>
          <w:color w:val="000000"/>
          <w:sz w:val="26"/>
        </w:rPr>
        <w:t xml:space="preserve">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6"/>
        </w:rPr>
        <w:t xml:space="preserve">AA 05492710</w:t>
      </w:r>
      <w:r/>
      <w:r>
        <w:rPr>
          <w:rFonts w:ascii="Times New Roman" w:hAnsi="Times New Roman" w:eastAsia="Times New Roman" w:cs="Times New Roman"/>
          <w:color w:val="000000"/>
          <w:sz w:val="26"/>
        </w:rPr>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spacing w:val="-2"/>
          <w:highlight w:val="none"/>
          <w:lang w:val="pt-BR" w:bidi="pt-BR"/>
        </w:rPr>
      </w:r>
      <w:r>
        <w:rPr>
          <w:spacing w:val="-2"/>
          <w:highlight w:val="none"/>
          <w:lang w:val="pt-BR" w:bidi="pt-BR"/>
        </w:rPr>
      </w:r>
      <w:r>
        <w:rPr>
          <w:spacing w:val="-2"/>
          <w:highlight w:val="none"/>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Tiên Phong, Huyện Phổ Yên, Tỉnh Thái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Tiên Phong, Huyện Phổ Yên, Tỉnh Thái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Đồng Tiến, Huyện Phổ Yên, Tỉnh Thái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Trung Thành, Huyện Phổ Yên, Tỉnh Thái Nguyên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https://www.facebook.com/groups/472072127420122/posts/1518184139475577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https://www.facebook.com/share/p/1aoCsWMhYv/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0828418688</w:t>
            </w:r>
            <w:r>
              <w:rPr>
                <w:sz w:val="22"/>
                <w:szCs w:val="22"/>
              </w:rPr>
              <w:t xml:space="preserve"> </w:t>
            </w:r>
            <w:r>
              <w:rPr>
                <w:sz w:val="22"/>
                <w:szCs w:val="22"/>
              </w:rPr>
              <w:br/>
              <w:t xml:space="preserve">(</w:t>
            </w:r>
            <w:r>
              <w:rPr>
                <w:sz w:val="22"/>
                <w:szCs w:val="22"/>
              </w:rPr>
              <w:t xml:space="preserve">Paris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0961050829</w:t>
            </w:r>
            <w:r>
              <w:rPr>
                <w:sz w:val="22"/>
                <w:szCs w:val="22"/>
              </w:rPr>
              <w:br/>
            </w:r>
            <w:r>
              <w:rPr>
                <w:sz w:val="22"/>
                <w:szCs w:val="22"/>
              </w:rPr>
              <w:t xml:space="preserve">(</w:t>
            </w:r>
            <w:r>
              <w:rPr>
                <w:sz w:val="22"/>
                <w:szCs w:val="22"/>
              </w:rPr>
              <w:t xml:space="preserve">Hoàng 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0971591223</w:t>
            </w:r>
            <w:r>
              <w:rPr>
                <w:sz w:val="22"/>
                <w:szCs w:val="22"/>
              </w:rPr>
              <w:br/>
            </w:r>
            <w:r>
              <w:rPr>
                <w:sz w:val="22"/>
                <w:szCs w:val="22"/>
              </w:rPr>
              <w:t xml:space="preserve">(</w:t>
            </w:r>
            <w:r>
              <w:rPr>
                <w:sz w:val="22"/>
                <w:szCs w:val="22"/>
              </w:rPr>
              <w:t xml:space="preserve">Nguyễn Thành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rFonts w:ascii="Times New Roman" w:hAnsi="Times New Roman" w:eastAsia="Times New Roman" w:cs="Times New Roman"/>
                <w:color w:val="000000" w:themeColor="text1"/>
                <w:sz w:val="22"/>
                <w:szCs w:val="22"/>
                <w:highlight w:val="white"/>
              </w:rPr>
              <w:t xml:space="preserve">Tài sản liền thửa với thửa phía trước, chung chủ sử dụng, sơ đồ không có lối đi vào</w:t>
            </w:r>
            <w:r>
              <w:rPr>
                <w:rFonts w:ascii="Times New Roman" w:hAnsi="Times New Roman" w:eastAsia="Times New Roman" w:cs="Times New Roman"/>
                <w:color w:val="000000" w:themeColor="text1"/>
                <w:sz w:val="22"/>
                <w:szCs w:val="22"/>
                <w:highlight w:val="none"/>
              </w:rPr>
              <w:t xml:space="preserve">. Thửa phía trước </w:t>
            </w:r>
            <w:r>
              <w:rPr>
                <w:rFonts w:ascii="Times New Roman" w:hAnsi="Times New Roman" w:eastAsia="Times New Roman" w:cs="Times New Roman"/>
                <w:color w:val="000000"/>
                <w:sz w:val="22"/>
              </w:rPr>
              <w:t xml:space="preserve">tiếp giáp đường 38 phường Vạn Xuân, tỉnh Thái Nguyên</w:t>
            </w:r>
            <w:r>
              <w:rPr>
                <w:rFonts w:ascii="Times New Roman" w:hAnsi="Times New Roman" w:eastAsia="Times New Roman" w:cs="Times New Roman"/>
                <w:color w:val="000000" w:themeColor="text1"/>
                <w:sz w:val="22"/>
                <w:szCs w:val="22"/>
                <w:highlight w:val="none"/>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B72C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p w14:paraId="5664C8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Tài sản nằm tại đường liên thôn phường Tiên Phong, thành phố Phổ Yên, tỉnh Thái Nguyên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BE5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Đồng Tiến, Huyện Phổ Yên, Tỉnh Thái Nguyên, tài sản cách đường Lý Nam Đế khoảng 200m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E3C3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Triệu Quang Phục</w:t>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EA91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FD80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6C87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8108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F7DA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131,6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31F4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1B54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w:t>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32DB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BE3A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8BFE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Tài sản liền thửa với thửa phía trước, chung chủ sử dụng, sơ đồ không có lối đi vào</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A09CC8F" w14:textId="77777777">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E74F64D" w14:textId="77777777">
            <w:pPr>
              <w:pBdr/>
              <w:spacing/>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2.494.000.000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2.115.000.000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2.494.000.000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2.115.000.000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18.951.368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14.294.118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17.625.000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2.494.000.000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1.215.000.000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2.115.000.000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18.951.368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14.294.118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17.625.000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18.951.368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14.294.118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17.625.000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0A9756">
            <w:pPr>
              <w:pBdr/>
              <w:spacing/>
              <w:ind/>
              <w:jc w:val="center"/>
              <w:rPr>
                <w:color w:val="000000"/>
                <w:sz w:val="22"/>
                <w:szCs w:val="22"/>
              </w:rPr>
            </w:pPr>
            <w:r>
              <w:rPr>
                <w:rFonts w:ascii="Times New Roman" w:hAnsi="Times New Roman" w:eastAsia="Times New Roman" w:cs="Times New Roman"/>
                <w:color w:val="000000" w:themeColor="text1"/>
                <w:sz w:val="22"/>
                <w:szCs w:val="22"/>
                <w:highlight w:val="white"/>
              </w:rPr>
              <w:t xml:space="preserve">Tài sản liền thửa với thửa phía trước, chung chủ sử dụng, sơ đồ không có lối đi vào</w:t>
            </w:r>
            <w:r>
              <w:rPr>
                <w:rFonts w:ascii="Times New Roman" w:hAnsi="Times New Roman" w:eastAsia="Times New Roman" w:cs="Times New Roman"/>
                <w:color w:val="000000" w:themeColor="text1"/>
                <w:sz w:val="22"/>
                <w:szCs w:val="22"/>
                <w:highlight w:val="none"/>
              </w:rPr>
              <w:t xml:space="preserve">. Thửa phía trước </w:t>
            </w:r>
            <w:r>
              <w:rPr>
                <w:rFonts w:ascii="Times New Roman" w:hAnsi="Times New Roman" w:eastAsia="Times New Roman" w:cs="Times New Roman"/>
                <w:color w:val="000000"/>
                <w:sz w:val="22"/>
              </w:rPr>
              <w:t xml:space="preserve">tiếp giáp đường 38 phường Vạn Xuân, tỉnh Thái Nguyên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A4E88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51ADCF8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 Tài sản nằm tại đường liên thôn phường Tiên Phong, thành phố Phổ Yên, tỉnh Thái Nguyên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6C9A8EC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tại xã Đồng Tiến, Huyện Phổ Yên, Tỉnh Thái Nguyên, tài sản cách đường Lý Nam Đế khoảng 200m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14:paraId="51269E5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tiếp giáp đường Triệu Quang Phục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-1.895.137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2.858.824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-1.762.500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17.056.231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17.152.942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15.862.500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-947.568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571.765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-881.250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16.108.663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17.724.707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14.981.250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568.541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-428.824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16.677.204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17.295.883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14.981.250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758.055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1.000.588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17.435.259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18.296.471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-714.706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17.435.259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17.581.765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947.568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18.382.827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17.581.765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-3.790.274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-2.858.824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-3.525.000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14.592.553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14.722.941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12.866.250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14.592.553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14.722.941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12.866.250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14.060.581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3.78%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-8.49%</w:t>
            </w:r>
            <w:r>
              <w:rPr>
                <w:color w:val="000000"/>
                <w:sz w:val="22"/>
                <w:szCs w:val="22"/>
              </w:rPr>
            </w:r>
            <w:r>
              <w:rPr>
                <w:color w:val="000000"/>
                <w:sz w:val="22"/>
                <w:szCs w:val="22"/>
              </w:rPr>
            </w:r>
          </w:p>
        </w:tc>
      </w:tr>
      <w:tr>
        <w:trPr>
          <w:trHeight w:val="56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778"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8.907.143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8.433.531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7.578.750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4.358.815</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428.823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4.758.750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3,78</w:t>
      </w:r>
      <w:r>
        <w:t xml:space="preserve">% </w:t>
      </w:r>
      <w:r>
        <w:t xml:space="preserve">đến</w:t>
      </w:r>
      <w:r>
        <w:t xml:space="preserve"> </w:t>
      </w:r>
      <w:r>
        <w:t xml:space="preserve"> </w:t>
      </w:r>
      <w:r>
        <w:t xml:space="preserve">8,49%,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14.592.553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4.865.157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14.722.941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4.907.156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12.866.250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4.288.321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14.060.634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14.000.000</w:t>
      </w:r>
      <w:r>
        <w:rPr>
          <w:b/>
          <w:bCs/>
          <w:color w:val="000000" w:themeColor="text1"/>
        </w:rPr>
        <w:t xml:space="preserve"> </w:t>
      </w:r>
      <w:r>
        <w:rPr>
          <w:b/>
          <w:bCs/>
        </w:rPr>
        <w:t xml:space="preserve">đồng</w:t>
      </w:r>
      <w:r>
        <w:rPr>
          <w:b/>
          <w:bCs/>
        </w:rPr>
        <w:t xml:space="preserve">/m².</w:t>
      </w:r>
      <w:r>
        <w:rPr>
          <w:b/>
          <w:bCs/>
        </w:rPr>
      </w:r>
      <w:r>
        <w:rPr>
          <w:b/>
          <w:bCs/>
        </w:rPr>
      </w:r>
      <w:r>
        <w:rPr>
          <w:b/>
          <w:bCs/>
        </w:rPr>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0511DCC7" w14:textId="77777777">
      <w:pPr>
        <w:pStyle w:val="1024"/>
        <w:pBdr/>
        <w:tabs>
          <w:tab w:val="left" w:leader="none" w:pos="993"/>
        </w:tabs>
        <w:spacing w:after="120" w:before="120" w:line="276" w:lineRule="auto"/>
        <w:ind w:left="0"/>
        <w:jc w:val="both"/>
        <w:rPr/>
      </w:pPr>
      <w:r/>
      <w:r/>
    </w:p>
    <w:p w14:paraId="1556E090" w14:textId="77777777">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rFonts w:ascii="Times New Roman" w:hAnsi="Times New Roman" w:eastAsia="Times New Roman" w:cs="Times New Roman"/>
                <w:color w:val="000000"/>
                <w:sz w:val="26"/>
              </w:rPr>
              <w:t xml:space="preserve">Quyền sử dụng đất tại thửa đất số: 909, tờ bản đồ số: 80 có địa chỉ: Phường Vạn Xuân, tỉnh Thái Nguyên theo Giấy chứng nhận Quyền sử dụng đất quyền sở hữu tài sản gắn liền với đất số: AA 05492710, số vào sổ cấp Giấy chứng nhận: CN15408 do Chi nhánh Văn phò</w:t>
            </w:r>
            <w:r>
              <w:rPr>
                <w:rFonts w:ascii="Times New Roman" w:hAnsi="Times New Roman" w:eastAsia="Times New Roman" w:cs="Times New Roman"/>
                <w:color w:val="000000"/>
                <w:sz w:val="26"/>
              </w:rPr>
              <w:t xml:space="preserve">ng đăng ký đất đai khu vực II cấp ngày 20/11/2025 cho Bà Nguyễn Thị Ngọc Hà (cùng sử dụng đất với Ông Ngô Văn Nghị, Ông Tạ Quang Nhật, Bà Nguyễn Thị Huấn, Ông Tạ Trung Hoà, Ông Tạ Văn Phúc, Ông Nguyễn Văn Tuyến, Ông Tạ Văn Nam, Ông Ngô Văn Sơn, Ông Ngô Mạn</w:t>
            </w:r>
            <w:r>
              <w:rPr>
                <w:rFonts w:ascii="Times New Roman" w:hAnsi="Times New Roman" w:eastAsia="Times New Roman" w:cs="Times New Roman"/>
                <w:color w:val="000000"/>
                <w:sz w:val="26"/>
              </w:rPr>
              <w:t xml:space="preserve">h Hưng).</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128</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1.792.000.000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1.792.000.000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1.792.000.000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bảy trăm chín mươi hai triệu</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r>
        <w:rPr>
          <w:bCs/>
          <w:spacing w:val="-2"/>
          <w:lang w:val="pt-BR"/>
        </w:rPr>
      </w:r>
      <w:r>
        <w:rPr>
          <w:bCs/>
          <w:spacing w:val="-2"/>
          <w:lang w:val="pt-BR"/>
        </w:rPr>
      </w:r>
      <w:r>
        <w:rPr>
          <w:lang w:val="vi-VN"/>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275/2026/0001/VFI-CT.48.A</w:t>
      </w:r>
      <w:r>
        <w:rPr>
          <w:color w:val="ff0000"/>
          <w:lang w:val="vi-VN"/>
        </w:rPr>
        <w:t xml:space="preserve"> </w:t>
      </w:r>
      <w:r>
        <w:rPr>
          <w:color w:val="000000" w:themeColor="text1"/>
        </w:rPr>
        <w:t xml:space="preserve">ngày 5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275/2026/0001/VFI-BC.48.A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94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137" cy="209260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54659" name=""/>
                              <pic:cNvPicPr>
                                <a:picLocks noChangeAspect="1"/>
                              </pic:cNvPicPr>
                              <pic:nvPr/>
                            </pic:nvPicPr>
                            <pic:blipFill rotWithShape="1">
                              <a:blip r:embed="rId22"/>
                              <a:stretch/>
                            </pic:blipFill>
                            <pic:spPr bwMode="auto">
                              <a:xfrm flipH="0" flipV="0">
                                <a:off x="0" y="0"/>
                                <a:ext cx="2790137" cy="2092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70pt;height:164.7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2709"/>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4406" cy="205511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47192" name=""/>
                              <pic:cNvPicPr>
                                <a:picLocks noChangeAspect="1"/>
                              </pic:cNvPicPr>
                              <pic:nvPr/>
                            </pic:nvPicPr>
                            <pic:blipFill rotWithShape="1">
                              <a:blip r:embed="rId23"/>
                              <a:stretch/>
                            </pic:blipFill>
                            <pic:spPr bwMode="auto">
                              <a:xfrm flipH="0" flipV="0">
                                <a:off x="0" y="0"/>
                                <a:ext cx="2744406" cy="20551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9pt;height:161.8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2051" cy="202653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06370" name=""/>
                              <pic:cNvPicPr>
                                <a:picLocks noChangeAspect="1"/>
                              </pic:cNvPicPr>
                              <pic:nvPr/>
                            </pic:nvPicPr>
                            <pic:blipFill rotWithShape="1">
                              <a:blip r:embed="rId24"/>
                              <a:stretch/>
                            </pic:blipFill>
                            <pic:spPr bwMode="auto">
                              <a:xfrm flipH="0" flipV="0">
                                <a:off x="0" y="0"/>
                                <a:ext cx="2702050" cy="2026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2.76pt;height:159.57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275/2026/0001/VFI-BC.48.A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69AE35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297C5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68ACB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0C3C4BA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B68CB4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528E33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ED263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36D5B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9EBD4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0828418688 </w:t>
              <w:br/>
              <w:t xml:space="preserve"> (Paris Hoàng)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BD1B4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389D4C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ED216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19A41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ADFBF5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3E910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2.494.000.000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9971C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2DEF75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E8C69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B81EE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02F31D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AC68E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DA45FD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68D4A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BABA73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60F15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8E0D3F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912A6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(131,6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3285B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365797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5D19C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D60D4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4A75F2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A91A3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Tài sản nằm tại đường liên thôn phường Tiên Phong, thành phố Phổ 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131F8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8D7B2D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505694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8496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708BB8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7E79F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D3EE9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BB2385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67BAF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B7C7E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B93EB4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93114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A446F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D009E6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1AE45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1FEF5D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0D213A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94DAC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tcPr>
          <w:p w14:paraId="091416C0">
            <w:pPr>
              <w:pBdr>
                <w:top w:val="none" w:color="000000" w:sz="4" w:space="0"/>
                <w:left w:val="none" w:color="000000" w:sz="4" w:space="0"/>
                <w:bottom w:val="none" w:color="000000" w:sz="4" w:space="0"/>
                <w:right w:val="none" w:color="000000" w:sz="4" w:space="0"/>
              </w:pBdr>
              <w:spacing w:line="276" w:lineRule="auto"/>
              <w:ind w:right="0" w:firstLine="0" w:left="0"/>
              <w:rPr/>
            </w:pPr>
            <w:r/>
            <w:r/>
            <w:r/>
            <w:r>
              <mc:AlternateContent>
                <mc:Choice Requires="wpg">
                  <w:drawing>
                    <wp:anchor xmlns:wp="http://schemas.openxmlformats.org/drawingml/2006/wordprocessingDrawing" xmlns:wp14="http://schemas.microsoft.com/office/word/2010/wordprocessingDrawing" distT="0" distB="0" distL="115200" distR="115200" simplePos="0" relativeHeight="251690496" behindDoc="0" locked="0" layoutInCell="1" allowOverlap="1">
                      <wp:simplePos x="0" y="0"/>
                      <wp:positionH relativeFrom="column">
                        <wp:posOffset>-68580</wp:posOffset>
                      </wp:positionH>
                      <wp:positionV relativeFrom="paragraph">
                        <wp:posOffset>39219</wp:posOffset>
                      </wp:positionV>
                      <wp:extent cx="1762465" cy="2471839"/>
                      <wp:effectExtent l="0" t="0" r="0" b="0"/>
                      <wp:wrapThrough wrapText="bothSides">
                        <wp:wrapPolygon edited="1">
                          <wp:start x="0" y="0"/>
                          <wp:lineTo x="21600" y="0"/>
                          <wp:lineTo x="21600" y="21600"/>
                          <wp:lineTo x="0" y="21600"/>
                        </wp:wrapPolygon>
                      </wp:wrapThrough>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92294" name=""/>
                              <pic:cNvPicPr>
                                <a:picLocks noChangeAspect="1"/>
                              </pic:cNvPicPr>
                              <pic:nvPr/>
                            </pic:nvPicPr>
                            <pic:blipFill rotWithShape="1">
                              <a:blip r:embed="rId25"/>
                              <a:stretch/>
                            </pic:blipFill>
                            <pic:spPr bwMode="auto">
                              <a:xfrm flipH="0" flipV="0">
                                <a:off x="0" y="0"/>
                                <a:ext cx="1762464" cy="247183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90496;o:allowoverlap:true;o:allowincell:true;mso-position-horizontal-relative:text;margin-left:-5.40pt;mso-position-horizontal:absolute;mso-position-vertical-relative:text;margin-top:3.09pt;mso-position-vertical:absolute;width:138.78pt;height:194.63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w:r/>
            <w:r/>
            <w:r/>
            <w:r/>
            <w:r/>
            <w:r/>
            <w:r/>
            <w:r>
              <mc:AlternateContent>
                <mc:Choice Requires="wpg">
                  <w:drawing>
                    <wp:anchor xmlns:wp="http://schemas.openxmlformats.org/drawingml/2006/wordprocessingDrawing" xmlns:wp14="http://schemas.microsoft.com/office/word/2010/wordprocessingDrawing" distT="0" distB="0" distL="115200" distR="115200" simplePos="0" relativeHeight="251693568" behindDoc="0" locked="0" layoutInCell="1" allowOverlap="1">
                      <wp:simplePos x="0" y="0"/>
                      <wp:positionH relativeFrom="column">
                        <wp:posOffset>1817710</wp:posOffset>
                      </wp:positionH>
                      <wp:positionV relativeFrom="paragraph">
                        <wp:posOffset>111234</wp:posOffset>
                      </wp:positionV>
                      <wp:extent cx="2127069" cy="1336159"/>
                      <wp:effectExtent l="0" t="0" r="0" b="0"/>
                      <wp:wrapThrough wrapText="bothSides">
                        <wp:wrapPolygon edited="1">
                          <wp:start x="0" y="0"/>
                          <wp:lineTo x="21600" y="0"/>
                          <wp:lineTo x="21600" y="21600"/>
                          <wp:lineTo x="0" y="21600"/>
                        </wp:wrapPolygon>
                      </wp:wrapThrough>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57610" name=""/>
                              <pic:cNvPicPr>
                                <a:picLocks noChangeAspect="1"/>
                              </pic:cNvPicPr>
                              <pic:nvPr/>
                            </pic:nvPicPr>
                            <pic:blipFill rotWithShape="1">
                              <a:blip r:embed="rId26"/>
                              <a:stretch/>
                            </pic:blipFill>
                            <pic:spPr bwMode="auto">
                              <a:xfrm flipH="0" flipV="0">
                                <a:off x="0" y="0"/>
                                <a:ext cx="2127069" cy="133615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93568;o:allowoverlap:true;o:allowincell:true;mso-position-horizontal-relative:text;margin-left:143.13pt;mso-position-horizontal:absolute;mso-position-vertical-relative:text;margin-top:8.76pt;mso-position-vertical:absolute;width:167.49pt;height:105.21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99712" behindDoc="0" locked="0" layoutInCell="1" allowOverlap="1">
                      <wp:simplePos x="0" y="0"/>
                      <wp:positionH relativeFrom="column">
                        <wp:posOffset>3856060</wp:posOffset>
                      </wp:positionH>
                      <wp:positionV relativeFrom="paragraph">
                        <wp:posOffset>39219</wp:posOffset>
                      </wp:positionV>
                      <wp:extent cx="2002755" cy="1884946"/>
                      <wp:effectExtent l="0" t="0" r="0" b="0"/>
                      <wp:wrapThrough wrapText="bothSides">
                        <wp:wrapPolygon edited="1">
                          <wp:start x="0" y="0"/>
                          <wp:lineTo x="21600" y="0"/>
                          <wp:lineTo x="21600" y="21600"/>
                          <wp:lineTo x="0" y="21600"/>
                        </wp:wrapPolygon>
                      </wp:wrapThrough>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08032" name=""/>
                              <pic:cNvPicPr>
                                <a:picLocks noChangeAspect="1"/>
                              </pic:cNvPicPr>
                              <pic:nvPr/>
                            </pic:nvPicPr>
                            <pic:blipFill rotWithShape="1">
                              <a:blip r:embed="rId27"/>
                              <a:stretch/>
                            </pic:blipFill>
                            <pic:spPr bwMode="auto">
                              <a:xfrm flipH="0" flipV="0">
                                <a:off x="0" y="0"/>
                                <a:ext cx="2002754" cy="188494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9712;o:allowoverlap:true;o:allowincell:true;mso-position-horizontal-relative:text;margin-left:303.63pt;mso-position-horizontal:absolute;mso-position-vertical-relative:text;margin-top:3.09pt;mso-position-vertical:absolute;width:157.70pt;height:148.42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
            <w:r>
              <w:rPr>
                <w:rFonts w:ascii="Times New Roman" w:hAnsi="Times New Roman" w:eastAsia="Times New Roman" w:cs="Times New Roman"/>
                <w:sz w:val="24"/>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p w14:paraId="2A34C59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610225" cy="53911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79729" name=""/>
                        <pic:cNvPicPr>
                          <a:picLocks noChangeAspect="1"/>
                        </pic:cNvPicPr>
                        <pic:nvPr/>
                      </pic:nvPicPr>
                      <pic:blipFill rotWithShape="1">
                        <a:blip r:embed="rId28"/>
                        <a:stretch/>
                      </pic:blipFill>
                      <pic:spPr bwMode="auto">
                        <a:xfrm>
                          <a:off x="0" y="0"/>
                          <a:ext cx="5610224" cy="5391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1.75pt;height:424.50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p w14:paraId="7B602393" w14:textId="66CEBA51">
      <w:pPr>
        <w:pBdr/>
        <w:spacing w:after="200" w:line="276" w:lineRule="auto"/>
        <w:ind/>
        <w:jc w:val="center"/>
        <w:rPr>
          <w:iCs/>
          <w:lang w:val="pt-BR"/>
        </w:rPr>
      </w:pPr>
      <w:r>
        <w:rPr>
          <w:iCs/>
          <w:lang w:val="pt-BR"/>
        </w:rPr>
      </w:r>
      <w:r/>
      <w:r>
        <mc:AlternateContent>
          <mc:Choice Requires="wpg">
            <w:drawing>
              <wp:inline xmlns:wp="http://schemas.openxmlformats.org/drawingml/2006/wordprocessingDrawing" distT="0" distB="0" distL="0" distR="0">
                <wp:extent cx="5610225" cy="635747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47437" name=""/>
                        <pic:cNvPicPr>
                          <a:picLocks noChangeAspect="1"/>
                        </pic:cNvPicPr>
                        <pic:nvPr/>
                      </pic:nvPicPr>
                      <pic:blipFill rotWithShape="1">
                        <a:blip r:embed="rId29"/>
                        <a:stretch/>
                      </pic:blipFill>
                      <pic:spPr bwMode="auto">
                        <a:xfrm flipH="0" flipV="0">
                          <a:off x="0" y="0"/>
                          <a:ext cx="5610224" cy="6357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1.75pt;height:500.59pt;mso-wrap-distance-left:0.00pt;mso-wrap-distance-top:0.00pt;mso-wrap-distance-right:0.00pt;mso-wrap-distance-bottom:0.00pt;z-index:1;" stroked="false">
                <v:imagedata r:id="rId29" o:title=""/>
                <o:lock v:ext="edit" rotation="t"/>
              </v:shape>
            </w:pict>
          </mc:Fallback>
        </mc:AlternateContent>
      </w:r>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1BFD5F58">
            <w:pPr>
              <w:pBdr/>
              <w:spacing/>
              <w:ind/>
              <w:jc w:val="center"/>
              <w:rPr/>
            </w:pPr>
            <w:r>
              <w:rPr>
                <w:highlight w:val="none"/>
              </w:rPr>
            </w:r>
            <w:r>
              <w:rPr>
                <w:highlight w:val="none"/>
              </w:rPr>
            </w:r>
            <w:r>
              <w:rPr>
                <w:highlight w:val="none"/>
              </w:rPr>
            </w:r>
          </w:p>
          <w:p w14:paraId="2130FA20">
            <w:pPr>
              <w:pBdr/>
              <w:spacing/>
              <w:ind/>
              <w:jc w:val="center"/>
              <w:rPr>
                <w:highlight w:val="none"/>
              </w:rPr>
            </w:pPr>
            <w:r>
              <w:rPr>
                <w:highlight w:val="none"/>
              </w:rPr>
            </w:r>
            <w:r>
              <w:rPr>
                <w:highlight w:val="none"/>
              </w:rPr>
            </w:r>
            <w:r>
              <w:rPr>
                <w:highlight w:val="none"/>
              </w:rPr>
            </w:r>
          </w:p>
          <w:p w14:paraId="477E9BFB">
            <w:pPr>
              <w:pBdr/>
              <w:spacing/>
              <w:ind/>
              <w:jc w:val="center"/>
              <w:rPr>
                <w:highlight w:val="none"/>
              </w:rPr>
            </w:pPr>
            <w:r>
              <w:rPr>
                <w:highlight w:val="none"/>
              </w:rPr>
            </w:r>
            <w:r>
              <w:rPr>
                <w:highlight w:val="none"/>
              </w:rPr>
            </w:r>
            <w:r>
              <w:rPr>
                <w:highlight w:val="none"/>
              </w:rPr>
            </w:r>
          </w:p>
          <w:p w14:paraId="399BA2BF">
            <w:pPr>
              <w:pBdr/>
              <w:spacing/>
              <w:ind/>
              <w:jc w:val="center"/>
              <w:rPr>
                <w:highlight w:val="none"/>
              </w:rPr>
            </w:pPr>
            <w:r>
              <w:rPr>
                <w:highlight w:val="none"/>
              </w:rPr>
            </w:r>
            <w:r>
              <w:rPr>
                <w:highlight w:val="none"/>
              </w:rPr>
            </w:r>
            <w:r>
              <w:rPr>
                <w:highlight w:val="none"/>
              </w:rPr>
            </w:r>
          </w:p>
          <w:p w14:paraId="13D827DA">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Phạm Thị Dung</w:t>
            </w:r>
            <w:r/>
          </w:p>
          <w:p w14:paraId="19ECA950" w14:textId="77777777">
            <w:pPr>
              <w:pBdr/>
              <w:spacing/>
              <w:ind/>
              <w:jc w:val="left"/>
              <w:rPr/>
            </w:pPr>
            <w:r/>
            <w:r/>
          </w:p>
        </w:tc>
      </w:tr>
    </w:tbl>
    <w:p w14:paraId="670E367F">
      <w:pPr>
        <w:pBdr/>
        <w:spacing w:after="200" w:line="276" w:lineRule="auto"/>
        <w:ind/>
        <w:rPr>
          <w:lang w:val="pt-BR"/>
        </w:rPr>
      </w:pPr>
      <w:r>
        <w:rPr>
          <w:iCs/>
          <w:lang w:val="pt-BR"/>
        </w:rPr>
      </w:r>
      <w:r>
        <w:rPr>
          <w:iCs/>
          <w:lang w:val="pt-BR"/>
        </w:rPr>
      </w:r>
      <w:r>
        <w:rPr>
          <w:iCs/>
          <w:lang w:val="pt-BR"/>
        </w:rPr>
      </w:r>
    </w:p>
    <w:p w14:paraId="23A066D7">
      <w:pPr>
        <w:pBdr/>
        <w:spacing w:after="200" w:line="276" w:lineRule="auto"/>
        <w:ind/>
        <w:rPr>
          <w:lang w:val="pt-BR"/>
        </w:rPr>
      </w:pPr>
      <w:r>
        <w:rPr>
          <w:iCs/>
          <w:lang w:val="pt-BR"/>
        </w:rPr>
      </w:r>
      <w:r>
        <w:rPr>
          <w:iCs/>
          <w:lang w:val="pt-BR"/>
        </w:rPr>
      </w:r>
      <w:r>
        <w:rPr>
          <w:iCs/>
          <w:lang w:val="pt-BR"/>
        </w:rPr>
      </w:r>
    </w:p>
    <w:p w14:paraId="220560DA">
      <w:pPr>
        <w:pBdr/>
        <w:shd w:val="nil"/>
        <w:spacing/>
        <w:ind/>
        <w:rPr>
          <w:lang w:val="pt-BR"/>
        </w:rPr>
      </w:pPr>
      <w:r>
        <w:rPr>
          <w:iCs/>
          <w:highlight w:val="none"/>
          <w:lang w:val="pt-BR"/>
        </w:rPr>
        <w:br w:type="page" w:clear="all"/>
      </w:r>
      <w:r>
        <w:rPr>
          <w:iCs/>
          <w:highlight w:val="none"/>
          <w:lang w:val="pt-BR"/>
        </w:rPr>
      </w:r>
      <w:r>
        <w:rPr>
          <w:iCs/>
          <w:highlight w:val="none"/>
          <w:lang w:val="pt-BR"/>
        </w:rPr>
      </w:r>
    </w:p>
    <w:p w14:paraId="1EAD3878" w14:textId="77777777">
      <w:pPr>
        <w:pBdr/>
        <w:spacing w:after="200" w:line="276" w:lineRule="auto"/>
        <w:ind/>
        <w:jc w:val="center"/>
        <w:rPr>
          <w:b/>
          <w:bCs/>
          <w:iCs/>
          <w:color w:val="000000" w:themeColor="text1"/>
          <w:highlight w:val="none"/>
          <w:lang w:val="pt-BR"/>
        </w:rPr>
      </w:pPr>
      <w:r>
        <w:rPr>
          <w:b/>
          <w:bCs/>
          <w:iCs/>
          <w:color w:val="000000" w:themeColor="text1"/>
          <w:lang w:val="pt-BR"/>
        </w:rPr>
        <w:t xml:space="preserve">GIẤY CHỨNG NHẬN QSDĐ</w:t>
      </w:r>
      <w:r>
        <w:rPr>
          <w:b/>
          <w:bCs/>
          <w:iCs/>
          <w:color w:val="000000" w:themeColor="text1"/>
          <w:highlight w:val="none"/>
        </w:rPr>
      </w:r>
    </w:p>
    <w:p w14:paraId="245D1DD5">
      <w:pPr>
        <w:pBdr/>
        <w:spacing w:after="200" w:line="276" w:lineRule="auto"/>
        <w:ind/>
        <w:jc w:val="center"/>
        <w:rPr>
          <w:b/>
          <w:bCs/>
          <w:color w:val="000000" w:themeColor="text1"/>
          <w:highlight w:val="none"/>
          <w:lang w:val="pt-BR"/>
        </w:rPr>
      </w:pPr>
      <w:r>
        <w:rPr>
          <w:b/>
          <w:bCs/>
          <w:iCs/>
          <w:color w:val="000000" w:themeColor="text1"/>
          <w:highlight w:val="none"/>
          <w:lang w:val="pt-BR"/>
        </w:rPr>
      </w:r>
      <w:r>
        <w:rPr>
          <w:b/>
          <w:bCs/>
          <w:iCs/>
          <w:color w:val="000000" w:themeColor="text1"/>
          <w:highlight w:val="none"/>
          <w:lang w:val="pt-BR"/>
        </w:rPr>
      </w:r>
      <w:r>
        <mc:AlternateContent>
          <mc:Choice Requires="wpg">
            <w:drawing>
              <wp:inline xmlns:wp="http://schemas.openxmlformats.org/drawingml/2006/wordprocessingDrawing" distT="0" distB="0" distL="0" distR="0">
                <wp:extent cx="6048375" cy="89970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17218" name=""/>
                        <pic:cNvPicPr>
                          <a:picLocks noChangeAspect="1"/>
                        </pic:cNvPicPr>
                        <pic:nvPr/>
                      </pic:nvPicPr>
                      <pic:blipFill rotWithShape="1">
                        <a:blip r:embed="rId30"/>
                        <a:stretch/>
                      </pic:blipFill>
                      <pic:spPr bwMode="auto">
                        <a:xfrm>
                          <a:off x="0" y="0"/>
                          <a:ext cx="6048374" cy="89970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708.43pt;mso-wrap-distance-left:0.00pt;mso-wrap-distance-top:0.00pt;mso-wrap-distance-right:0.00pt;mso-wrap-distance-bottom:0.00pt;z-index:1;" stroked="false">
                <v:imagedata r:id="rId30" o:title=""/>
                <o:lock v:ext="edit" rotation="t"/>
              </v:shape>
            </w:pict>
          </mc:Fallback>
        </mc:AlternateContent>
      </w:r>
      <w:r>
        <w:rPr>
          <w:b/>
          <w:bCs/>
          <w:iCs/>
          <w:color w:val="000000" w:themeColor="text1"/>
          <w:highlight w:val="none"/>
          <w:lang w:val="pt-BR"/>
        </w:rPr>
      </w:r>
      <w:r>
        <w:rPr>
          <w:b/>
          <w:bCs/>
          <w:color w:val="000000" w:themeColor="text1"/>
          <w:highlight w:val="none"/>
        </w:rPr>
      </w:r>
    </w:p>
    <w:p w14:paraId="6B0AB35F">
      <w:pPr>
        <w:pBdr/>
        <w:spacing w:after="200" w:line="276" w:lineRule="auto"/>
        <w:ind/>
        <w:jc w:val="center"/>
        <w:rPr>
          <w:highlight w:val="none"/>
        </w:rPr>
      </w:pPr>
      <w:r>
        <w:rPr>
          <w:b/>
          <w:bCs/>
          <w:iCs/>
          <w:color w:val="000000" w:themeColor="text1"/>
          <w:highlight w:val="none"/>
          <w:lang w:val="pt-BR"/>
        </w:rPr>
      </w:r>
      <w:r>
        <mc:AlternateContent>
          <mc:Choice Requires="wpg">
            <w:drawing>
              <wp:inline xmlns:wp="http://schemas.openxmlformats.org/drawingml/2006/wordprocessingDrawing" distT="0" distB="0" distL="0" distR="0">
                <wp:extent cx="6048375" cy="879264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51178" name=""/>
                        <pic:cNvPicPr>
                          <a:picLocks noChangeAspect="1"/>
                        </pic:cNvPicPr>
                        <pic:nvPr/>
                      </pic:nvPicPr>
                      <pic:blipFill rotWithShape="1">
                        <a:blip r:embed="rId31"/>
                        <a:stretch/>
                      </pic:blipFill>
                      <pic:spPr bwMode="auto">
                        <a:xfrm>
                          <a:off x="0" y="0"/>
                          <a:ext cx="6048374" cy="8792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92.33pt;mso-wrap-distance-left:0.00pt;mso-wrap-distance-top:0.00pt;mso-wrap-distance-right:0.00pt;mso-wrap-distance-bottom:0.00pt;z-index:1;" stroked="false">
                <v:imagedata r:id="rId31" o:title=""/>
                <o:lock v:ext="edit" rotation="t"/>
              </v:shape>
            </w:pict>
          </mc:Fallback>
        </mc:AlternateContent>
      </w:r>
      <w:r>
        <w:rPr>
          <w:b/>
          <w:bCs/>
          <w:color w:val="000000" w:themeColor="text1"/>
          <w:highlight w:val="none"/>
        </w:rPr>
      </w:r>
    </w:p>
    <w:p w14:paraId="420CD6DB">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14:paraId="486F4BB8">
      <w:pPr>
        <w:pBdr/>
        <w:spacing w:after="200" w:line="276" w:lineRule="auto"/>
        <w:ind/>
        <w:jc w:val="center"/>
        <w:rPr>
          <w:b/>
          <w:bCs/>
          <w:highlight w:val="none"/>
        </w:rPr>
      </w:pPr>
      <w:r>
        <w:rPr>
          <w:b/>
          <w:bCs/>
          <w:highlight w:val="none"/>
        </w:rPr>
        <w:t xml:space="preserve">BIÊN BẢN KHẢO SÁT</w:t>
      </w:r>
      <w:r>
        <w:rPr>
          <w:b/>
          <w:bCs/>
          <w:color w:val="000000" w:themeColor="text1"/>
          <w:highlight w:val="none"/>
        </w:rPr>
      </w:r>
    </w:p>
    <w:p w14:paraId="22A5F451">
      <w:pPr>
        <w:pBdr/>
        <w:spacing w:after="200" w:line="276" w:lineRule="auto"/>
        <w:ind/>
        <w:jc w:val="center"/>
        <w:rPr>
          <w:b/>
          <w:bCs/>
          <w:color w:val="000000" w:themeColor="text1"/>
          <w:highlight w:val="none"/>
        </w:rPr>
      </w:pPr>
      <w:r>
        <w:rPr>
          <w:b/>
          <w:bCs/>
          <w:highlight w:val="none"/>
        </w:rPr>
      </w:r>
      <w:r/>
      <w:r>
        <mc:AlternateContent>
          <mc:Choice Requires="wpg">
            <w:drawing>
              <wp:inline xmlns:wp="http://schemas.openxmlformats.org/drawingml/2006/wordprocessingDrawing" distT="0" distB="0" distL="0" distR="0">
                <wp:extent cx="5804541" cy="831962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52944" name=""/>
                        <pic:cNvPicPr>
                          <a:picLocks noChangeAspect="1"/>
                        </pic:cNvPicPr>
                        <pic:nvPr/>
                      </pic:nvPicPr>
                      <pic:blipFill rotWithShape="1">
                        <a:blip r:embed="rId32"/>
                        <a:srcRect l="0" t="8435" r="0" b="11221"/>
                        <a:stretch/>
                      </pic:blipFill>
                      <pic:spPr bwMode="auto">
                        <a:xfrm flipH="0" flipV="0">
                          <a:off x="0" y="0"/>
                          <a:ext cx="5804540" cy="8319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7.05pt;height:655.09pt;mso-wrap-distance-left:0.00pt;mso-wrap-distance-top:0.00pt;mso-wrap-distance-right:0.00pt;mso-wrap-distance-bottom:0.00pt;z-index:1;" stroked="false">
                <v:imagedata r:id="rId32" o:title="" croptop="5528f" cropleft="0f" cropbottom="7354f" cropright="0f"/>
                <o:lock v:ext="edit" rotation="t"/>
              </v:shape>
            </w:pict>
          </mc:Fallback>
        </mc:AlternateContent>
      </w:r>
      <w:r/>
      <w:r>
        <w:rPr>
          <w:b/>
          <w:bCs/>
          <w:highlight w:val="none"/>
        </w:rPr>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271</cp:revision>
  <dcterms:created xsi:type="dcterms:W3CDTF">2025-09-15T09:58:00Z</dcterms:created>
  <dcterms:modified xsi:type="dcterms:W3CDTF">2026-01-07T07:57:37Z</dcterms:modified>
</cp:coreProperties>
</file>