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92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921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275/2026/0001/VFI-CT.48.A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QUỸ TÍN DỤNG NHÂN DÂN YÊN MINH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w:t>
                            </w:r>
                            <w:r>
                              <w:rPr>
                                <w:color w:val="000000"/>
                              </w:rPr>
                              <w:t xml:space="preserve">sử dụng đất tại thửa đất số: 782, tờ bản đồ số: 80 có địa chỉ: Phường Vạn Xuân, tỉnh Thái Nguyên theo Giấy chứng nhận Quyền sử dụng đất quyền sở hữu tài sản gắn liền với đất số: AA 05492720, số vào sổ cấp Giấy chứng nhận: CN15418 do Chi nhánh Văn phòng đăn</w:t>
                            </w:r>
                            <w:r>
                              <w:rPr>
                                <w:color w:val="000000"/>
                              </w:rPr>
                              <w:t xml:space="preserve">g ký đất đai khu vực II cấp ngày 2/11/2025 cho Bà Nguyễn Thị Ngọc Hà (cùng sử dụng đất với Ông Ngô Văn Nghị, Ông Tạ Quang Nhật, Bà Nguyễn Thị Huấn, Ông Tạ Trung Hoà, Ông Tạ Văn Phúc, Ông Nguyễn Văn Tuyến, Ông Tạ Văn Nam, Ông Ngô Văn Sơn, Ông Ngô Mạnh Hưng)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4.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275/2026/0001/VFI-CT.48.A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QUỸ TÍN DỤNG NHÂN DÂN YÊN MINH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w:t>
                      </w:r>
                      <w:r>
                        <w:rPr>
                          <w:color w:val="000000"/>
                        </w:rPr>
                        <w:t xml:space="preserve">sử dụng đất tại thửa đất số: 782, tờ bản đồ số: 80 có địa chỉ: Phường Vạn Xuân, tỉnh Thái Nguyên theo Giấy chứng nhận Quyền sử dụng đất quyền sở hữu tài sản gắn liền với đất số: AA 05492720, số vào sổ cấp Giấy chứng nhận: CN15418 do Chi nhánh Văn phòng đăn</w:t>
                      </w:r>
                      <w:r>
                        <w:rPr>
                          <w:color w:val="000000"/>
                        </w:rPr>
                        <w:t xml:space="preserve">g ký đất đai khu vực II cấp ngày 2/11/2025 cho Bà Nguyễn Thị Ngọc Hà (cùng sử dụng đất với Ông Ngô Văn Nghị, Ông Tạ Quang Nhật, Bà Nguyễn Thị Huấn, Ông Tạ Trung Hoà, Ông Tạ Văn Phúc, Ông Nguyễn Văn Tuyến, Ông Tạ Văn Nam, Ông Ngô Văn Sơn, Ông Ngô Mạnh Hưng)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275/2026/0001/VFI-CT.48.A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5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QUỸ TÍN DỤNG NHÂN DÂN YÊN MINH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275/2026/0001/VFI-HĐTĐ.48.A</w:t>
      </w:r>
      <w:r>
        <w:rPr>
          <w:spacing w:val="-4"/>
          <w:lang w:val="vi-VN"/>
        </w:rPr>
        <w:t xml:space="preserve"> ký ngày </w:t>
      </w:r>
      <w:r>
        <w:rPr>
          <w:color w:val="000000" w:themeColor="text1"/>
          <w:spacing w:val="-4"/>
        </w:rPr>
        <w:t xml:space="preserve">31 tháng 12 năm 2025</w:t>
      </w:r>
      <w:r>
        <w:rPr>
          <w:spacing w:val="-4"/>
          <w:lang w:val="vi-VN"/>
        </w:rPr>
        <w:t xml:space="preserve"> </w:t>
      </w:r>
      <w:r>
        <w:rPr>
          <w:spacing w:val="-4"/>
          <w:lang w:val="vi-VN"/>
        </w:rPr>
        <w:t xml:space="preserve">giữa </w:t>
      </w:r>
      <w:r>
        <w:rPr>
          <w:bCs/>
        </w:rPr>
        <w:t xml:space="preserve">Quỹ tín dụng nhân dân Yên Minh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275/2026/0001/VFI-BC.48.A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AE341FD">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8"/>
                <w:sz w:val="24"/>
              </w:rPr>
              <w:t xml:space="preserve">QUỸ TÍN DỤNG NHÂN DÂN YÊN MINH</w:t>
            </w:r>
            <w:r/>
          </w:p>
        </w:tc>
      </w:tr>
      <w:tr>
        <w:trPr>
          <w:trHeight w:val="20"/>
        </w:trPr>
        <w:tc>
          <w:tcPr>
            <w:shd w:val="clear" w:color="auto" w:fill="auto"/>
            <w:tcBorders/>
            <w:tcW w:w="1109" w:type="pct"/>
            <w:vAlign w:val="center"/>
            <w:textDirection w:val="lrTb"/>
            <w:noWrap w:val="false"/>
          </w:tcPr>
          <w:p w14:paraId="17BA1722">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2F5D64EC">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4600455239</w:t>
            </w:r>
            <w:r/>
          </w:p>
        </w:tc>
      </w:tr>
      <w:tr>
        <w:trPr>
          <w:trHeight w:val="20"/>
        </w:trPr>
        <w:tc>
          <w:tcPr>
            <w:shd w:val="clear" w:color="auto" w:fill="auto"/>
            <w:tcBorders/>
            <w:tcW w:w="1109" w:type="pct"/>
            <w:vAlign w:val="center"/>
            <w:textDirection w:val="lrTb"/>
            <w:noWrap w:val="false"/>
          </w:tcPr>
          <w:p w14:paraId="0DFBCEEF">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618C799">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Số 7 đường Cao Vương, phường Vạn Xuân, tỉnh Thái Nguyên</w:t>
            </w:r>
            <w:r/>
          </w:p>
        </w:tc>
      </w:tr>
      <w:tr>
        <w:trPr>
          <w:trHeight w:val="20"/>
        </w:trPr>
        <w:tc>
          <w:tcPr>
            <w:shd w:val="clear" w:color="auto" w:fill="auto"/>
            <w:tcBorders/>
            <w:tcW w:w="1109" w:type="pct"/>
            <w:vAlign w:val="center"/>
            <w:textDirection w:val="lrTb"/>
            <w:noWrap w:val="false"/>
          </w:tcPr>
          <w:p w14:paraId="2B73D269">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0A57451">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Ông Tạ Trung Bình</w:t>
            </w:r>
            <w:r/>
          </w:p>
        </w:tc>
      </w:tr>
      <w:tr>
        <w:trPr>
          <w:trHeight w:val="20"/>
        </w:trPr>
        <w:tc>
          <w:tcPr>
            <w:shd w:val="clear" w:color="ffffff" w:fill="ffffff"/>
            <w:tcBorders/>
            <w:tcW w:w="1109" w:type="pct"/>
            <w:vAlign w:val="center"/>
            <w:vMerge w:val="restart"/>
            <w:textDirection w:val="lrTb"/>
            <w:noWrap w:val="false"/>
          </w:tcPr>
          <w:p w14:paraId="169577D8">
            <w:pPr>
              <w:pBdr>
                <w:top w:val="none" w:color="000000" w:sz="4" w:space="0"/>
                <w:left w:val="none" w:color="000000" w:sz="4" w:space="0"/>
                <w:bottom w:val="none" w:color="000000" w:sz="4" w:space="0"/>
                <w:right w:val="none" w:color="000000" w:sz="4" w:space="0"/>
              </w:pBdr>
              <w:spacing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14:paraId="685829BA">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14:paraId="190A625E">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b/>
                <w:color w:val="000000"/>
                <w:sz w:val="24"/>
              </w:rPr>
              <w:t xml:space="preserve">Chủ tịch HĐQT</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w:t>
      </w:r>
      <w:r>
        <w:rPr>
          <w:color w:val="000000" w:themeColor="text1"/>
        </w:rPr>
        <w:t xml:space="preserve">sử dụng đất tại thửa đất số: 782, tờ bản đồ số: 80 có địa chỉ: Phường Vạn Xuân, tỉnh Thái Nguyên theo Giấy chứng nhận Quyền sử dụng đất quyền sở hữu tài sản gắn liền với đất số: AA 05492720, số vào sổ cấp Giấy chứng nhận: CN15418 do Chi nhánh Văn phòng đăn</w:t>
      </w:r>
      <w:r>
        <w:rPr>
          <w:color w:val="000000" w:themeColor="text1"/>
        </w:rPr>
        <w:t xml:space="preserve">g ký đất đai khu vực II cấp ngày 2/11/2025 cho Bà Nguyễn Thị Ngọc Hà (cùng sử dụng đất với Ông Ngô Văn Nghị, Ông Tạ Quang Nhật, Bà Nguyễn Thị Huấn, Ông Tạ Trung Hoà, Ông Tạ Văn Phúc, Ông Nguyễn Văn Tuyến, Ông Tạ Văn Nam, Ông Ngô Văn Sơn, Ông Ngô Mạnh Hưng)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w:t>
            </w:r>
            <w:r>
              <w:rPr>
                <w:color w:val="000000"/>
              </w:rPr>
              <w:t xml:space="preserve">sử dụng đất tại thửa đất số: 782, tờ bản đồ số: 80 có địa chỉ: Phường Vạn Xuân, tỉnh Thái Nguyên theo Giấy chứng nhận Quyền sử dụng đất quyền sở hữu tài sản gắn liền với đất số: AA 05492720, số vào sổ cấp Giấy chứng nhận: CN15418 do Chi nhánh Văn phòng đăn</w:t>
            </w:r>
            <w:r>
              <w:rPr>
                <w:color w:val="000000"/>
              </w:rPr>
              <w:t xml:space="preserve">g ký đất đai khu vực II cấp ngày 2/11/2025 cho Bà Nguyễn Thị Ngọc Hà (cùng sử dụng đất với Ông Ngô Văn Nghị, Ông Tạ Quang Nhật, Bà Nguyễn Thị Huấn, Ông Tạ Trung Hoà, Ông Tạ Văn Phúc, Ông Nguyễn Văn Tuyến, Ông Tạ Văn Nam, Ông Ngô Văn Sơn, Ông Ngô Mạnh Hưng)</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17.000.000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1.700.000.000</w:t>
            </w:r>
            <w:r/>
          </w:p>
        </w:tc>
      </w:tr>
      <w:tr>
        <w:trPr>
          <w:trHeight w:val="20"/>
        </w:trPr>
        <w:tc>
          <w:tcPr>
            <w:shd w:val="clear" w:color="000000" w:fill="ffffff"/>
            <w:tcBorders/>
            <w:tcW w:w="500" w:type="pct"/>
            <w:vAlign w:val="center"/>
            <w:vMerge w:val="restart"/>
            <w:textDirection w:val="lrTb"/>
            <w:noWrap w:val="false"/>
          </w:tcPr>
          <w:p w14:paraId="43AF7312">
            <w:pPr>
              <w:pBdr/>
              <w:spacing w:after="40" w:before="40" w:line="288" w:lineRule="auto"/>
              <w:ind/>
              <w:jc w:val="center"/>
              <w:rPr>
                <w:b/>
                <w:bCs/>
              </w:rPr>
            </w:pPr>
            <w:r>
              <w:rPr>
                <w:b/>
                <w:bCs/>
              </w:rPr>
              <w:t xml:space="preserve">2</w:t>
            </w:r>
            <w:r>
              <w:rPr>
                <w:b/>
                <w:bCs/>
              </w:rPr>
            </w:r>
            <w:r>
              <w:rPr>
                <w:b/>
                <w:bCs/>
              </w:rPr>
            </w:r>
          </w:p>
        </w:tc>
        <w:tc>
          <w:tcPr>
            <w:shd w:val="clear" w:color="000000" w:fill="ffffff"/>
            <w:tcBorders/>
            <w:tcW w:w="1063" w:type="pct"/>
            <w:vAlign w:val="center"/>
            <w:vMerge w:val="restart"/>
            <w:textDirection w:val="lrTb"/>
            <w:noWrap w:val="false"/>
          </w:tcPr>
          <w:p w14:paraId="563BBA5F">
            <w:pPr>
              <w:pBdr/>
              <w:spacing w:after="40" w:before="40" w:line="288" w:lineRule="auto"/>
              <w:ind/>
              <w:rPr>
                <w:b/>
                <w:bCs/>
              </w:rPr>
            </w:pPr>
            <w:r>
              <w:rPr>
                <w:b/>
                <w:bCs/>
              </w:rPr>
              <w:t xml:space="preserve">Đất CLN nằm trong HLGT</w:t>
            </w:r>
            <w:r>
              <w:rPr>
                <w:b/>
                <w:bCs/>
              </w:rPr>
            </w:r>
            <w:r>
              <w:rPr>
                <w:b/>
                <w:bCs/>
              </w:rPr>
            </w:r>
          </w:p>
        </w:tc>
        <w:tc>
          <w:tcPr>
            <w:tcBorders/>
            <w:tcW w:w="946" w:type="pct"/>
            <w:vAlign w:val="center"/>
            <w:vMerge w:val="restart"/>
            <w:textDirection w:val="lrTb"/>
            <w:noWrap/>
          </w:tcPr>
          <w:p w14:paraId="1B3A521D">
            <w:pPr>
              <w:pBdr/>
              <w:spacing w:after="40" w:before="40" w:line="288" w:lineRule="auto"/>
              <w:ind/>
              <w:jc w:val="center"/>
              <w:rPr>
                <w:color w:val="000000" w:themeColor="text1"/>
              </w:rPr>
            </w:pPr>
            <w:r>
              <w:rPr>
                <w:color w:val="000000" w:themeColor="text1"/>
              </w:rPr>
              <w:t xml:space="preserve">250,0</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14:paraId="4BAEB70D">
            <w:pPr>
              <w:pBdr/>
              <w:spacing w:after="40" w:before="40" w:line="288" w:lineRule="auto"/>
              <w:ind/>
              <w:jc w:val="center"/>
              <w:rPr>
                <w:color w:val="000000" w:themeColor="text1"/>
              </w:rPr>
            </w:pPr>
            <w:r>
              <w:rPr>
                <w:color w:val="000000" w:themeColor="text1"/>
              </w:rPr>
              <w:t xml:space="preserve">75.000</w:t>
            </w: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14:paraId="26BEA1EC">
            <w:pPr>
              <w:pBdr/>
              <w:spacing w:after="40" w:before="40" w:line="288" w:lineRule="auto"/>
              <w:ind/>
              <w:jc w:val="center"/>
              <w:rPr>
                <w:color w:val="000000" w:themeColor="text1"/>
              </w:rPr>
            </w:pPr>
            <w:r>
              <w:rPr>
                <w:color w:val="000000" w:themeColor="text1"/>
              </w:rPr>
              <w:t xml:space="preserve">18.750.000</w:t>
            </w:r>
            <w:r>
              <w:rPr>
                <w:color w:val="000000" w:themeColor="text1"/>
              </w:rPr>
            </w:r>
            <w:r>
              <w:rPr>
                <w:color w:val="000000" w:themeColor="text1"/>
              </w:rP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1.718.750.000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1.719.000.000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bảy trăm mười chím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5E3B27DF">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275/2026/0001/VFI-CT.48.A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5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275/2026/0001/VFI-CT.48.A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4BD16E2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3380922B">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C6B75E7">
            <w:pPr>
              <w:pBdr>
                <w:top w:val="none" w:color="000000" w:sz="4" w:space="0"/>
                <w:left w:val="none" w:color="000000" w:sz="4" w:space="0"/>
                <w:bottom w:val="none" w:color="000000" w:sz="4" w:space="0"/>
                <w:right w:val="none" w:color="000000" w:sz="4" w:space="0"/>
              </w:pBdr>
              <w:spacing w:after="40" w:before="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QUỸ TÍN DỤNG NHÂN DÂN YÊN MINH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B96CED1">
            <w:pPr>
              <w:pBdr>
                <w:top w:val="none" w:color="000000" w:sz="4" w:space="0"/>
                <w:left w:val="none" w:color="000000" w:sz="4" w:space="0"/>
                <w:bottom w:val="none" w:color="000000" w:sz="4" w:space="0"/>
                <w:right w:val="none" w:color="000000" w:sz="4" w:space="0"/>
              </w:pBdr>
              <w:spacing w:after="40" w:before="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2C0F8E55">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498F146">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4600455239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E784BB4">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418A3014">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2B9E50E">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7 đường Cao Vương, phường Vạn Xuân, tỉnh Thái Nguyên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0230A8E5">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B78744D">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14:paraId="57FB5F17">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Tạ Trung Bình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75824263">
            <w:pPr>
              <w:pBdr>
                <w:top w:val="none" w:color="000000" w:sz="4" w:space="0"/>
                <w:left w:val="none" w:color="000000" w:sz="4" w:space="0"/>
                <w:bottom w:val="none" w:color="000000" w:sz="4" w:space="0"/>
                <w:right w:val="none" w:color="000000" w:sz="4" w:space="0"/>
              </w:pBdr>
              <w:spacing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25CD7252">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textDirection w:val="lrTb"/>
            <w:noWrap w:val="false"/>
          </w:tcPr>
          <w:p w14:paraId="738243A6">
            <w:pPr>
              <w:pBdr>
                <w:top w:val="none" w:color="000000" w:sz="4" w:space="0"/>
                <w:left w:val="none" w:color="000000" w:sz="4" w:space="0"/>
                <w:bottom w:val="none" w:color="000000" w:sz="4" w:space="0"/>
                <w:right w:val="none" w:color="000000" w:sz="4" w:space="0"/>
              </w:pBdr>
              <w:spacing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Vân Xuân, Tỉnh Thái Nguyên.</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21.3954461, 105.9129453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7494B17B" w14:textId="41F9AB61">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05492720, số vào sổ cấp Giấy chứng nhận: CN15418 do Chi nhánh Văn phòng đăn</w:t>
      </w:r>
      <w:r>
        <w:rPr>
          <w:bCs/>
          <w:color w:val="000000" w:themeColor="text1"/>
          <w:lang w:val="pt-BR"/>
        </w:rPr>
        <w:t xml:space="preserve">g ký đất đai khu vực II cấp ngày 2/11/2025 cho Bà Nguyễn Thị Ngọc Hà (cùng sử dụng đất với Ông Ngô Văn Nghị, Ông Tạ Quang Nhật, Bà Nguyễn Thị Huấn, Ông Tạ Trung Hoà, Ông Tạ Văn Phúc, Ông Nguyễn Văn Tuyến, Ông Tạ Văn Nam, Ông Ngô Văn Sơn, Ông Ngô Mạnh Hưng)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275/2026/0001/VFI-HĐTĐ.48.A ngày 31/12/2025 giữa Quỹ tín dụng nhân dân Yên Minh với Công ty Cổ phần Thẩm định và Đầu tư Tài chính Hoa Sen.</w:t>
      </w:r>
      <w:r>
        <w:rPr>
          <w:b/>
          <w:lang w:val="pt-BR"/>
        </w:rPr>
      </w:r>
      <w:r>
        <w:rPr>
          <w:b/>
          <w:lang w:val="pt-BR"/>
        </w:rPr>
      </w:r>
    </w:p>
    <w:p w14:paraId="7BDC3A25" w14:textId="77D2CF95">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EF6240E">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lang w:val="pt-BR"/>
        </w:rPr>
        <w:tab/>
      </w:r>
      <w:r>
        <w:rPr>
          <w:rFonts w:ascii="Times New Roman" w:hAnsi="Times New Roman" w:eastAsia="Times New Roman" w:cs="Times New Roman"/>
          <w:color w:val="000000" w:themeColor="text1"/>
          <w:sz w:val="24"/>
          <w:szCs w:val="24"/>
        </w:rPr>
        <w:t xml:space="preserve">Thái Nguyên, với vị trí chiến lược trong tam giác kinh tế Hà Nội - Bắc Ninh - Vĩnh Phúc, đang trở thành tâm điểm chú ý của giới đầu tư bất động sản, đặc biệt là phân khúc đất nền. Thời gian gần đây, thị trường đất nền tại khu vực này ghi nhận nhiều chuyển </w:t>
      </w:r>
      <w:r>
        <w:rPr>
          <w:rFonts w:ascii="Times New Roman" w:hAnsi="Times New Roman" w:eastAsia="Times New Roman" w:cs="Times New Roman"/>
          <w:color w:val="000000" w:themeColor="text1"/>
          <w:sz w:val="24"/>
          <w:szCs w:val="24"/>
        </w:rPr>
        <w:t xml:space="preserve">biến tích cực nhờ các dự án hạ tầng trọng điểm và sức hút từ các khu công nghiệp.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548FD1CE">
      <w:pPr>
        <w:pStyle w:val="1006"/>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iCs/>
          <w:color w:val="000000" w:themeColor="text1"/>
          <w:sz w:val="24"/>
          <w:szCs w:val="24"/>
          <w:lang w:val="pt-BR"/>
        </w:rPr>
        <w:tab/>
      </w:r>
      <w:r>
        <w:rPr>
          <w:rFonts w:ascii="Times New Roman" w:hAnsi="Times New Roman" w:eastAsia="Times New Roman" w:cs="Times New Roman"/>
          <w:b/>
          <w:color w:val="000000" w:themeColor="text1"/>
          <w:sz w:val="24"/>
          <w:szCs w:val="24"/>
        </w:rPr>
        <w:t xml:space="preserve">Sơ lược về thị trường đất nền Thái Nguyên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1F39A33E">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Thái Nguyên - mảnh đất giàu tiềm năng đang dần khẳng định vị thế của mình trên bản đồ bất động sản Việt Nam. Với vị trí địa lý chiến lược nằm ở khu vực trung du và miền núi phía Bắc, nơi đây được biết đến là một trong những tỉnh có tốc độ phát triển hạ tần</w:t>
      </w:r>
      <w:r>
        <w:rPr>
          <w:rFonts w:ascii="Times New Roman" w:hAnsi="Times New Roman" w:eastAsia="Times New Roman" w:cs="Times New Roman"/>
          <w:color w:val="000000" w:themeColor="text1"/>
          <w:sz w:val="24"/>
          <w:szCs w:val="24"/>
        </w:rPr>
        <w:t xml:space="preserve">g nhanh chóng.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5DBFA303">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Nhờ vào hệ thống giao thông hiện đại với các tuyến đường huyết mạch như cao tốc Hà Nội – Thái Nguyên và quốc lộ 3, cùng với quy hoạch đô thị hóa mạnh mẽ, Thái Nguyên đang trở thành điểm sáng trên bản đồ bất động sản miền Bắc.</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5C518090">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Trong những năm gần đây, các khu vực trọng điểm như thành phố Thái Nguyên, thị xã Phổ Yên, huyện Đại Từ và Phú Bình đã thu hút được nhiều dự án đầu tư lớn, đặc biệt là phân khúc đất nền. Sự phát triển của các khu công nghiệp, cùng với nhu cầu nhà ở ngày cà</w:t>
      </w:r>
      <w:r>
        <w:rPr>
          <w:rFonts w:ascii="Times New Roman" w:hAnsi="Times New Roman" w:eastAsia="Times New Roman" w:cs="Times New Roman"/>
          <w:color w:val="000000" w:themeColor="text1"/>
          <w:sz w:val="24"/>
          <w:szCs w:val="24"/>
        </w:rPr>
        <w:t xml:space="preserve">ng tăng từ lực lượng lao động nhập cư, đã tạo nên một cơn sốt đất nền, không chỉ góp phần thúc đẩy kinh tế địa phương mà còn mang lại lợi nhuận hấp dẫn cho nhà đầu tư.</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40E30A30">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Thị trường đất nền Thái Nguyên không chỉ đóng vai trò quan trọng trong việc giải quyết nhu cầu nhà ở, mà còn là động lực phát triển cho nhiều ngành nghề khác, từ xây dựng, thương mại đến dịch vụ. Với tiềm năng tăng trưởng bền vững, đất nền Thái Nguyên hứa </w:t>
      </w:r>
      <w:r>
        <w:rPr>
          <w:rFonts w:ascii="Times New Roman" w:hAnsi="Times New Roman" w:eastAsia="Times New Roman" w:cs="Times New Roman"/>
          <w:color w:val="000000" w:themeColor="text1"/>
          <w:sz w:val="24"/>
          <w:szCs w:val="24"/>
        </w:rPr>
        <w:t xml:space="preserve">hẹn tiếp tục là kênh đầu tư an toàn và sinh lời cao trong tương lai.</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6600FBF2">
      <w:pPr>
        <w:pStyle w:val="1006"/>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b/>
          <w:color w:val="000000" w:themeColor="text1"/>
          <w:sz w:val="24"/>
          <w:szCs w:val="24"/>
        </w:rPr>
        <w:t xml:space="preserve">Cập nhật tình hình thị trường đất nền Thái Nguyên mới nhất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60A6459B">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Nhu cầu mua bán đất nền tăng cao, chủ yếu tập trung tại các khu vực có quy hoạch và hạ tầng giao thông được nâng cấp. Điều này khiến giá đất nền ở một số quận, huyện tại Thái Nguyên có sự biến động rõ rệt.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2E4B6D4D">
      <w:pPr>
        <w:pStyle w:val="1007"/>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b/>
          <w:color w:val="000000" w:themeColor="text1"/>
          <w:sz w:val="24"/>
          <w:szCs w:val="24"/>
        </w:rPr>
        <w:t xml:space="preserve">Phân tích cung cầu và xu hướng giá đất nền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215E1A97">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Theo số liệu từ các chuyên gia bất động sản, tình trạng cung đất nền hiện đang có dấu hiệu hạn chế tại các khu vực trung tâm thành phố Thái Nguyên. Cụ thể, ở quận thuộc thành phố Thái Nguyên và thị xã Phổ Yên, do sự gia tăng nhu cầu sở hữu bất động sản của</w:t>
      </w:r>
      <w:r>
        <w:rPr>
          <w:rFonts w:ascii="Times New Roman" w:hAnsi="Times New Roman" w:eastAsia="Times New Roman" w:cs="Times New Roman"/>
          <w:color w:val="000000" w:themeColor="text1"/>
          <w:sz w:val="24"/>
          <w:szCs w:val="24"/>
        </w:rPr>
        <w:t xml:space="preserve"> người dân và nhà đầu tư. Giá đất nền trung bình ở các khu vực này dao động từ 12 triệu - 15 triệu đồng/m², tăng nhẹ khoảng 5% so với cùng kỳ năm trước.</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1590CDC7">
      <w:pPr>
        <w:pStyle w:val="1007"/>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b/>
          <w:color w:val="000000" w:themeColor="text1"/>
          <w:sz w:val="24"/>
          <w:szCs w:val="24"/>
        </w:rPr>
        <w:t xml:space="preserve">Đánh giá loại hình đất nền phát triển nhất</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68CC6EDF">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Loại hình đất nền phát triển mạnh nhất tại Thái Nguyên năm nay là đất nền dự án. Sự ra đời của các khu đô thị mới và khu công nghiệp lớn đã đẩy mạnh nhu cầu sở hữu đất nền phục vụ xây dựng nhà ở và đầu tư lâu dài. Điều này đặc biệt thể hiện rõ tại các khu </w:t>
      </w:r>
      <w:r>
        <w:rPr>
          <w:rFonts w:ascii="Times New Roman" w:hAnsi="Times New Roman" w:eastAsia="Times New Roman" w:cs="Times New Roman"/>
          <w:color w:val="000000" w:themeColor="text1"/>
          <w:sz w:val="24"/>
          <w:szCs w:val="24"/>
        </w:rPr>
        <w:t xml:space="preserve">vực gần các tuyến giao thông huyết mạch và khu công nghiệp lớn như thị xã Phổ Yên và huyện Phú Bình.</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176DD06E">
      <w:pPr>
        <w:pStyle w:val="1007"/>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b/>
          <w:color w:val="000000" w:themeColor="text1"/>
          <w:sz w:val="24"/>
          <w:szCs w:val="24"/>
        </w:rPr>
        <w:t xml:space="preserve">Tiềm năng phát triển của các quận, huyện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7DE9E0A8">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Trong số các quận, huyện, thành phố Thái Nguyên, thị xã Phổ Yên và huyện Đại Từ được đánh giá có tiềm năng phát triển vượt trội. Yếu tố chính thúc đẩy sự tăng trưởng tại đây là nhờ vào chính sách quy hoạch đô thị thông minh, cùng với việc nâng cấp và mở rộ</w:t>
      </w:r>
      <w:r>
        <w:rPr>
          <w:rFonts w:ascii="Times New Roman" w:hAnsi="Times New Roman" w:eastAsia="Times New Roman" w:cs="Times New Roman"/>
          <w:color w:val="000000" w:themeColor="text1"/>
          <w:sz w:val="24"/>
          <w:szCs w:val="24"/>
        </w:rPr>
        <w:t xml:space="preserve">ng các tuyến giao thông trọng điểm như đường cao tốc Hà Nội - Thái Nguyên.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26B9FE7C">
      <w:pPr>
        <w:pBdr>
          <w:top w:val="single" w:color="e5e5ea" w:sz="0" w:space="0"/>
          <w:left w:val="single" w:color="e5e5ea" w:sz="0" w:space="0"/>
          <w:bottom w:val="single" w:color="e5e5ea" w:sz="0" w:space="0"/>
          <w:right w:val="single" w:color="e5e5ea" w:sz="0" w:space="0"/>
        </w:pBdr>
        <w:spacing w:after="29" w:afterAutospacing="0" w:before="58" w:beforeAutospacing="0" w:line="26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ab/>
      </w:r>
      <w:r>
        <w:rPr>
          <w:rFonts w:ascii="Times New Roman" w:hAnsi="Times New Roman" w:eastAsia="Times New Roman" w:cs="Times New Roman"/>
          <w:color w:val="000000" w:themeColor="text1"/>
          <w:sz w:val="24"/>
          <w:szCs w:val="24"/>
        </w:rPr>
        <w:t xml:space="preserve">Bên cạnh đó, các dự án mới về khu đô thị và khu công nghiệp liên tiếp được triển khai, tạo lực đẩy mạnh mẽ cho thị trường đất nền khu vực</w:t>
      </w:r>
      <w:r>
        <w:rPr>
          <w:rFonts w:ascii="Times New Roman" w:hAnsi="Times New Roman" w:eastAsia="Times New Roman" w:cs="Times New Roman"/>
          <w:color w:val="374151"/>
          <w:sz w:val="24"/>
          <w:szCs w:val="24"/>
        </w:rPr>
        <w:t xml:space="preserve">.</w:t>
      </w:r>
      <w:r>
        <w:rPr>
          <w:rFonts w:ascii="Times New Roman" w:hAnsi="Times New Roman" w:eastAsia="Times New Roman" w:cs="Times New Roman"/>
          <w:sz w:val="24"/>
          <w:szCs w:val="24"/>
        </w:rPr>
      </w:r>
      <w:r>
        <w:rPr>
          <w:rFonts w:ascii="Times New Roman" w:hAnsi="Times New Roman" w:cs="Times New Roman"/>
          <w:sz w:val="24"/>
          <w:szCs w:val="24"/>
        </w:rPr>
      </w:r>
    </w:p>
    <w:p w14:paraId="7E0E46D6">
      <w:pPr>
        <w:pBdr/>
        <w:spacing/>
        <w:ind/>
        <w:jc w:val="center"/>
        <w:rPr>
          <w:bCs/>
          <w:i/>
        </w:rPr>
      </w:pPr>
      <w:r>
        <w:rPr>
          <w:i/>
          <w:iCs/>
          <w:sz w:val="24"/>
        </w:rPr>
      </w:r>
      <w:r>
        <w:rPr>
          <w:i/>
          <w:iCs/>
        </w:rPr>
        <w:t xml:space="preserve">(Nguồn: </w:t>
      </w:r>
      <w:r>
        <w:rPr>
          <w:i/>
          <w:iCs/>
        </w:rPr>
        <w:t xml:space="preserve">https://onehousing.vn/blog/tong-quan-tinh-hinh-thi-truong-dat-nen-thai-nguyen-cap-nhat-moi-nhat-n17t?utm_source=social_share&amp;utm_medium=copyurl&amp;utm_campaign=efc31d7e-04f8-4713-9ae1-5036060f4085</w:t>
      </w:r>
      <w:r>
        <w:rPr>
          <w:i/>
          <w:iCs/>
        </w:rPr>
        <w:t xml:space="preserve">)</w:t>
      </w:r>
      <w:r>
        <w:rPr>
          <w:i/>
          <w:iCs/>
        </w:rPr>
      </w:r>
      <w:r>
        <w:rPr>
          <w:bCs/>
          <w:i/>
        </w:rPr>
      </w:r>
    </w:p>
    <w:p w14:paraId="20BF0D54" w14:textId="312C63AB">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w:t>
            </w:r>
            <w:r>
              <w:rPr>
                <w:b/>
                <w:bCs/>
                <w:color w:val="000000"/>
              </w:rPr>
              <w:t xml:space="preserve">sử dụng đất tại thửa đất số: 782, tờ bản đồ số: 80 có địa chỉ: Phường Vạn Xuân, tỉnh Thái Nguyên theo Giấy chứng nhận Quyền sử dụng đất quyền sở hữu tài sản gắn liền với đất số: AA 05492720, số vào sổ cấp Giấy chứng nhận: CN15418 do Chi nhánh Văn phòng đăn</w:t>
            </w:r>
            <w:r>
              <w:rPr>
                <w:b/>
                <w:bCs/>
                <w:color w:val="000000"/>
              </w:rPr>
              <w:t xml:space="preserve">g ký đất đai khu vực II cấp ngày 2/11/2025 cho Bà Nguyễn Thị Ngọc Hà (cùng sử dụng đất với Ông Ngô Văn Nghị, Ông Tạ Quang Nhật, Bà Nguyễn Thị Huấn, Ông Tạ Trung Hoà, Ông Tạ Văn Phúc, Ông Nguyễn Văn Tuyến, Ông Tạ Văn Nam, Ông Ngô Văn Sơn, Ông Ngô Mạnh Hưng)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782</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80</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Phường Vân Xuân, Tỉnh Thái Nguyên.</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Loại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vertAlign w:val="superscript"/>
              </w:rPr>
            </w:pPr>
            <w:r>
              <w:rPr>
                <w:color w:val="000000"/>
              </w:rPr>
              <w:t xml:space="preserve">Đất ở tại đô thị 100,0m</w:t>
            </w:r>
            <w:r>
              <w:rPr>
                <w:color w:val="000000"/>
                <w:vertAlign w:val="superscript"/>
              </w:rPr>
              <w:t xml:space="preserve">2</w:t>
            </w:r>
            <w:r>
              <w:rPr>
                <w:color w:val="000000"/>
                <w:vertAlign w:val="baseline"/>
              </w:rPr>
              <w:t xml:space="preserve">, Đất trồng cây lâu năm 250,0m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Thời hạn sử dụng:</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Đất ở tại đô thị: Lâu dài; Đất trồng cây lâu năm: Đến năm 2063</w:t>
            </w:r>
            <w:r>
              <w:rPr>
                <w:color w:val="000000"/>
              </w:rPr>
            </w:r>
            <w:r>
              <w:rPr>
                <w:color w:val="000000"/>
              </w:rPr>
            </w:r>
          </w:p>
        </w:tc>
      </w:tr>
      <w:tr>
        <w:trPr>
          <w:trHeight w:val="20"/>
        </w:trPr>
        <w:tc>
          <w:tcPr>
            <w:tcBorders/>
            <w:tcW w:w="734" w:type="dxa"/>
            <w:vAlign w:val="center"/>
            <w:vMerge w:val="restart"/>
            <w:textDirection w:val="lrTb"/>
            <w:noWrap w:val="false"/>
          </w:tcPr>
          <w:p w14:paraId="47D51742">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1A8E35CC">
            <w:pPr>
              <w:pBdr/>
              <w:spacing/>
              <w:ind/>
              <w:rPr>
                <w:color w:val="000000"/>
              </w:rPr>
            </w:pPr>
            <w:r>
              <w:rPr>
                <w:color w:val="000000"/>
              </w:rPr>
              <w:t xml:space="preserve">Hình thức sử dụng:</w:t>
            </w:r>
            <w:r>
              <w:rPr>
                <w:color w:val="000000"/>
              </w:rPr>
            </w:r>
            <w:r>
              <w:rPr>
                <w:color w:val="000000"/>
              </w:rPr>
            </w:r>
          </w:p>
        </w:tc>
        <w:tc>
          <w:tcPr>
            <w:gridSpan w:val="3"/>
            <w:tcBorders/>
            <w:tcW w:w="6259" w:type="dxa"/>
            <w:vAlign w:val="center"/>
            <w:vMerge w:val="restart"/>
            <w:textDirection w:val="lrTb"/>
            <w:noWrap w:val="false"/>
          </w:tcPr>
          <w:p w14:paraId="5B06930C">
            <w:pPr>
              <w:pBdr/>
              <w:spacing/>
              <w:ind/>
              <w:jc w:val="both"/>
              <w:rPr>
                <w:color w:val="000000"/>
              </w:rPr>
            </w:pPr>
            <w:r>
              <w:rPr>
                <w:color w:val="000000"/>
              </w:rPr>
              <w:t xml:space="preserve">Sử dụng chung của nhóm người được cấp Giấy chứng nhận</w:t>
            </w:r>
            <w:r>
              <w:rPr>
                <w:color w:val="000000"/>
              </w:rPr>
            </w:r>
            <w:r>
              <w:rPr>
                <w:color w:val="000000"/>
              </w:rPr>
            </w:r>
          </w:p>
        </w:tc>
      </w:tr>
      <w:tr>
        <w:trPr>
          <w:trHeight w:val="20"/>
        </w:trPr>
        <w:tc>
          <w:tcPr>
            <w:tcBorders/>
            <w:tcW w:w="734" w:type="dxa"/>
            <w:vAlign w:val="center"/>
            <w:vMerge w:val="restart"/>
            <w:textDirection w:val="lrTb"/>
            <w:noWrap w:val="false"/>
          </w:tcPr>
          <w:p w14:paraId="1465FF2C">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28161C03">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vMerge w:val="restart"/>
            <w:textDirection w:val="lrTb"/>
            <w:noWrap w:val="false"/>
          </w:tcPr>
          <w:p w14:paraId="368D3115">
            <w:pPr>
              <w:pBdr/>
              <w:spacing/>
              <w:ind/>
              <w:jc w:val="both"/>
              <w:rPr>
                <w:color w:val="000000"/>
              </w:rPr>
            </w:pPr>
            <w:r>
              <w:rPr>
                <w:color w:val="000000"/>
              </w:rPr>
              <w:t xml:space="preserve">Theo GCN số AA 05492720, thửa đất có 250,0m thuộc HLGT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5,0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tiếp giáp đường 38 phường Vạn Xuân, tỉnh Thái Nguyên</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Hướng Tây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21.3954461</w:t>
            </w:r>
            <w:r>
              <w:rPr>
                <w:color w:val="000000"/>
              </w:rPr>
              <w:t xml:space="preserve">, </w:t>
            </w:r>
            <w:r>
              <w:rPr>
                <w:color w:val="000000"/>
              </w:rPr>
              <w:t xml:space="preserve">105.9129453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85470" cy="2595518"/>
                      <wp:effectExtent l="0" t="0" r="0" b="0"/>
                      <wp:docPr id="5" name=""/>
                      <wp:cNvGraphicFramePr/>
                      <a:graphic xmlns:a="http://schemas.openxmlformats.org/drawingml/2006/main">
                        <a:graphicData uri="http://schemas.openxmlformats.org/drawingml/2006/picture">
                          <pic:pic xmlns:pic="http://schemas.openxmlformats.org/drawingml/2006/picture">
                            <pic:nvPicPr>
                              <pic:cNvPr id="494665994" name="" descr=""/>
                              <pic:cNvPicPr/>
                              <pic:nvPr/>
                            </pic:nvPicPr>
                            <pic:blipFill rotWithShape="1">
                              <a:blip r:embed="rId17"/>
                              <a:stretch/>
                            </pic:blipFill>
                            <pic:spPr bwMode="auto">
                              <a:xfrm flipH="0" flipV="0">
                                <a:off x="0" y="0"/>
                                <a:ext cx="5485469" cy="25955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93pt;height:204.3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350,0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10,05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34,9</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4 tầng</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6"/>
              </w:rPr>
              <w:t xml:space="preserve">Tạ</w:t>
            </w:r>
            <w:r>
              <w:rPr>
                <w:rFonts w:ascii="Times New Roman" w:hAnsi="Times New Roman" w:eastAsia="Times New Roman" w:cs="Times New Roman"/>
                <w:color w:val="000000"/>
                <w:sz w:val="26"/>
              </w:rPr>
              <w:t xml:space="preserve">i thời điểm khảo sát, tổ thẩm định nhận thấy trên đất có 01 nhà 4 tầng, kết cấu BTCT, tường gạch chịu lực, sàn lát gạch men, ngoại quan còn khá.Công trình được xây dựng năm 2016, diện tích xây dựng 100m/sàn.  Hiện công trình chưa được chứng nhận trên GCN s</w:t>
            </w:r>
            <w:r>
              <w:rPr>
                <w:rFonts w:ascii="Times New Roman" w:hAnsi="Times New Roman" w:eastAsia="Times New Roman" w:cs="Times New Roman"/>
                <w:b w:val="0"/>
                <w:bCs w:val="0"/>
                <w:color w:val="000000"/>
                <w:sz w:val="26"/>
              </w:rPr>
              <w:t xml:space="preserve">ố</w:t>
            </w:r>
            <w:r>
              <w:rPr>
                <w:rFonts w:ascii="Times New Roman" w:hAnsi="Times New Roman" w:eastAsia="Times New Roman" w:cs="Times New Roman"/>
                <w:b w:val="0"/>
                <w:bCs w:val="0"/>
                <w:color w:val="000000"/>
                <w:spacing w:val="3"/>
                <w:sz w:val="26"/>
                <w:highlight w:val="white"/>
              </w:rPr>
              <w:t xml:space="preserve"> </w:t>
            </w:r>
            <w:r>
              <w:rPr>
                <w:b w:val="0"/>
                <w:bCs w:val="0"/>
                <w:color w:val="000000"/>
              </w:rPr>
              <w:t xml:space="preserve">AA 05492720</w:t>
            </w:r>
            <w:r>
              <w:rPr>
                <w:rFonts w:ascii="Times New Roman" w:hAnsi="Times New Roman" w:eastAsia="Times New Roman" w:cs="Times New Roman"/>
                <w:color w:val="000000"/>
                <w:sz w:val="26"/>
              </w:rPr>
              <w:t xml:space="preserve">. </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672B8D16">
      <w:pPr>
        <w:pStyle w:val="1026"/>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6"/>
        </w:rPr>
        <w:t xml:space="preserve">Tạ</w:t>
      </w:r>
      <w:r>
        <w:rPr>
          <w:rFonts w:ascii="Times New Roman" w:hAnsi="Times New Roman" w:eastAsia="Times New Roman" w:cs="Times New Roman"/>
          <w:color w:val="000000"/>
          <w:sz w:val="26"/>
        </w:rPr>
        <w:t xml:space="preserve">i thời điểm khảo sát, tổ thẩm định nhận thấy trên đất có 01 nhà 4 tầng, kết cấu BTCT, tường gạch chịu lực, sàn lát gạch men, ngoại quan còn khá.Công trình được xây dựng năm 2016, diện tích xây dựng 100m/sàn.  Hiện công trình chưa được chứng nhận trên GCN s</w:t>
      </w:r>
      <w:r>
        <w:rPr>
          <w:rFonts w:ascii="Times New Roman" w:hAnsi="Times New Roman" w:eastAsia="Times New Roman" w:cs="Times New Roman"/>
          <w:b w:val="0"/>
          <w:bCs w:val="0"/>
          <w:color w:val="000000"/>
          <w:sz w:val="26"/>
        </w:rPr>
        <w:t xml:space="preserve">ố</w:t>
      </w:r>
      <w:r>
        <w:rPr>
          <w:rFonts w:ascii="Times New Roman" w:hAnsi="Times New Roman" w:eastAsia="Times New Roman" w:cs="Times New Roman"/>
          <w:b w:val="0"/>
          <w:bCs w:val="0"/>
          <w:color w:val="000000"/>
          <w:spacing w:val="3"/>
          <w:sz w:val="26"/>
          <w:highlight w:val="white"/>
        </w:rPr>
        <w:t xml:space="preserve"> </w:t>
      </w:r>
      <w:r>
        <w:rPr>
          <w:b w:val="0"/>
          <w:bCs w:val="0"/>
          <w:color w:val="000000"/>
        </w:rPr>
        <w:t xml:space="preserve">AA 05492720</w:t>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highlight w:val="none"/>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nằm ngoài HLGT</w:t>
      </w:r>
      <w:r>
        <w:rPr>
          <w:b/>
          <w:lang w:val="pt-BR"/>
        </w:rPr>
      </w:r>
      <w:r>
        <w:rPr>
          <w:b/>
          <w:lang w:val="pt-BR"/>
        </w:rPr>
      </w:r>
    </w:p>
    <w:p w14:paraId="539AC585">
      <w:pPr>
        <w:pBdr>
          <w:top w:val="none" w:color="000000" w:sz="4" w:space="0"/>
          <w:left w:val="none" w:color="000000" w:sz="4" w:space="0"/>
          <w:bottom w:val="none" w:color="000000" w:sz="4" w:space="0"/>
          <w:right w:val="none" w:color="000000" w:sz="4" w:space="0"/>
        </w:pBdr>
        <w:spacing w:line="298" w:lineRule="atLeast"/>
        <w:ind w:right="0" w:firstLine="360" w:left="0"/>
        <w:rPr>
          <w:sz w:val="24"/>
          <w:szCs w:val="24"/>
        </w:rPr>
      </w:pPr>
      <w:r>
        <w:rPr>
          <w:b/>
          <w:bCs/>
          <w:lang w:val="pt-BR"/>
        </w:rPr>
      </w:r>
      <w:r>
        <w:rPr>
          <w:color w:val="000000"/>
        </w:rPr>
        <w:t xml:space="preserve">T</w:t>
      </w:r>
      <w:r>
        <w:rPr>
          <w:color w:val="000000"/>
          <w:sz w:val="24"/>
          <w:szCs w:val="24"/>
        </w:rPr>
        <w:t xml:space="preserve">heo GCN số AA 05492720, thửa đất có 250,0m thuộc HLGT</w:t>
      </w:r>
      <w:r>
        <w:rPr>
          <w:rFonts w:ascii="Times New Roman" w:hAnsi="Times New Roman" w:eastAsia="Times New Roman" w:cs="Times New Roman"/>
          <w:color w:val="000000"/>
          <w:spacing w:val="2"/>
          <w:sz w:val="24"/>
          <w:szCs w:val="24"/>
        </w:rPr>
        <w:t xml:space="preserve">. Theo đề nghị của Ngân hàng/Khách hàng, tổ thẩm định xá</w:t>
      </w:r>
      <w:r>
        <w:rPr>
          <w:rFonts w:ascii="Times New Roman" w:hAnsi="Times New Roman" w:eastAsia="Times New Roman" w:cs="Times New Roman"/>
          <w:color w:val="000000"/>
          <w:spacing w:val="2"/>
          <w:sz w:val="24"/>
          <w:szCs w:val="24"/>
        </w:rPr>
        <w:t xml:space="preserve">c định giá trị tài sản theo thông tin quy hoạch này. Đối với diện tích nằm ngoài quy hoạch tổ thẩm định đánh giá theo giá trị thị trường, đối với phần nằm trong quy hoạch tổ thẩm định đánh giá theo đơn giá do UBND tỉnh/thành phố ban hành từng thời kỳ, giá </w:t>
      </w:r>
      <w:r>
        <w:rPr>
          <w:rFonts w:ascii="Times New Roman" w:hAnsi="Times New Roman" w:eastAsia="Times New Roman" w:cs="Times New Roman"/>
          <w:color w:val="000000"/>
          <w:spacing w:val="2"/>
          <w:sz w:val="24"/>
          <w:szCs w:val="24"/>
        </w:rPr>
        <w:t xml:space="preserve">trị đền bù thực tế còn phụ thuộc vào thỏa thuận các bên tại thời điểm Nhà nước giải phóng mặt bằng thực hiện quy hoạch. Đề nghị đơn vị sử dụng kết quả lưu ý.</w:t>
      </w:r>
      <w:r>
        <w:rPr>
          <w:sz w:val="24"/>
          <w:szCs w:val="24"/>
        </w:rPr>
      </w:r>
      <w:r>
        <w:rPr>
          <w:sz w:val="24"/>
          <w:szCs w:val="24"/>
        </w:rPr>
      </w:r>
    </w:p>
    <w:p w14:paraId="30ADD51A">
      <w:pPr>
        <w:pBdr/>
        <w:spacing w:after="120" w:before="120" w:line="276" w:lineRule="auto"/>
        <w:ind w:right="0" w:firstLine="360" w:left="0"/>
        <w:jc w:val="both"/>
        <w:rPr>
          <w:b/>
          <w:bCs/>
          <w:sz w:val="24"/>
          <w:szCs w:val="24"/>
        </w:rPr>
      </w:pPr>
      <w:r>
        <w:rPr>
          <w:rFonts w:ascii="Times New Roman" w:hAnsi="Times New Roman" w:eastAsia="Times New Roman" w:cs="Times New Roman"/>
          <w:color w:val="000000"/>
          <w:sz w:val="24"/>
          <w:szCs w:val="24"/>
        </w:rPr>
        <w:t xml:space="preserve">Tại trang sơ đồ thửa đất không thể hiện vị trí đất ở và vị trí đất trồng cây lâu năm, ngoài ra tổ thẩm định không được cung cấp bất kỳ hồ sơ khác liên quan đên thửa đất thẩm định giá, do đó tổ thẩm định giả định phần diện tích đất ở 100m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nằm ngoài hành la</w:t>
      </w:r>
      <w:r>
        <w:rPr>
          <w:rFonts w:ascii="Times New Roman" w:hAnsi="Times New Roman" w:eastAsia="Times New Roman" w:cs="Times New Roman"/>
          <w:color w:val="000000"/>
          <w:sz w:val="24"/>
          <w:szCs w:val="24"/>
        </w:rPr>
        <w:t xml:space="preserve">ng giao thông đường, theo đó toàn bộ 250,0m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 đất thuộc hành lang giao thông được giả định là đất trồng cây lâu năm</w:t>
      </w:r>
      <w:r>
        <w:rPr>
          <w:sz w:val="24"/>
          <w:szCs w:val="24"/>
        </w:rPr>
      </w:r>
      <w:r>
        <w:rPr>
          <w:b/>
          <w:bCs/>
          <w:sz w:val="24"/>
          <w:szCs w:val="24"/>
        </w:rPr>
      </w:r>
    </w:p>
    <w:p w14:paraId="30D65849" w14:textId="38CC99F5">
      <w:pPr>
        <w:pStyle w:val="1026"/>
        <w:pBdr/>
        <w:spacing w:after="120" w:before="120" w:line="276" w:lineRule="auto"/>
        <w:ind w:firstLine="357" w:left="0"/>
        <w:jc w:val="both"/>
        <w:rPr>
          <w:bCs/>
          <w:sz w:val="24"/>
          <w:szCs w:val="24"/>
        </w:rPr>
      </w:pPr>
      <w:r>
        <w:rPr>
          <w:sz w:val="24"/>
          <w:szCs w:val="24"/>
          <w:lang w:val="nl-NL"/>
        </w:rPr>
        <w:t xml:space="preserve">Qua </w:t>
      </w:r>
      <w:r>
        <w:rPr>
          <w:sz w:val="24"/>
          <w:szCs w:val="24"/>
          <w:lang w:val="nl-NL"/>
        </w:rPr>
        <w:t xml:space="preserve">khảo</w:t>
      </w:r>
      <w:r>
        <w:rPr>
          <w:sz w:val="24"/>
          <w:szCs w:val="24"/>
          <w:lang w:val="nl-NL"/>
        </w:rPr>
        <w:t xml:space="preserve"> </w:t>
      </w:r>
      <w:r>
        <w:rPr>
          <w:sz w:val="24"/>
          <w:szCs w:val="24"/>
          <w:lang w:val="nl-NL"/>
        </w:rPr>
        <w:t xml:space="preserve">sát</w:t>
      </w:r>
      <w:r>
        <w:rPr>
          <w:sz w:val="24"/>
          <w:szCs w:val="24"/>
          <w:lang w:val="nl-NL"/>
        </w:rPr>
        <w:t xml:space="preserve"> </w:t>
      </w:r>
      <w:r>
        <w:rPr>
          <w:sz w:val="24"/>
          <w:szCs w:val="24"/>
          <w:lang w:val="nl-NL"/>
        </w:rPr>
        <w:t xml:space="preserve">thị</w:t>
      </w:r>
      <w:r>
        <w:rPr>
          <w:sz w:val="24"/>
          <w:szCs w:val="24"/>
          <w:lang w:val="nl-NL"/>
        </w:rPr>
        <w:t xml:space="preserve"> </w:t>
      </w:r>
      <w:r>
        <w:rPr>
          <w:sz w:val="24"/>
          <w:szCs w:val="24"/>
          <w:lang w:val="nl-NL"/>
        </w:rPr>
        <w:t xml:space="preserve">trường</w:t>
      </w:r>
      <w:r>
        <w:rPr>
          <w:sz w:val="24"/>
          <w:szCs w:val="24"/>
          <w:lang w:val="nl-NL"/>
        </w:rPr>
        <w:t xml:space="preserve">, </w:t>
      </w:r>
      <w:r>
        <w:rPr>
          <w:sz w:val="24"/>
          <w:szCs w:val="24"/>
          <w:lang w:val="nl-NL"/>
        </w:rPr>
        <w:t xml:space="preserve">T</w:t>
      </w:r>
      <w:r>
        <w:rPr>
          <w:sz w:val="24"/>
          <w:szCs w:val="24"/>
          <w:lang w:val="nl-NL"/>
        </w:rPr>
        <w:t xml:space="preserve">ổ</w:t>
      </w:r>
      <w:r>
        <w:rPr>
          <w:sz w:val="24"/>
          <w:szCs w:val="24"/>
          <w:lang w:val="nl-NL"/>
        </w:rPr>
        <w:t xml:space="preserve"> </w:t>
      </w:r>
      <w:r>
        <w:rPr>
          <w:sz w:val="24"/>
          <w:szCs w:val="24"/>
          <w:lang w:val="nl-NL"/>
        </w:rPr>
        <w:t xml:space="preserve">thẩm</w:t>
      </w:r>
      <w:r>
        <w:rPr>
          <w:sz w:val="24"/>
          <w:szCs w:val="24"/>
          <w:lang w:val="nl-NL"/>
        </w:rPr>
        <w:t xml:space="preserve"> </w:t>
      </w:r>
      <w:r>
        <w:rPr>
          <w:sz w:val="24"/>
          <w:szCs w:val="24"/>
          <w:lang w:val="nl-NL"/>
        </w:rPr>
        <w:t xml:space="preserve">định</w:t>
      </w:r>
      <w:r>
        <w:rPr>
          <w:sz w:val="24"/>
          <w:szCs w:val="24"/>
          <w:lang w:val="nl-NL"/>
        </w:rPr>
        <w:t xml:space="preserve"> </w:t>
      </w:r>
      <w:r>
        <w:rPr>
          <w:sz w:val="24"/>
          <w:szCs w:val="24"/>
          <w:lang w:val="nl-NL"/>
        </w:rPr>
        <w:t xml:space="preserve">thu</w:t>
      </w:r>
      <w:r>
        <w:rPr>
          <w:sz w:val="24"/>
          <w:szCs w:val="24"/>
          <w:lang w:val="nl-NL"/>
        </w:rPr>
        <w:t xml:space="preserve"> </w:t>
      </w:r>
      <w:r>
        <w:rPr>
          <w:sz w:val="24"/>
          <w:szCs w:val="24"/>
          <w:lang w:val="nl-NL"/>
        </w:rPr>
        <w:t xml:space="preserve">thập</w:t>
      </w:r>
      <w:r>
        <w:rPr>
          <w:sz w:val="24"/>
          <w:szCs w:val="24"/>
          <w:lang w:val="nl-NL"/>
        </w:rPr>
        <w:t xml:space="preserve"> </w:t>
      </w:r>
      <w:r>
        <w:rPr>
          <w:sz w:val="24"/>
          <w:szCs w:val="24"/>
          <w:lang w:val="nl-NL"/>
        </w:rPr>
        <w:t xml:space="preserve">được</w:t>
      </w:r>
      <w:r>
        <w:rPr>
          <w:sz w:val="24"/>
          <w:szCs w:val="24"/>
          <w:lang w:val="nl-NL"/>
        </w:rPr>
        <w:t xml:space="preserve"> 03 </w:t>
      </w:r>
      <w:r>
        <w:rPr>
          <w:sz w:val="24"/>
          <w:szCs w:val="24"/>
          <w:lang w:val="nl-NL"/>
        </w:rPr>
        <w:t xml:space="preserve">giao</w:t>
      </w:r>
      <w:r>
        <w:rPr>
          <w:sz w:val="24"/>
          <w:szCs w:val="24"/>
          <w:lang w:val="nl-NL"/>
        </w:rPr>
        <w:t xml:space="preserve"> </w:t>
      </w:r>
      <w:r>
        <w:rPr>
          <w:sz w:val="24"/>
          <w:szCs w:val="24"/>
          <w:lang w:val="nl-NL"/>
        </w:rPr>
        <w:t xml:space="preserve">dịch</w:t>
      </w:r>
      <w:r>
        <w:rPr>
          <w:sz w:val="24"/>
          <w:szCs w:val="24"/>
          <w:lang w:val="nl-NL"/>
        </w:rPr>
        <w:t xml:space="preserve"> </w:t>
      </w:r>
      <w:r>
        <w:rPr>
          <w:sz w:val="24"/>
          <w:szCs w:val="24"/>
          <w:lang w:val="nl-NL"/>
        </w:rPr>
        <w:t xml:space="preserve">được</w:t>
      </w:r>
      <w:r>
        <w:rPr>
          <w:sz w:val="24"/>
          <w:szCs w:val="24"/>
          <w:lang w:val="nl-NL"/>
        </w:rPr>
        <w:t xml:space="preserve"> </w:t>
      </w:r>
      <w:r>
        <w:rPr>
          <w:sz w:val="24"/>
          <w:szCs w:val="24"/>
          <w:lang w:val="nl-NL"/>
        </w:rPr>
        <w:t xml:space="preserve">cho</w:t>
      </w:r>
      <w:r>
        <w:rPr>
          <w:sz w:val="24"/>
          <w:szCs w:val="24"/>
          <w:lang w:val="nl-NL"/>
        </w:rPr>
        <w:t xml:space="preserve"> </w:t>
      </w:r>
      <w:r>
        <w:rPr>
          <w:sz w:val="24"/>
          <w:szCs w:val="24"/>
          <w:lang w:val="nl-NL"/>
        </w:rPr>
        <w:t xml:space="preserve">là</w:t>
      </w:r>
      <w:r>
        <w:rPr>
          <w:sz w:val="24"/>
          <w:szCs w:val="24"/>
          <w:lang w:val="nl-NL"/>
        </w:rPr>
        <w:t xml:space="preserve"> </w:t>
      </w:r>
      <w:r>
        <w:rPr>
          <w:sz w:val="24"/>
          <w:szCs w:val="24"/>
          <w:lang w:val="nl-NL"/>
        </w:rPr>
        <w:t xml:space="preserve">tương</w:t>
      </w:r>
      <w:r>
        <w:rPr>
          <w:sz w:val="24"/>
          <w:szCs w:val="24"/>
          <w:lang w:val="nl-NL"/>
        </w:rPr>
        <w:t xml:space="preserve"> </w:t>
      </w:r>
      <w:r>
        <w:rPr>
          <w:sz w:val="24"/>
          <w:szCs w:val="24"/>
          <w:lang w:val="nl-NL"/>
        </w:rPr>
        <w:t xml:space="preserve">đồng</w:t>
      </w:r>
      <w:r>
        <w:rPr>
          <w:sz w:val="24"/>
          <w:szCs w:val="24"/>
          <w:lang w:val="nl-NL"/>
        </w:rPr>
        <w:t xml:space="preserve"> </w:t>
      </w:r>
      <w:r>
        <w:rPr>
          <w:sz w:val="24"/>
          <w:szCs w:val="24"/>
          <w:lang w:val="nl-NL"/>
        </w:rPr>
        <w:t xml:space="preserve">về</w:t>
      </w:r>
      <w:r>
        <w:rPr>
          <w:sz w:val="24"/>
          <w:szCs w:val="24"/>
          <w:lang w:val="nl-NL"/>
        </w:rPr>
        <w:t xml:space="preserve"> </w:t>
      </w:r>
      <w:r>
        <w:rPr>
          <w:sz w:val="24"/>
          <w:szCs w:val="24"/>
          <w:lang w:val="nl-NL"/>
        </w:rPr>
        <w:t xml:space="preserve">đặc</w:t>
      </w:r>
      <w:r>
        <w:rPr>
          <w:sz w:val="24"/>
          <w:szCs w:val="24"/>
          <w:lang w:val="nl-NL"/>
        </w:rPr>
        <w:t xml:space="preserve"> </w:t>
      </w:r>
      <w:r>
        <w:rPr>
          <w:sz w:val="24"/>
          <w:szCs w:val="24"/>
          <w:lang w:val="nl-NL"/>
        </w:rPr>
        <w:t xml:space="preserve">điểm</w:t>
      </w:r>
      <w:r>
        <w:rPr>
          <w:sz w:val="24"/>
          <w:szCs w:val="24"/>
          <w:lang w:val="nl-NL"/>
        </w:rPr>
        <w:t xml:space="preserve"> </w:t>
      </w:r>
      <w:r>
        <w:rPr>
          <w:sz w:val="24"/>
          <w:szCs w:val="24"/>
          <w:lang w:val="nl-NL"/>
        </w:rPr>
        <w:t xml:space="preserve">vị</w:t>
      </w:r>
      <w:r>
        <w:rPr>
          <w:sz w:val="24"/>
          <w:szCs w:val="24"/>
          <w:lang w:val="nl-NL"/>
        </w:rPr>
        <w:t xml:space="preserve"> trí, </w:t>
      </w:r>
      <w:r>
        <w:rPr>
          <w:sz w:val="24"/>
          <w:szCs w:val="24"/>
          <w:lang w:val="nl-NL"/>
        </w:rPr>
        <w:t xml:space="preserve">giao</w:t>
      </w:r>
      <w:r>
        <w:rPr>
          <w:sz w:val="24"/>
          <w:szCs w:val="24"/>
          <w:lang w:val="nl-NL"/>
        </w:rPr>
        <w:t xml:space="preserve"> </w:t>
      </w:r>
      <w:r>
        <w:rPr>
          <w:sz w:val="24"/>
          <w:szCs w:val="24"/>
          <w:lang w:val="nl-NL"/>
        </w:rPr>
        <w:t xml:space="preserve">thông</w:t>
      </w:r>
      <w:r>
        <w:rPr>
          <w:sz w:val="24"/>
          <w:szCs w:val="24"/>
          <w:lang w:val="nl-NL"/>
        </w:rPr>
        <w:t xml:space="preserve">, </w:t>
      </w:r>
      <w:r>
        <w:rPr>
          <w:sz w:val="24"/>
          <w:szCs w:val="24"/>
          <w:lang w:val="nl-NL"/>
        </w:rPr>
        <w:t xml:space="preserve">kích</w:t>
      </w:r>
      <w:r>
        <w:rPr>
          <w:sz w:val="24"/>
          <w:szCs w:val="24"/>
          <w:lang w:val="nl-NL"/>
        </w:rPr>
        <w:t xml:space="preserve"> </w:t>
      </w:r>
      <w:r>
        <w:rPr>
          <w:sz w:val="24"/>
          <w:szCs w:val="24"/>
          <w:lang w:val="nl-NL"/>
        </w:rPr>
        <w:t xml:space="preserve">thước</w:t>
      </w:r>
      <w:r>
        <w:rPr>
          <w:sz w:val="24"/>
          <w:szCs w:val="24"/>
          <w:lang w:val="nl-NL"/>
        </w:rPr>
        <w:t xml:space="preserve">, </w:t>
      </w:r>
      <w:r>
        <w:rPr>
          <w:sz w:val="24"/>
          <w:szCs w:val="24"/>
          <w:lang w:val="nl-NL"/>
        </w:rPr>
        <w:t xml:space="preserve">mặt</w:t>
      </w:r>
      <w:r>
        <w:rPr>
          <w:sz w:val="24"/>
          <w:szCs w:val="24"/>
          <w:lang w:val="nl-NL"/>
        </w:rPr>
        <w:t xml:space="preserve"> </w:t>
      </w:r>
      <w:r>
        <w:rPr>
          <w:sz w:val="24"/>
          <w:szCs w:val="24"/>
          <w:lang w:val="nl-NL"/>
        </w:rPr>
        <w:t xml:space="preserve">tiền</w:t>
      </w:r>
      <w:r>
        <w:rPr>
          <w:sz w:val="24"/>
          <w:szCs w:val="24"/>
          <w:lang w:val="nl-NL"/>
        </w:rPr>
        <w:t xml:space="preserve">, </w:t>
      </w:r>
      <w:r>
        <w:rPr>
          <w:sz w:val="24"/>
          <w:szCs w:val="24"/>
          <w:lang w:val="nl-NL"/>
        </w:rPr>
        <w:t xml:space="preserve">điều</w:t>
      </w:r>
      <w:r>
        <w:rPr>
          <w:sz w:val="24"/>
          <w:szCs w:val="24"/>
          <w:lang w:val="nl-NL"/>
        </w:rPr>
        <w:t xml:space="preserve"> </w:t>
      </w:r>
      <w:r>
        <w:rPr>
          <w:sz w:val="24"/>
          <w:szCs w:val="24"/>
          <w:lang w:val="nl-NL"/>
        </w:rPr>
        <w:t xml:space="preserve">kiện</w:t>
      </w:r>
      <w:r>
        <w:rPr>
          <w:sz w:val="24"/>
          <w:szCs w:val="24"/>
          <w:lang w:val="nl-NL"/>
        </w:rPr>
        <w:t xml:space="preserve"> </w:t>
      </w:r>
      <w:r>
        <w:rPr>
          <w:sz w:val="24"/>
          <w:szCs w:val="24"/>
          <w:lang w:val="nl-NL"/>
        </w:rPr>
        <w:t xml:space="preserve">hạ</w:t>
      </w:r>
      <w:r>
        <w:rPr>
          <w:sz w:val="24"/>
          <w:szCs w:val="24"/>
          <w:lang w:val="nl-NL"/>
        </w:rPr>
        <w:t xml:space="preserve"> </w:t>
      </w:r>
      <w:r>
        <w:rPr>
          <w:sz w:val="24"/>
          <w:szCs w:val="24"/>
          <w:lang w:val="nl-NL"/>
        </w:rPr>
        <w:t xml:space="preserve">tầng</w:t>
      </w:r>
      <w:r>
        <w:rPr>
          <w:sz w:val="24"/>
          <w:szCs w:val="24"/>
          <w:lang w:val="nl-NL"/>
        </w:rPr>
        <w:t xml:space="preserve"> </w:t>
      </w:r>
      <w:r>
        <w:rPr>
          <w:sz w:val="24"/>
          <w:szCs w:val="24"/>
          <w:lang w:val="nl-NL"/>
        </w:rPr>
        <w:t xml:space="preserve">và</w:t>
      </w:r>
      <w:r>
        <w:rPr>
          <w:sz w:val="24"/>
          <w:szCs w:val="24"/>
          <w:lang w:val="nl-NL"/>
        </w:rPr>
        <w:t xml:space="preserve"> </w:t>
      </w:r>
      <w:r>
        <w:rPr>
          <w:sz w:val="24"/>
          <w:szCs w:val="24"/>
          <w:lang w:val="nl-NL"/>
        </w:rPr>
        <w:t xml:space="preserve">điều</w:t>
      </w:r>
      <w:r>
        <w:rPr>
          <w:sz w:val="24"/>
          <w:szCs w:val="24"/>
          <w:lang w:val="nl-NL"/>
        </w:rPr>
        <w:t xml:space="preserve"> </w:t>
      </w:r>
      <w:r>
        <w:rPr>
          <w:sz w:val="24"/>
          <w:szCs w:val="24"/>
          <w:lang w:val="nl-NL"/>
        </w:rPr>
        <w:t xml:space="preserve">kiện</w:t>
      </w:r>
      <w:r>
        <w:rPr>
          <w:sz w:val="24"/>
          <w:szCs w:val="24"/>
          <w:lang w:val="nl-NL"/>
        </w:rPr>
        <w:t xml:space="preserve"> </w:t>
      </w:r>
      <w:r>
        <w:rPr>
          <w:sz w:val="24"/>
          <w:szCs w:val="24"/>
          <w:lang w:val="nl-NL"/>
        </w:rPr>
        <w:t xml:space="preserve">xã</w:t>
      </w:r>
      <w:r>
        <w:rPr>
          <w:sz w:val="24"/>
          <w:szCs w:val="24"/>
          <w:lang w:val="nl-NL"/>
        </w:rPr>
        <w:t xml:space="preserve"> </w:t>
      </w:r>
      <w:r>
        <w:rPr>
          <w:sz w:val="24"/>
          <w:szCs w:val="24"/>
          <w:lang w:val="nl-NL"/>
        </w:rPr>
        <w:t xml:space="preserve">hội</w:t>
      </w:r>
      <w:r>
        <w:rPr>
          <w:sz w:val="24"/>
          <w:szCs w:val="24"/>
          <w:lang w:val="nl-NL"/>
        </w:rPr>
        <w:t xml:space="preserve">,…</w:t>
      </w:r>
      <w:r>
        <w:rPr>
          <w:sz w:val="24"/>
          <w:szCs w:val="24"/>
          <w:lang w:val="nl-NL"/>
        </w:rPr>
        <w:t xml:space="preserve"> </w:t>
      </w:r>
      <w:r>
        <w:rPr>
          <w:sz w:val="24"/>
          <w:szCs w:val="24"/>
          <w:lang w:val="nl-NL"/>
        </w:rPr>
        <w:t xml:space="preserve">với</w:t>
      </w:r>
      <w:r>
        <w:rPr>
          <w:sz w:val="24"/>
          <w:szCs w:val="24"/>
          <w:lang w:val="nl-NL"/>
        </w:rPr>
        <w:t xml:space="preserve"> </w:t>
      </w:r>
      <w:r>
        <w:rPr>
          <w:sz w:val="24"/>
          <w:szCs w:val="24"/>
          <w:lang w:val="nl-NL"/>
        </w:rPr>
        <w:t xml:space="preserve">tài</w:t>
      </w:r>
      <w:r>
        <w:rPr>
          <w:sz w:val="24"/>
          <w:szCs w:val="24"/>
          <w:lang w:val="nl-NL"/>
        </w:rPr>
        <w:t xml:space="preserve"> </w:t>
      </w:r>
      <w:r>
        <w:rPr>
          <w:sz w:val="24"/>
          <w:szCs w:val="24"/>
          <w:lang w:val="nl-NL"/>
        </w:rPr>
        <w:t xml:space="preserve">sản</w:t>
      </w:r>
      <w:r>
        <w:rPr>
          <w:sz w:val="24"/>
          <w:szCs w:val="24"/>
          <w:lang w:val="nl-NL"/>
        </w:rPr>
        <w:t xml:space="preserve"> </w:t>
      </w:r>
      <w:r>
        <w:rPr>
          <w:sz w:val="24"/>
          <w:szCs w:val="24"/>
          <w:lang w:val="nl-NL"/>
        </w:rPr>
        <w:t xml:space="preserve">thẩm</w:t>
      </w:r>
      <w:r>
        <w:rPr>
          <w:sz w:val="24"/>
          <w:szCs w:val="24"/>
          <w:lang w:val="nl-NL"/>
        </w:rPr>
        <w:t xml:space="preserve"> </w:t>
      </w:r>
      <w:r>
        <w:rPr>
          <w:sz w:val="24"/>
          <w:szCs w:val="24"/>
          <w:lang w:val="nl-NL"/>
        </w:rPr>
        <w:t xml:space="preserve">định</w:t>
      </w:r>
      <w:r>
        <w:rPr>
          <w:sz w:val="24"/>
          <w:szCs w:val="24"/>
          <w:lang w:val="nl-NL"/>
        </w:rPr>
        <w:t xml:space="preserve"> </w:t>
      </w:r>
      <w:r>
        <w:rPr>
          <w:sz w:val="24"/>
          <w:szCs w:val="24"/>
          <w:lang w:val="nl-NL"/>
        </w:rPr>
        <w:t xml:space="preserve">giá</w:t>
      </w:r>
      <w:r>
        <w:rPr>
          <w:sz w:val="24"/>
          <w:szCs w:val="24"/>
          <w:lang w:val="nl-NL"/>
        </w:rPr>
        <w:t xml:space="preserve">, </w:t>
      </w:r>
      <w:r>
        <w:rPr>
          <w:sz w:val="24"/>
          <w:szCs w:val="24"/>
          <w:lang w:val="nl-NL"/>
        </w:rPr>
        <w:t xml:space="preserve">cụ</w:t>
      </w:r>
      <w:r>
        <w:rPr>
          <w:sz w:val="24"/>
          <w:szCs w:val="24"/>
          <w:lang w:val="nl-NL"/>
        </w:rPr>
        <w:t xml:space="preserve"> </w:t>
      </w:r>
      <w:r>
        <w:rPr>
          <w:sz w:val="24"/>
          <w:szCs w:val="24"/>
          <w:lang w:val="nl-NL"/>
        </w:rPr>
        <w:t xml:space="preserve">thể</w:t>
      </w:r>
      <w:r>
        <w:rPr>
          <w:sz w:val="24"/>
          <w:szCs w:val="24"/>
          <w:lang w:val="nl-NL"/>
        </w:rPr>
        <w:t xml:space="preserve"> </w:t>
      </w:r>
      <w:r>
        <w:rPr>
          <w:sz w:val="24"/>
          <w:szCs w:val="24"/>
          <w:lang w:val="nl-NL"/>
        </w:rPr>
        <w:t xml:space="preserve">như</w:t>
      </w:r>
      <w:r>
        <w:rPr>
          <w:sz w:val="24"/>
          <w:szCs w:val="24"/>
          <w:lang w:val="nl-NL"/>
        </w:rPr>
        <w:t xml:space="preserve"> </w:t>
      </w:r>
      <w:r>
        <w:rPr>
          <w:sz w:val="24"/>
          <w:szCs w:val="24"/>
          <w:lang w:val="nl-NL"/>
        </w:rPr>
        <w:t xml:space="preserve">sau</w:t>
      </w:r>
      <w:r>
        <w:rPr>
          <w:sz w:val="24"/>
          <w:szCs w:val="24"/>
          <w:lang w:val="nl-NL"/>
        </w:rPr>
        <w:t xml:space="preserve">:</w:t>
      </w:r>
      <w:r>
        <w:rPr>
          <w:bCs/>
          <w:sz w:val="24"/>
          <w:szCs w:val="24"/>
          <w:lang w:val="pt-BR"/>
        </w:rPr>
      </w:r>
      <w:r>
        <w:rPr>
          <w:bCs/>
          <w:sz w:val="24"/>
          <w:szCs w:val="24"/>
        </w:rPr>
      </w:r>
    </w:p>
    <w:p w14:paraId="2A05C283" w14:textId="4A078C0D">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Tiên Phong, Huyện Phổ Yên, Tỉnh Thái Nguyên (nay là phường Vạn Xuân, tỉnh Thái Nguyên)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Tiên Phong, Huyện Phổ Yên, Tỉnh Thái Nguyên </w:t>
            </w:r>
            <w:r>
              <w:rPr>
                <w:color w:val="000000" w:themeColor="text1"/>
                <w:sz w:val="22"/>
                <w:szCs w:val="22"/>
              </w:rPr>
              <w:t xml:space="preserve">(nay là phường Vạn Xuân, tỉnh Thái Nguyên)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Đồng Tiến, Huyện Phổ Yên, Tỉnh Thái Nguyên </w:t>
            </w:r>
            <w:r>
              <w:rPr>
                <w:color w:val="000000" w:themeColor="text1"/>
                <w:sz w:val="22"/>
                <w:szCs w:val="22"/>
              </w:rPr>
              <w:t xml:space="preserve">(nay là phường Vạn Xuân, tỉnh Thái Nguyên)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Trung Thành, Huyện Phổ Yên, Tỉnh Thái Nguyên </w:t>
            </w:r>
            <w:r>
              <w:rPr>
                <w:color w:val="000000" w:themeColor="text1"/>
                <w:sz w:val="22"/>
                <w:szCs w:val="22"/>
              </w:rPr>
              <w:t xml:space="preserve">(nay là phường Vạn Xuân, tỉnh Thái Nguyên)</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https://www.facebook.com/groups/472072127420122/posts/1518184139475577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https://www.facebook.com/share/p/1aoCsWMhYv/</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0828418688</w:t>
            </w:r>
            <w:r>
              <w:rPr>
                <w:sz w:val="22"/>
                <w:szCs w:val="22"/>
              </w:rPr>
              <w:t xml:space="preserve"> </w:t>
            </w:r>
            <w:r>
              <w:rPr>
                <w:sz w:val="22"/>
                <w:szCs w:val="22"/>
              </w:rPr>
              <w:br/>
              <w:t xml:space="preserve">(</w:t>
            </w:r>
            <w:r>
              <w:rPr>
                <w:sz w:val="22"/>
                <w:szCs w:val="22"/>
              </w:rPr>
              <w:t xml:space="preserve">Paris 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0961050829</w:t>
            </w:r>
            <w:r>
              <w:rPr>
                <w:sz w:val="22"/>
                <w:szCs w:val="22"/>
              </w:rPr>
              <w:br/>
            </w:r>
            <w:r>
              <w:rPr>
                <w:sz w:val="22"/>
                <w:szCs w:val="22"/>
              </w:rPr>
              <w:t xml:space="preserve">(</w:t>
            </w:r>
            <w:r>
              <w:rPr>
                <w:sz w:val="22"/>
                <w:szCs w:val="22"/>
              </w:rPr>
              <w:t xml:space="preserve">Hoàng 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0971591223</w:t>
            </w:r>
            <w:r>
              <w:rPr>
                <w:sz w:val="22"/>
                <w:szCs w:val="22"/>
              </w:rPr>
              <w:br/>
            </w:r>
            <w:r>
              <w:rPr>
                <w:sz w:val="22"/>
                <w:szCs w:val="22"/>
              </w:rPr>
              <w:t xml:space="preserve">(</w:t>
            </w:r>
            <w:r>
              <w:rPr>
                <w:sz w:val="22"/>
                <w:szCs w:val="22"/>
              </w:rPr>
              <w:t xml:space="preserve">Nguyễn Thành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Tháng 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FA39C0">
            <w:pPr>
              <w:pBdr/>
              <w:spacing/>
              <w:ind/>
              <w:jc w:val="both"/>
              <w:rPr>
                <w:color w:val="000000"/>
                <w:sz w:val="22"/>
                <w:szCs w:val="22"/>
              </w:rPr>
            </w:pPr>
            <w:r>
              <w:rPr>
                <w:color w:val="000000" w:themeColor="text1"/>
                <w:sz w:val="22"/>
                <w:szCs w:val="22"/>
              </w:rPr>
              <w:t xml:space="preserve">Tài sản tiếp giáp đường 38 phường Vạn Xuân, tỉnh Thái Nguyên</w:t>
            </w:r>
            <w:r>
              <w:rPr>
                <w:color w:val="000000"/>
                <w:sz w:val="22"/>
                <w:szCs w:val="22"/>
              </w:rPr>
            </w:r>
            <w:r>
              <w:rPr>
                <w:color w:val="000000"/>
                <w:sz w:val="22"/>
                <w:szCs w:val="22"/>
              </w:rPr>
            </w:r>
          </w:p>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794E9">
            <w:pPr>
              <w:pBdr/>
              <w:spacing/>
              <w:ind/>
              <w:jc w:val="center"/>
              <w:rPr>
                <w:color w:val="000000"/>
                <w:sz w:val="22"/>
                <w:szCs w:val="22"/>
              </w:rPr>
            </w:pPr>
            <w:r>
              <w:rPr>
                <w:color w:val="000000" w:themeColor="text1"/>
                <w:sz w:val="22"/>
                <w:szCs w:val="22"/>
                <w:highlight w:val="none"/>
              </w:rPr>
            </w:r>
            <w:r>
              <w:rPr>
                <w:color w:val="000000" w:themeColor="text1"/>
                <w:sz w:val="22"/>
                <w:szCs w:val="22"/>
                <w:highlight w:val="none"/>
              </w:rPr>
            </w:r>
            <w:r>
              <w:rPr>
                <w:color w:val="000000"/>
                <w:sz w:val="22"/>
                <w:szCs w:val="22"/>
              </w:rPr>
            </w:r>
          </w:p>
          <w:p w14:paraId="66354EA3" w14:textId="401122BA">
            <w:pPr>
              <w:pBdr/>
              <w:spacing/>
              <w:ind/>
              <w:jc w:val="center"/>
              <w:rPr>
                <w:color w:val="000000" w:themeColor="text1"/>
                <w:sz w:val="22"/>
                <w:szCs w:val="22"/>
                <w:highlight w:val="none"/>
              </w:rPr>
            </w:pPr>
            <w:r>
              <w:rPr>
                <w:color w:val="000000" w:themeColor="text1"/>
                <w:sz w:val="22"/>
                <w:szCs w:val="22"/>
              </w:rPr>
              <w:t xml:space="preserve"> Tài sản nằm tại đường liên thôn phường Tiên Phong, thành phố Phổ Yên, tỉnh Thái Nguyên</w:t>
            </w:r>
            <w:r>
              <w:rPr>
                <w:color w:val="000000"/>
                <w:sz w:val="22"/>
                <w:szCs w:val="22"/>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Đồng Tiến, Huyện Phổ Yên, Tỉnh Thái Nguyên, tài sản cách đường Lý Nam Đế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tiếp giáp đường Triệu Quang Phục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w:t>
              <w:br/>
              <w:t xml:space="preserve">(QH: 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2.494.000.000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2.115.000.000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2.494.000.000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1.215.000.000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2.115.000.000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18.951.368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14.294.118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17.625.000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2.494.000.000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1.215.000.000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2.115.000.000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18.951.368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14.294.118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17.625.000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19.832.827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14.294.118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447697">
            <w:pPr>
              <w:pBdr/>
              <w:spacing/>
              <w:ind/>
              <w:jc w:val="both"/>
              <w:rPr>
                <w:color w:val="000000"/>
                <w:sz w:val="22"/>
                <w:szCs w:val="22"/>
              </w:rPr>
            </w:pPr>
            <w:r>
              <w:rPr>
                <w:color w:val="000000" w:themeColor="text1"/>
                <w:sz w:val="22"/>
                <w:szCs w:val="22"/>
              </w:rPr>
              <w:t xml:space="preserve">Tài sản tiếp giáp đường 38 phường Vạn Xuân, tỉnh Thái Nguyên</w:t>
            </w:r>
            <w:r>
              <w:rPr>
                <w:color w:val="000000"/>
                <w:sz w:val="22"/>
                <w:szCs w:val="22"/>
              </w:rPr>
            </w:r>
            <w:r>
              <w:rPr>
                <w:color w:val="000000"/>
                <w:sz w:val="22"/>
                <w:szCs w:val="22"/>
              </w:rPr>
            </w:r>
          </w:p>
          <w:p w14:paraId="661C0E3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0A8B5D">
            <w:pPr>
              <w:pBdr/>
              <w:spacing/>
              <w:ind/>
              <w:jc w:val="center"/>
              <w:rPr>
                <w:color w:val="000000" w:themeColor="text1"/>
                <w:sz w:val="22"/>
                <w:szCs w:val="22"/>
                <w:highlight w:val="none"/>
              </w:rPr>
            </w:pPr>
            <w:r>
              <w:rPr>
                <w:color w:val="000000" w:themeColor="text1"/>
                <w:sz w:val="22"/>
                <w:szCs w:val="22"/>
              </w:rPr>
              <w:t xml:space="preserve">Tài sản nằm tại đường liên thôn phường Tiên Phong, thành phố Phổ Yên, tỉnh Thái Nguyên</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14:paraId="5C80B1CC">
            <w:pPr>
              <w:pBdr/>
              <w:spacing/>
              <w:ind/>
              <w:jc w:val="center"/>
              <w:rPr>
                <w:color w:val="000000"/>
                <w:sz w:val="22"/>
                <w:szCs w:val="22"/>
              </w:rPr>
            </w:pPr>
            <w:r>
              <w:rPr>
                <w:color w:val="000000" w:themeColor="text1"/>
                <w:sz w:val="22"/>
                <w:szCs w:val="22"/>
              </w:rPr>
              <w:t xml:space="preserve">Tài sản tại xã Đồng Tiến, Huyện Phổ Yên, Tỉnh Thái Nguyên, tài sản cách đường Lý Nam Đế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81256D">
            <w:pPr>
              <w:pBdr/>
              <w:spacing/>
              <w:ind/>
              <w:jc w:val="center"/>
              <w:rPr>
                <w:color w:val="000000"/>
                <w:sz w:val="22"/>
                <w:szCs w:val="22"/>
              </w:rPr>
            </w:pPr>
            <w:r>
              <w:rPr>
                <w:color w:val="000000" w:themeColor="text1"/>
                <w:sz w:val="22"/>
                <w:szCs w:val="22"/>
              </w:rPr>
              <w:t xml:space="preserve">Tài sản tiếp giáp đường Triệu Quang Phục</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-1.983.283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2.144.118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-1.762.500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17.849.544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16.438.236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15.862.500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-991.641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571.765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-881.250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16.857.903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17.010.001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14.981.250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w:t>
              <w:br/>
              <w:t xml:space="preserve">(QH: 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594.985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-714.706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352.500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17.452.888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16.295.295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15.333.750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793.313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714.706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1.057.500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18.246.201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17.010.001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16.391.250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-714.706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18.246.201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16.295.295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16.391.250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991.641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19.237.842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16.295.295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16.391.250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19.237.842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16.295.295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16.391.250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18.356.383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16.295.295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16.391.250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17.014.309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-3.66%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5.354.863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4.860.001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4.053.750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594.985</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2.001.177</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1.233.750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3,6</w:t>
      </w:r>
      <w:r>
        <w:t xml:space="preserve">% </w:t>
      </w:r>
      <w:r>
        <w:t xml:space="preserve">đến</w:t>
      </w:r>
      <w:r>
        <w:t xml:space="preserve"> </w:t>
      </w:r>
      <w:r>
        <w:t xml:space="preserve"> </w:t>
      </w:r>
      <w:r>
        <w:t xml:space="preserve">7,89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18.356.383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6.120.018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16.295.295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5.431.222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16.391.250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5.463.204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17.014.444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17.000.000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17.000.000</w:t>
      </w:r>
      <w:r>
        <w:rPr>
          <w:b/>
          <w:bCs/>
          <w:color w:val="000000" w:themeColor="text1"/>
        </w:rPr>
        <w:t xml:space="preserve"> </w:t>
      </w:r>
      <w:r>
        <w:rPr>
          <w:b/>
          <w:bCs/>
        </w:rPr>
        <w:t xml:space="preserve">đồng</w:t>
      </w:r>
      <w:r>
        <w:rPr>
          <w:b/>
          <w:bCs/>
        </w:rPr>
        <w:t xml:space="preserve">/m².</w:t>
      </w:r>
      <w:r>
        <w:rPr>
          <w:b/>
          <w:bCs/>
        </w:rPr>
      </w:r>
      <w:r>
        <w:rPr>
          <w:b/>
          <w:bCs/>
        </w:rPr>
      </w:r>
    </w:p>
    <w:p w14:paraId="45516298">
      <w:pPr>
        <w:pBdr>
          <w:top w:val="none" w:color="000000" w:sz="4" w:space="0"/>
          <w:left w:val="none" w:color="000000" w:sz="4" w:space="0"/>
          <w:bottom w:val="none" w:color="000000" w:sz="4" w:space="0"/>
          <w:right w:val="none" w:color="000000" w:sz="4" w:space="0"/>
        </w:pBdr>
        <w:spacing w:after="120" w:before="120" w:line="298" w:lineRule="atLeast"/>
        <w:ind w:firstLine="0" w:left="0"/>
        <w:jc w:val="both"/>
        <w:rPr/>
      </w:pPr>
      <w:r>
        <w:rPr>
          <w:rFonts w:ascii="Times New Roman" w:hAnsi="Times New Roman" w:eastAsia="Times New Roman" w:cs="Times New Roman"/>
          <w:b/>
          <w:color w:val="000000"/>
          <w:sz w:val="26"/>
        </w:rPr>
        <w:t xml:space="preserve">2.   Xác định đơn giá đất CLN nằm trong HLGT</w:t>
      </w:r>
      <w:r/>
    </w:p>
    <w:p w14:paraId="4BDDEA69">
      <w:pPr>
        <w:pBdr>
          <w:top w:val="none" w:color="000000" w:sz="4" w:space="0"/>
          <w:left w:val="none" w:color="000000" w:sz="4" w:space="0"/>
          <w:bottom w:val="none" w:color="000000" w:sz="4" w:space="0"/>
          <w:right w:val="none" w:color="000000" w:sz="4" w:space="0"/>
        </w:pBdr>
        <w:spacing w:after="120" w:before="120" w:line="298" w:lineRule="atLeast"/>
        <w:ind w:right="0" w:firstLine="360" w:left="0"/>
        <w:jc w:val="both"/>
        <w:rPr>
          <w:sz w:val="24"/>
          <w:szCs w:val="24"/>
        </w:rPr>
      </w:pPr>
      <w:r>
        <w:rPr>
          <w:rFonts w:ascii="Times New Roman" w:hAnsi="Times New Roman" w:eastAsia="Times New Roman" w:cs="Times New Roman"/>
          <w:color w:val="000000"/>
          <w:sz w:val="24"/>
          <w:szCs w:val="24"/>
        </w:rPr>
        <w:t xml:space="preserve">Dưới sự thống nhất với Ngân hàng/Khách hàng, cho mục đích thẩm định giá tại báo cáo này, tổ thẩm định xác định đơn giá quyền sử dụng đất trồng cây lâu năm theo khung giá UBND tỉnh.</w:t>
      </w:r>
      <w:r>
        <w:rPr>
          <w:sz w:val="24"/>
          <w:szCs w:val="24"/>
        </w:rPr>
      </w:r>
      <w:r>
        <w:rPr>
          <w:sz w:val="24"/>
          <w:szCs w:val="24"/>
        </w:rPr>
      </w:r>
    </w:p>
    <w:p w14:paraId="549B54B9" w14:textId="77777777">
      <w:pPr>
        <w:pStyle w:val="1026"/>
        <w:pBdr/>
        <w:spacing w:after="120" w:before="120" w:line="276" w:lineRule="auto"/>
        <w:ind w:left="357"/>
        <w:jc w:val="both"/>
        <w:rPr>
          <w:rFonts w:ascii="Times New Roman" w:hAnsi="Times New Roman" w:cs="Times New Roman"/>
          <w:b w:val="0"/>
          <w:bCs w:val="0"/>
          <w:i w:val="0"/>
          <w:sz w:val="24"/>
          <w:szCs w:val="24"/>
        </w:rPr>
      </w:pPr>
      <w:r>
        <w:rPr>
          <w:rFonts w:ascii="Times New Roman" w:hAnsi="Times New Roman" w:eastAsia="Times New Roman" w:cs="Times New Roman"/>
          <w:b w:val="0"/>
          <w:bCs w:val="0"/>
          <w:i w:val="0"/>
          <w:iCs w:val="0"/>
          <w:color w:val="000000"/>
          <w:sz w:val="24"/>
          <w:szCs w:val="24"/>
        </w:rPr>
      </w:r>
      <w:r>
        <w:rPr>
          <w:rFonts w:ascii="Times New Roman" w:hAnsi="Times New Roman" w:eastAsia="Times New Roman" w:cs="Times New Roman"/>
          <w:b w:val="0"/>
          <w:bCs w:val="0"/>
          <w:i w:val="0"/>
          <w:iCs w:val="0"/>
          <w:color w:val="000000"/>
          <w:sz w:val="24"/>
          <w:szCs w:val="24"/>
        </w:rPr>
        <w:t xml:space="preserve">Quyết định số 48/2024/QĐ-UBND ngày 14 tháng 11 năm 2024 của Ủy ban nhân dân tỉnh Thái Nguyên</w:t>
      </w:r>
      <w:r>
        <w:rPr>
          <w:rFonts w:ascii="Times New Roman" w:hAnsi="Times New Roman" w:eastAsia="Times New Roman" w:cs="Times New Roman"/>
          <w:b w:val="0"/>
          <w:bCs w:val="0"/>
          <w:i w:val="0"/>
          <w:iCs w:val="0"/>
          <w:color w:val="000000"/>
          <w:sz w:val="24"/>
          <w:szCs w:val="24"/>
        </w:rPr>
        <w:t xml:space="preserve"> về </w:t>
      </w:r>
      <w:r>
        <w:rPr>
          <w:rFonts w:ascii="Times New Roman" w:hAnsi="Times New Roman" w:eastAsia="Times New Roman" w:cs="Times New Roman"/>
          <w:b w:val="0"/>
          <w:bCs w:val="0"/>
          <w:i w:val="0"/>
          <w:iCs w:val="0"/>
          <w:color w:val="000000"/>
          <w:sz w:val="24"/>
          <w:szCs w:val="24"/>
          <w:highlight w:val="white"/>
          <w:u w:val="none"/>
        </w:rPr>
        <w:t xml:space="preserve">sửa đổi bổ sung quyết định và quy định về bảng giá đất giai đoạn 2020-2024 trên địa bàn tỉnh Thái Nguyên ban hành kèm theo quyết định số 46/2019/QĐ-UBND ngày 20/12/2019 của Ủy ban nhân dân tỉnh Thái Nguyên</w:t>
      </w:r>
      <w:r>
        <w:rPr>
          <w:rFonts w:ascii="Times New Roman" w:hAnsi="Times New Roman" w:eastAsia="Times New Roman" w:cs="Times New Roman"/>
          <w:b w:val="0"/>
          <w:bCs w:val="0"/>
          <w:i w:val="0"/>
          <w:iCs w:val="0"/>
          <w:color w:val="000000"/>
          <w:sz w:val="24"/>
          <w:szCs w:val="24"/>
        </w:rPr>
        <w:t xml:space="preserve">, đơn giá đất trồng cây lâu năm thành phố Phổ Yên: Phường Tiên Phong là 75.000 đồng/m². Do đó, Tổ thẩm định xác </w:t>
      </w:r>
      <w:r>
        <w:rPr>
          <w:rFonts w:ascii="Times New Roman" w:hAnsi="Times New Roman" w:eastAsia="Times New Roman" w:cs="Times New Roman"/>
          <w:b w:val="0"/>
          <w:bCs w:val="0"/>
          <w:i w:val="0"/>
          <w:iCs w:val="0"/>
          <w:color w:val="000000"/>
          <w:sz w:val="24"/>
          <w:szCs w:val="24"/>
        </w:rPr>
        <w:t xml:space="preserve">định Đơn giá quyền sử dụng đất trồng cây lâu năm thuộc HLGT là: 75.000 (đồng/m</w:t>
      </w:r>
      <w:r>
        <w:rPr>
          <w:rFonts w:ascii="Times New Roman" w:hAnsi="Times New Roman" w:eastAsia="Times New Roman" w:cs="Times New Roman"/>
          <w:b w:val="0"/>
          <w:bCs w:val="0"/>
          <w:i w:val="0"/>
          <w:iCs w:val="0"/>
          <w:color w:val="000000"/>
          <w:sz w:val="24"/>
          <w:szCs w:val="24"/>
          <w:vertAlign w:val="superscript"/>
        </w:rPr>
        <w:t xml:space="preserve">2</w:t>
      </w:r>
      <w:r>
        <w:rPr>
          <w:rFonts w:ascii="Times New Roman" w:hAnsi="Times New Roman" w:eastAsia="Times New Roman" w:cs="Times New Roman"/>
          <w:b w:val="0"/>
          <w:bCs w:val="0"/>
          <w:i w:val="0"/>
          <w:iCs w:val="0"/>
          <w:color w:val="000000"/>
          <w:sz w:val="24"/>
          <w:szCs w:val="24"/>
        </w:rPr>
        <w:t xml:space="preserve">)</w:t>
      </w:r>
      <w:r>
        <w:rPr>
          <w:rFonts w:ascii="Times New Roman" w:hAnsi="Times New Roman" w:eastAsia="Times New Roman" w:cs="Times New Roman"/>
          <w:b w:val="0"/>
          <w:bCs w:val="0"/>
          <w:i w:val="0"/>
          <w:iCs w:val="0"/>
          <w:sz w:val="24"/>
          <w:szCs w:val="24"/>
          <w:lang w:val="pt-BR"/>
        </w:rPr>
      </w:r>
      <w:r>
        <w:rPr>
          <w:rFonts w:ascii="Times New Roman" w:hAnsi="Times New Roman" w:cs="Times New Roman"/>
          <w:b w:val="0"/>
          <w:bCs w:val="0"/>
          <w:i w:val="0"/>
          <w:sz w:val="24"/>
          <w:szCs w:val="24"/>
        </w:rPr>
      </w:r>
    </w:p>
    <w:p w14:paraId="4B506B03" w14:textId="49B8E0F8">
      <w:pPr>
        <w:pBdr/>
        <w:spacing w:after="120" w:before="120" w:line="276" w:lineRule="auto"/>
        <w:ind w:firstLine="0" w:left="0"/>
        <w:jc w:val="both"/>
        <w:rPr>
          <w:b/>
          <w:lang w:val="pt-BR"/>
        </w:rPr>
      </w:pPr>
      <w:r>
        <w:rPr>
          <w:b/>
          <w:lang w:val="pt-BR"/>
        </w:rPr>
        <w:t xml:space="preserve">3.  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5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628"/>
        <w:gridCol w:w="1620"/>
        <w:gridCol w:w="2070"/>
        <w:gridCol w:w="2164"/>
      </w:tblGrid>
      <w:tr>
        <w:trPr>
          <w:trHeight w:val="20"/>
        </w:trPr>
        <w:tc>
          <w:tcPr>
            <w:shd w:val="clear" w:color="000000" w:fill="ffffff"/>
            <w:tcBorders/>
            <w:tcW w:w="952" w:type="dxa"/>
            <w:vAlign w:val="center"/>
            <w:textDirection w:val="lrTb"/>
            <w:noWrap w:val="false"/>
          </w:tcPr>
          <w:p w14:paraId="16B88636">
            <w:pPr>
              <w:pBdr/>
              <w:spacing w:after="40" w:before="40" w:line="288" w:lineRule="auto"/>
              <w:ind/>
              <w:jc w:val="center"/>
              <w:rPr>
                <w:b/>
                <w:bCs/>
              </w:rPr>
            </w:pPr>
            <w:r>
              <w:rPr>
                <w:b/>
                <w:bCs/>
              </w:rPr>
              <w:t xml:space="preserve">TT</w:t>
            </w:r>
            <w:r>
              <w:rPr>
                <w:b/>
                <w:bCs/>
              </w:rPr>
            </w:r>
            <w:r>
              <w:rPr>
                <w:b/>
                <w:bCs/>
              </w:rPr>
            </w:r>
          </w:p>
        </w:tc>
        <w:tc>
          <w:tcPr>
            <w:shd w:val="clear" w:color="000000" w:fill="ffffff"/>
            <w:tcBorders/>
            <w:tcW w:w="2628" w:type="dxa"/>
            <w:vAlign w:val="center"/>
            <w:textDirection w:val="lrTb"/>
            <w:noWrap w:val="false"/>
          </w:tcPr>
          <w:p w14:paraId="532A1B5F">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20" w:type="dxa"/>
            <w:vAlign w:val="center"/>
            <w:textDirection w:val="lrTb"/>
            <w:noWrap w:val="false"/>
          </w:tcPr>
          <w:p w14:paraId="56F54A94">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70" w:type="dxa"/>
            <w:vAlign w:val="center"/>
            <w:textDirection w:val="lrTb"/>
            <w:noWrap w:val="false"/>
          </w:tcPr>
          <w:p w14:paraId="1F487E5B">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59BB1AA9">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6F03A5ED">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18" w:type="dxa"/>
            <w:vAlign w:val="center"/>
            <w:textDirection w:val="lrTb"/>
            <w:noWrap w:val="false"/>
          </w:tcPr>
          <w:p w14:paraId="42482F7F">
            <w:pPr>
              <w:pBdr/>
              <w:spacing w:after="40" w:before="40" w:line="288" w:lineRule="auto"/>
              <w:ind/>
              <w:jc w:val="both"/>
              <w:rPr>
                <w:b/>
                <w:bCs/>
              </w:rPr>
            </w:pPr>
            <w:r>
              <w:rPr>
                <w:color w:val="000000"/>
              </w:rPr>
              <w:t xml:space="preserve">Quyền </w:t>
            </w:r>
            <w:r>
              <w:rPr>
                <w:color w:val="000000"/>
              </w:rPr>
              <w:t xml:space="preserve">sử dụng đất tại thửa đất số: 782, tờ bản đồ số: 80 có địa chỉ: Phường Vạn Xuân, tỉnh Thái Nguyên theo Giấy chứng nhận Quyền sử dụng đất quyền sở hữu tài sản gắn liền với đất số: AA 05492720, số vào sổ cấp Giấy chứng nhận: CN15418 do Chi nhánh Văn phòng đăn</w:t>
            </w:r>
            <w:r>
              <w:rPr>
                <w:color w:val="000000"/>
              </w:rPr>
              <w:t xml:space="preserve">g ký đất đai khu vực II cấp ngày 2/11/2025 cho Bà Nguyễn Thị Ngọc Hà (cùng sử dụng đất với Ông Ngô Văn Nghị, Ông Tạ Quang Nhật, Bà Nguyễn Thị Huấn, Ông Tạ Trung Hoà, Ông Tạ Văn Phúc, Ông Nguyễn Văn Tuyến, Ông Tạ Văn Nam, Ông Ngô Văn Sơn, Ông Ngô Mạnh Hưng)</w:t>
            </w:r>
            <w:r>
              <w:rPr>
                <w:b/>
                <w:bCs/>
              </w:rPr>
              <w:t xml:space="preserve">.</w:t>
            </w:r>
            <w:r>
              <w:rPr>
                <w:b/>
                <w:bCs/>
              </w:rPr>
            </w:r>
            <w:r>
              <w:rPr>
                <w:b/>
                <w:bCs/>
              </w:rPr>
            </w:r>
          </w:p>
        </w:tc>
        <w:tc>
          <w:tcPr>
            <w:shd w:val="clear" w:color="000000" w:fill="ffffff"/>
            <w:tcBorders/>
            <w:tcW w:w="2164" w:type="dxa"/>
            <w:vAlign w:val="center"/>
            <w:textDirection w:val="lrTb"/>
            <w:noWrap w:val="false"/>
          </w:tcPr>
          <w:p w14:paraId="60214C0D">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68869BB7">
            <w:pPr>
              <w:pBdr/>
              <w:spacing w:after="40" w:before="40" w:line="288" w:lineRule="auto"/>
              <w:ind/>
              <w:jc w:val="center"/>
              <w:rPr/>
            </w:pPr>
            <w:r>
              <w:rPr>
                <w:b/>
                <w:bCs/>
              </w:rPr>
              <w:t xml:space="preserve">1</w:t>
            </w:r>
            <w:r/>
          </w:p>
        </w:tc>
        <w:tc>
          <w:tcPr>
            <w:shd w:val="clear" w:color="000000" w:fill="ffffff"/>
            <w:tcBorders/>
            <w:tcW w:w="2628" w:type="dxa"/>
            <w:vAlign w:val="center"/>
            <w:textDirection w:val="lrTb"/>
            <w:noWrap w:val="false"/>
          </w:tcPr>
          <w:p w14:paraId="74DFDD05">
            <w:pPr>
              <w:pBdr/>
              <w:spacing w:after="40" w:before="40" w:line="288" w:lineRule="auto"/>
              <w:ind/>
              <w:rPr/>
            </w:pPr>
            <w:r>
              <w:rPr>
                <w:b/>
                <w:bCs/>
              </w:rPr>
              <w:t xml:space="preserve">Đất ở tại đô thị</w:t>
            </w:r>
            <w:r/>
          </w:p>
        </w:tc>
        <w:tc>
          <w:tcPr>
            <w:tcBorders/>
            <w:tcW w:w="1620" w:type="dxa"/>
            <w:vAlign w:val="center"/>
            <w:textDirection w:val="lrTb"/>
            <w:noWrap/>
          </w:tcPr>
          <w:p w14:paraId="71A0E788">
            <w:pPr>
              <w:pBdr/>
              <w:spacing w:after="40" w:before="40" w:line="288" w:lineRule="auto"/>
              <w:ind/>
              <w:jc w:val="center"/>
              <w:rPr>
                <w:color w:val="000000"/>
              </w:rPr>
            </w:pPr>
            <w:r>
              <w:rPr>
                <w:color w:val="000000" w:themeColor="text1"/>
              </w:rPr>
              <w:t xml:space="preserve">100,0</w:t>
            </w:r>
            <w:r>
              <w:rPr>
                <w:color w:val="000000"/>
              </w:rPr>
            </w:r>
            <w:r>
              <w:rPr>
                <w:color w:val="000000"/>
              </w:rPr>
            </w:r>
          </w:p>
        </w:tc>
        <w:tc>
          <w:tcPr>
            <w:shd w:val="clear" w:color="000000" w:fill="ffffff"/>
            <w:tcBorders/>
            <w:tcW w:w="2070" w:type="dxa"/>
            <w:vAlign w:val="center"/>
            <w:textDirection w:val="lrTb"/>
            <w:noWrap w:val="false"/>
          </w:tcPr>
          <w:p w14:paraId="07328984">
            <w:pPr>
              <w:pBdr/>
              <w:spacing w:after="40" w:before="40" w:line="288" w:lineRule="auto"/>
              <w:ind/>
              <w:jc w:val="center"/>
              <w:rPr/>
            </w:pPr>
            <w:r>
              <w:rPr>
                <w:color w:val="000000" w:themeColor="text1"/>
              </w:rPr>
              <w:t xml:space="preserve">17.000.000</w:t>
            </w:r>
            <w:r/>
          </w:p>
        </w:tc>
        <w:tc>
          <w:tcPr>
            <w:shd w:val="clear" w:color="000000" w:fill="ffffff"/>
            <w:tcBorders/>
            <w:tcW w:w="2164" w:type="dxa"/>
            <w:vAlign w:val="center"/>
            <w:textDirection w:val="lrTb"/>
            <w:noWrap w:val="false"/>
          </w:tcPr>
          <w:p w14:paraId="14E9C9E5">
            <w:pPr>
              <w:pBdr/>
              <w:spacing w:after="40" w:before="40" w:line="288" w:lineRule="auto"/>
              <w:ind/>
              <w:jc w:val="center"/>
              <w:rPr/>
            </w:pPr>
            <w:r>
              <w:rPr>
                <w:color w:val="000000" w:themeColor="text1"/>
              </w:rPr>
              <w:t xml:space="preserve">1.700.000.000</w:t>
            </w:r>
            <w:r/>
          </w:p>
        </w:tc>
      </w:tr>
      <w:tr>
        <w:trPr>
          <w:trHeight w:val="20"/>
        </w:trPr>
        <w:tc>
          <w:tcPr>
            <w:shd w:val="clear" w:color="000000" w:fill="ffffff"/>
            <w:tcBorders/>
            <w:tcW w:w="952" w:type="dxa"/>
            <w:vAlign w:val="center"/>
            <w:vMerge w:val="restart"/>
            <w:textDirection w:val="lrTb"/>
            <w:noWrap w:val="false"/>
          </w:tcPr>
          <w:p w14:paraId="59908582">
            <w:pPr>
              <w:pBdr/>
              <w:spacing w:after="40" w:before="40" w:line="288" w:lineRule="auto"/>
              <w:ind/>
              <w:jc w:val="center"/>
              <w:rPr>
                <w:b/>
                <w:bCs/>
              </w:rPr>
            </w:pPr>
            <w:r>
              <w:rPr>
                <w:b/>
                <w:bCs/>
              </w:rPr>
              <w:t xml:space="preserve">2</w:t>
            </w:r>
            <w:r>
              <w:rPr>
                <w:b/>
                <w:bCs/>
              </w:rPr>
            </w:r>
            <w:r>
              <w:rPr>
                <w:b/>
                <w:bCs/>
              </w:rPr>
            </w:r>
          </w:p>
        </w:tc>
        <w:tc>
          <w:tcPr>
            <w:shd w:val="clear" w:color="000000" w:fill="ffffff"/>
            <w:tcBorders/>
            <w:tcW w:w="2628" w:type="dxa"/>
            <w:vAlign w:val="center"/>
            <w:vMerge w:val="restart"/>
            <w:textDirection w:val="lrTb"/>
            <w:noWrap w:val="false"/>
          </w:tcPr>
          <w:p w14:paraId="46697A5B">
            <w:pPr>
              <w:pBdr/>
              <w:spacing w:after="40" w:before="40" w:line="288" w:lineRule="auto"/>
              <w:ind/>
              <w:rPr>
                <w:b/>
                <w:bCs/>
              </w:rPr>
            </w:pPr>
            <w:r>
              <w:rPr>
                <w:b/>
                <w:bCs/>
              </w:rPr>
              <w:t xml:space="preserve">Đất CLN nằm trong HLGT</w:t>
            </w:r>
            <w:r>
              <w:rPr>
                <w:b/>
                <w:bCs/>
              </w:rPr>
            </w:r>
            <w:r>
              <w:rPr>
                <w:b/>
                <w:bCs/>
              </w:rPr>
            </w:r>
          </w:p>
        </w:tc>
        <w:tc>
          <w:tcPr>
            <w:tcBorders/>
            <w:tcW w:w="1620" w:type="dxa"/>
            <w:vAlign w:val="center"/>
            <w:vMerge w:val="restart"/>
            <w:textDirection w:val="lrTb"/>
            <w:noWrap/>
          </w:tcPr>
          <w:p w14:paraId="73E115F7">
            <w:pPr>
              <w:pBdr/>
              <w:spacing w:after="40" w:before="40" w:line="288" w:lineRule="auto"/>
              <w:ind/>
              <w:jc w:val="center"/>
              <w:rPr>
                <w:color w:val="000000" w:themeColor="text1"/>
              </w:rPr>
            </w:pPr>
            <w:r>
              <w:rPr>
                <w:color w:val="000000" w:themeColor="text1"/>
              </w:rPr>
              <w:t xml:space="preserve">250,0</w:t>
            </w:r>
            <w:r>
              <w:rPr>
                <w:color w:val="000000" w:themeColor="text1"/>
              </w:rPr>
            </w:r>
            <w:r>
              <w:rPr>
                <w:color w:val="000000" w:themeColor="text1"/>
              </w:rPr>
            </w:r>
          </w:p>
        </w:tc>
        <w:tc>
          <w:tcPr>
            <w:shd w:val="clear" w:color="000000" w:fill="ffffff"/>
            <w:tcBorders/>
            <w:tcW w:w="2070" w:type="dxa"/>
            <w:vAlign w:val="center"/>
            <w:vMerge w:val="restart"/>
            <w:textDirection w:val="lrTb"/>
            <w:noWrap w:val="false"/>
          </w:tcPr>
          <w:p w14:paraId="266D0C1B">
            <w:pPr>
              <w:pBdr/>
              <w:spacing w:after="40" w:before="40" w:line="288" w:lineRule="auto"/>
              <w:ind/>
              <w:jc w:val="center"/>
              <w:rPr>
                <w:color w:val="000000" w:themeColor="text1"/>
              </w:rPr>
            </w:pPr>
            <w:r>
              <w:rPr>
                <w:color w:val="000000" w:themeColor="text1"/>
              </w:rPr>
              <w:t xml:space="preserve">75.000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14:paraId="6A4C1048">
            <w:pPr>
              <w:pBdr/>
              <w:spacing w:after="40" w:before="40" w:line="288" w:lineRule="auto"/>
              <w:ind/>
              <w:jc w:val="center"/>
              <w:rPr>
                <w:color w:val="000000" w:themeColor="text1"/>
              </w:rPr>
            </w:pPr>
            <w:r>
              <w:rPr>
                <w:color w:val="000000" w:themeColor="text1"/>
              </w:rPr>
              <w:t xml:space="preserve">18.750.000</w:t>
            </w:r>
            <w:r>
              <w:rPr>
                <w:color w:val="000000" w:themeColor="text1"/>
              </w:rPr>
            </w:r>
            <w:r>
              <w:rPr>
                <w:color w:val="000000" w:themeColor="text1"/>
              </w:rPr>
            </w:r>
          </w:p>
        </w:tc>
      </w:tr>
      <w:tr>
        <w:trPr>
          <w:trHeight w:val="20"/>
        </w:trPr>
        <w:tc>
          <w:tcPr>
            <w:gridSpan w:val="4"/>
            <w:tcBorders/>
            <w:tcW w:w="7270" w:type="dxa"/>
            <w:vAlign w:val="center"/>
            <w:textDirection w:val="lrTb"/>
            <w:noWrap/>
          </w:tcPr>
          <w:p w14:paraId="1D82DCA2">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6031FFF3">
            <w:pPr>
              <w:pBdr/>
              <w:spacing w:after="40" w:before="40" w:line="288" w:lineRule="auto"/>
              <w:ind/>
              <w:jc w:val="center"/>
              <w:rPr>
                <w:b/>
                <w:bCs/>
                <w:color w:val="000000"/>
              </w:rPr>
            </w:pPr>
            <w:r>
              <w:t xml:space="preserve">1.718.750.000</w:t>
            </w:r>
            <w:r>
              <w:rPr>
                <w:b/>
                <w:bCs/>
                <w:color w:val="000000"/>
              </w:rPr>
            </w:r>
            <w:r>
              <w:rPr>
                <w:b/>
                <w:bCs/>
                <w:color w:val="000000"/>
              </w:rPr>
            </w:r>
          </w:p>
        </w:tc>
      </w:tr>
      <w:tr>
        <w:trPr>
          <w:trHeight w:val="338"/>
        </w:trPr>
        <w:tc>
          <w:tcPr>
            <w:gridSpan w:val="4"/>
            <w:tcBorders/>
            <w:tcW w:w="7270" w:type="dxa"/>
            <w:vAlign w:val="center"/>
            <w:textDirection w:val="lrTb"/>
            <w:noWrap/>
          </w:tcPr>
          <w:p w14:paraId="45171603">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65DFB461">
            <w:pPr>
              <w:pBdr/>
              <w:spacing w:after="40" w:before="40" w:line="288" w:lineRule="auto"/>
              <w:ind/>
              <w:jc w:val="center"/>
              <w:rPr>
                <w:b/>
                <w:bCs/>
                <w:color w:val="000000"/>
              </w:rPr>
            </w:pPr>
            <w:r>
              <w:rPr>
                <w:b/>
                <w:bCs/>
                <w:color w:val="000000"/>
              </w:rPr>
              <w:t xml:space="preserve">1.719.000.000</w:t>
            </w:r>
            <w:r>
              <w:rPr>
                <w:b/>
                <w:bCs/>
                <w:color w:val="000000"/>
              </w:rPr>
            </w:r>
            <w:r>
              <w:rPr>
                <w:b/>
                <w:bCs/>
                <w:color w:val="000000"/>
              </w:rPr>
            </w:r>
          </w:p>
        </w:tc>
      </w:tr>
      <w:tr>
        <w:trPr>
          <w:trHeight w:val="20"/>
        </w:trPr>
        <w:tc>
          <w:tcPr>
            <w:gridSpan w:val="5"/>
            <w:tcBorders/>
            <w:tcW w:w="9435" w:type="dxa"/>
            <w:vAlign w:val="center"/>
            <w:textDirection w:val="lrTb"/>
            <w:noWrap w:val="false"/>
          </w:tcPr>
          <w:p w14:paraId="59BFCC2B">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bảy trăm mười chím triệu đồng</w:t>
            </w:r>
            <w:r>
              <w:rPr>
                <w:b/>
                <w:bCs/>
                <w:i/>
                <w:iCs/>
                <w:color w:val="000000"/>
              </w:rPr>
              <w:t xml:space="preserve">./.)</w:t>
            </w:r>
            <w:r>
              <w:rPr>
                <w:b/>
                <w:bCs/>
                <w:i/>
                <w:iCs/>
                <w:color w:val="000000"/>
              </w:rPr>
            </w:r>
            <w:r>
              <w:rPr>
                <w:b/>
                <w:bCs/>
                <w:i/>
                <w:iCs/>
                <w:color w:val="000000"/>
              </w:rPr>
            </w:r>
          </w:p>
        </w:tc>
      </w:tr>
    </w:tbl>
    <w:p w14:paraId="187E2E91" w14:textId="56B58432">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275/2026/0001/VFI-CT.48.A</w:t>
      </w:r>
      <w:r>
        <w:rPr>
          <w:color w:val="ff0000"/>
          <w:lang w:val="vi-VN"/>
        </w:rPr>
        <w:t xml:space="preserve"> </w:t>
      </w:r>
      <w:r>
        <w:rPr>
          <w:color w:val="000000" w:themeColor="text1"/>
        </w:rPr>
        <w:t xml:space="preserve">ngày 5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275/2026/0001/VFI-BC.48.A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916078761" name="" descr=""/>
                              <pic:cNvPicPr/>
                              <pic:nvPr/>
                            </pic:nvPicPr>
                            <pic:blipFill rotWithShape="1">
                              <a:blip r:embed="rId18"/>
                              <a:stretch/>
                            </pic:blipFill>
                            <pic:spPr bwMode="auto">
                              <a:xfrm>
                                <a:off x="0" y="0"/>
                                <a:ext cx="1434352"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8366" cy="19487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44203" name=""/>
                              <pic:cNvPicPr>
                                <a:picLocks noChangeAspect="1"/>
                              </pic:cNvPicPr>
                              <pic:nvPr/>
                            </pic:nvPicPr>
                            <pic:blipFill rotWithShape="1">
                              <a:blip r:embed="rId19"/>
                              <a:stretch/>
                            </pic:blipFill>
                            <pic:spPr bwMode="auto">
                              <a:xfrm flipH="0" flipV="0">
                                <a:off x="0" y="0"/>
                                <a:ext cx="2598366" cy="1948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4.60pt;height:153.4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67422" cy="23565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67924" name=""/>
                              <pic:cNvPicPr>
                                <a:picLocks noChangeAspect="1"/>
                              </pic:cNvPicPr>
                              <pic:nvPr/>
                            </pic:nvPicPr>
                            <pic:blipFill rotWithShape="1">
                              <a:blip r:embed="rId20"/>
                              <a:stretch/>
                            </pic:blipFill>
                            <pic:spPr bwMode="auto">
                              <a:xfrm flipH="0" flipV="0">
                                <a:off x="0" y="0"/>
                                <a:ext cx="1767421" cy="23565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9.17pt;height:185.5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1625" cy="210121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10254" name=""/>
                              <pic:cNvPicPr>
                                <a:picLocks noChangeAspect="1"/>
                              </pic:cNvPicPr>
                              <pic:nvPr/>
                            </pic:nvPicPr>
                            <pic:blipFill rotWithShape="1">
                              <a:blip r:embed="rId21"/>
                              <a:stretch/>
                            </pic:blipFill>
                            <pic:spPr bwMode="auto">
                              <a:xfrm flipH="0" flipV="0">
                                <a:off x="0" y="0"/>
                                <a:ext cx="2801625" cy="21012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60pt;height:165.4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0253" cy="19651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17736" name=""/>
                              <pic:cNvPicPr>
                                <a:picLocks noChangeAspect="1"/>
                              </pic:cNvPicPr>
                              <pic:nvPr/>
                            </pic:nvPicPr>
                            <pic:blipFill rotWithShape="1">
                              <a:blip r:embed="rId22"/>
                              <a:stretch/>
                            </pic:blipFill>
                            <pic:spPr bwMode="auto">
                              <a:xfrm flipH="0" flipV="0">
                                <a:off x="0" y="0"/>
                                <a:ext cx="2620252" cy="1965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6.32pt;height:154.7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11289" cy="19584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0306" name=""/>
                              <pic:cNvPicPr>
                                <a:picLocks noChangeAspect="1"/>
                              </pic:cNvPicPr>
                              <pic:nvPr/>
                            </pic:nvPicPr>
                            <pic:blipFill rotWithShape="1">
                              <a:blip r:embed="rId23"/>
                              <a:stretch/>
                            </pic:blipFill>
                            <pic:spPr bwMode="auto">
                              <a:xfrm flipH="0" flipV="0">
                                <a:off x="0" y="0"/>
                                <a:ext cx="2611288" cy="19584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61pt;height:154.2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275/2026/0001/VFI-BC.48.A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0828418688</w:t>
            </w:r>
            <w:r>
              <w:rPr>
                <w:sz w:val="22"/>
                <w:szCs w:val="22"/>
              </w:rPr>
              <w:t xml:space="preserve"> </w:t>
            </w:r>
            <w:r>
              <w:rPr>
                <w:sz w:val="22"/>
                <w:szCs w:val="22"/>
              </w:rPr>
              <w:br/>
              <w:t xml:space="preserve">(Paris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2.494.000.000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(131,6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r>
            <w:r>
              <w:rPr>
                <w:color w:val="000000" w:themeColor="text1"/>
                <w:sz w:val="22"/>
                <w:szCs w:val="22"/>
              </w:rPr>
              <w:t xml:space="preserve"> Tài sản nằm tại đường liên thôn phường Tiên Phong, thành phố Phổ Yên, tỉnh Thái Nguyên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131,6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1188A40" w14:textId="77777777">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0016" behindDoc="0" locked="0" layoutInCell="1" allowOverlap="1">
                      <wp:simplePos x="0" y="0"/>
                      <wp:positionH relativeFrom="column">
                        <wp:posOffset>3761767</wp:posOffset>
                      </wp:positionH>
                      <wp:positionV relativeFrom="paragraph">
                        <wp:posOffset>0</wp:posOffset>
                      </wp:positionV>
                      <wp:extent cx="2069771" cy="1950739"/>
                      <wp:effectExtent l="0" t="0" r="0" b="0"/>
                      <wp:wrapThrough wrapText="bothSides">
                        <wp:wrapPolygon edited="1">
                          <wp:start x="0" y="0"/>
                          <wp:lineTo x="21600" y="0"/>
                          <wp:lineTo x="21600" y="21600"/>
                          <wp:lineTo x="0" y="21600"/>
                        </wp:wrapPolygon>
                      </wp:wrapThrough>
                      <wp:docPr id="12" name=""/>
                      <wp:cNvGraphicFramePr/>
                      <a:graphic xmlns:a="http://schemas.openxmlformats.org/drawingml/2006/main">
                        <a:graphicData uri="http://schemas.openxmlformats.org/drawingml/2006/picture">
                          <pic:pic xmlns:pic="http://schemas.openxmlformats.org/drawingml/2006/picture">
                            <pic:nvPicPr>
                              <pic:cNvPr id="1444861475" name="" descr=""/>
                              <pic:cNvPicPr/>
                              <pic:nvPr/>
                            </pic:nvPicPr>
                            <pic:blipFill rotWithShape="1">
                              <a:blip r:embed="rId24"/>
                              <a:stretch/>
                            </pic:blipFill>
                            <pic:spPr bwMode="auto">
                              <a:xfrm flipH="0" flipV="0">
                                <a:off x="0" y="0"/>
                                <a:ext cx="2069770" cy="195073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0016;o:allowoverlap:true;o:allowincell:true;mso-position-horizontal-relative:text;margin-left:296.20pt;mso-position-horizontal:absolute;mso-position-vertical-relative:text;margin-top:0.00pt;mso-position-vertical:absolute;width:162.97pt;height:153.60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6944" behindDoc="0" locked="0" layoutInCell="1" allowOverlap="1">
                      <wp:simplePos x="0" y="0"/>
                      <wp:positionH relativeFrom="column">
                        <wp:posOffset>0</wp:posOffset>
                      </wp:positionH>
                      <wp:positionV relativeFrom="paragraph">
                        <wp:posOffset>0</wp:posOffset>
                      </wp:positionV>
                      <wp:extent cx="1467495" cy="2059596"/>
                      <wp:effectExtent l="0" t="0" r="0" b="0"/>
                      <wp:wrapThrough wrapText="bothSides">
                        <wp:wrapPolygon edited="1">
                          <wp:start x="0" y="0"/>
                          <wp:lineTo x="21600" y="0"/>
                          <wp:lineTo x="21600" y="21600"/>
                          <wp:lineTo x="0" y="21600"/>
                        </wp:wrapPolygon>
                      </wp:wrapThrough>
                      <wp:docPr id="13" name=""/>
                      <wp:cNvGraphicFramePr/>
                      <a:graphic xmlns:a="http://schemas.openxmlformats.org/drawingml/2006/main">
                        <a:graphicData uri="http://schemas.openxmlformats.org/drawingml/2006/picture">
                          <pic:pic xmlns:pic="http://schemas.openxmlformats.org/drawingml/2006/picture">
                            <pic:nvPicPr>
                              <pic:cNvPr id="2122480087" name="" descr=""/>
                              <pic:cNvPicPr/>
                              <pic:nvPr/>
                            </pic:nvPicPr>
                            <pic:blipFill rotWithShape="1">
                              <a:blip r:embed="rId25"/>
                              <a:srcRect l="0" t="17940" r="0" b="17189"/>
                              <a:stretch/>
                            </pic:blipFill>
                            <pic:spPr bwMode="auto">
                              <a:xfrm flipH="0" flipV="0">
                                <a:off x="0" y="0"/>
                                <a:ext cx="1467495" cy="2059596"/>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66944;o:allowoverlap:true;o:allowincell:true;mso-position-horizontal-relative:text;margin-left:0.00pt;mso-position-horizontal:absolute;mso-position-vertical-relative:text;margin-top:0.00pt;mso-position-vertical:absolute;width:115.55pt;height:162.17pt;mso-wrap-distance-left:9.07pt;mso-wrap-distance-top:0.00pt;mso-wrap-distance-right:9.07pt;mso-wrap-distance-bottom:0.00pt;z-index:1;" wrapcoords="0 0 100000 0 100000 100000 0 100000" stroked="false">
                      <w10:wrap type="through"/>
                      <v:imagedata r:id="rId25" o:title="" croptop="11757f" cropleft="0f" cropbottom="11265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7968" behindDoc="0" locked="0" layoutInCell="1" allowOverlap="1">
                      <wp:simplePos x="0" y="0"/>
                      <wp:positionH relativeFrom="column">
                        <wp:posOffset>1500973</wp:posOffset>
                      </wp:positionH>
                      <wp:positionV relativeFrom="paragraph">
                        <wp:posOffset>140989</wp:posOffset>
                      </wp:positionV>
                      <wp:extent cx="2160226" cy="1360714"/>
                      <wp:effectExtent l="0" t="0" r="0" b="0"/>
                      <wp:wrapThrough wrapText="bothSides">
                        <wp:wrapPolygon edited="1">
                          <wp:start x="0" y="0"/>
                          <wp:lineTo x="21600" y="0"/>
                          <wp:lineTo x="21600" y="21600"/>
                          <wp:lineTo x="0" y="21600"/>
                        </wp:wrapPolygon>
                      </wp:wrapThrough>
                      <wp:docPr id="14" name=""/>
                      <wp:cNvGraphicFramePr/>
                      <a:graphic xmlns:a="http://schemas.openxmlformats.org/drawingml/2006/main">
                        <a:graphicData uri="http://schemas.openxmlformats.org/drawingml/2006/picture">
                          <pic:pic xmlns:pic="http://schemas.openxmlformats.org/drawingml/2006/picture">
                            <pic:nvPicPr>
                              <pic:cNvPr id="728395986" name="" descr=""/>
                              <pic:cNvPicPr/>
                              <pic:nvPr/>
                            </pic:nvPicPr>
                            <pic:blipFill rotWithShape="1">
                              <a:blip r:embed="rId26"/>
                              <a:stretch/>
                            </pic:blipFill>
                            <pic:spPr bwMode="auto">
                              <a:xfrm flipH="0" flipV="0">
                                <a:off x="0" y="0"/>
                                <a:ext cx="2160225" cy="1360713"/>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67968;o:allowoverlap:true;o:allowincell:true;mso-position-horizontal-relative:text;margin-left:118.19pt;mso-position-horizontal:absolute;mso-position-vertical-relative:text;margin-top:11.10pt;mso-position-vertical:absolute;width:170.10pt;height:107.14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https://www.facebook.com/groups/472072127420122/posts/1518184139475577</w:t>
            </w:r>
            <w:r>
              <w:rPr>
                <w:color w:val="000000" w:themeColor="text1"/>
                <w:sz w:val="22"/>
                <w:szCs w:val="22"/>
              </w:rPr>
              <w:br/>
              <w:t xml:space="preserve">0961050829</w:t>
            </w:r>
            <w:r>
              <w:rPr>
                <w:sz w:val="22"/>
                <w:szCs w:val="22"/>
              </w:rPr>
              <w:t xml:space="preserve"> </w:t>
            </w:r>
            <w:r>
              <w:rPr>
                <w:sz w:val="22"/>
                <w:szCs w:val="22"/>
              </w:rPr>
              <w:br/>
              <w:t xml:space="preserve">(Hoàng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1.215.000.000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Đồng Tiến, Huyện Phổ Yên, Tỉnh Thái Nguyên, tài sản cách đường Lý Nam Đế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1040" behindDoc="0" locked="0" layoutInCell="1" allowOverlap="1">
                      <wp:simplePos x="0" y="0"/>
                      <wp:positionH relativeFrom="column">
                        <wp:posOffset>2178021</wp:posOffset>
                      </wp:positionH>
                      <wp:positionV relativeFrom="paragraph">
                        <wp:posOffset>0</wp:posOffset>
                      </wp:positionV>
                      <wp:extent cx="2252443" cy="1416344"/>
                      <wp:effectExtent l="0" t="0" r="0" b="0"/>
                      <wp:wrapThrough wrapText="bothSides">
                        <wp:wrapPolygon edited="1">
                          <wp:start x="0" y="0"/>
                          <wp:lineTo x="21600" y="0"/>
                          <wp:lineTo x="21600" y="21600"/>
                          <wp:lineTo x="0" y="21600"/>
                        </wp:wrapPolygon>
                      </wp:wrapThrough>
                      <wp:docPr id="15" name=""/>
                      <wp:cNvGraphicFramePr/>
                      <a:graphic xmlns:a="http://schemas.openxmlformats.org/drawingml/2006/main">
                        <a:graphicData uri="http://schemas.openxmlformats.org/drawingml/2006/picture">
                          <pic:pic xmlns:pic="http://schemas.openxmlformats.org/drawingml/2006/picture">
                            <pic:nvPicPr>
                              <pic:cNvPr id="1591064133" name="" descr=""/>
                              <pic:cNvPicPr/>
                              <pic:nvPr/>
                            </pic:nvPicPr>
                            <pic:blipFill rotWithShape="1">
                              <a:blip r:embed="rId27"/>
                              <a:stretch/>
                            </pic:blipFill>
                            <pic:spPr bwMode="auto">
                              <a:xfrm flipH="0" flipV="0">
                                <a:off x="0" y="0"/>
                                <a:ext cx="2252442" cy="141634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71040;o:allowoverlap:true;o:allowincell:true;mso-position-horizontal-relative:text;margin-left:171.50pt;mso-position-horizontal:absolute;mso-position-vertical-relative:text;margin-top:0.00pt;mso-position-vertical:absolute;width:177.36pt;height:111.52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2064" behindDoc="0" locked="0" layoutInCell="1" allowOverlap="1">
                      <wp:simplePos x="0" y="0"/>
                      <wp:positionH relativeFrom="column">
                        <wp:posOffset>-68580</wp:posOffset>
                      </wp:positionH>
                      <wp:positionV relativeFrom="paragraph">
                        <wp:posOffset>0</wp:posOffset>
                      </wp:positionV>
                      <wp:extent cx="2246601" cy="1586434"/>
                      <wp:effectExtent l="0" t="0" r="0" b="0"/>
                      <wp:wrapThrough wrapText="bothSides">
                        <wp:wrapPolygon edited="1">
                          <wp:start x="0" y="0"/>
                          <wp:lineTo x="21600" y="0"/>
                          <wp:lineTo x="21600" y="21600"/>
                          <wp:lineTo x="0" y="21600"/>
                        </wp:wrapPolygon>
                      </wp:wrapThrough>
                      <wp:docPr id="16" name=""/>
                      <wp:cNvGraphicFramePr/>
                      <a:graphic xmlns:a="http://schemas.openxmlformats.org/drawingml/2006/main">
                        <a:graphicData uri="http://schemas.openxmlformats.org/drawingml/2006/picture">
                          <pic:pic xmlns:pic="http://schemas.openxmlformats.org/drawingml/2006/picture">
                            <pic:nvPicPr>
                              <pic:cNvPr id="2114735281" name="" descr=""/>
                              <pic:cNvPicPr/>
                              <pic:nvPr/>
                            </pic:nvPicPr>
                            <pic:blipFill rotWithShape="1">
                              <a:blip r:embed="rId28"/>
                              <a:stretch/>
                            </pic:blipFill>
                            <pic:spPr bwMode="auto">
                              <a:xfrm flipH="0" flipV="0">
                                <a:off x="0" y="0"/>
                                <a:ext cx="2246600" cy="1586433"/>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72064;o:allowoverlap:true;o:allowincell:true;mso-position-horizontal-relative:text;margin-left:-5.40pt;mso-position-horizontal:absolute;mso-position-vertical-relative:text;margin-top:0.00pt;mso-position-vertical:absolute;width:176.90pt;height:124.92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73088" behindDoc="0" locked="0" layoutInCell="1" allowOverlap="1">
                      <wp:simplePos x="0" y="0"/>
                      <wp:positionH relativeFrom="column">
                        <wp:posOffset>4242464</wp:posOffset>
                      </wp:positionH>
                      <wp:positionV relativeFrom="paragraph">
                        <wp:posOffset>0</wp:posOffset>
                      </wp:positionV>
                      <wp:extent cx="1797021" cy="1772931"/>
                      <wp:effectExtent l="0" t="0" r="0" b="0"/>
                      <wp:wrapThrough wrapText="bothSides">
                        <wp:wrapPolygon edited="1">
                          <wp:start x="0" y="0"/>
                          <wp:lineTo x="21600" y="0"/>
                          <wp:lineTo x="21600" y="21600"/>
                          <wp:lineTo x="0" y="21600"/>
                        </wp:wrapPolygon>
                      </wp:wrapThrough>
                      <wp:docPr id="17" name=""/>
                      <wp:cNvGraphicFramePr/>
                      <a:graphic xmlns:a="http://schemas.openxmlformats.org/drawingml/2006/main">
                        <a:graphicData uri="http://schemas.openxmlformats.org/drawingml/2006/picture">
                          <pic:pic xmlns:pic="http://schemas.openxmlformats.org/drawingml/2006/picture">
                            <pic:nvPicPr>
                              <pic:cNvPr id="1290163277" name="" descr=""/>
                              <pic:cNvPicPr/>
                              <pic:nvPr/>
                            </pic:nvPicPr>
                            <pic:blipFill rotWithShape="1">
                              <a:blip r:embed="rId29"/>
                              <a:stretch/>
                            </pic:blipFill>
                            <pic:spPr bwMode="auto">
                              <a:xfrm flipH="0" flipV="0">
                                <a:off x="0" y="0"/>
                                <a:ext cx="1797020" cy="1772930"/>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73088;o:allowoverlap:true;o:allowincell:true;mso-position-horizontal-relative:text;margin-left:334.05pt;mso-position-horizontal:absolute;mso-position-vertical-relative:text;margin-top:0.00pt;mso-position-vertical:absolute;width:141.50pt;height:139.60pt;mso-wrap-distance-left:9.07pt;mso-wrap-distance-top:0.00pt;mso-wrap-distance-right:9.07pt;mso-wrap-distance-bottom:0.00pt;z-index:1;" wrapcoords="0 0 100000 0 100000 100000 0 100000" stroked="false">
                      <w10:wrap type="through"/>
                      <v:imagedata r:id="rId29"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7A7C1783" w14:textId="77777777">
            <w:pPr>
              <w:pBdr/>
              <w:spacing/>
              <w:ind/>
              <w:jc w:val="left"/>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https://www.facebook.com/share/p/1aoCsWMhYv/</w:t>
            </w:r>
            <w:r>
              <w:rPr>
                <w:color w:val="000000" w:themeColor="text1"/>
                <w:sz w:val="22"/>
                <w:szCs w:val="22"/>
              </w:rPr>
              <w:br/>
            </w:r>
            <w:r>
              <w:rPr>
                <w:sz w:val="22"/>
                <w:szCs w:val="22"/>
              </w:rPr>
              <w:t xml:space="preserve">SĐT: </w:t>
            </w:r>
            <w:r>
              <w:rPr>
                <w:color w:val="000000" w:themeColor="text1"/>
                <w:sz w:val="22"/>
                <w:szCs w:val="22"/>
              </w:rPr>
              <w:t xml:space="preserve">0971591223</w:t>
            </w:r>
            <w:r>
              <w:rPr>
                <w:sz w:val="22"/>
                <w:szCs w:val="22"/>
              </w:rPr>
              <w:t xml:space="preserve"> </w:t>
            </w:r>
            <w:r>
              <w:rPr>
                <w:sz w:val="22"/>
                <w:szCs w:val="22"/>
              </w:rPr>
              <w:br/>
              <w:t xml:space="preserve">(Nguyễn 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2.115.000.000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tiếp giáp đường Triệu Quang Phục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7184" behindDoc="0" locked="0" layoutInCell="1" allowOverlap="1">
                      <wp:simplePos x="0" y="0"/>
                      <wp:positionH relativeFrom="column">
                        <wp:posOffset>-68580</wp:posOffset>
                      </wp:positionH>
                      <wp:positionV relativeFrom="paragraph">
                        <wp:posOffset>0</wp:posOffset>
                      </wp:positionV>
                      <wp:extent cx="2252860" cy="1649748"/>
                      <wp:effectExtent l="0" t="0" r="0" b="0"/>
                      <wp:wrapThrough wrapText="bothSides">
                        <wp:wrapPolygon edited="1">
                          <wp:start x="0" y="0"/>
                          <wp:lineTo x="21600" y="0"/>
                          <wp:lineTo x="21600" y="21600"/>
                          <wp:lineTo x="0" y="21600"/>
                        </wp:wrapPolygon>
                      </wp:wrapThrough>
                      <wp:docPr id="18" name=""/>
                      <wp:cNvGraphicFramePr/>
                      <a:graphic xmlns:a="http://schemas.openxmlformats.org/drawingml/2006/main">
                        <a:graphicData uri="http://schemas.openxmlformats.org/drawingml/2006/picture">
                          <pic:pic xmlns:pic="http://schemas.openxmlformats.org/drawingml/2006/picture">
                            <pic:nvPicPr>
                              <pic:cNvPr id="2009051408" name="" descr=""/>
                              <pic:cNvPicPr/>
                              <pic:nvPr/>
                            </pic:nvPicPr>
                            <pic:blipFill rotWithShape="1">
                              <a:blip r:embed="rId30"/>
                              <a:stretch/>
                            </pic:blipFill>
                            <pic:spPr bwMode="auto">
                              <a:xfrm flipH="0" flipV="0">
                                <a:off x="0" y="0"/>
                                <a:ext cx="2252859" cy="164974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77184;o:allowoverlap:true;o:allowincell:true;mso-position-horizontal-relative:text;margin-left:-5.40pt;mso-position-horizontal:absolute;mso-position-vertical-relative:text;margin-top:0.00pt;mso-position-vertical:absolute;width:177.39pt;height:129.90pt;mso-wrap-distance-left:9.07pt;mso-wrap-distance-top:0.00pt;mso-wrap-distance-right:9.07pt;mso-wrap-distance-bottom:0.00pt;z-index:1;" wrapcoords="0 0 100000 0 100000 100000 0 100000" stroked="false">
                      <w10:wrap type="through"/>
                      <v:imagedata r:id="rId30"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8208" behindDoc="0" locked="0" layoutInCell="1" allowOverlap="1">
                      <wp:simplePos x="0" y="0"/>
                      <wp:positionH relativeFrom="column">
                        <wp:posOffset>2287783</wp:posOffset>
                      </wp:positionH>
                      <wp:positionV relativeFrom="paragraph">
                        <wp:posOffset>0</wp:posOffset>
                      </wp:positionV>
                      <wp:extent cx="1890487" cy="1946316"/>
                      <wp:effectExtent l="0" t="0" r="0" b="0"/>
                      <wp:wrapThrough wrapText="bothSides">
                        <wp:wrapPolygon edited="1">
                          <wp:start x="0" y="0"/>
                          <wp:lineTo x="21600" y="0"/>
                          <wp:lineTo x="21600" y="21600"/>
                          <wp:lineTo x="0" y="21600"/>
                        </wp:wrapPolygon>
                      </wp:wrapThrough>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890486" cy="194631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78208;o:allowoverlap:true;o:allowincell:true;mso-position-horizontal-relative:text;margin-left:180.14pt;mso-position-horizontal:absolute;mso-position-vertical-relative:text;margin-top:0.00pt;mso-position-vertical:absolute;width:148.86pt;height:153.25pt;mso-wrap-distance-left:9.07pt;mso-wrap-distance-top:0.00pt;mso-wrap-distance-right:9.07pt;mso-wrap-distance-bottom:0.00pt;z-index:1;" wrapcoords="0 0 100000 0 100000 100000 0 100000" stroked="false">
                      <w10:wrap type="through"/>
                      <v:imagedata r:id="rId31"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9232" behindDoc="0" locked="0" layoutInCell="1" allowOverlap="1">
                      <wp:simplePos x="0" y="0"/>
                      <wp:positionH relativeFrom="column">
                        <wp:posOffset>4007028</wp:posOffset>
                      </wp:positionH>
                      <wp:positionV relativeFrom="paragraph">
                        <wp:posOffset>80495</wp:posOffset>
                      </wp:positionV>
                      <wp:extent cx="2032457" cy="1785325"/>
                      <wp:effectExtent l="0" t="0" r="0" b="0"/>
                      <wp:wrapThrough wrapText="bothSides">
                        <wp:wrapPolygon edited="1">
                          <wp:start x="0" y="0"/>
                          <wp:lineTo x="21600" y="0"/>
                          <wp:lineTo x="21600" y="21600"/>
                          <wp:lineTo x="0" y="21600"/>
                        </wp:wrapPolygon>
                      </wp:wrapThrough>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032456" cy="178532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679232;o:allowoverlap:true;o:allowincell:true;mso-position-horizontal-relative:text;margin-left:315.51pt;mso-position-horizontal:absolute;mso-position-vertical-relative:text;margin-top:6.34pt;mso-position-vertical:absolute;width:160.04pt;height:140.58pt;mso-wrap-distance-left:9.07pt;mso-wrap-distance-top:0.00pt;mso-wrap-distance-right:9.07pt;mso-wrap-distance-bottom:0.00pt;z-index:1;" wrapcoords="0 0 100000 0 100000 100000 0 100000" stroked="false">
                      <w10:wrap type="through"/>
                      <v:imagedata r:id="rId32" o:title=""/>
                      <o:lock v:ext="edit" rotation="t"/>
                    </v:shape>
                  </w:pict>
                </mc:Fallback>
              </mc:AlternateConten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012FCC84">
            <w:pPr>
              <w:pBdr/>
              <w:spacing/>
              <w:ind/>
              <w:jc w:val="center"/>
              <w:rPr/>
            </w:pPr>
            <w:r>
              <w:rPr>
                <w:highlight w:val="none"/>
              </w:rPr>
            </w:r>
            <w:r>
              <w:rPr>
                <w:highlight w:val="none"/>
              </w:rPr>
            </w:r>
            <w:r/>
          </w:p>
          <w:p w14:paraId="36056675">
            <w:pPr>
              <w:pBdr/>
              <w:spacing/>
              <w:ind/>
              <w:jc w:val="center"/>
              <w:rPr>
                <w:highlight w:val="none"/>
              </w:rPr>
            </w:pPr>
            <w:r>
              <w:rPr>
                <w:highlight w:val="none"/>
              </w:rPr>
            </w:r>
            <w:r>
              <w:rPr>
                <w:highlight w:val="none"/>
              </w:rPr>
            </w:r>
            <w:r>
              <w:rPr>
                <w:highlight w:val="none"/>
              </w:rPr>
            </w:r>
          </w:p>
          <w:p w14:paraId="4274DFEA">
            <w:pPr>
              <w:pBdr/>
              <w:spacing/>
              <w:ind/>
              <w:jc w:val="center"/>
              <w:rPr>
                <w:highlight w:val="none"/>
              </w:rPr>
            </w:pPr>
            <w:r>
              <w:rPr>
                <w:highlight w:val="none"/>
              </w:rPr>
            </w:r>
            <w:r>
              <w:rPr>
                <w:highlight w:val="none"/>
              </w:rPr>
            </w:r>
            <w:r>
              <w:rPr>
                <w:highlight w:val="none"/>
              </w:rPr>
            </w:r>
          </w:p>
          <w:p w14:paraId="176592C6">
            <w:pPr>
              <w:pBdr/>
              <w:spacing/>
              <w:ind/>
              <w:jc w:val="center"/>
              <w:rPr>
                <w:highlight w:val="none"/>
              </w:rPr>
            </w:pPr>
            <w:r>
              <w:rPr>
                <w:highlight w:val="none"/>
              </w:rPr>
            </w:r>
            <w:r>
              <w:rPr>
                <w:highlight w:val="none"/>
              </w:rPr>
            </w:r>
            <w:r>
              <w:rPr>
                <w:highlight w:val="none"/>
              </w:rPr>
            </w:r>
          </w:p>
          <w:p w14:paraId="6F744A74">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Phạm Thị Dung</w:t>
            </w:r>
            <w:r>
              <w:rPr>
                <w:highlight w:val="none"/>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2E07A5DF">
      <w:pPr>
        <w:pBdr/>
        <w:shd w:val="nil"/>
        <w:spacing/>
        <w:ind/>
        <w:rPr>
          <w:lang w:val="pt-BR"/>
        </w:rPr>
      </w:pPr>
      <w:r>
        <w:rPr>
          <w:iCs/>
          <w:lang w:val="pt-BR"/>
        </w:rPr>
        <w:br w:type="page" w:clear="all"/>
      </w:r>
      <w:r>
        <w:rPr>
          <w:iCs/>
          <w:lang w:val="pt-BR"/>
        </w:rPr>
      </w:r>
      <w:r>
        <w:rPr>
          <w:iCs/>
          <w:lang w:val="pt-BR"/>
        </w:rPr>
      </w:r>
    </w:p>
    <w:p w14:paraId="1EAD3878" w14:textId="77777777">
      <w:pPr>
        <w:pBdr/>
        <w:spacing w:after="200" w:line="276" w:lineRule="auto"/>
        <w:ind/>
        <w:jc w:val="center"/>
        <w:rPr>
          <w:b/>
          <w:bCs/>
          <w:iCs/>
          <w:highlight w:val="none"/>
          <w:lang w:val="pt-BR"/>
        </w:rPr>
      </w:pPr>
      <w:r>
        <w:rPr>
          <w:b/>
          <w:bCs/>
          <w:iCs/>
          <w:lang w:val="pt-BR"/>
        </w:rPr>
        <w:t xml:space="preserve">GIẤY CHỨNG NHẬN QSDĐ</w:t>
      </w:r>
      <w:r>
        <w:rPr>
          <w:b/>
          <w:bCs/>
          <w:iCs/>
        </w:rPr>
      </w:r>
    </w:p>
    <w:p w14:paraId="2524336D">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90387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78886" name=""/>
                        <pic:cNvPicPr>
                          <a:picLocks noChangeAspect="1"/>
                        </pic:cNvPicPr>
                        <pic:nvPr/>
                      </pic:nvPicPr>
                      <pic:blipFill rotWithShape="1">
                        <a:blip r:embed="rId33"/>
                        <a:stretch/>
                      </pic:blipFill>
                      <pic:spPr bwMode="auto">
                        <a:xfrm>
                          <a:off x="0" y="0"/>
                          <a:ext cx="6048374" cy="8903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701.09pt;mso-wrap-distance-left:0.00pt;mso-wrap-distance-top:0.00pt;mso-wrap-distance-right:0.00pt;mso-wrap-distance-bottom:0.00pt;z-index:1;" stroked="false">
                <v:imagedata r:id="rId33" o:title=""/>
                <o:lock v:ext="edit" rotation="t"/>
              </v:shape>
            </w:pict>
          </mc:Fallback>
        </mc:AlternateContent>
      </w:r>
      <w:r>
        <w:rPr>
          <w:b/>
          <w:bCs/>
          <w:iCs/>
          <w:highlight w:val="none"/>
          <w:lang w:val="pt-BR"/>
        </w:rPr>
      </w:r>
      <w:r>
        <w:rPr>
          <w:b/>
          <w:bCs/>
        </w:rPr>
      </w:r>
    </w:p>
    <w:p w14:paraId="3957060F">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98134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03116" name=""/>
                        <pic:cNvPicPr>
                          <a:picLocks noChangeAspect="1"/>
                        </pic:cNvPicPr>
                        <pic:nvPr/>
                      </pic:nvPicPr>
                      <pic:blipFill rotWithShape="1">
                        <a:blip r:embed="rId34"/>
                        <a:stretch/>
                      </pic:blipFill>
                      <pic:spPr bwMode="auto">
                        <a:xfrm>
                          <a:off x="0" y="0"/>
                          <a:ext cx="6048374" cy="89813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707.19pt;mso-wrap-distance-left:0.00pt;mso-wrap-distance-top:0.00pt;mso-wrap-distance-right:0.00pt;mso-wrap-distance-bottom:0.00pt;z-index:1;" stroked="false">
                <v:imagedata r:id="rId34" o:title=""/>
                <o:lock v:ext="edit" rotation="t"/>
              </v:shape>
            </w:pict>
          </mc:Fallback>
        </mc:AlternateContent>
      </w:r>
      <w:r>
        <w:rPr>
          <w:b/>
          <w:bCs/>
          <w:iCs/>
          <w:highlight w:val="none"/>
          <w:lang w:val="pt-BR"/>
        </w:rPr>
      </w:r>
      <w:r>
        <w:rPr>
          <w:b/>
          <w:bCs/>
        </w:rPr>
      </w:r>
    </w:p>
    <w:p w14:paraId="30FA883F">
      <w:pPr>
        <w:pBdr/>
        <w:spacing w:after="200" w:line="276" w:lineRule="auto"/>
        <w:ind/>
        <w:jc w:val="center"/>
        <w:rPr>
          <w:b/>
          <w:bCs/>
          <w:highlight w:val="none"/>
          <w:lang w:val="pt-BR"/>
        </w:rPr>
      </w:pPr>
      <w:r>
        <w:rPr>
          <w:b/>
          <w:bCs/>
          <w:iCs/>
          <w:highlight w:val="none"/>
          <w:lang w:val="pt-BR"/>
        </w:rPr>
        <w:t xml:space="preserve">BIÊN BẢN KHẢO SÁT</w:t>
      </w:r>
      <w:r>
        <w:rPr>
          <w:b/>
          <w:bCs/>
        </w:rPr>
      </w:r>
    </w:p>
    <w:p w14:paraId="5C76C1F3">
      <w:pPr>
        <w:pBdr/>
        <w:spacing w:after="200" w:line="276" w:lineRule="auto"/>
        <w:ind/>
        <w:jc w:val="center"/>
        <w:rPr>
          <w:b/>
          <w:bCs/>
        </w:rPr>
      </w:pPr>
      <w:r>
        <w:rPr>
          <w:b/>
          <w:bCs/>
          <w:iCs/>
          <w:highlight w:val="none"/>
          <w:lang w:val="pt-BR"/>
        </w:rPr>
      </w:r>
      <w:r/>
      <w:r>
        <mc:AlternateContent>
          <mc:Choice Requires="wpg">
            <w:drawing>
              <wp:inline xmlns:wp="http://schemas.openxmlformats.org/drawingml/2006/wordprocessingDrawing" distT="0" distB="0" distL="0" distR="0">
                <wp:extent cx="5966680" cy="859585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69607" name=""/>
                        <pic:cNvPicPr>
                          <a:picLocks noChangeAspect="1"/>
                        </pic:cNvPicPr>
                        <pic:nvPr/>
                      </pic:nvPicPr>
                      <pic:blipFill rotWithShape="1">
                        <a:blip r:embed="rId35"/>
                        <a:srcRect l="0" t="7817" r="0" b="11427"/>
                        <a:stretch/>
                      </pic:blipFill>
                      <pic:spPr bwMode="auto">
                        <a:xfrm flipH="0" flipV="0">
                          <a:off x="0" y="0"/>
                          <a:ext cx="5966680" cy="8595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9.82pt;height:676.84pt;mso-wrap-distance-left:0.00pt;mso-wrap-distance-top:0.00pt;mso-wrap-distance-right:0.00pt;mso-wrap-distance-bottom:0.00pt;z-index:1;" stroked="false">
                <v:imagedata r:id="rId35" o:title="" croptop="5123f" cropleft="0f" cropbottom="7489f" cropright="0f"/>
                <o:lock v:ext="edit" rotation="t"/>
              </v:shape>
            </w:pict>
          </mc:Fallback>
        </mc:AlternateContent>
      </w:r>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A24C5F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271</cp:revision>
  <dcterms:created xsi:type="dcterms:W3CDTF">2025-09-15T09:58:00Z</dcterms:created>
  <dcterms:modified xsi:type="dcterms:W3CDTF">2026-01-07T07:59:20Z</dcterms:modified>
</cp:coreProperties>
</file>