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left"/>
        <w:rPr>
          <w:b/>
          <w:bCs/>
          <w:sz w:val="28"/>
          <w:szCs w:val="28"/>
        </w:rPr>
      </w:pPr>
      <w:r>
        <w:rPr>
          <w:b/>
          <w:bCs/>
          <w:sz w:val="28"/>
          <w:szCs w:val="28"/>
        </w:rPr>
      </w:r>
      <w:r>
        <w:rPr>
          <w:b/>
          <w:sz w:val="28"/>
        </w:rPr>
      </w:r>
      <w:r>
        <w:rPr>
          <w:b/>
          <w:bCs/>
          <w:sz w:val="28"/>
          <w:szCs w:val="28"/>
        </w:rPr>
      </w:r>
    </w:p>
    <w:p w14:paraId="5DA3BE65" w14:textId="023D207E">
      <w:pPr>
        <w:pBdr/>
        <w:spacing/>
        <w:ind w:right="-1"/>
        <w:jc w:val="center"/>
        <w:rPr>
          <w:b/>
          <w:sz w:val="28"/>
        </w:rPr>
      </w:pPr>
      <w:r>
        <w:rPr>
          <w:b/>
          <w:sz w:val="28"/>
        </w:rPr>
      </w:r>
      <w:r>
        <w:rPr>
          <w:b/>
          <w:sz w:val="28"/>
        </w:rPr>
      </w:r>
      <w:r>
        <w:rPr>
          <w:b/>
          <w:sz w:val="28"/>
        </w:rPr>
      </w:r>
    </w:p>
    <w:p w14:paraId="7F8622A0">
      <w:pPr>
        <w:pBdr/>
        <w:spacing/>
        <w:ind w:right="-1"/>
        <w:rPr>
          <w:b/>
          <w:bCs/>
          <w:sz w:val="28"/>
          <w:szCs w:val="28"/>
        </w:rPr>
      </w:pPr>
      <w:r>
        <w:rPr>
          <w:b/>
          <w:sz w:val="28"/>
        </w:rPr>
      </w:r>
      <w:r>
        <w:rPr>
          <w:b/>
          <w:bCs/>
          <w:sz w:val="28"/>
          <w:szCs w:val="28"/>
        </w:rPr>
      </w:r>
      <w:r>
        <w:rPr>
          <w:b/>
          <w:bCs/>
          <w:sz w:val="28"/>
          <w:szCs w:val="28"/>
        </w:rPr>
      </w:r>
    </w:p>
    <w:p w14:paraId="3324D91C" w14:textId="77777777">
      <w:pPr>
        <w:pBdr/>
        <w:spacing/>
        <w:ind w:right="-1"/>
        <w:rPr>
          <w:b/>
          <w:bCs/>
          <w:sz w:val="28"/>
          <w:szCs w:val="28"/>
        </w:rPr>
      </w:pPr>
      <w:r>
        <w:rPr>
          <w:b/>
          <w:sz w:val="28"/>
        </w:rPr>
      </w:r>
      <w:r>
        <w:rPr>
          <w:b/>
          <w:bCs/>
          <w:sz w:val="28"/>
          <w:szCs w:val="28"/>
        </w:rPr>
      </w:r>
      <w:r>
        <w:rPr>
          <w:b/>
          <w:bCs/>
          <w:sz w:val="28"/>
          <w:szCs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34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349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275/2025/1797/VFI-CT.63.A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Thúy Hồng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201, tờ bản đồ số: 89, có địa chỉ: Thôn Đồng Trạng, xã Đoài Phương, thành phố Hà Nội theo Giấy</w:t>
                            </w:r>
                            <w:r>
                              <w:rPr>
                                <w:color w:val="000000"/>
                              </w:rPr>
                              <w:t xml:space="preserve"> chứng nhận quyền sử dụng đất, quyền sở hữu nhà ở và tài sản gắn liền với đất  số: AA 03492785, Số vào sổ cấp GCN: CN 4304 do Chi nhánh Văn phòng Đăng ký Đất đai thành phố Hà Nội - Thị xã Sơn Tây cấp ngày 18/11/2025; chủ sử dụng đất là Bà Nguyễn Thúy Hồng.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6.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275/2025/1797/VFI-CT.63.A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Thúy Hồng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201, tờ bản đồ số: 89, có địa chỉ: Thôn Đồng Trạng, xã Đoài Phương, thành phố Hà Nội theo Giấy</w:t>
                      </w:r>
                      <w:r>
                        <w:rPr>
                          <w:color w:val="000000"/>
                        </w:rPr>
                        <w:t xml:space="preserve"> chứng nhận quyền sử dụng đất, quyền sở hữu nhà ở và tài sản gắn liền với đất  số: AA 03492785, Số vào sổ cấp GCN: CN 4304 do Chi nhánh Văn phòng Đăng ký Đất đai thành phố Hà Nội - Thị xã Sơn Tây cấp ngày 18/11/2025; chủ sử dụng đất là Bà Nguyễn Thúy Hồng.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23-29</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275/2025/1797/VFI-CT.63.A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15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Thúy Hồng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275/2025/1798/VFI-HĐTĐ.63.A</w:t>
      </w:r>
      <w:r>
        <w:rPr>
          <w:spacing w:val="-4"/>
          <w:lang w:val="vi-VN"/>
        </w:rPr>
        <w:t xml:space="preserve"> ký ngày </w:t>
      </w:r>
      <w:r>
        <w:rPr>
          <w:color w:val="000000" w:themeColor="text1"/>
          <w:spacing w:val="-4"/>
        </w:rPr>
        <w:t xml:space="preserve">10 tháng 12 năm 2025</w:t>
      </w:r>
      <w:r>
        <w:rPr>
          <w:spacing w:val="-4"/>
          <w:lang w:val="vi-VN"/>
        </w:rPr>
        <w:t xml:space="preserve"> </w:t>
      </w:r>
      <w:r>
        <w:rPr>
          <w:spacing w:val="-4"/>
          <w:lang w:val="vi-VN"/>
        </w:rPr>
        <w:t xml:space="preserve">giữa </w:t>
      </w:r>
      <w:r>
        <w:rPr>
          <w:color w:val="000000" w:themeColor="text1"/>
          <w:spacing w:val="-4"/>
        </w:rPr>
        <w:t xml:space="preserve">Bà Nguyễn Thúy Hồng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275/2025/1798/VFI-BC.63.A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Thúy Hồng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001174012401</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201, tờ bản đồ số: 89, có địa chỉ: Thôn Đồng Trạng, xã Đoài Phương, thành phố Hà Nội theo Giấy</w:t>
      </w:r>
      <w:r>
        <w:rPr>
          <w:color w:val="000000" w:themeColor="text1"/>
        </w:rPr>
        <w:t xml:space="preserve"> chứng nhận quyền sử dụng đất, quyền sở hữu nhà ở và tài sản gắn liền với đất  số: AA 03492785, Số vào sổ cấp GCN: CN 4304 do Chi nhánh Văn phòng Đăng ký Đất đai thành phố Hà Nội - Thị xã Sơn Tây cấp ngày 18/11/2025; chủ sử dụng đất là Bà Nguyễn Thúy Hồng.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477"/>
        <w:gridCol w:w="1350"/>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477"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50"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201, tờ bản đồ số: 89, có địa chỉ: Thôn Đồng Trạng, xã Đoài Phương, thành phố Hà Nội theo Giấy</w:t>
            </w:r>
            <w:r>
              <w:rPr>
                <w:color w:val="000000"/>
              </w:rPr>
              <w:t xml:space="preserve"> chứng nhận quyền sử dụng đất, quyền sở hữu nhà ở và tài sản gắn liền với đất  số: AA 03492785, Số vào sổ cấp GCN: CN 4304 do Chi nhánh Văn phòng Đăng ký Đất đai thành phố Hà Nội - Thị xã Sơn Tây cấp ngày 18/11/2025; chủ sử dụng đất là Bà Nguyễn Thúy Hồng.</w:t>
            </w:r>
            <w:r>
              <w:rPr>
                <w:b/>
                <w:b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477" w:type="dxa"/>
            <w:vAlign w:val="center"/>
            <w:textDirection w:val="lrTb"/>
            <w:noWrap w:val="false"/>
          </w:tcPr>
          <w:p w14:paraId="495A8C53" w14:textId="30B5F9FB">
            <w:pPr>
              <w:pBdr/>
              <w:spacing w:after="40" w:before="40" w:line="288" w:lineRule="auto"/>
              <w:ind/>
              <w:rPr/>
            </w:pPr>
            <w:r>
              <w:rPr>
                <w:b/>
                <w:bCs/>
              </w:rPr>
              <w:t xml:space="preserve">Đất ở nông thôn - Đất trồng cây lâu năm</w:t>
            </w:r>
            <w:r/>
          </w:p>
        </w:tc>
        <w:tc>
          <w:tcPr>
            <w:tcBorders/>
            <w:tcW w:w="1350"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125</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28.000.000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3.500.000.000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3.500.000.000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275/2025/1798/VFI-BC.63.A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15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275/2025/1797/VFI-CT.63.A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Thúy Hồng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001174012401</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201, tờ bản đồ số: 89, có địa chỉ: Thôn Đồng Trạng, xã Đoài Phương, thành phố Hà Nội theo Giấy</w:t>
            </w:r>
            <w:r>
              <w:rPr>
                <w:bCs/>
                <w:color w:val="000000" w:themeColor="text1"/>
                <w:lang w:val="pt-BR"/>
              </w:rPr>
              <w:t xml:space="preserve"> chứng nhận quyền sử dụng đất, quyền sở hữu nhà ở và tài sản gắn liền với đất  số: AA 03492785, Số vào sổ cấp GCN: CN 4304 do Chi nhánh Văn phòng Đăng ký Đất đai thành phố Hà Nội - Thị xã Sơn Tây cấp ngày 18/11/2025; chủ sử dụng đất là Bà Nguyễn Thúy Hồng.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Đồng Trạng, Xã Đoài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21.049138888889, 105.51691666667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w:t>
      </w:r>
      <w:r>
        <w:rPr>
          <w:bCs/>
          <w:color w:val="000000" w:themeColor="text1"/>
          <w:lang w:val="pt-BR"/>
        </w:rPr>
        <w:t xml:space="preserve"> chứng nhận quyền sử dụng đất, quyền sở hữu nhà ở và tài sản gắn liền với đất  số: AA 03492785, Số vào sổ cấp GCN: CN 4304 do Chi nhánh Văn phòng Đăng ký Đất đai thành phố Hà Nội - Thị xã Sơn Tây cấp ngày 18/11/2025; chủ sử dụng đất là Bà Nguyễn Thúy Hồng.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275/2025/1797/VFI-HĐTĐ.63.A ngày 10/12/2025 giữa Hồng Hoan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Thị trường bất động sản Sơn Tây trong những năm gần đây đang</w:t>
      </w:r>
      <w:r>
        <w:rPr>
          <w:shd w:val="clear" w:color="auto" w:fill="ffffff"/>
        </w:rPr>
        <w:t xml:space="preserve"> dần thu hút sự quan tâm của giới đầu tư nhờ lợi thế vị trí, quy hoạch đô thị rõ ràng và sự thay đổi về đơn vị hành chính. Là thị xã nằm ở cửa ngõ phía Tây Bắc Thủ đô, Sơn Tây giữ vai trò quan trọng trong chiến lược phát triển các đô thị vệ tinh của Hà Nội</w:t>
      </w:r>
      <w:r>
        <w:rPr>
          <w:shd w:val="clear" w:color="auto" w:fill="ffffff"/>
        </w:rPr>
        <w:t xml:space="preserve">. Việc sắp xếp lại đơn vị hành chính đã giúp bộ máy quản lý tinh gọn hơn, tạo điều kiện thuận lợi cho công tác quy hoạch, cấp phép và triển khai các dự án bất động sản. Cùng với đó, hệ thống hạ tầng giao thông ngày càng được đầu tư đồng bộ, nổi bật là Quốc</w:t>
      </w:r>
      <w:r>
        <w:rPr>
          <w:shd w:val="clear" w:color="auto" w:fill="ffffff"/>
        </w:rPr>
        <w:t xml:space="preserve"> lộ 32, Quốc lộ 21A, các tuyến tỉnh lộ 413, 414 và các trục kết nối sang Ba Vì, Phúc Thọ, Vĩnh Phúc. Những yếu tố này góp phần rút ngắn thời gian di chuyển về trung tâm Hà Nội, từ đó nâng cao sức hấp dẫn của bất động sản khu vực Sơn Tây.</w:t>
        <w:br/>
        <w:br/>
        <w:t xml:space="preserve">Xét về cơ cấu thị</w:t>
      </w:r>
      <w:r>
        <w:rPr>
          <w:shd w:val="clear" w:color="auto" w:fill="ffffff"/>
        </w:rPr>
        <w:t xml:space="preserve"> trường, bất động sản Sơn Tây phát triển theo nhiều phân khúc khác nhau, trong đó đất nền và nhà ở thấp tầng vẫn chiếm tỷ trọng lớn. Đất ở tại các phường trung tâm như Ngô Quyền, Phú Thịnh, Trung Hưng hay Viên Sơn có tính thanh khoản cao nhờ nhu cầu ở thực</w:t>
      </w:r>
      <w:r>
        <w:rPr>
          <w:shd w:val="clear" w:color="auto" w:fill="ffffff"/>
        </w:rPr>
        <w:t xml:space="preserve"> của người dân địa phương và một bộ phận người mua từ nội đô Hà Nội tìm kiếm không gian sống rộng rãi, giá hợp lý hơn. Trong khi đó, các xã ven đô và khu vực giáp Ba Vì, Đường Lâm lại thu hút sự quan tâm ở phân khúc đất sinh thái, nghỉ dưỡng, homestay và s</w:t>
      </w:r>
      <w:r>
        <w:rPr>
          <w:shd w:val="clear" w:color="auto" w:fill="ffffff"/>
        </w:rPr>
        <w:t xml:space="preserve">econd home, nhờ cảnh quan thiên nhiên, không khí trong lành và giá đất còn “mềm” so với nhiều khu vực khác của Hà Nội. Tuy nhiên, phân khúc căn hộ chung cư tại Sơn Tây hiện vẫn chưa phát triển mạnh, chủ yếu ở quy mô nhỏ, phục vụ nhu cầu nhà ở cho cán bộ, n</w:t>
      </w:r>
      <w:r>
        <w:rPr>
          <w:shd w:val="clear" w:color="auto" w:fill="ffffff"/>
        </w:rPr>
        <w:t xml:space="preserve">gười lao động và cư dân địa phương.</w:t>
        <w:br/>
        <w:br/>
        <w:t xml:space="preserve">Một điểm đáng chú ý của thị trường bất động sản Sơn Tây là tác động trực tiếp từ quy hoạch đô thị và quy hoạch phân khu. Việc công bố các phân khu chức năng, định hướng phát triển khu đô thị mới, khu công nghiệp – tiểu </w:t>
      </w:r>
      <w:r>
        <w:rPr>
          <w:shd w:val="clear" w:color="auto" w:fill="ffffff"/>
        </w:rPr>
        <w:t xml:space="preserve">thủ công nghiệp, thương mại – dịch vụ và du lịch đã tạo ra những đợt tăng giá cục bộ tại các khu vực nằm gần trục giao thông lớn hoặc dự kiến có dự án hạ tầng. Điều này vừa mở ra cơ hội đầu tư trung và dài hạn, vừa tiềm ẩn rủi ro nếu nhà đầu tư chạy theo t</w:t>
      </w:r>
      <w:r>
        <w:rPr>
          <w:shd w:val="clear" w:color="auto" w:fill="ffffff"/>
        </w:rPr>
        <w:t xml:space="preserve">âm lý đám đông hoặc mua bán theo thông tin chưa được kiểm chứng. Trên thực tế, mặt bằng giá bất động sản Sơn Tây vẫn ở mức thấp hơn so với các khu vực như Hoài Đức, Đan Phượng hay Đông Anh, nhưng tốc độ tăng giá có xu hướng chậm và phụ thuộc nhiều vào tiến</w:t>
      </w:r>
      <w:r>
        <w:rPr>
          <w:shd w:val="clear" w:color="auto" w:fill="ffffff"/>
        </w:rPr>
        <w:t xml:space="preserve"> độ thực hiện quy hoạch.</w:t>
        <w:br/>
        <w:br/>
        <w:t xml:space="preserve">Về triển vọng, bất động sản Sơn Tây được đánh giá phù hợp với nhà đầu tư có tầm nhìn dài hạn và người mua ở thực, hơn là đầu tư lướt sóng ngắn hạn. Khi hạ tầng giao thông hoàn thiện hơn, các dự án đô thị mới được triển khai đồng b</w:t>
      </w:r>
      <w:r>
        <w:rPr>
          <w:shd w:val="clear" w:color="auto" w:fill="ffffff"/>
        </w:rPr>
        <w:t xml:space="preserve">ộ và các hoạt động du lịch – dịch vụ phát triển mạnh, thị trường sẽ có thêm động lực tăng trưởng bền vững. Tuy nhiên, để hạn chế rủi ro, nhà đầu tư cần đặc biệt quan tâm đến yếu tố pháp lý, quy hoạch sử dụng đất và khả năng khai thác thực tế của bất động s</w:t>
      </w:r>
      <w:r>
        <w:rPr>
          <w:shd w:val="clear" w:color="auto" w:fill="ffffff"/>
        </w:rPr>
        <w:t xml:space="preserve">ản. Nhìn chung, Sơn Tây đang trong giai đoạn “tích lũy”, tạo nền tảng cho sự phát triển ổn định của thị trường bất động sản trong những năm tới.</w:t>
        <w:br/>
        <w:t xml:space="preserve">(Nguồn: https://onehousing.vn/blog/quy-hoach-thi-xa-son-tay-ha-noi-sau-khi-sap-xep-lai-don-vi-hanh-chinh-n17t.)</w:t>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201, tờ bản đồ số: 89, có địa chỉ: Thôn Đồng Trạng, xã Đoài Phương, thành phố Hà Nội theo Giấy</w:t>
            </w:r>
            <w:r>
              <w:rPr>
                <w:b/>
                <w:bCs/>
                <w:color w:val="000000"/>
              </w:rPr>
              <w:t xml:space="preserve"> chứng nhận quyền sử dụng đất, quyền sở hữu nhà ở và tài sản gắn liền với đất  số: AA 03492785, Số vào sổ cấp GCN: CN 4304 do Chi nhánh Văn phòng Đăng ký Đất đai thành phố Hà Nội - Thị xã Sơn Tây cấp ngày 18/11/2025; chủ sử dụng đất là Bà Nguyễn Thúy Hồng.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201</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89</w:t>
            </w:r>
            <w:r>
              <w:rPr>
                <w:color w:val="ee0000"/>
              </w:rPr>
            </w:r>
            <w:r>
              <w:rPr>
                <w:color w:val="ee0000"/>
              </w:rPr>
            </w:r>
          </w:p>
        </w:tc>
      </w:tr>
      <w:tr>
        <w:trPr>
          <w:trHeight w:val="38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Đồng Trạng, Xã Đoài Phương,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125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 Đất trồng cây lâu năm</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3FBBD9D3">
            <w:pPr>
              <w:pBdr/>
              <w:spacing/>
              <w:ind/>
              <w:jc w:val="center"/>
              <w:rPr>
                <w:color w:val="000000" w:themeColor="text1"/>
                <w:sz w:val="22"/>
                <w:szCs w:val="22"/>
                <w:highlight w:val="none"/>
              </w:rPr>
            </w:pPr>
            <w:r>
              <w:rPr>
                <w:color w:val="000000" w:themeColor="text1"/>
                <w:sz w:val="22"/>
                <w:szCs w:val="22"/>
              </w:rPr>
              <w:t xml:space="preserve">Đất ở nông thôn - Lâu dài,</w:t>
            </w:r>
            <w:r>
              <w:rPr>
                <w:color w:val="000000" w:themeColor="text1"/>
                <w:sz w:val="22"/>
                <w:szCs w:val="22"/>
                <w:highlight w:val="none"/>
              </w:rPr>
            </w:r>
            <w:r>
              <w:rPr>
                <w:color w:val="000000" w:themeColor="text1"/>
                <w:sz w:val="22"/>
                <w:szCs w:val="22"/>
                <w:highlight w:val="none"/>
              </w:rPr>
            </w:r>
          </w:p>
          <w:p w14:paraId="6EE380C7">
            <w:pPr>
              <w:pBdr/>
              <w:spacing/>
              <w:ind/>
              <w:jc w:val="center"/>
              <w:rPr>
                <w:b/>
                <w:bCs/>
                <w:color w:val="000000"/>
                <w:sz w:val="22"/>
                <w:szCs w:val="22"/>
              </w:rPr>
            </w:pPr>
            <w:r>
              <w:rPr>
                <w:color w:val="000000" w:themeColor="text1"/>
                <w:sz w:val="22"/>
                <w:szCs w:val="22"/>
                <w:highlight w:val="none"/>
              </w:rPr>
              <w:t xml:space="preserve">Đất trống cây lâu năm - Có thời hạn (đến 15/10/2043)</w:t>
            </w:r>
            <w:r>
              <w:rPr>
                <w:b/>
                <w:bCs/>
                <w:color w:val="000000"/>
                <w:sz w:val="22"/>
                <w:szCs w:val="22"/>
              </w:rPr>
            </w:r>
            <w:r>
              <w:rPr>
                <w:b/>
                <w:bCs/>
                <w:color w:val="000000"/>
                <w:sz w:val="22"/>
                <w:szCs w:val="22"/>
              </w:rPr>
            </w:r>
          </w:p>
        </w:tc>
      </w:tr>
      <w:tr>
        <w:trPr>
          <w:trHeight w:val="942"/>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giá, theo thông tin khách hàng cung cấp, Tổ thẩm định không thu được bất kì thông tịn quy hoạch nào liên qua tới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giao thông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 Hồ Chí Minh khoảng 1300m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t xml:space="preserve">Hướng Đông Nam tiếp giáp với đường giao thông</w:t>
            </w:r>
            <w:r>
              <w:rPr>
                <w:color w:val="000000" w:themeColor="text1"/>
              </w:rPr>
            </w:r>
            <w:r>
              <w:rPr>
                <w:color w:val="000000" w:themeColor="text1"/>
              </w:rPr>
            </w:r>
          </w:p>
        </w:tc>
      </w:tr>
      <w:tr>
        <w:trPr>
          <w:trHeight w:val="425"/>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21.049138888889</w:t>
            </w:r>
            <w:r>
              <w:rPr>
                <w:color w:val="000000"/>
              </w:rPr>
              <w:t xml:space="preserve">, </w:t>
            </w:r>
            <w:r>
              <w:rPr>
                <w:color w:val="000000"/>
              </w:rPr>
              <w:t xml:space="preserve">105.51691666667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374"/>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125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5.44</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26</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423"/>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982"/>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415"/>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 thông thường</w:t>
            </w:r>
            <w:r>
              <w:rPr>
                <w:color w:val="000000"/>
              </w:rPr>
            </w:r>
            <w:r>
              <w:rPr>
                <w:color w:val="000000"/>
              </w:rPr>
            </w:r>
          </w:p>
        </w:tc>
      </w:tr>
      <w:tr>
        <w:trPr>
          <w:trHeight w:val="412"/>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Ổn</w:t>
            </w:r>
            <w:r>
              <w:rPr>
                <w:color w:val="000000"/>
              </w:rPr>
            </w:r>
            <w:r>
              <w:rPr>
                <w:color w:val="000000"/>
              </w:rPr>
            </w:r>
          </w:p>
        </w:tc>
      </w:tr>
      <w:tr>
        <w:trPr>
          <w:trHeight w:val="415"/>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412"/>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t xml:space="preserve">Đất trống</w:t>
            </w:r>
            <w:r>
              <w:rPr>
                <w:color w:val="000000"/>
              </w:rPr>
            </w:r>
            <w:r>
              <w:rPr>
                <w:color w:val="000000"/>
              </w:rPr>
            </w:r>
          </w:p>
        </w:tc>
      </w:tr>
    </w:tbl>
    <w:p w14:paraId="6B96CE86" w14:textId="77777777">
      <w:pPr>
        <w:pBdr/>
        <w:spacing w:line="235" w:lineRule="auto"/>
        <w:ind w:left="0"/>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Đồng Trạng, Xã Đoài Phương, Thành phố Hà Nội</w:t>
            </w:r>
            <w:r/>
          </w:p>
        </w:tc>
        <w:tc>
          <w:tcPr>
            <w:tcBorders/>
            <w:tcW w:w="1605" w:type="dxa"/>
            <w:vAlign w:val="center"/>
            <w:textDirection w:val="lrTb"/>
            <w:noWrap w:val="false"/>
          </w:tcPr>
          <w:p w14:paraId="4C31DABF">
            <w:pPr>
              <w:pBdr/>
              <w:spacing/>
              <w:ind/>
              <w:jc w:val="center"/>
              <w:rPr/>
            </w:pPr>
            <w:r>
              <w:t xml:space="preserve">Thôn Đồng Trạng, Xã Đoài Phương,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Cổ Đông, Thị xã Sơn Tây, Thành phố Hà Nội</w:t>
            </w:r>
            <w:r/>
          </w:p>
        </w:tc>
        <w:tc>
          <w:tcPr>
            <w:tcBorders/>
            <w:tcW w:w="1605" w:type="dxa"/>
            <w:vAlign w:val="center"/>
            <w:textDirection w:val="lrTb"/>
            <w:noWrap w:val="false"/>
          </w:tcPr>
          <w:p w14:paraId="79F97508" w14:textId="77777777">
            <w:pPr>
              <w:pBdr/>
              <w:spacing/>
              <w:ind/>
              <w:jc w:val="center"/>
              <w:rPr/>
            </w:pPr>
            <w:r>
              <w:t xml:space="preserve">Xã Cổ Đông, Thị xã Sơn Tây,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 Đất trồng cây lâu năm</w:t>
            </w:r>
            <w:r/>
          </w:p>
        </w:tc>
        <w:tc>
          <w:tcPr>
            <w:tcBorders/>
            <w:tcW w:w="1605" w:type="dxa"/>
            <w:vAlign w:val="center"/>
            <w:textDirection w:val="lrTb"/>
            <w:noWrap w:val="false"/>
          </w:tcPr>
          <w:p w14:paraId="79F97508" w14:textId="77777777">
            <w:pPr>
              <w:pBdr/>
              <w:spacing/>
              <w:ind/>
              <w:jc w:val="center"/>
              <w:rPr/>
            </w:pPr>
            <w:r>
              <w:t xml:space="preserve">Đất ở nông thôn, Đất trồng cây lâu năm</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VT3</w:t>
            </w:r>
            <w:r/>
          </w:p>
        </w:tc>
        <w:tc>
          <w:tcPr>
            <w:tcBorders/>
            <w:tcW w:w="1605" w:type="dxa"/>
            <w:vAlign w:val="center"/>
            <w:textDirection w:val="lrTb"/>
            <w:noWrap w:val="false"/>
          </w:tcPr>
          <w:p w14:paraId="79F97508" w14:textId="77777777">
            <w:pPr>
              <w:pBdr/>
              <w:spacing/>
              <w:ind/>
              <w:jc w:val="center"/>
              <w:rPr/>
            </w:pPr>
            <w:r>
              <w:t xml:space="preserve">VT3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không có vỉa hè</w:t>
            </w:r>
            <w:r/>
          </w:p>
        </w:tc>
        <w:tc>
          <w:tcPr>
            <w:tcBorders/>
            <w:tcW w:w="1605" w:type="dxa"/>
            <w:vAlign w:val="center"/>
            <w:textDirection w:val="lrTb"/>
            <w:noWrap w:val="false"/>
          </w:tcPr>
          <w:p w14:paraId="79F97508" w14:textId="77777777">
            <w:pPr>
              <w:pBdr/>
              <w:spacing/>
              <w:ind/>
              <w:jc w:val="center"/>
              <w:rPr/>
            </w:pPr>
            <w:r>
              <w:t xml:space="preserve">Đường nhựa không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7</w:t>
            </w:r>
            <w:r/>
          </w:p>
        </w:tc>
        <w:tc>
          <w:tcPr>
            <w:tcBorders/>
            <w:tcW w:w="1605" w:type="dxa"/>
            <w:vAlign w:val="center"/>
            <w:textDirection w:val="lrTb"/>
            <w:noWrap w:val="false"/>
          </w:tcPr>
          <w:p w14:paraId="79F97508" w14:textId="77777777">
            <w:pPr>
              <w:pBdr/>
              <w:spacing/>
              <w:ind/>
              <w:jc w:val="center"/>
              <w:rPr/>
            </w:pPr>
            <w:r>
              <w:t xml:space="preserve">7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Khá</w:t>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125</w:t>
            </w:r>
            <w:r/>
          </w:p>
        </w:tc>
        <w:tc>
          <w:tcPr>
            <w:tcBorders/>
            <w:tcW w:w="1605" w:type="dxa"/>
            <w:vAlign w:val="center"/>
            <w:textDirection w:val="lrTb"/>
            <w:noWrap w:val="false"/>
          </w:tcPr>
          <w:p w14:paraId="79F97508" w14:textId="77777777">
            <w:pPr>
              <w:pBdr/>
              <w:spacing/>
              <w:ind/>
              <w:jc w:val="center"/>
              <w:rPr/>
            </w:pPr>
            <w:r>
              <w:t xml:space="preserve">125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5.44</w:t>
            </w:r>
            <w:r/>
          </w:p>
        </w:tc>
        <w:tc>
          <w:tcPr>
            <w:tcBorders/>
            <w:tcW w:w="1605" w:type="dxa"/>
            <w:vAlign w:val="center"/>
            <w:textDirection w:val="lrTb"/>
            <w:noWrap w:val="false"/>
          </w:tcPr>
          <w:p w14:paraId="79F97508" w14:textId="77777777">
            <w:pPr>
              <w:pBdr/>
              <w:spacing/>
              <w:ind/>
              <w:jc w:val="center"/>
              <w:rPr/>
            </w:pPr>
            <w:r>
              <w:t xml:space="preserve">5.44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25</w:t>
            </w:r>
            <w:r/>
          </w:p>
        </w:tc>
        <w:tc>
          <w:tcPr>
            <w:tcBorders/>
            <w:tcW w:w="1605" w:type="dxa"/>
            <w:vAlign w:val="center"/>
            <w:textDirection w:val="lrTb"/>
            <w:noWrap w:val="false"/>
          </w:tcPr>
          <w:p w14:paraId="79F97508" w14:textId="77777777">
            <w:pPr>
              <w:pBdr/>
              <w:spacing/>
              <w:ind/>
              <w:jc w:val="center"/>
              <w:rPr/>
            </w:pPr>
            <w:r>
              <w:t xml:space="preserve">26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Đông Nam</w:t>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Trung bình</w:t>
            </w:r>
            <w:r/>
          </w:p>
        </w:tc>
        <w:tc>
          <w:tcPr>
            <w:tcBorders/>
            <w:tcW w:w="1605" w:type="dxa"/>
            <w:vAlign w:val="center"/>
            <w:textDirection w:val="lrTb"/>
            <w:noWrap w:val="false"/>
          </w:tcPr>
          <w:p w14:paraId="79F97508" w14:textId="77777777">
            <w:pPr>
              <w:pBdr/>
              <w:spacing/>
              <w:ind/>
              <w:jc w:val="center"/>
              <w:rPr/>
            </w:pPr>
            <w:r>
              <w:t xml:space="preserve">Trung bình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gridCol w:w="1742"/>
      </w:tblGrid>
      <w:tr>
        <w:trPr>
          <w:gridAfter w:val="1"/>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gridAfter w:val="1"/>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Thôn Đồng Trạng, xã Đoài Phương,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r>
            <w:r>
              <w:rPr>
                <w:color w:val="000000" w:themeColor="text1"/>
                <w:sz w:val="22"/>
                <w:szCs w:val="22"/>
              </w:rPr>
              <w:t xml:space="preserve">Xã Đoài Phương,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r>
            <w:r>
              <w:rPr>
                <w:color w:val="000000" w:themeColor="text1"/>
                <w:sz w:val="22"/>
                <w:szCs w:val="22"/>
              </w:rPr>
              <w:t xml:space="preserve">Xã Đoài Phương,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r>
            <w:r>
              <w:rPr>
                <w:color w:val="000000" w:themeColor="text1"/>
                <w:sz w:val="22"/>
                <w:szCs w:val="22"/>
              </w:rPr>
              <w:t xml:space="preserve">Xã Đoài Phương, Thành phố Hà Nội</w:t>
            </w:r>
            <w:r>
              <w:rPr>
                <w:sz w:val="22"/>
                <w:szCs w:val="22"/>
              </w:rPr>
            </w:r>
            <w:r>
              <w:rPr>
                <w:sz w:val="22"/>
                <w:szCs w:val="22"/>
              </w:rPr>
            </w:r>
          </w:p>
        </w:tc>
      </w:tr>
      <w:tr>
        <w:trPr>
          <w:gridAfter w:val="1"/>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https://www.facebook.com/photo?fbid=4320135964974022&amp;set=gm.2126751168061822&amp;idorvanity=977996839603933</w:t>
            </w:r>
            <w:r>
              <w:rPr>
                <w:sz w:val="22"/>
                <w:szCs w:val="22"/>
              </w:rPr>
            </w:r>
            <w:r>
              <w:rPr>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0982824256</w:t>
            </w:r>
            <w:r>
              <w:rPr>
                <w:sz w:val="22"/>
                <w:szCs w:val="22"/>
              </w:rPr>
              <w:t xml:space="preserve"> </w:t>
            </w:r>
            <w:r>
              <w:rPr>
                <w:sz w:val="22"/>
                <w:szCs w:val="22"/>
              </w:rPr>
              <w:br/>
              <w:t xml:space="preserve">(</w:t>
            </w:r>
            <w:r>
              <w:rPr>
                <w:sz w:val="22"/>
                <w:szCs w:val="22"/>
              </w:rPr>
              <w:t xml:space="preserve">Lịch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0982824256</w:t>
            </w:r>
            <w:r>
              <w:rPr>
                <w:sz w:val="22"/>
                <w:szCs w:val="22"/>
              </w:rPr>
              <w:br/>
            </w:r>
            <w:r>
              <w:rPr>
                <w:sz w:val="22"/>
                <w:szCs w:val="22"/>
              </w:rPr>
              <w:t xml:space="preserve">(</w:t>
            </w:r>
            <w:r>
              <w:rPr>
                <w:sz w:val="22"/>
                <w:szCs w:val="22"/>
              </w:rPr>
              <w:t xml:space="preserve">Lịch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0966.060.395</w:t>
            </w:r>
            <w:r>
              <w:rPr>
                <w:sz w:val="22"/>
                <w:szCs w:val="22"/>
              </w:rPr>
              <w:br/>
            </w:r>
            <w:r>
              <w:rPr>
                <w:sz w:val="22"/>
                <w:szCs w:val="22"/>
              </w:rPr>
              <w:t xml:space="preserve">(</w:t>
            </w:r>
            <w:r>
              <w:rPr>
                <w:sz w:val="22"/>
                <w:szCs w:val="22"/>
              </w:rPr>
              <w:t xml:space="preserve">Hằng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528FF6">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528FF6">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D01A1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 (60 m²), Đất trồng cây lâu năm (65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 Có thời hạn (đến 15/10/2043)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r>
      <w:tr>
        <w:trPr>
          <w:gridAfter w:val="1"/>
          <w:trHeight w:val="192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tại:Thôn Đồng Trạng, xã Đoài Phương, Thành phố Hà Nội, cách đường Hồ Chí Minh khoảng 1300m.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Đoài Phương, Thành phố Hà Nội, cách đường Hồ Chí Minh khoảng 2800m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cách đường Hồ Chí Minh khoảng 600m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cách đường Hồ Chí Minh khoảng 1500m</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190.2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161.9</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32.38</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5.706.000.000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5.022.000.000</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5.135.400.000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4.519.800.000</w:t>
            </w:r>
            <w:r>
              <w:rPr>
                <w:color w:val="000000"/>
                <w:sz w:val="22"/>
                <w:szCs w:val="22"/>
              </w:rPr>
            </w:r>
            <w:r>
              <w:rPr>
                <w:color w:val="000000"/>
                <w:sz w:val="22"/>
                <w:szCs w:val="22"/>
              </w:rPr>
            </w:r>
          </w:p>
        </w:tc>
      </w:tr>
      <w:tr>
        <w:trPr>
          <w:gridAfter w:val="1"/>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5.135.400.000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4.519.800.000</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5.135.400.000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3.375.000.000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4.519.800.000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 (60 m²), Đất trồng cây lâu năm (65 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180FB6">
            <w:pPr>
              <w:pBdr/>
              <w:spacing w:line="276" w:lineRule="auto"/>
              <w:ind/>
              <w:jc w:val="center"/>
              <w:rPr>
                <w:sz w:val="22"/>
                <w:szCs w:val="22"/>
              </w:rPr>
            </w:pPr>
            <w:r>
              <w:rPr>
                <w:color w:val="000000" w:themeColor="text1"/>
                <w:sz w:val="22"/>
                <w:szCs w:val="22"/>
              </w:rPr>
              <w:t xml:space="preserve">Đất ở nông thôn (60 m²), Đất trồng cây lâu năm (130,2 m²)</w:t>
            </w:r>
            <w:r>
              <w:rPr>
                <w:sz w:val="22"/>
                <w:szCs w:val="22"/>
              </w:rPr>
            </w:r>
            <w:r>
              <w:rPr>
                <w:sz w:val="22"/>
                <w:szCs w:val="22"/>
              </w:rPr>
            </w:r>
          </w:p>
        </w:tc>
        <w:tc>
          <w:tcPr>
            <w:shd w:val="clear" w:color="000000" w:fill="ffffff"/>
            <w:tcBorders/>
            <w:tcW w:w="1522" w:type="dxa"/>
            <w:vAlign w:val="center"/>
            <w:textDirection w:val="lrTb"/>
            <w:noWrap w:val="false"/>
          </w:tcPr>
          <w:p w14:paraId="3BC58363">
            <w:pPr>
              <w:pBdr/>
              <w:spacing w:line="276" w:lineRule="auto"/>
              <w:ind/>
              <w:jc w:val="center"/>
              <w:rPr>
                <w:sz w:val="22"/>
                <w:szCs w:val="22"/>
              </w:rPr>
            </w:pPr>
            <w:r>
              <w:rPr>
                <w:color w:val="000000" w:themeColor="text1"/>
                <w:sz w:val="22"/>
                <w:szCs w:val="22"/>
              </w:rPr>
              <w:t xml:space="preserve">Đất ở nông thôn (60 m²), Đất trồng cây lâu năm (65 m²)</w:t>
            </w:r>
            <w:r>
              <w:rPr>
                <w:sz w:val="22"/>
                <w:szCs w:val="22"/>
              </w:rPr>
            </w:r>
            <w:r>
              <w:rPr>
                <w:sz w:val="22"/>
                <w:szCs w:val="22"/>
              </w:rPr>
            </w:r>
          </w:p>
        </w:tc>
        <w:tc>
          <w:tcPr>
            <w:shd w:val="clear" w:color="000000" w:fill="ffffff"/>
            <w:tcBorders/>
            <w:tcW w:w="1522" w:type="dxa"/>
            <w:vAlign w:val="center"/>
            <w:textDirection w:val="lrTb"/>
            <w:noWrap w:val="false"/>
          </w:tcPr>
          <w:p w14:paraId="193657EF">
            <w:pPr>
              <w:pBdr/>
              <w:spacing w:line="276" w:lineRule="auto"/>
              <w:ind/>
              <w:jc w:val="center"/>
              <w:rPr>
                <w:sz w:val="22"/>
                <w:szCs w:val="22"/>
              </w:rPr>
            </w:pPr>
            <w:r>
              <w:rPr>
                <w:color w:val="000000" w:themeColor="text1"/>
                <w:sz w:val="22"/>
                <w:szCs w:val="22"/>
              </w:rPr>
              <w:t xml:space="preserve">Đất ở nông thôn (90 m²), Đất trồng cây lâu năm (71,9 m²)</w:t>
            </w:r>
            <w:r>
              <w:rPr>
                <w:sz w:val="22"/>
                <w:szCs w:val="22"/>
              </w:rPr>
            </w:r>
            <w:r>
              <w:rPr>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color w:val="000000" w:themeColor="text1"/>
                <w:sz w:val="22"/>
                <w:szCs w:val="22"/>
                <w:highlight w:val="none"/>
              </w:rPr>
            </w:pPr>
            <w:r>
              <w:rPr>
                <w:color w:val="000000" w:themeColor="text1"/>
                <w:sz w:val="22"/>
                <w:szCs w:val="22"/>
              </w:rPr>
              <w:t xml:space="preserve">Đất ở nông thôn - Lâu dài,</w:t>
            </w:r>
            <w:r>
              <w:rPr>
                <w:color w:val="000000" w:themeColor="text1"/>
                <w:sz w:val="22"/>
                <w:szCs w:val="22"/>
                <w:highlight w:val="none"/>
              </w:rPr>
            </w:r>
            <w:r>
              <w:rPr>
                <w:color w:val="000000" w:themeColor="text1"/>
                <w:sz w:val="22"/>
                <w:szCs w:val="22"/>
                <w:highlight w:val="none"/>
              </w:rPr>
            </w:r>
          </w:p>
          <w:p w14:paraId="4F92415F">
            <w:pPr>
              <w:pBdr/>
              <w:spacing/>
              <w:ind/>
              <w:jc w:val="center"/>
              <w:rPr>
                <w:b/>
                <w:bCs/>
                <w:color w:val="000000"/>
                <w:sz w:val="22"/>
                <w:szCs w:val="22"/>
              </w:rPr>
            </w:pPr>
            <w:r>
              <w:rPr>
                <w:color w:val="000000" w:themeColor="text1"/>
                <w:sz w:val="22"/>
                <w:szCs w:val="22"/>
                <w:highlight w:val="none"/>
              </w:rPr>
              <w:t xml:space="preserve">Đất trống cây lâu năm - Có thời hạn (đến 15/10/2043, 18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14/10/2043, 18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14/10/2043, 18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14/10/2043, 18 năm)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3EF665">
            <w:pPr>
              <w:pBdr/>
              <w:spacing/>
              <w:ind/>
              <w:jc w:val="center"/>
              <w:rPr>
                <w:color w:val="000000"/>
                <w:sz w:val="22"/>
                <w:szCs w:val="22"/>
              </w:rPr>
            </w:pPr>
            <w:r>
              <w:rPr>
                <w:color w:val="000000" w:themeColor="text1"/>
                <w:sz w:val="22"/>
                <w:szCs w:val="22"/>
              </w:rPr>
              <w:t xml:space="preserve">Tài sản tại:Thôn Đồng Trạng, xã Đoài Phương, Thành phố Hà Nội, cách đường Hồ Chí Minh khoảng 1300m.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DC8D06">
            <w:pPr>
              <w:pBdr/>
              <w:spacing/>
              <w:ind/>
              <w:jc w:val="center"/>
              <w:rPr>
                <w:color w:val="000000"/>
                <w:sz w:val="22"/>
                <w:szCs w:val="22"/>
              </w:rPr>
            </w:pPr>
            <w:r>
              <w:rPr>
                <w:color w:val="000000" w:themeColor="text1"/>
                <w:sz w:val="22"/>
                <w:szCs w:val="22"/>
              </w:rPr>
              <w:t xml:space="preserve">Tài sản tại: Xã Đoài Phương, Thành phố Hà Nội, cách đường Hồ Chí Minh khoảng 2800m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072490">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cách đường Hồ Chí Minh khoảng 600m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031655">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cách đường Hồ Chí Minh khoảng 1500m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1.425.000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29.925.000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29.925.000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29.925.000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29.925.000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27.917.233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190.2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161.9</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2.233.379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31.665.000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30.150.612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-2.850.000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28.815.000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30.150.612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32.38</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-2.850.000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1.395.862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25.965.000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31.546.474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-4.275.000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21.690.000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31.546.474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24.390.000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31.546.474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26.790.000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31.546.474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26.790.000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31.546.474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26.790.000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31.546.474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26.100.000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26.790.000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31.546.474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28.145.491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-7.27%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12.08%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19.050.000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2.490.000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3.629.241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900.000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210.000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3.629.241</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-7,27</w:t>
      </w:r>
      <w:r>
        <w:t xml:space="preserve">% đến</w:t>
      </w:r>
      <w:r>
        <w:t xml:space="preserve"> </w:t>
      </w:r>
      <w:r>
        <w:t xml:space="preserve">12,08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26.100.000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8.701.740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26.790.000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8.929.107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31.546.474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10.514.440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28.145.287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477"/>
        <w:gridCol w:w="1350"/>
        <w:gridCol w:w="2581"/>
        <w:gridCol w:w="2164"/>
      </w:tblGrid>
      <w:tr>
        <w:trPr>
          <w:trHeight w:val="20"/>
        </w:trPr>
        <w:tc>
          <w:tcPr>
            <w:shd w:val="clear" w:color="000000" w:fill="ffffff"/>
            <w:tcBorders/>
            <w:tcW w:w="952" w:type="dxa"/>
            <w:vAlign w:val="center"/>
            <w:textDirection w:val="lrTb"/>
            <w:noWrap w:val="false"/>
          </w:tcPr>
          <w:p w14:paraId="6A5B855D">
            <w:pPr>
              <w:pBdr/>
              <w:spacing w:after="40" w:before="40" w:line="288" w:lineRule="auto"/>
              <w:ind/>
              <w:jc w:val="center"/>
              <w:rPr>
                <w:b/>
                <w:bCs/>
              </w:rPr>
            </w:pPr>
            <w:r>
              <w:rPr>
                <w:b/>
                <w:bCs/>
              </w:rPr>
              <w:t xml:space="preserve">TT</w:t>
            </w:r>
            <w:r>
              <w:rPr>
                <w:b/>
                <w:bCs/>
              </w:rPr>
            </w:r>
            <w:r>
              <w:rPr>
                <w:b/>
                <w:bCs/>
              </w:rPr>
            </w:r>
          </w:p>
        </w:tc>
        <w:tc>
          <w:tcPr>
            <w:shd w:val="clear" w:color="000000" w:fill="ffffff"/>
            <w:tcBorders/>
            <w:tcW w:w="2477" w:type="dxa"/>
            <w:vAlign w:val="center"/>
            <w:textDirection w:val="lrTb"/>
            <w:noWrap w:val="false"/>
          </w:tcPr>
          <w:p w14:paraId="1A592755">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50" w:type="dxa"/>
            <w:vAlign w:val="center"/>
            <w:textDirection w:val="lrTb"/>
            <w:noWrap w:val="false"/>
          </w:tcPr>
          <w:p w14:paraId="45F5B0CD">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478E22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46E034F5">
            <w:pPr>
              <w:pBdr/>
              <w:spacing w:after="40" w:before="40" w:line="288" w:lineRule="auto"/>
              <w:ind/>
              <w:jc w:val="center"/>
              <w:rPr>
                <w:b/>
                <w:bCs/>
              </w:rPr>
            </w:pPr>
            <w:r>
              <w:rPr>
                <w:b/>
                <w:bCs/>
              </w:rPr>
              <w:t xml:space="preserve">Thành tiền (đồng)</w:t>
            </w:r>
            <w:r>
              <w:rPr>
                <w:b/>
                <w:bCs/>
              </w:rPr>
            </w:r>
            <w:r>
              <w:rPr>
                <w:b/>
                <w:bCs/>
              </w:rPr>
            </w:r>
          </w:p>
        </w:tc>
      </w:tr>
      <w:tr>
        <w:trPr>
          <w:trHeight w:val="2060"/>
        </w:trPr>
        <w:tc>
          <w:tcPr>
            <w:shd w:val="clear" w:color="000000" w:fill="ffffff"/>
            <w:tcBorders/>
            <w:tcW w:w="952" w:type="dxa"/>
            <w:vAlign w:val="center"/>
            <w:textDirection w:val="lrTb"/>
            <w:noWrap w:val="false"/>
          </w:tcPr>
          <w:p w14:paraId="7BAE634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2C3E40BC">
            <w:pPr>
              <w:pBdr/>
              <w:spacing w:after="40" w:before="40" w:line="288" w:lineRule="auto"/>
              <w:ind/>
              <w:jc w:val="both"/>
              <w:rPr>
                <w:b/>
                <w:bCs/>
              </w:rPr>
            </w:pPr>
            <w:r>
              <w:rPr>
                <w:color w:val="000000"/>
              </w:rPr>
              <w:t xml:space="preserve">Quyền sử dụng đất tại thửa đất số: 201, tờ bản đồ số: 89, có địa chỉ: Thôn Đồng Trạng, xã Đoài Phương, thành phố Hà Nội theo Giấy</w:t>
            </w:r>
            <w:r>
              <w:rPr>
                <w:color w:val="000000"/>
              </w:rPr>
              <w:t xml:space="preserve"> chứng nhận quyền sử dụng đất, quyền sở hữu nhà ở và tài sản gắn liền với đất  số: AA 03492785, Số vào sổ cấp GCN: CN 4304 do Chi nhánh Văn phòng Đăng ký Đất đai thành phố Hà Nội - Thị xã Sơn Tây cấp ngày 18/11/2025; chủ sử dụng đất là Bà Nguyễn Thúy Hồng.</w:t>
            </w:r>
            <w:r>
              <w:rPr>
                <w:b/>
                <w:bCs/>
              </w:rPr>
              <w:t xml:space="preserve">.</w:t>
            </w:r>
            <w:r>
              <w:rPr>
                <w:b/>
                <w:bCs/>
              </w:rPr>
            </w:r>
            <w:r>
              <w:rPr>
                <w:b/>
                <w:bCs/>
              </w:rPr>
            </w:r>
          </w:p>
        </w:tc>
        <w:tc>
          <w:tcPr>
            <w:shd w:val="clear" w:color="000000" w:fill="ffffff"/>
            <w:tcBorders/>
            <w:tcW w:w="2164" w:type="dxa"/>
            <w:vAlign w:val="center"/>
            <w:textDirection w:val="lrTb"/>
            <w:noWrap w:val="false"/>
          </w:tcPr>
          <w:p w14:paraId="42A6E11E">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48EB098">
            <w:pPr>
              <w:pBdr/>
              <w:spacing w:after="40" w:before="40" w:line="288" w:lineRule="auto"/>
              <w:ind/>
              <w:jc w:val="center"/>
              <w:rPr/>
            </w:pPr>
            <w:r>
              <w:rPr>
                <w:b/>
                <w:bCs/>
              </w:rPr>
              <w:t xml:space="preserve">1</w:t>
            </w:r>
            <w:r/>
          </w:p>
        </w:tc>
        <w:tc>
          <w:tcPr>
            <w:shd w:val="clear" w:color="000000" w:fill="ffffff"/>
            <w:tcBorders/>
            <w:tcW w:w="2477" w:type="dxa"/>
            <w:vAlign w:val="center"/>
            <w:textDirection w:val="lrTb"/>
            <w:noWrap w:val="false"/>
          </w:tcPr>
          <w:p w14:paraId="52FF733A">
            <w:pPr>
              <w:pBdr/>
              <w:spacing w:after="40" w:before="40" w:line="288" w:lineRule="auto"/>
              <w:ind/>
              <w:rPr/>
            </w:pPr>
            <w:r>
              <w:rPr>
                <w:b/>
                <w:bCs/>
              </w:rPr>
              <w:t xml:space="preserve">Đất ở nông thôn - Đất trồng cây lâu năm</w:t>
            </w:r>
            <w:r/>
          </w:p>
        </w:tc>
        <w:tc>
          <w:tcPr>
            <w:tcBorders/>
            <w:tcW w:w="1350" w:type="dxa"/>
            <w:vAlign w:val="center"/>
            <w:textDirection w:val="lrTb"/>
            <w:noWrap/>
          </w:tcPr>
          <w:p w14:paraId="62CCE313">
            <w:pPr>
              <w:pBdr/>
              <w:spacing w:after="40" w:before="40" w:line="288" w:lineRule="auto"/>
              <w:ind/>
              <w:jc w:val="center"/>
              <w:rPr>
                <w:color w:val="000000"/>
              </w:rPr>
            </w:pPr>
            <w:r>
              <w:rPr>
                <w:color w:val="000000" w:themeColor="text1"/>
              </w:rPr>
              <w:t xml:space="preserve">125</w:t>
            </w:r>
            <w:r>
              <w:rPr>
                <w:color w:val="000000"/>
              </w:rPr>
            </w:r>
            <w:r>
              <w:rPr>
                <w:color w:val="000000"/>
              </w:rPr>
            </w:r>
          </w:p>
        </w:tc>
        <w:tc>
          <w:tcPr>
            <w:shd w:val="clear" w:color="000000" w:fill="ffffff"/>
            <w:tcBorders/>
            <w:tcW w:w="2581" w:type="dxa"/>
            <w:vAlign w:val="center"/>
            <w:textDirection w:val="lrTb"/>
            <w:noWrap w:val="false"/>
          </w:tcPr>
          <w:p w14:paraId="52E2A425">
            <w:pPr>
              <w:pBdr/>
              <w:spacing w:after="40" w:before="40" w:line="288" w:lineRule="auto"/>
              <w:ind/>
              <w:jc w:val="center"/>
              <w:rPr/>
            </w:pPr>
            <w:r>
              <w:rPr>
                <w:color w:val="000000" w:themeColor="text1"/>
              </w:rPr>
              <w:t xml:space="preserve">28.000.000</w:t>
            </w:r>
            <w:r/>
          </w:p>
        </w:tc>
        <w:tc>
          <w:tcPr>
            <w:shd w:val="clear" w:color="000000" w:fill="ffffff"/>
            <w:tcBorders/>
            <w:tcW w:w="2164" w:type="dxa"/>
            <w:vAlign w:val="center"/>
            <w:textDirection w:val="lrTb"/>
            <w:noWrap w:val="false"/>
          </w:tcPr>
          <w:p w14:paraId="728A85D4">
            <w:pPr>
              <w:pBdr/>
              <w:spacing w:after="40" w:before="40" w:line="288" w:lineRule="auto"/>
              <w:ind/>
              <w:jc w:val="center"/>
              <w:rPr/>
            </w:pPr>
            <w:r>
              <w:rPr>
                <w:color w:val="000000" w:themeColor="text1"/>
              </w:rPr>
              <w:t xml:space="preserve">3.500.000.000</w:t>
            </w:r>
            <w:r/>
          </w:p>
        </w:tc>
      </w:tr>
      <w:tr>
        <w:trPr>
          <w:trHeight w:val="20"/>
        </w:trPr>
        <w:tc>
          <w:tcPr>
            <w:gridSpan w:val="4"/>
            <w:tcBorders/>
            <w:tcW w:w="7361" w:type="dxa"/>
            <w:vAlign w:val="center"/>
            <w:textDirection w:val="lrTb"/>
            <w:noWrap/>
          </w:tcPr>
          <w:p w14:paraId="57EFDFD3">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537ED158">
            <w:pPr>
              <w:pBdr/>
              <w:spacing w:after="40" w:before="40" w:line="288" w:lineRule="auto"/>
              <w:ind/>
              <w:jc w:val="center"/>
              <w:rPr>
                <w:b/>
                <w:bCs/>
                <w:color w:val="000000"/>
              </w:rPr>
            </w:pPr>
            <w:r>
              <w:t xml:space="preserve">3.500.000.000</w:t>
            </w:r>
            <w:r>
              <w:rPr>
                <w:b/>
                <w:bCs/>
                <w:color w:val="000000"/>
              </w:rPr>
            </w:r>
            <w:r>
              <w:rPr>
                <w:b/>
                <w:bCs/>
                <w:color w:val="000000"/>
              </w:rPr>
            </w:r>
          </w:p>
        </w:tc>
      </w:tr>
      <w:tr>
        <w:trPr>
          <w:trHeight w:val="20"/>
        </w:trPr>
        <w:tc>
          <w:tcPr>
            <w:gridSpan w:val="5"/>
            <w:tcBorders/>
            <w:tcW w:w="9525" w:type="dxa"/>
            <w:vAlign w:val="center"/>
            <w:textDirection w:val="lrTb"/>
            <w:noWrap w:val="false"/>
          </w:tcPr>
          <w:p w14:paraId="038F0B52">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triệu đồng</w:t>
            </w:r>
            <w:r>
              <w:rPr>
                <w:b/>
                <w:bCs/>
                <w:i/>
                <w:iCs/>
                <w:color w:val="000000"/>
              </w:rPr>
              <w:t xml:space="preserve">./.)</w:t>
            </w:r>
            <w:r>
              <w:rPr>
                <w:b/>
                <w:bCs/>
                <w:i/>
                <w:iCs/>
                <w:color w:val="000000"/>
              </w:rPr>
            </w:r>
            <w:r>
              <w:rPr>
                <w:b/>
                <w:bCs/>
                <w:i/>
                <w:iCs/>
                <w:color w:val="000000"/>
              </w:rPr>
            </w:r>
          </w:p>
        </w:tc>
      </w:tr>
    </w:tbl>
    <w:p w14:paraId="1556E090" w14:textId="77777777">
      <w:pPr>
        <w:pStyle w:val="1025"/>
        <w:pBdr/>
        <w:tabs>
          <w:tab w:val="left" w:leader="none" w:pos="993"/>
        </w:tabs>
        <w:spacing w:after="120" w:before="120" w:line="276" w:lineRule="auto"/>
        <w:ind w:left="0"/>
        <w:jc w:val="both"/>
        <w:rPr/>
      </w:pPr>
      <w:r/>
      <w:r/>
    </w:p>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7B0B5C4A">
      <w:pPr>
        <w:pStyle w:val="1025"/>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14:paraId="699F9D9D" w14:textId="4418D349">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275/2025/1797/VFI-CT.63.A</w:t>
      </w:r>
      <w:r>
        <w:rPr>
          <w:color w:val="ff0000"/>
          <w:lang w:val="vi-VN"/>
        </w:rPr>
        <w:t xml:space="preserve"> </w:t>
      </w:r>
      <w:r>
        <w:rPr>
          <w:color w:val="000000" w:themeColor="text1"/>
        </w:rPr>
        <w:t xml:space="preserve">ngày 15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14:paraId="6415DD17"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275/2025/1798/VFI-BC.63.A</w:t>
      </w:r>
      <w:r>
        <w:rPr>
          <w:i/>
          <w:lang w:val="pt-BR"/>
        </w:rPr>
        <w:t xml:space="preserve"> </w:t>
      </w:r>
      <w:r>
        <w:rPr>
          <w:i/>
          <w:lang w:val="pt-BR"/>
        </w:rPr>
        <w:t xml:space="preserve">15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left"/>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5141" cy="218635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89768" name=""/>
                              <pic:cNvPicPr>
                                <a:picLocks noChangeAspect="1"/>
                              </pic:cNvPicPr>
                              <pic:nvPr/>
                            </pic:nvPicPr>
                            <pic:blipFill rotWithShape="1">
                              <a:blip r:embed="rId20"/>
                              <a:stretch/>
                            </pic:blipFill>
                            <pic:spPr bwMode="auto">
                              <a:xfrm flipH="0" flipV="0">
                                <a:off x="0" y="0"/>
                                <a:ext cx="2915141" cy="2186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54pt;height:172.1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2845" cy="210963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23591" name=""/>
                              <pic:cNvPicPr>
                                <a:picLocks noChangeAspect="1"/>
                              </pic:cNvPicPr>
                              <pic:nvPr/>
                            </pic:nvPicPr>
                            <pic:blipFill rotWithShape="1">
                              <a:blip r:embed="rId21"/>
                              <a:stretch/>
                            </pic:blipFill>
                            <pic:spPr bwMode="auto">
                              <a:xfrm flipH="0" flipV="0">
                                <a:off x="0" y="0"/>
                                <a:ext cx="2812844" cy="21096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48pt;height:166.11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275/2025/1798/VFI-BC.63.A</w:t>
      </w:r>
      <w:r>
        <w:rPr>
          <w:i/>
          <w:lang w:val="pt-BR"/>
        </w:rPr>
        <w:t xml:space="preserve"> </w:t>
      </w:r>
      <w:r>
        <w:rPr>
          <w:i/>
          <w:lang w:val="pt-BR"/>
        </w:rPr>
        <w:t xml:space="preserve">15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0982824256</w:t>
            </w:r>
            <w:r>
              <w:rPr>
                <w:sz w:val="22"/>
                <w:szCs w:val="22"/>
              </w:rPr>
              <w:t xml:space="preserve"> </w:t>
            </w:r>
            <w:r>
              <w:rPr>
                <w:sz w:val="22"/>
                <w:szCs w:val="22"/>
              </w:rPr>
              <w:br/>
              <w:t xml:space="preserve">(Lịch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5.706.000.000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5.135.400.000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(60 m²), Đất trồng cây lâu năm (130,2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 Đất trồng cây lâu năm – Có thời hạn (đến 14/10/2043, 18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Đoài Phương, Thành phố Hà Nội, cách đường Hồ Chí Minh khoảng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190,2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1614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2161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1.98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7903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9790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5.8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6977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1697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28.3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Chu Thế Hiển</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0982824256</w:t>
            </w:r>
            <w:r>
              <w:rPr>
                <w:sz w:val="22"/>
                <w:szCs w:val="22"/>
              </w:rPr>
              <w:t xml:space="preserve"> </w:t>
            </w:r>
            <w:r>
              <w:rPr>
                <w:sz w:val="22"/>
                <w:szCs w:val="22"/>
              </w:rPr>
              <w:br/>
              <w:t xml:space="preserve">(Lịch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(60 m²), Đất trồng cây lâu năm (65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 Đất trồng cây lâu năm – Có thời hạn (đến 14/10/2043, 18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Đoài Phương, Thành phố Hà Nội, cách đường Hồ Chí Minh khoảng 600m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375373" cy="253540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78198" name=""/>
                              <pic:cNvPicPr>
                                <a:picLocks noChangeAspect="1"/>
                              </pic:cNvPicPr>
                              <pic:nvPr/>
                            </pic:nvPicPr>
                            <pic:blipFill rotWithShape="1">
                              <a:blip r:embed="rId25"/>
                              <a:stretch/>
                            </pic:blipFill>
                            <pic:spPr bwMode="auto">
                              <a:xfrm flipH="0" flipV="0">
                                <a:off x="0" y="0"/>
                                <a:ext cx="3375372" cy="2535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5.78pt;height:199.64pt;mso-wrap-distance-left:0.00pt;mso-wrap-distance-top:0.00pt;mso-wrap-distance-right:0.00pt;mso-wrap-distance-bottom:0.00pt;z-index:1;" stroked="false">
                      <v:imagedata r:id="rId25" o:title=""/>
                      <o:lock v:ext="edit" rotation="t"/>
                    </v:shape>
                  </w:pict>
                </mc:Fallback>
              </mc:AlternateContent>
              <w:t xml:space="preserve"> </w:t>
            </w:r>
            <w:r>
              <w:rPr>
                <w:highlight w:val="none"/>
              </w:rPr>
            </w:r>
            <w:r>
              <w:rPr>
                <w:highlight w:val="none"/>
              </w:rPr>
            </w:r>
          </w:p>
          <w:p w14:paraId="6DEA4E94">
            <w:pPr>
              <w:pBdr/>
              <w:spacing w:line="276" w:lineRule="auto"/>
              <w:ind/>
              <w:rPr>
                <w:highlight w:val="none"/>
              </w:rPr>
            </w:pPr>
            <w:r>
              <w:rPr>
                <w:highlight w:val="none"/>
              </w:rPr>
            </w:r>
            <w:r>
              <w:rPr>
                <w:highlight w:val="none"/>
              </w:rPr>
            </w:r>
            <w:r>
              <w:rPr>
                <w:highlight w:val="none"/>
              </w:rPr>
            </w:r>
          </w:p>
          <w:p w14:paraId="49D2602B">
            <w:pPr>
              <w:pBdr/>
              <w:spacing w:line="276" w:lineRule="auto"/>
              <w:ind/>
              <w:rPr>
                <w:highlight w:val="none"/>
              </w:rPr>
            </w:pPr>
            <w:r>
              <w:rPr>
                <w:highlight w:val="none"/>
              </w:rPr>
            </w:r>
            <w:r>
              <mc:AlternateContent>
                <mc:Choice Requires="wpg">
                  <w:drawing>
                    <wp:inline xmlns:wp="http://schemas.openxmlformats.org/drawingml/2006/wordprocessingDrawing" distT="0" distB="0" distL="0" distR="0">
                      <wp:extent cx="3642030" cy="204098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49801" name=""/>
                              <pic:cNvPicPr>
                                <a:picLocks noChangeAspect="1"/>
                              </pic:cNvPicPr>
                              <pic:nvPr/>
                            </pic:nvPicPr>
                            <pic:blipFill rotWithShape="1">
                              <a:blip r:embed="rId26"/>
                              <a:stretch/>
                            </pic:blipFill>
                            <pic:spPr bwMode="auto">
                              <a:xfrm flipH="0" flipV="0">
                                <a:off x="0" y="0"/>
                                <a:ext cx="3642030" cy="2040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6.77pt;height:160.71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14:paraId="4D05D809">
            <w:pPr>
              <w:pBdr/>
              <w:spacing w:line="276" w:lineRule="auto"/>
              <w:ind/>
              <w:rPr>
                <w:highlight w:val="none"/>
              </w:rPr>
            </w:pPr>
            <w:r>
              <w:rPr>
                <w:highlight w:val="none"/>
              </w:rPr>
            </w:r>
            <w:r>
              <w:rPr>
                <w:highlight w:val="none"/>
              </w:rPr>
            </w:r>
            <w:r>
              <w:rPr>
                <w:highlight w:val="none"/>
              </w:rPr>
            </w:r>
          </w:p>
          <w:p w14:paraId="2A49E90F">
            <w:pPr>
              <w:pBdr/>
              <w:spacing w:line="276" w:lineRule="auto"/>
              <w:ind/>
              <w:rPr>
                <w:highlight w:val="none"/>
              </w:rPr>
            </w:pPr>
            <w:r>
              <w:rPr>
                <w:highlight w:val="none"/>
              </w:rPr>
            </w:r>
            <w:r>
              <mc:AlternateContent>
                <mc:Choice Requires="wpg">
                  <w:drawing>
                    <wp:inline xmlns:wp="http://schemas.openxmlformats.org/drawingml/2006/wordprocessingDrawing" distT="0" distB="0" distL="0" distR="0">
                      <wp:extent cx="3321390" cy="447712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14574" name=""/>
                              <pic:cNvPicPr>
                                <a:picLocks noChangeAspect="1"/>
                              </pic:cNvPicPr>
                              <pic:nvPr/>
                            </pic:nvPicPr>
                            <pic:blipFill rotWithShape="1">
                              <a:blip r:embed="rId27"/>
                              <a:stretch/>
                            </pic:blipFill>
                            <pic:spPr bwMode="auto">
                              <a:xfrm flipH="0" flipV="0">
                                <a:off x="0" y="0"/>
                                <a:ext cx="3321389" cy="4477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1.53pt;height:352.53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14:paraId="36DBCD60">
            <w:pPr>
              <w:pBdr/>
              <w:spacing w:line="276" w:lineRule="auto"/>
              <w:ind/>
              <w:rPr>
                <w:color w:val="000000"/>
                <w:sz w:val="22"/>
                <w:szCs w:val="22"/>
              </w:rPr>
            </w:pPr>
            <w:r>
              <w:rPr>
                <w:highlight w:val="none"/>
              </w:rPr>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Chu Thế Hiển</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https://www.facebook.com/photo?fbid=4320135964974022&amp;set=gm.2126751168061822&amp;idorvanity=977996839603933</w:t>
            </w:r>
            <w:r>
              <w:rPr>
                <w:color w:val="000000" w:themeColor="text1"/>
                <w:sz w:val="22"/>
                <w:szCs w:val="22"/>
              </w:rPr>
              <w:br/>
            </w:r>
            <w:r>
              <w:rPr>
                <w:sz w:val="22"/>
                <w:szCs w:val="22"/>
              </w:rPr>
              <w:t xml:space="preserve">SĐT: </w:t>
            </w:r>
            <w:r>
              <w:rPr>
                <w:color w:val="000000" w:themeColor="text1"/>
                <w:sz w:val="22"/>
                <w:szCs w:val="22"/>
              </w:rPr>
              <w:t xml:space="preserve">0966.060.395</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5.022.000.000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4.519.800.000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(90 m²), Đất trồng cây lâu năm (71,9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 Đất trồng cây lâu năm – Có thời hạn (đến 14/10/2043, 18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Đoài Phương, Thành phố Hà Nội, cách đường Hồ Chí Minh khoảng 1500m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161,9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33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4515" cy="285875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464514" cy="2858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0.28pt;height:225.1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4213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1421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26.1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9508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1950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0.3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Chu Thế Hiển</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636C4442">
      <w:pPr>
        <w:pBdr/>
        <w:spacing w:after="200" w:line="276" w:lineRule="auto"/>
        <w:ind/>
        <w:rPr>
          <w:lang w:val="pt-BR"/>
        </w:rPr>
      </w:pPr>
      <w:r>
        <w:rPr>
          <w:iCs/>
          <w:lang w:val="pt-BR"/>
        </w:rPr>
      </w:r>
      <w:r>
        <w:rPr>
          <w:lang w:val="pt-BR"/>
        </w:rPr>
      </w:r>
      <w:r>
        <w:rPr>
          <w:lang w:val="pt-BR"/>
        </w:rPr>
      </w:r>
    </w:p>
    <w:p w14:paraId="0EAB1557">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Phiếu khảo sát </w:t>
      </w:r>
      <w:r>
        <w:rPr>
          <w:b/>
          <w:bCs/>
          <w:iCs/>
          <w:highlight w:val="none"/>
          <w:lang w:val="pt-BR"/>
        </w:rPr>
      </w:r>
      <w:r>
        <w:rPr>
          <w:b/>
          <w:bCs/>
          <w:iCs/>
          <w:highlight w:val="none"/>
          <w:lang w:val="pt-BR"/>
        </w:rPr>
      </w:r>
    </w:p>
    <w:p w14:paraId="53966D7C">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14232"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2025-12-15T08:09:11Z</dcterms:modified>
</cp:coreProperties>
</file>