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161335</wp:posOffset>
                </wp:positionH>
                <wp:positionV relativeFrom="paragraph">
                  <wp:posOffset>157072</wp:posOffset>
                </wp:positionV>
                <wp:extent cx="5467350" cy="37826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826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67C970FA">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C54B51B">
                            <w:pPr>
                              <w:pBdr/>
                              <w:spacing w:after="120" w:before="120" w:line="276" w:lineRule="auto"/>
                              <w:ind/>
                              <w:jc w:val="center"/>
                              <w:rPr>
                                <w:b/>
                              </w:rPr>
                            </w:pPr>
                            <w:r>
                              <w:rPr>
                                <w:b/>
                              </w:rPr>
                              <w:t xml:space="preserve">Số: </w:t>
                            </w:r>
                            <w:r>
                              <w:rPr>
                                <w:b/>
                                <w:color w:val="000000" w:themeColor="text1"/>
                              </w:rPr>
                              <w:t xml:space="preserve">275/2025/1741/VFI-CT.39A</w:t>
                            </w:r>
                            <w:r>
                              <w:rPr>
                                <w:b/>
                              </w:rPr>
                            </w:r>
                            <w:r>
                              <w:rPr>
                                <w:b/>
                              </w:rPr>
                            </w:r>
                          </w:p>
                          <w:p w14:paraId="28319BC7">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Trần Thị Thanh Hằng</w:t>
                            </w:r>
                            <w:r>
                              <w:rPr>
                                <w:rFonts w:ascii="Times New Roman Bold" w:hAnsi="Times New Roman Bold"/>
                                <w:b/>
                                <w:lang w:val="pt-BR"/>
                              </w:rPr>
                            </w:r>
                            <w:r>
                              <w:rPr>
                                <w:rFonts w:ascii="Times New Roman Bold" w:hAnsi="Times New Roman Bold"/>
                                <w:b/>
                                <w:lang w:val="pt-BR"/>
                              </w:rPr>
                            </w:r>
                          </w:p>
                          <w:p w14:paraId="64D35FC1">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530, tờ bản đồ số 2 (SĐN), P14-Q8 có địa chỉ: 161/1/90 Nguyễn Duy, phường 14, quận 8, Thành phố Hồ Chí Minh (Nay là Phường Phú Định, thành phố Hồ Chí Minh) theo Giấ</w:t>
                            </w:r>
                            <w:r>
                              <w:rPr>
                                <w:color w:val="000000"/>
                              </w:rPr>
                              <w:t xml:space="preserve">y chứng nhận quyền sở hữu nhà ở và quyền sử dụng đất ở số: 70115270143, Hồ sơ gốc số: 00308/2002 do Ủy ban Nhân dân Quận 8, thành phố Hồ Chí Minh cấp ngày 28/6/2002; Chủ sử dụng đất là Bà Trần Thị Thanh Hằng cùng sở hữu với Ông Jack Ja Sakry và trẻ Marinna</w:t>
                            </w:r>
                            <w:r>
                              <w:rPr>
                                <w:bCs/>
                                <w:i/>
                                <w:iCs/>
                              </w:rPr>
                              <w:t xml:space="preserve">.</w:t>
                            </w:r>
                            <w:r>
                              <w:rPr>
                                <w:bCs/>
                                <w:i/>
                                <w:iCs/>
                              </w:rPr>
                            </w:r>
                            <w:r>
                              <w:rPr>
                                <w:bCs/>
                                <w:i/>
                                <w:iCs/>
                              </w:rPr>
                            </w:r>
                          </w:p>
                          <w:p w14:paraId="3ADFD2EC">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BFFD2AB">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2.70pt;mso-position-horizontal:absolute;mso-position-vertical-relative:text;margin-top:12.37pt;mso-position-vertical:absolute;width:430.50pt;height:297.85pt;mso-wrap-distance-left:9.00pt;mso-wrap-distance-top:0.00pt;mso-wrap-distance-right:9.00pt;mso-wrap-distance-bottom:0.00pt;v-text-anchor:top;visibility:visible;" fillcolor="#FFFFFF" strokecolor="#16355B" strokeweight="2.50pt">
                <v:textbox inset="0,0,0,0">
                  <w:txbxContent>
                    <w:p w14:paraId="67C970FA">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2C54B51B">
                      <w:pPr>
                        <w:pBdr/>
                        <w:spacing w:after="120" w:before="120" w:line="276" w:lineRule="auto"/>
                        <w:ind/>
                        <w:jc w:val="center"/>
                        <w:rPr>
                          <w:b/>
                        </w:rPr>
                      </w:pPr>
                      <w:r>
                        <w:rPr>
                          <w:b/>
                        </w:rPr>
                        <w:t xml:space="preserve">Số: </w:t>
                      </w:r>
                      <w:r>
                        <w:rPr>
                          <w:b/>
                          <w:color w:val="000000" w:themeColor="text1"/>
                        </w:rPr>
                        <w:t xml:space="preserve">275/2025/1741/VFI-CT.39A</w:t>
                      </w:r>
                      <w:r>
                        <w:rPr>
                          <w:b/>
                        </w:rPr>
                      </w:r>
                      <w:r>
                        <w:rPr>
                          <w:b/>
                        </w:rPr>
                      </w:r>
                    </w:p>
                    <w:p w14:paraId="28319BC7">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Trần Thị Thanh Hằng</w:t>
                      </w:r>
                      <w:r>
                        <w:rPr>
                          <w:rFonts w:ascii="Times New Roman Bold" w:hAnsi="Times New Roman Bold"/>
                          <w:b/>
                          <w:lang w:val="pt-BR"/>
                        </w:rPr>
                      </w:r>
                      <w:r>
                        <w:rPr>
                          <w:rFonts w:ascii="Times New Roman Bold" w:hAnsi="Times New Roman Bold"/>
                          <w:b/>
                          <w:lang w:val="pt-BR"/>
                        </w:rPr>
                      </w:r>
                    </w:p>
                    <w:p w14:paraId="64D35FC1">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và tài sản gắn liền với đất tại thửa đất số: 530, tờ bản đồ số 2 (SĐN), P14-Q8 có địa chỉ: 161/1/90 Nguyễn Duy, phường 14, quận 8, Thành phố Hồ Chí Minh (Nay là Phường Phú Định, thành phố Hồ Chí Minh) theo Giấ</w:t>
                      </w:r>
                      <w:r>
                        <w:rPr>
                          <w:color w:val="000000"/>
                        </w:rPr>
                        <w:t xml:space="preserve">y chứng nhận quyền sở hữu nhà ở và quyền sử dụng đất ở số: 70115270143, Hồ sơ gốc số: 00308/2002 do Ủy ban Nhân dân Quận 8, thành phố Hồ Chí Minh cấp ngày 28/6/2002; Chủ sử dụng đất là Bà Trần Thị Thanh Hằng cùng sở hữu với Ông Jack Ja Sakry và trẻ Marinna</w:t>
                      </w:r>
                      <w:r>
                        <w:rPr>
                          <w:bCs/>
                          <w:i/>
                          <w:iCs/>
                        </w:rPr>
                        <w:t xml:space="preserve">.</w:t>
                      </w:r>
                      <w:r>
                        <w:rPr>
                          <w:bCs/>
                          <w:i/>
                          <w:iCs/>
                        </w:rPr>
                      </w:r>
                      <w:r>
                        <w:rPr>
                          <w:bCs/>
                          <w:i/>
                          <w:iCs/>
                        </w:rPr>
                      </w:r>
                    </w:p>
                    <w:p w14:paraId="3ADFD2EC">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0BFFD2AB">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4-23</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31"/>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24</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31"/>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25-30</w:t>
            </w:r>
            <w:r>
              <w:rPr>
                <w:b/>
                <w:bCs/>
              </w:rPr>
            </w:r>
            <w:r>
              <w:rPr>
                <w:b/>
                <w:bCs/>
              </w:rPr>
            </w:r>
          </w:p>
        </w:tc>
      </w:tr>
    </w:tbl>
    <w:p w14:paraId="65E8110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30"/>
              <w:pBdr/>
              <w:spacing w:after="60" w:before="200"/>
              <w:ind/>
              <w:rPr>
                <w:rStyle w:val="1029"/>
                <w:rFonts w:ascii="Times New Roman" w:hAnsi="Times New Roman"/>
                <w:color w:val="auto"/>
                <w:lang w:val="pt-BR"/>
              </w:rPr>
            </w:pPr>
            <w:r>
              <w:rPr>
                <w:rFonts w:ascii="Times New Roman" w:hAnsi="Times New Roman"/>
                <w:color w:val="auto"/>
                <w:lang w:val="pt-BR"/>
              </w:rPr>
            </w:r>
            <w:r>
              <w:rPr>
                <w:rStyle w:val="1029"/>
                <w:rFonts w:ascii="Times New Roman" w:hAnsi="Times New Roman"/>
                <w:color w:val="auto"/>
                <w:lang w:val="pt-BR"/>
              </w:rPr>
            </w:r>
            <w:r>
              <w:rPr>
                <w:rStyle w:val="1029"/>
                <w:rFonts w:ascii="Times New Roman" w:hAnsi="Times New Roman"/>
                <w:color w:val="auto"/>
                <w:lang w:val="pt-BR"/>
              </w:rPr>
            </w:r>
          </w:p>
          <w:p w14:paraId="189019A0" w14:textId="50D2DFCA">
            <w:pPr>
              <w:pStyle w:val="1030"/>
              <w:pBdr/>
              <w:spacing w:after="60" w:before="200"/>
              <w:ind/>
              <w:rPr>
                <w:sz w:val="24"/>
                <w:szCs w:val="24"/>
              </w:rPr>
            </w:pPr>
            <w:r>
              <w:rPr>
                <w:rStyle w:val="1029"/>
                <w:rFonts w:ascii="Times New Roman" w:hAnsi="Times New Roman"/>
                <w:color w:val="auto"/>
                <w:lang w:val="pt-BR"/>
              </w:rPr>
              <w:t xml:space="preserve">Số:</w:t>
            </w:r>
            <w:r>
              <w:rPr>
                <w:rStyle w:val="1029"/>
                <w:rFonts w:ascii="Times New Roman" w:hAnsi="Times New Roman"/>
                <w:color w:val="auto"/>
                <w:lang w:val="pt-BR"/>
              </w:rPr>
              <w:t xml:space="preserve"> </w:t>
            </w:r>
            <w:r>
              <w:rPr>
                <w:rStyle w:val="1029"/>
                <w:rFonts w:ascii="Times New Roman" w:hAnsi="Times New Roman"/>
                <w:color w:val="000000" w:themeColor="text1"/>
                <w:lang w:val="pt-BR"/>
              </w:rPr>
              <w:t xml:space="preserve">275/2025/1741/VFI-CT.39A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30"/>
              <w:pBdr/>
              <w:spacing w:after="60" w:before="20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6B33CD77" w14:textId="29BAA06D">
            <w:pPr>
              <w:pStyle w:val="1030"/>
              <w:pBdr/>
              <w:spacing w:after="60" w:before="200"/>
              <w:ind w:right="-56"/>
              <w:jc w:val="right"/>
              <w:rPr>
                <w:sz w:val="24"/>
                <w:szCs w:val="24"/>
                <w:lang w:val="vi-VN"/>
              </w:rPr>
            </w:pPr>
            <w:r>
              <w:rPr>
                <w:rStyle w:val="1029"/>
                <w:rFonts w:ascii="Times New Roman" w:hAnsi="Times New Roman"/>
                <w:i/>
                <w:color w:val="auto"/>
              </w:rPr>
              <w:t xml:space="preserve">TP.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30"/>
        <w:pBdr/>
        <w:spacing w:after="120" w:before="200" w:line="288" w:lineRule="auto"/>
        <w:ind/>
        <w:jc w:val="center"/>
        <w:rPr>
          <w:rStyle w:val="1029"/>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Trần Thị Thanh Hằng</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275/2025/1741/VFI-HĐTĐ.39A</w:t>
      </w:r>
      <w:r>
        <w:rPr>
          <w:spacing w:val="-4"/>
          <w:lang w:val="vi-VN"/>
        </w:rPr>
        <w:t xml:space="preserve"> ký ngày </w:t>
      </w:r>
      <w:r>
        <w:rPr>
          <w:color w:val="000000" w:themeColor="text1"/>
          <w:spacing w:val="-4"/>
        </w:rPr>
        <w:t xml:space="preserve">4 tháng 12 năm 2025</w:t>
      </w:r>
      <w:r>
        <w:rPr>
          <w:spacing w:val="-4"/>
          <w:lang w:val="vi-VN"/>
        </w:rPr>
        <w:t xml:space="preserve"> </w:t>
      </w:r>
      <w:r>
        <w:rPr>
          <w:spacing w:val="-4"/>
          <w:lang w:val="vi-VN"/>
        </w:rPr>
        <w:t xml:space="preserve">giữa </w:t>
      </w:r>
      <w:r>
        <w:rPr>
          <w:color w:val="000000" w:themeColor="text1"/>
          <w:spacing w:val="-4"/>
        </w:rPr>
        <w:t xml:space="preserve">Trần Thị Thanh Hằng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275/2025/1741/VFI-BC.39A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Trần Thị Thanh Hằng</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079168012224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w:t>
            </w:r>
            <w:r>
              <w:rPr>
                <w:b/>
                <w:bCs/>
                <w:lang w:val="vi-VN"/>
              </w:rPr>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530, tờ bản đồ số 2 (SĐN), P14-Q8 có địa chỉ: 161/1/90 Nguyễn Duy, phường 14, quận 8, Thành phố Hồ Chí Minh (Nay là Phường Phú Định, thành phố Hồ Chí Minh) theo Giấ</w:t>
      </w:r>
      <w:r>
        <w:rPr>
          <w:color w:val="000000" w:themeColor="text1"/>
        </w:rPr>
        <w:t xml:space="preserve">y chứng nhận quyền sở hữu nhà ở và quyền sử dụng đất ở số: 70115270143, Hồ sơ gốc số: 00308/2002 do Ủy ban Nhân dân Quận 8, thành phố Hồ Chí Minh cấp ngày 28/6/2002; Chủ sử dụng đất là Bà Trần Thị Thanh Hằng cùng sở hữu với Ông Jack Ja Sakry và trẻ Marinna</w:t>
      </w:r>
      <w:r>
        <w:rPr>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2"/>
        <w:gridCol w:w="2718"/>
        <w:gridCol w:w="1515"/>
        <w:gridCol w:w="1547"/>
        <w:gridCol w:w="1121"/>
        <w:gridCol w:w="183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68ED70D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18" w:type="dxa"/>
            <w:vAlign w:val="center"/>
            <w:textDirection w:val="lrTb"/>
            <w:noWrap w:val="false"/>
          </w:tcPr>
          <w:p w14:paraId="1DEE75B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14:paraId="60ACB00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7" w:type="dxa"/>
            <w:vAlign w:val="center"/>
            <w:textDirection w:val="lrTb"/>
            <w:noWrap w:val="false"/>
          </w:tcPr>
          <w:p w14:paraId="782119E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14:paraId="6A460E6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156D902A">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29C727C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val="false"/>
          </w:tcPr>
          <w:p w14:paraId="6B4E28C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pPr>
            <w:r>
              <w:rPr>
                <w:rFonts w:ascii="Times New Roman" w:hAnsi="Times New Roman" w:eastAsia="Times New Roman" w:cs="Times New Roman"/>
                <w:b/>
                <w:color w:val="000000"/>
                <w:sz w:val="24"/>
              </w:rPr>
              <w:t xml:space="preserve">Quyền sử dụng đất và tài sản gắn liền với đất tại thửa đất số: 530</w:t>
            </w:r>
            <w:r>
              <w:rPr>
                <w:rFonts w:ascii="Times New Roman" w:hAnsi="Times New Roman" w:eastAsia="Times New Roman" w:cs="Times New Roman"/>
                <w:b/>
                <w:color w:val="000000"/>
                <w:sz w:val="24"/>
              </w:rPr>
              <w:t xml:space="preserve">, tờ bản đồ số 2 (SĐN), P14-Q8 có địa chỉ: 161/1/90 Nguyễn Duy, phường 14, quận 8, Thành phố Hồ Chí Minh (Nay là Phường Phú Định, thành phố Hồ Chí Minh) theo Giấy chứng nhận quyền sở hữu nhà ở và quyền sử dụng đất ở số:</w:t>
            </w:r>
            <w:r>
              <w:rPr>
                <w:rFonts w:ascii="Times New Roman" w:hAnsi="Times New Roman" w:eastAsia="Times New Roman" w:cs="Times New Roman"/>
                <w:b/>
                <w:color w:val="000000"/>
                <w:sz w:val="24"/>
              </w:rPr>
              <w:t xml:space="preserve"> 70115270143, Hồ sơ gốc số: 00308/2002 do Ủy ban Nhân dân Quận 8, thành phố Hồ Chí Minh cấp ngày 28/6/2002; Chủ sử dụng đất là Bà Trần Thị Thanh Hằng cùng sở hữu với Ông Jack Ja Sakry và trẻ Marinna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53D8E4E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25946AA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8" w:type="dxa"/>
            <w:vAlign w:val="center"/>
            <w:textDirection w:val="lrTb"/>
            <w:noWrap w:val="false"/>
          </w:tcPr>
          <w:p w14:paraId="375BD998">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Quyền sử dụng đất ở</w:t>
            </w:r>
            <w:r/>
          </w:p>
        </w:tc>
        <w:tc>
          <w:tcPr>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14:paraId="1F8C3BB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102,1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7" w:type="dxa"/>
            <w:vAlign w:val="center"/>
            <w:textDirection w:val="lrTb"/>
            <w:noWrap w:val="false"/>
          </w:tcPr>
          <w:p w14:paraId="0F9D3A7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14:paraId="0CDCC16C">
            <w:pPr>
              <w:pBdr/>
              <w:spacing w:after="0" w:before="0" w:line="240"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4DD14A1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4.084.000.000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7EEB41AE">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718" w:type="dxa"/>
            <w:vAlign w:val="center"/>
            <w:textDirection w:val="lrTb"/>
            <w:noWrap w:val="false"/>
          </w:tcPr>
          <w:p w14:paraId="61C6B895">
            <w:pPr>
              <w:pBdr>
                <w:top w:val="none" w:color="000000" w:sz="4" w:space="0"/>
                <w:left w:val="none" w:color="000000" w:sz="4" w:space="0"/>
                <w:bottom w:val="none" w:color="000000" w:sz="4" w:space="0"/>
                <w:right w:val="none" w:color="000000" w:sz="4" w:space="0"/>
              </w:pBdr>
              <w:shd w:val="clear" w:color="ffffff" w:fill="ffffff"/>
              <w:spacing w:after="0"/>
              <w:ind w:right="0" w:firstLine="0" w:left="0"/>
              <w:rPr/>
            </w:pPr>
            <w:r>
              <w:rPr>
                <w:rFonts w:ascii="Times New Roman" w:hAnsi="Times New Roman" w:eastAsia="Times New Roman" w:cs="Times New Roman"/>
                <w:color w:val="000000"/>
                <w:sz w:val="24"/>
              </w:rPr>
              <w:t xml:space="preserve">Nhà ở</w:t>
            </w:r>
            <w:r/>
          </w:p>
        </w:tc>
        <w:tc>
          <w:tcPr>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14:paraId="5E82441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         47,7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47" w:type="dxa"/>
            <w:vAlign w:val="center"/>
            <w:textDirection w:val="lrTb"/>
            <w:noWrap w:val="false"/>
          </w:tcPr>
          <w:p w14:paraId="3AE273F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5.014.342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14:paraId="571A6AB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15B3E5F7">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pPr>
            <w:r>
              <w:rPr>
                <w:rFonts w:ascii="Times New Roman" w:hAnsi="Times New Roman" w:eastAsia="Times New Roman" w:cs="Times New Roman"/>
                <w:color w:val="000000"/>
                <w:sz w:val="24"/>
              </w:rPr>
              <w:t xml:space="preserve">119.592.052</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452" w:type="dxa"/>
            <w:vAlign w:val="center"/>
            <w:textDirection w:val="lrTb"/>
            <w:noWrap/>
          </w:tcPr>
          <w:p w14:paraId="0623E41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tcPr>
          <w:p w14:paraId="3131D390">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4"/>
              </w:rPr>
              <w:t xml:space="preserve">4.203.592.052</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452" w:type="dxa"/>
            <w:vAlign w:val="center"/>
            <w:textDirection w:val="lrTb"/>
            <w:noWrap/>
          </w:tcPr>
          <w:p w14:paraId="4C10D832">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tcPr>
          <w:p w14:paraId="33BD6025">
            <w:pPr>
              <w:pBdr>
                <w:top w:val="none" w:color="000000" w:sz="4" w:space="0"/>
                <w:left w:val="none" w:color="000000" w:sz="4" w:space="0"/>
                <w:bottom w:val="none" w:color="000000" w:sz="4" w:space="0"/>
                <w:right w:val="none" w:color="000000" w:sz="4" w:space="0"/>
              </w:pBdr>
              <w:spacing w:after="0"/>
              <w:ind w:right="0" w:firstLine="0" w:left="0"/>
              <w:jc w:val="right"/>
              <w:rPr/>
            </w:pPr>
            <w:r>
              <w:rPr>
                <w:rFonts w:ascii="Times New Roman" w:hAnsi="Times New Roman" w:eastAsia="Times New Roman" w:cs="Times New Roman"/>
                <w:b/>
                <w:color w:val="000000"/>
                <w:sz w:val="24"/>
              </w:rPr>
              <w:t xml:space="preserve">4.203.000.000</w:t>
            </w: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283" w:type="dxa"/>
            <w:vAlign w:val="center"/>
            <w:textDirection w:val="lrTb"/>
            <w:noWrap w:val="false"/>
          </w:tcPr>
          <w:p w14:paraId="06812FD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i/>
                <w:color w:val="000000"/>
                <w:sz w:val="24"/>
              </w:rPr>
              <w:t xml:space="preserve">(Bằng chữ: Bốn tỷ hai trăm linh ba triệu đồng chẵn ./.)</w:t>
            </w: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30"/>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30"/>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275/2025/1741/VFI-BC.39A</w:t>
            </w:r>
            <w:r>
              <w:rPr>
                <w:sz w:val="24"/>
                <w:szCs w:val="24"/>
              </w:rPr>
            </w:r>
            <w:r>
              <w:rPr>
                <w:sz w:val="24"/>
                <w:szCs w:val="24"/>
              </w:rPr>
            </w:r>
          </w:p>
        </w:tc>
        <w:tc>
          <w:tcPr>
            <w:tcBorders/>
            <w:tcW w:w="4781" w:type="dxa"/>
            <w:textDirection w:val="lrTb"/>
            <w:noWrap w:val="false"/>
          </w:tcPr>
          <w:p w14:paraId="4E249833" w14:textId="77777777">
            <w:pPr>
              <w:pStyle w:val="1030"/>
              <w:pBdr/>
              <w:tabs>
                <w:tab w:val="left" w:leader="none" w:pos="5103"/>
              </w:tabs>
              <w:spacing w:before="100" w:line="360" w:lineRule="auto"/>
              <w:ind/>
              <w:jc w:val="right"/>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p w14:paraId="1C1E2870" w14:textId="207F25D6">
            <w:pPr>
              <w:pStyle w:val="1030"/>
              <w:pBdr/>
              <w:tabs>
                <w:tab w:val="left" w:leader="none" w:pos="5103"/>
              </w:tabs>
              <w:spacing w:before="100" w:line="360" w:lineRule="auto"/>
              <w:ind/>
              <w:jc w:val="right"/>
              <w:rPr>
                <w:i/>
                <w:iCs/>
                <w:sz w:val="24"/>
                <w:szCs w:val="24"/>
              </w:rPr>
            </w:pPr>
            <w:r>
              <w:rPr>
                <w:rStyle w:val="1029"/>
                <w:rFonts w:ascii="Times New Roman" w:hAnsi="Times New Roman"/>
                <w:i/>
                <w:color w:val="auto"/>
              </w:rPr>
              <w:t xml:space="preserve">TP</w:t>
            </w:r>
            <w:r>
              <w:rPr>
                <w:rStyle w:val="1029"/>
                <w:rFonts w:ascii="Times New Roman" w:hAnsi="Times New Roman"/>
                <w:color w:val="auto"/>
              </w:rPr>
              <w:t xml:space="preserve">. </w:t>
            </w:r>
            <w:r>
              <w:rPr>
                <w:rStyle w:val="1029"/>
                <w:rFonts w:ascii="Times New Roman" w:hAnsi="Times New Roman"/>
                <w:i/>
                <w:color w:val="auto"/>
              </w:rPr>
              <w:t xml:space="preserve">Hà Nội</w:t>
            </w:r>
            <w:r>
              <w:rPr>
                <w:rStyle w:val="1029"/>
                <w:rFonts w:ascii="Times New Roman" w:hAnsi="Times New Roman"/>
                <w:i/>
                <w:color w:val="auto"/>
                <w:lang w:val="vi-VN"/>
              </w:rPr>
              <w:t xml:space="preserve">, </w:t>
            </w:r>
            <w:r>
              <w:rPr>
                <w:i/>
                <w:iCs/>
                <w:color w:val="000000" w:themeColor="text1"/>
                <w:sz w:val="24"/>
                <w:szCs w:val="24"/>
                <w:lang w:val="pt-BR"/>
              </w:rPr>
              <w:t xml:space="preserve">ngày 9 tháng 12 năm 2025</w:t>
            </w:r>
            <w:r>
              <w:rPr>
                <w:rStyle w:val="1029"/>
                <w:rFonts w:ascii="Times New Roman" w:hAnsi="Times New Roman"/>
                <w:i/>
                <w:color w:val="auto"/>
                <w:lang w:val="vi-VN"/>
              </w:rPr>
              <w:t xml:space="preserve">   </w:t>
            </w:r>
            <w:r>
              <w:rPr>
                <w:rStyle w:val="1029"/>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30"/>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275/2025/1741/VFI-CT.39A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BT5-23 Khu đô thị mới Văn Phú, phường Phú La, quận Hà Đông,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w:t>
            </w:r>
            <w:r>
              <w:rPr>
                <w:b/>
                <w:bCs/>
                <w:lang w:val="vi-VN"/>
              </w:rPr>
            </w:r>
            <w:r>
              <w:rPr>
                <w:b/>
                <w:bCs/>
                <w:lang w:val="vi-VN"/>
              </w:rPr>
            </w:r>
          </w:p>
        </w:tc>
      </w:tr>
    </w:tbl>
    <w:p w14:paraId="621972A2" w14:textId="7EAC10D2">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00F53C2">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66521BF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00EEA38">
            <w:pPr>
              <w:pBdr/>
              <w:spacing/>
              <w:ind/>
              <w:rPr/>
            </w:pPr>
            <w:r>
              <w:rPr>
                <w:b/>
                <w:bCs/>
              </w:rPr>
              <w:t xml:space="preserve">Trần Thị Thanh Hằng</w:t>
            </w:r>
            <w:r/>
          </w:p>
        </w:tc>
      </w:tr>
      <w:tr>
        <w:trPr>
          <w:trHeight w:val="20"/>
        </w:trPr>
        <w:tc>
          <w:tcPr>
            <w:tcBorders/>
            <w:tcW w:w="2518" w:type="dxa"/>
            <w:vAlign w:val="center"/>
            <w:textDirection w:val="lrTb"/>
            <w:noWrap w:val="false"/>
          </w:tcPr>
          <w:p w14:paraId="632B0EC2">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14:paraId="569C57B6">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B9DEF43">
            <w:pPr>
              <w:pBdr/>
              <w:spacing w:after="40" w:before="40" w:line="276" w:lineRule="auto"/>
              <w:ind/>
              <w:jc w:val="both"/>
              <w:rPr>
                <w:color w:val="ff0000"/>
                <w:lang w:val="pt-BR"/>
              </w:rPr>
            </w:pPr>
            <w:r>
              <w:rPr>
                <w:color w:val="000000" w:themeColor="text1"/>
                <w:lang w:val="vi-VN"/>
              </w:rPr>
              <w:t xml:space="preserve">079168012224</w:t>
            </w:r>
            <w:r>
              <w:rPr>
                <w:color w:val="ff0000"/>
                <w:lang w:val="pt-BR"/>
              </w:rPr>
            </w:r>
            <w:r>
              <w:rPr>
                <w:color w:val="ff0000"/>
                <w:lang w:val="pt-BR"/>
              </w:rPr>
            </w:r>
          </w:p>
        </w:tc>
      </w:tr>
      <w:tr>
        <w:trPr>
          <w:trHeight w:val="20"/>
        </w:trPr>
        <w:tc>
          <w:tcPr>
            <w:tcBorders/>
            <w:tcW w:w="2518" w:type="dxa"/>
            <w:vAlign w:val="center"/>
            <w:textDirection w:val="lrTb"/>
            <w:noWrap w:val="false"/>
          </w:tcPr>
          <w:p w14:paraId="67CC195F">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14:paraId="4F2082A4">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153F80FF">
            <w:pPr>
              <w:pBdr/>
              <w:spacing w:after="40" w:before="40" w:line="276" w:lineRule="auto"/>
              <w:ind/>
              <w:jc w:val="both"/>
              <w:rPr>
                <w:color w:val="ff0000"/>
                <w:lang w:val="pt-BR"/>
              </w:rPr>
            </w:pPr>
            <w:r>
              <w:rPr>
                <w:color w:val="000000" w:themeColor="text1"/>
                <w:lang w:val="vi-VN"/>
              </w:rPr>
              <w:t xml:space="preserve">1968</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530, tờ bản đồ số 2 (SĐN), P14-Q8 có địa chỉ: 161/1/90 Nguyễn Duy, phường 14, quận 8, Thành phố Hồ Chí Minh (Nay là Phường Phú Định, thành phố Hồ Chí Minh) theo Giấ</w:t>
            </w:r>
            <w:r>
              <w:rPr>
                <w:bCs/>
                <w:color w:val="000000" w:themeColor="text1"/>
                <w:lang w:val="pt-BR"/>
              </w:rPr>
              <w:t xml:space="preserve">y chứng nhận quyền sở hữu nhà ở và quyền sử dụng đất ở số: 70115270143, Hồ sơ gốc số: 00308/2002 do Ủy ban Nhân dân Quận 8, thành phố Hồ Chí Minh cấp ngày 28/6/2002; Chủ sử dụng đất là Bà Trần Thị Thanh Hằng cùng sở hữu với Ông Jack Ja Sakry và trẻ Marinna</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Phú Định,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10.73875, 106.64594444444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1"/>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w:t>
      </w:r>
      <w:r>
        <w:rPr>
          <w:bCs/>
          <w:color w:val="000000" w:themeColor="text1"/>
          <w:lang w:val="pt-BR"/>
        </w:rPr>
        <w:t xml:space="preserve">y chứng nhận quyền sở hữu nhà ở và quyền sử dụng đất ở số: 70115270143, Hồ sơ gốc số: 00308/2002 do Ủy ban Nhân dân Quận 8, thành phố Hồ Chí Minh cấp ngày 28/6/2002; Chủ sử dụng đất là Bà Trần Thị Thanh Hằng cùng sở hữu với Ông Jack Ja Sakry và trẻ Marinna</w:t>
      </w:r>
      <w:r>
        <w:rPr>
          <w:lang w:val="pt-BR"/>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275/2025/1741/VFI-HĐTĐ.39A</w:t>
      </w:r>
      <w:r>
        <w:rPr>
          <w:spacing w:val="-4"/>
          <w:lang w:val="vi-VN"/>
        </w:rPr>
        <w:t xml:space="preserve"> </w:t>
      </w:r>
      <w:r>
        <w:rPr>
          <w:color w:val="000000" w:themeColor="text1"/>
          <w:lang w:val="pt-BR"/>
        </w:rPr>
        <w:t xml:space="preserve">ngày 02/12/2025 giữa Trần Thị Thanh Hằng với Công ty Cổ phần Thẩm định và Đầu tư Tài chính Hoa Sen.</w:t>
      </w:r>
      <w:r>
        <w:rPr>
          <w:b/>
          <w:lang w:val="pt-BR"/>
        </w:rPr>
      </w:r>
      <w:r>
        <w:rPr>
          <w:b/>
          <w:lang w:val="pt-BR"/>
        </w:rPr>
      </w:r>
    </w:p>
    <w:p w14:paraId="7BDC3A25" w14:textId="77D2CF95">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52EDA438">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Ghi nhận thực tế, quỹ đất trung tâm TP.HCM ngày càng khan hiếm và chi phí phát triển dự án tăng cao, giá căn hộ nội đô đã đạt mức kỷ lục. Theo báo cáo của Savills, trong quý cuối năm 2024, giá căn hộ trung bình tại TP.HCM đạt 91 triệu đồng/m² (chưa gồm thu</w:t>
      </w:r>
      <w:r>
        <w:rPr>
          <w:rFonts w:ascii="Times New Roman" w:hAnsi="Times New Roman" w:eastAsia="Times New Roman" w:cs="Times New Roman"/>
          <w:color w:val="000000"/>
          <w:sz w:val="24"/>
        </w:rPr>
        <w:t xml:space="preserve">ế phí), tăng 36% theo quý và 33% theo năm. Phần lớn nguồn cung mới thuộc phân khúc cao cấp, với giá trên 80 triệu đồng/m². Các dự án hiện hữu cũng điều chỉnh giá, dao động từ 75 đến 450 triệu đồng/m².</w:t>
      </w:r>
      <w:r/>
    </w:p>
    <w:p w14:paraId="1E00EE6B">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Ông Lê Hoàng Châu, Chủ tịch Hiệp hội Bất động sản TP.HCM (HoREA), nhận định đây là lần đầu tiên toàn bộ căn hộ mở bán đều thuộc phân khúc cao cấp. Thị trường không còn nguồn cung nhà ở trung cấp hay bình dân có giá vừa túi tiền. Căn hộ giá 3 tỷ đồng được d</w:t>
      </w:r>
      <w:r>
        <w:rPr>
          <w:rFonts w:ascii="Times New Roman" w:hAnsi="Times New Roman" w:eastAsia="Times New Roman" w:cs="Times New Roman"/>
          <w:color w:val="000000"/>
          <w:sz w:val="24"/>
        </w:rPr>
        <w:t xml:space="preserve">ự báo sẽ dần biến mất, tương tự phân khúc dưới 2 tỷ đồng đã không còn xuất hiện từ năm 2023.</w:t>
      </w:r>
      <w:r/>
    </w:p>
    <w:p w14:paraId="55805932">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Với mức thu nhập trung bình hiện tại, rất ít người dân có thể tiếp cận căn hộ nội đô TP.HCM. Chưa kể, mức giá cao như vậy khiến tỷ suất lợi nhuận cho thuê căn hộ hoặc bán lại không còn hấp dẫn.</w:t>
      </w:r>
      <w:r/>
    </w:p>
    <w:p w14:paraId="322BD9F3">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Trong bối cảnh giá căn hộ nội đô TP. HCM không còn dư địa tăng giá, nhiều nhà đầu tư chuyển hướng quan tâm đến đô thị liền kề như thành phố Thuận An - nơi có biên độ tăng giá rất lớn. Với mức giá còn thấp, hạ tầng phát triển mạnh và nhu cầu thực tế cao, bấ</w:t>
      </w:r>
      <w:r>
        <w:rPr>
          <w:rFonts w:ascii="Times New Roman" w:hAnsi="Times New Roman" w:eastAsia="Times New Roman" w:cs="Times New Roman"/>
          <w:color w:val="000000"/>
          <w:sz w:val="24"/>
        </w:rPr>
        <w:t xml:space="preserve">t động sản Bình Dương đang có tiềm năng tăng giá mạnh mẽ trong thời gian tới, đặc biệt khi có thông tin về khả năng sáp nhập địa phương này vào TP. HCM.</w:t>
      </w:r>
      <w:r/>
    </w:p>
    <w:p w14:paraId="48D7F85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Ông Đinh Minh Tuấn, Giám đốc miền Nam của Batdongsan.com.vn, cho biết sau thông tin sáp nhập, mức độ quan tâm đến bất động sản Bình Dương tăng đáng kể, đặc biệt tại thành phố Thuận An với lượt tìm kiếm tăng 26%. Sự gia tăng này phản ánh tâm lý tích cực của</w:t>
      </w:r>
      <w:r>
        <w:rPr>
          <w:rFonts w:ascii="Times New Roman" w:hAnsi="Times New Roman" w:eastAsia="Times New Roman" w:cs="Times New Roman"/>
          <w:color w:val="000000"/>
          <w:sz w:val="24"/>
        </w:rPr>
        <w:t xml:space="preserve"> nhà đầu tư về tiềm năng sáp nhập, đặc biệt tại các khu vực chiến lược gần TP.HCM, khiến giá cả và giao dịch tại đây sôi động hơn.</w:t>
      </w:r>
      <w:r/>
    </w:p>
    <w:p w14:paraId="358F939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b/>
          <w:color w:val="000000"/>
          <w:sz w:val="24"/>
        </w:rPr>
        <w:t xml:space="preserve">BẤT ĐỘNG SẢN BÌNH DƯƠNG TRƯỚC BƯỚC NGOẶT LỚN</w:t>
      </w:r>
      <w:r/>
    </w:p>
    <w:p w14:paraId="426C3B7E">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Các chuyên gia nhận định Bình Dương đang đứng trước bước ngoặt lịch sử với thông tin sáp nhập vào TP.HCM. Là “thủ phủ công nghiệp” với tốc độ đô thị hóa nhanh, Bình Dương sở hữu hạ tầng giao thông phát triển, thu hút đầu tư trong và ngoài nước.</w:t>
      </w:r>
      <w:r/>
    </w:p>
    <w:p w14:paraId="4F767D71">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Nếu sáp nhập thành công, Bình Dương sẽ được nâng tầm vị thế, mở ra cơ hội bùng nổ giá trị bất động sản nhờ quy hoạch đồng bộ, hạ tầng và chính sách phát triển đô thị. Điều này kích thích dòng vốn đầu tư đổ về, kéo theo sự gia tăng lực lượng lao động và chu</w:t>
      </w:r>
      <w:r>
        <w:rPr>
          <w:rFonts w:ascii="Times New Roman" w:hAnsi="Times New Roman" w:eastAsia="Times New Roman" w:cs="Times New Roman"/>
          <w:color w:val="000000"/>
          <w:sz w:val="24"/>
        </w:rPr>
        <w:t xml:space="preserve">yên gia nước ngoài, làm tăng nhu cầu nhà ở đáng kể.</w:t>
      </w:r>
      <w:r/>
    </w:p>
    <w:p w14:paraId="06F96B17">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Tuy nhiên, không phải dự án nào cũng hưởng lợi nếu thiếu hỗ trợ hạ tầng. Những khu vực được đầu tư mạnh về giao thông và tiện ích đồng bộ sẽ có tiềm năng tăng giá rõ rệt. Nổi bật là khu vực Đông Bắc TP.HCM, đặc biệt thành phố Thuận An, với các tuyến giao t</w:t>
      </w:r>
      <w:r>
        <w:rPr>
          <w:rFonts w:ascii="Times New Roman" w:hAnsi="Times New Roman" w:eastAsia="Times New Roman" w:cs="Times New Roman"/>
          <w:color w:val="000000"/>
          <w:sz w:val="24"/>
        </w:rPr>
        <w:t xml:space="preserve">hông huyết mạch như Quốc lộ 13 mở rộng lên 60m (dự kiến hoàn thành giai đoạn 2027-2028), cao tốc Mỹ Phước - Tân Vạn, Tỉnh lộ 743. Nhờ hạ tầng đồng bộ và kết nối thuận tiện với TP.HCM, khu vực này trở thành tâm điểm đầu tư, hứa hẹn mang lại giá trị gia tăng</w:t>
      </w:r>
      <w:r>
        <w:rPr>
          <w:rFonts w:ascii="Times New Roman" w:hAnsi="Times New Roman" w:eastAsia="Times New Roman" w:cs="Times New Roman"/>
          <w:color w:val="000000"/>
          <w:sz w:val="24"/>
        </w:rPr>
        <w:t xml:space="preserve"> bền vững.</w:t>
      </w:r>
      <w:r/>
    </w:p>
    <w:p w14:paraId="5A813226">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Theo Hội Môi giới Bất động sản Việt Nam (VARS), sáp nhập sẽ tác động tích cực đến thị trường bất động sản, giảm bớt thủ tục pháp lý, gia tăng nguồn cung. Tuy nhiên, để giá trị bất động sản tăng bền vững, cần nền tảng từ hạ tầng giao thông, kinh tế, xã hội,</w:t>
      </w:r>
      <w:r>
        <w:rPr>
          <w:rFonts w:ascii="Times New Roman" w:hAnsi="Times New Roman" w:eastAsia="Times New Roman" w:cs="Times New Roman"/>
          <w:color w:val="000000"/>
          <w:sz w:val="24"/>
        </w:rPr>
        <w:t xml:space="preserve"> như mở thêm tuyến đường lớn, metro, trường học, hay khả năng tạo dòng tiền từ khai thác cho thuê.</w:t>
      </w:r>
      <w:r/>
    </w:p>
    <w:p w14:paraId="1BDCFC8F">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425" w:left="0"/>
        <w:jc w:val="both"/>
        <w:rPr/>
      </w:pPr>
      <w:r>
        <w:rPr>
          <w:rFonts w:ascii="Times New Roman" w:hAnsi="Times New Roman" w:eastAsia="Times New Roman" w:cs="Times New Roman"/>
          <w:color w:val="000000"/>
          <w:sz w:val="24"/>
        </w:rPr>
        <w:t xml:space="preserve">Do đó, nhà đầu tư cần tỉnh táo, tránh chạy theo tâm lý đám đông. Những khu vực có quy hoạch cụ thể, đang triển khai hạ tầng trọng điểm, sở hữu tiện ích ngoại khu đầy đủ và chính sách thu hút dân cư sẽ là lựa chọn an toàn. Điều này giúp nhà đầu tư tránh gán</w:t>
      </w:r>
      <w:r>
        <w:rPr>
          <w:rFonts w:ascii="Times New Roman" w:hAnsi="Times New Roman" w:eastAsia="Times New Roman" w:cs="Times New Roman"/>
          <w:color w:val="000000"/>
          <w:sz w:val="24"/>
        </w:rPr>
        <w:t xml:space="preserve">h chi phí hạ tầng, tiện ích xung quanh và hạn chế rủi ro từ tin đồn đẩy giá.</w:t>
      </w:r>
      <w:r/>
    </w:p>
    <w:p w14:paraId="2AC9BAD7">
      <w:p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right="0" w:firstLine="0" w:left="0"/>
        <w:jc w:val="center"/>
        <w:rPr/>
      </w:pPr>
      <w:r>
        <w:rPr>
          <w:rFonts w:ascii="Times New Roman" w:hAnsi="Times New Roman" w:eastAsia="Times New Roman" w:cs="Times New Roman"/>
          <w:i/>
          <w:color w:val="000000"/>
          <w:sz w:val="24"/>
        </w:rPr>
        <w:t xml:space="preserve">(Nguồn: </w:t>
      </w:r>
      <w:r>
        <w:rPr>
          <w:rFonts w:ascii="Times New Roman" w:hAnsi="Times New Roman" w:eastAsia="Times New Roman" w:cs="Times New Roman"/>
          <w:color w:val="000000"/>
          <w:sz w:val="24"/>
        </w:rPr>
        <w:t xml:space="preserve">https://vneconomy.vn/thi-truong-bat-dong-san-tp-hcm-va-cac-vung-lan-can-se-ra-sao-sau-khi-sap-nhap.htm</w:t>
      </w:r>
      <w:r>
        <w:rPr>
          <w:rFonts w:ascii="Times New Roman" w:hAnsi="Times New Roman" w:eastAsia="Times New Roman" w:cs="Times New Roman"/>
          <w:i/>
          <w:color w:val="000000"/>
          <w:sz w:val="24"/>
        </w:rPr>
        <w:t xml:space="preserve">)</w:t>
      </w:r>
      <w:r/>
    </w:p>
    <w:p w14:paraId="6DD843B4" w14:textId="7AD4A83E">
      <w:pPr>
        <w:pBdr/>
        <w:tabs>
          <w:tab w:val="left" w:leader="none" w:pos="426"/>
        </w:tabs>
        <w:spacing w:after="120" w:before="120" w:line="276" w:lineRule="auto"/>
        <w:ind/>
        <w:rPr>
          <w:i/>
          <w:iCs/>
          <w:lang w:val="pt-BR"/>
        </w:rPr>
      </w:pPr>
      <w:r>
        <w:rPr>
          <w:lang w:val="pt-BR"/>
        </w:rPr>
        <w:tab/>
      </w:r>
      <w:r>
        <w:rPr>
          <w:i/>
          <w:iCs/>
          <w:lang w:val="pt-BR"/>
        </w:rPr>
      </w:r>
      <w:r>
        <w:rPr>
          <w:i/>
          <w:iCs/>
          <w:lang w:val="pt-BR"/>
        </w:rPr>
      </w:r>
    </w:p>
    <w:p w14:paraId="20BF0D54" w14:textId="312C63AB">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Quyền sử dụng đất và tài sản gắn liền với đất tại thửa đất số: 530, tờ bản đồ số 2 (SĐN), P14-Q8 có địa chỉ: 161/1/90 Nguyễn Duy, phường 14, quận 8, Thành phố Hồ Chí Minh (Nay là Phường Phú Định, thành phố Hồ Chí Minh)  theo Giấ</w:t>
            </w:r>
            <w:r>
              <w:rPr>
                <w:b/>
                <w:bCs/>
                <w:color w:val="000000"/>
              </w:rPr>
              <w:t xml:space="preserve">y chứng nhận quyền sở hữu nhà ở và quyền sử dụng đất ở số: 70115270143, Hồ sơ gốc số: 00308/2002 do Ủy ban Nhân dân Quận 8, thành phố Hồ Chí Minh cấp ngày 28/6/2002; Chủ sử dụng đất là Bà Trần Thị Thanh Hằng cùng sở hữu với Ông Jack Ja Sakry và trẻ Marinna</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530</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2 (SĐN), P14-Q8</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14:paraId="2500C91E" w14:textId="05641D6E">
            <w:pPr>
              <w:pBdr/>
              <w:spacing/>
              <w:ind/>
              <w:jc w:val="both"/>
              <w:rPr>
                <w:b w:val="0"/>
                <w:bCs w:val="0"/>
                <w:color w:val="000000"/>
              </w:rPr>
            </w:pPr>
            <w:r>
              <w:rPr>
                <w:color w:val="000000"/>
              </w:rPr>
            </w:r>
            <w:r>
              <w:rPr>
                <w:b w:val="0"/>
                <w:bCs w:val="0"/>
                <w:color w:val="000000"/>
              </w:rPr>
              <w:t xml:space="preserve">161/1/90 Nguyễn Duy, phường 14, quận 8, Thành phố Hồ Chí Minh (Nay là Phường Phú Định, thành phố Hồ Chí Minh</w:t>
            </w:r>
            <w:r>
              <w:rPr>
                <w:b w:val="0"/>
                <w:bCs w:val="0"/>
                <w:color w:val="000000"/>
              </w:rPr>
              <w:t xml:space="preserve">)</w:t>
            </w:r>
            <w:r>
              <w:rPr>
                <w:b w:val="0"/>
                <w:bCs w:val="0"/>
                <w:color w:val="000000"/>
              </w:rPr>
            </w:r>
            <w:r>
              <w:rPr>
                <w:b w:val="0"/>
                <w:bCs w:val="0"/>
                <w:color w:val="000000"/>
              </w:rP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14:paraId="04BBE80E" w14:textId="62BF6733">
            <w:pPr>
              <w:pBdr/>
              <w:spacing/>
              <w:ind/>
              <w:jc w:val="center"/>
              <w:rPr>
                <w:color w:val="000000"/>
              </w:rPr>
            </w:pPr>
            <w:r>
              <w:rPr>
                <w:color w:val="000000"/>
              </w:rPr>
              <w:t xml:space="preserve">102,1</w:t>
            </w:r>
            <w:r>
              <w:rPr>
                <w:color w:val="000000"/>
              </w:rPr>
            </w:r>
            <w:r>
              <w:rPr>
                <w:color w:val="000000"/>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rPr>
            </w:pPr>
            <w:r>
              <w:rPr>
                <w:color w:val="000000"/>
              </w:rPr>
              <w:t xml:space="preserve">Riêng: 102,1 m</w:t>
            </w:r>
            <w:r>
              <w:rPr>
                <w:color w:val="000000"/>
              </w:rPr>
            </w:r>
            <w:r>
              <w:rPr>
                <w:color w:val="000000"/>
              </w:rP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14:paraId="23C2323E" w14:textId="151A25C8">
            <w:pPr>
              <w:pBdr/>
              <w:spacing/>
              <w:ind/>
              <w:jc w:val="center"/>
              <w:rPr>
                <w:color w:val="000000"/>
              </w:rPr>
            </w:pPr>
            <w:r>
              <w:rPr>
                <w:color w:val="000000" w:themeColor="text1"/>
              </w:rPr>
              <w:t xml:space="preserve">Đất ở</w:t>
            </w:r>
            <w:r>
              <w:rPr>
                <w:color w:val="000000"/>
              </w:rPr>
            </w:r>
            <w:r>
              <w:rPr>
                <w:color w:val="000000"/>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vMerge w:val="restart"/>
            <w:textDirection w:val="lrTb"/>
            <w:noWrap w:val="false"/>
          </w:tcPr>
          <w:p w14:paraId="6533A2BD">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14:paraId="5E56A315">
            <w:pPr>
              <w:pBdr/>
              <w:spacing/>
              <w:ind/>
              <w:rPr>
                <w:color w:val="000000"/>
              </w:rPr>
            </w:pPr>
            <w:r>
              <w:rPr>
                <w:color w:val="000000"/>
              </w:rPr>
              <w:t xml:space="preserve">Thông tin quy hoạch</w:t>
            </w:r>
            <w:r>
              <w:rPr>
                <w:color w:val="000000"/>
              </w:rPr>
            </w:r>
            <w:r>
              <w:rPr>
                <w:color w:val="000000"/>
              </w:rPr>
            </w:r>
          </w:p>
        </w:tc>
        <w:tc>
          <w:tcPr>
            <w:tcBorders/>
            <w:tcW w:w="2126" w:type="dxa"/>
            <w:vAlign w:val="center"/>
            <w:vMerge w:val="restart"/>
            <w:textDirection w:val="lrTb"/>
            <w:noWrap w:val="false"/>
          </w:tcPr>
          <w:p w14:paraId="7E4E208A">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themeColor="text1"/>
              </w:rPr>
            </w:r>
            <w:r>
              <w:rPr>
                <w:color w:val="000000" w:themeColor="text1"/>
              </w:rPr>
            </w:r>
          </w:p>
        </w:tc>
        <w:tc>
          <w:tcPr>
            <w:tcBorders/>
            <w:tcW w:w="2126" w:type="dxa"/>
            <w:vAlign w:val="center"/>
            <w:vMerge w:val="restart"/>
            <w:textDirection w:val="lrTb"/>
            <w:noWrap w:val="false"/>
          </w:tcPr>
          <w:p w14:paraId="40C5C4C1">
            <w:pPr>
              <w:pBdr/>
              <w:spacing/>
              <w:ind/>
              <w:jc w:val="center"/>
              <w:rPr>
                <w:color w:val="000000"/>
              </w:rPr>
            </w:pPr>
            <w:r>
              <w:rPr>
                <w:color w:val="000000"/>
              </w:rPr>
            </w:r>
            <w:r>
              <w:rPr>
                <w:color w:val="000000"/>
              </w:rPr>
            </w:r>
            <w:r>
              <w:rPr>
                <w:color w:val="000000"/>
              </w:rPr>
            </w:r>
          </w:p>
        </w:tc>
        <w:tc>
          <w:tcPr>
            <w:tcBorders/>
            <w:tcW w:w="2007" w:type="dxa"/>
            <w:vAlign w:val="center"/>
            <w:vMerge w:val="restart"/>
            <w:textDirection w:val="lrTb"/>
            <w:noWrap w:val="false"/>
          </w:tcPr>
          <w:p w14:paraId="589227CC">
            <w:pPr>
              <w:pBdr/>
              <w:spacing/>
              <w:ind/>
              <w:jc w:val="center"/>
              <w:rPr>
                <w:color w:val="000000" w:themeColor="text1"/>
              </w:rPr>
            </w:pPr>
            <w:r>
              <w:rPr>
                <w:color w:val="000000" w:themeColor="text1"/>
              </w:rPr>
            </w:r>
            <w:r>
              <w:rPr>
                <w:color w:val="000000" w:themeColor="text1"/>
              </w:rPr>
            </w:r>
            <w:r>
              <w:rPr>
                <w:color w:val="000000" w:themeColor="text1"/>
              </w:rP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14:paraId="40FA449B" w14:textId="626514CB">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1,35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42030CE5" w14:textId="216DA189">
            <w:pPr>
              <w:pBdr/>
              <w:spacing/>
              <w:ind/>
              <w:jc w:val="center"/>
              <w:rPr>
                <w:color w:val="000000"/>
              </w:rPr>
            </w:pPr>
            <w:r>
              <w:rPr>
                <w:color w:val="000000" w:themeColor="text1"/>
              </w:rPr>
              <w:t xml:space="preserve">1,5</w:t>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Cách đường Hoài Thanh khoảng 250m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3D4FCA9C" w14:textId="0B548AE7">
            <w:pPr>
              <w:pBdr/>
              <w:spacing/>
              <w:ind/>
              <w:rPr>
                <w:color w:val="000000" w:themeColor="text1"/>
                <w:highlight w:val="none"/>
              </w:rPr>
            </w:pPr>
            <w:r/>
            <w:bookmarkStart w:id="3" w:name="OLE_LINK1"/>
            <w:r>
              <w:rPr>
                <w:color w:val="000000" w:themeColor="text1"/>
              </w:rPr>
            </w:r>
            <w:bookmarkEnd w:id="3"/>
            <w:r>
              <w:rPr>
                <w:color w:val="000000" w:themeColor="text1"/>
              </w:rPr>
              <w:t xml:space="preserve">Hướng Tây Bắc: Tiếp giáp với đường bê tông</w:t>
            </w:r>
            <w:r>
              <w:rPr>
                <w:color w:val="000000" w:themeColor="text1"/>
                <w:highlight w:val="none"/>
              </w:rPr>
            </w:r>
            <w:r>
              <w:rPr>
                <w:color w:val="000000" w:themeColor="text1"/>
                <w:highlight w:val="none"/>
              </w:rPr>
            </w:r>
          </w:p>
          <w:p w14:paraId="3B6191BA">
            <w:pPr>
              <w:pBdr/>
              <w:spacing/>
              <w:ind/>
              <w:rPr>
                <w:color w:val="000000" w:themeColor="text1"/>
              </w:rPr>
            </w:pPr>
            <w:r>
              <w:rPr>
                <w:color w:val="000000" w:themeColor="text1"/>
                <w:highlight w:val="none"/>
              </w:rPr>
              <w:t xml:space="preserve">Các hướng còn lại: Tiếp giáp với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trên bản đồ vệ tinh: </w:t>
            </w:r>
            <w:r>
              <w:rPr>
                <w:color w:val="000000"/>
              </w:rPr>
              <w:t xml:space="preserve">(</w:t>
            </w:r>
            <w:r>
              <w:rPr>
                <w:color w:val="000000"/>
              </w:rPr>
              <w:t xml:space="preserve">10.73875</w:t>
            </w:r>
            <w:r>
              <w:rPr>
                <w:color w:val="000000"/>
              </w:rPr>
              <w:t xml:space="preserve">, </w:t>
            </w:r>
            <w:r>
              <w:rPr>
                <w:color w:val="000000"/>
              </w:rPr>
              <w:t xml:space="preserve">106.64594444444</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mc:AlternateContent>
                <mc:Choice Requires="wpg">
                  <w:drawing>
                    <wp:inline xmlns:wp="http://schemas.openxmlformats.org/drawingml/2006/wordprocessingDrawing" distT="0" distB="0" distL="0" distR="0">
                      <wp:extent cx="498122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5"/>
                              <a:stretch/>
                            </pic:blipFill>
                            <pic:spPr bwMode="auto">
                              <a:xfrm>
                                <a:off x="0" y="0"/>
                                <a:ext cx="498122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2.22pt;height:200.00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102,1</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2,3</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44,39</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Bắc</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16BC0A31" w14:textId="70BF50FA">
            <w:pPr>
              <w:pBdr/>
              <w:spacing/>
              <w:ind/>
              <w:rPr>
                <w:color w:val="000000"/>
              </w:rPr>
            </w:pPr>
            <w:r>
              <w:rPr>
                <w:color w:val="000000"/>
              </w:rPr>
            </w:r>
            <w:r>
              <w:rPr>
                <w:color w:val="000000"/>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rPr>
              <w:t xml:space="preserve">Tốt</w:t>
            </w:r>
            <w:r>
              <w:rPr>
                <w:color w:val="000000"/>
              </w:rPr>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1403"/>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b w:val="0"/>
                <w:bCs w:val="0"/>
                <w:color w:val="000000"/>
              </w:rPr>
              <w:t xml:space="preserve">Tại thời điểm khảo sát, CTXD gắn liền với đất là nhà 2 tầng, DTXD khoảng 80m2/sàn; ngoại quan khá cũ, xuống cấp. CTXD thực tế khảo sát được khác với CTXD được chứng nhận trên GCN là nhà vách gạch, mái tôn DTXD là 47,7m2. </w:t>
            </w:r>
            <w:r>
              <w:rPr>
                <w:b w:val="0"/>
                <w:bCs w:val="0"/>
                <w:color w:val="000000"/>
              </w:rPr>
              <w:t xml:space="preserve">Do vậy, theo đề nghị của Ngân hàng/Khách hàng, Tổ thẩm định xác định giá trị của công trình xây dựng theo trên GCN số </w:t>
            </w:r>
            <w:r>
              <w:rPr>
                <w:b w:val="0"/>
                <w:bCs w:val="0"/>
                <w:color w:val="000000"/>
              </w:rPr>
              <w:t xml:space="preserve">70115270143.</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6B96CE86" w14:textId="77777777">
      <w:pPr>
        <w:pBdr/>
        <w:spacing w:line="235" w:lineRule="auto"/>
        <w:ind w:left="646"/>
        <w:jc w:val="both"/>
        <w:rPr>
          <w:u w:val="single"/>
        </w:rPr>
      </w:pPr>
      <w:r>
        <w:rPr>
          <w:u w:val="single"/>
        </w:rPr>
      </w:r>
      <w:r>
        <w:rPr>
          <w:u w:val="single"/>
        </w:rPr>
      </w:r>
      <w:r>
        <w:rPr>
          <w:u w:val="single"/>
        </w:rPr>
      </w:r>
    </w:p>
    <w:p w14:paraId="4D2AC1E5"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Có</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t xml:space="preserve">Đường đâm vào đất</w:t>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8148F84">
      <w:pPr>
        <w:pStyle w:val="103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T</w:t>
      </w:r>
      <w:r>
        <w:rPr>
          <w:b w:val="0"/>
          <w:bCs w:val="0"/>
          <w:color w:val="000000"/>
        </w:rPr>
        <w:t xml:space="preserve">ại thời điểm khảo sát, CTXD gắn liền với đất là nhà 2 tầng, DTXD khoảng 80m2/sàn; ngoại quan khá cũ, xuống cấp. CTXD thực tế khảo sát được khác với CTXD được chứng nhận trên GCN là nhà vách gạch, mái tôn DTXD là 47,7m2. </w:t>
      </w:r>
      <w:r>
        <w:rPr>
          <w:b w:val="0"/>
          <w:bCs w:val="0"/>
          <w:color w:val="000000"/>
        </w:rPr>
        <w:t xml:space="preserve">Do vậy, theo đề nghị của Ngân hàng/Khách hàng, Tổ thẩm định xác định giá trị của công trình xây dựng theo trên GCN số </w:t>
      </w:r>
      <w:r>
        <w:rPr>
          <w:b w:val="0"/>
          <w:bCs w:val="0"/>
          <w:color w:val="000000"/>
        </w:rPr>
        <w:t xml:space="preserve">70115270143.</w:t>
      </w:r>
      <w:r>
        <w:rPr>
          <w:spacing w:val="-2"/>
          <w:lang w:val="pt-BR"/>
        </w:rPr>
      </w:r>
      <w:r>
        <w:rPr>
          <w:spacing w:val="-2"/>
          <w:lang w:val="pt-BR"/>
        </w:rPr>
      </w:r>
    </w:p>
    <w:p w14:paraId="110EA7E9" w14:textId="2D24DC9A">
      <w:pPr>
        <w:pStyle w:val="103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13863F49" w14:textId="5CABFF1A">
      <w:pPr>
        <w:pStyle w:val="1031"/>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14:paraId="666A3528" w14:textId="6CAA129E">
      <w:pPr>
        <w:pStyle w:val="1031"/>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14:paraId="0203C927" w14:textId="3E855EB4">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4762D94D" w14:textId="75C403B3">
      <w:pPr>
        <w:pStyle w:val="1031"/>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14:paraId="770CC22B" w14:textId="787D51A9">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Ind w:w="28" w:type="dxa"/>
        <w:tblW w:w="0" w:type="auto"/>
        <w:tblBorders/>
        <w:tblLayout w:type="fixed"/>
        <w:tblLook w:val="04A0" w:firstRow="1" w:lastRow="0" w:firstColumn="1" w:lastColumn="0" w:noHBand="0" w:noVBand="1"/>
      </w:tblPr>
      <w:tblGrid>
        <w:gridCol w:w="676"/>
        <w:gridCol w:w="1843"/>
        <w:gridCol w:w="1733"/>
        <w:gridCol w:w="1751"/>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676"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33"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304"/>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5B0F6D3E" w14:textId="1A61E0DA">
            <w:pPr>
              <w:pBdr/>
              <w:spacing/>
              <w:ind/>
              <w:jc w:val="center"/>
              <w:rPr>
                <w:color w:val="000000" w:themeColor="text1"/>
                <w:sz w:val="22"/>
                <w:szCs w:val="22"/>
                <w:highlight w:val="none"/>
              </w:rPr>
            </w:pPr>
            <w:r>
              <w:rPr>
                <w:color w:val="000000" w:themeColor="text1"/>
                <w:sz w:val="22"/>
                <w:szCs w:val="22"/>
              </w:rPr>
            </w:r>
            <w:r>
              <w:rPr>
                <w:color w:val="000000" w:themeColor="text1"/>
                <w:sz w:val="22"/>
                <w:szCs w:val="22"/>
              </w:rPr>
              <w:t xml:space="preserve">Phường Phú Định, thành phố Hồ Chí Minh</w:t>
            </w:r>
            <w:r>
              <w:rPr>
                <w:color w:val="000000" w:themeColor="text1"/>
                <w:sz w:val="22"/>
                <w:szCs w:val="22"/>
                <w:highlight w:val="none"/>
              </w:rPr>
            </w:r>
            <w:r>
              <w:rPr>
                <w:color w:val="000000" w:themeColor="text1"/>
                <w:sz w:val="22"/>
                <w:szCs w:val="22"/>
                <w:highlight w:val="none"/>
              </w:rPr>
            </w:r>
          </w:p>
          <w:p w14:paraId="5BA0A242">
            <w:pPr>
              <w:pBdr/>
              <w:spacing/>
              <w:ind/>
              <w:jc w:val="center"/>
              <w:rPr>
                <w:sz w:val="22"/>
                <w:szCs w:val="22"/>
              </w:rPr>
            </w:pPr>
            <w:r>
              <w:rPr>
                <w:color w:val="000000" w:themeColor="text1"/>
                <w:sz w:val="22"/>
                <w:szCs w:val="22"/>
                <w:highlight w:val="none"/>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5C5F945">
            <w:pPr>
              <w:pBdr/>
              <w:spacing/>
              <w:ind/>
              <w:jc w:val="center"/>
              <w:rPr/>
            </w:pPr>
            <w:r>
              <w:rPr>
                <w:color w:val="000000" w:themeColor="text1"/>
                <w:sz w:val="22"/>
                <w:szCs w:val="22"/>
              </w:rPr>
            </w:r>
            <w:r>
              <w:rPr>
                <w:color w:val="000000" w:themeColor="text1"/>
                <w:sz w:val="22"/>
                <w:szCs w:val="22"/>
              </w:rPr>
              <w:t xml:space="preserve">Phường Phú Định, thành phố Hồ Chí Minh</w:t>
            </w:r>
            <w:r>
              <w:rPr>
                <w:color w:val="000000" w:themeColor="text1"/>
                <w:sz w:val="22"/>
                <w:szCs w:val="22"/>
                <w:highlight w: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BBE328">
            <w:pPr>
              <w:pBdr/>
              <w:spacing/>
              <w:ind/>
              <w:jc w:val="center"/>
              <w:rPr/>
            </w:pPr>
            <w:r>
              <w:rPr>
                <w:color w:val="000000" w:themeColor="text1"/>
                <w:sz w:val="22"/>
                <w:szCs w:val="22"/>
              </w:rPr>
            </w:r>
            <w:r>
              <w:rPr>
                <w:color w:val="000000" w:themeColor="text1"/>
                <w:sz w:val="22"/>
                <w:szCs w:val="22"/>
              </w:rPr>
              <w:t xml:space="preserve">Phường Phú Định, thành phố Hồ Chí Minh</w:t>
            </w:r>
            <w:r>
              <w:rPr>
                <w:color w:val="000000" w:themeColor="text1"/>
                <w:sz w:val="22"/>
                <w:szCs w:val="22"/>
                <w:highlight w:val="none"/>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AFC76B">
            <w:pPr>
              <w:pBdr/>
              <w:spacing/>
              <w:ind/>
              <w:jc w:val="center"/>
              <w:rPr/>
            </w:pPr>
            <w:r>
              <w:rPr>
                <w:color w:val="000000" w:themeColor="text1"/>
                <w:sz w:val="22"/>
                <w:szCs w:val="22"/>
              </w:rPr>
            </w:r>
            <w:r>
              <w:rPr>
                <w:color w:val="000000" w:themeColor="text1"/>
                <w:sz w:val="22"/>
                <w:szCs w:val="22"/>
              </w:rPr>
              <w:t xml:space="preserve">Phường Phú Định, thành phố Hồ Chí Minh</w:t>
            </w:r>
            <w:r>
              <w:rPr>
                <w:color w:val="000000" w:themeColor="text1"/>
                <w:sz w:val="22"/>
                <w:szCs w:val="22"/>
                <w:highlight w:val="none"/>
              </w:rPr>
            </w:r>
            <w:r/>
          </w:p>
        </w:tc>
      </w:tr>
      <w:tr>
        <w:trPr>
          <w:trHeight w:val="2760"/>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https://www.facebook.com/groups/301358937273552/permalink/2069112923831469/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https://www.facebook.com/groups/301358937273552/permalink/2062014714541290/?rdid=Tay6qT8Ifznph5QQ#</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https://alonhadat.com.vn/ban-nha-moi-dep-hem-hoai-thanh-p-phu-dinh-nha-no-hau-gan-cho-binh-dong-48-2m2-17341535.html</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0901846049</w:t>
            </w:r>
            <w:r>
              <w:rPr>
                <w:sz w:val="22"/>
                <w:szCs w:val="22"/>
              </w:rPr>
              <w:t xml:space="preserve"> </w:t>
            </w:r>
            <w:r>
              <w:rPr>
                <w:sz w:val="22"/>
                <w:szCs w:val="22"/>
              </w:rPr>
              <w:br/>
              <w:t xml:space="preserve">(</w:t>
            </w:r>
            <w:r>
              <w:rPr>
                <w:sz w:val="22"/>
                <w:szCs w:val="22"/>
              </w:rPr>
              <w:t xml:space="preserve">Thanh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0937096122</w:t>
            </w:r>
            <w:r>
              <w:rPr>
                <w:sz w:val="22"/>
                <w:szCs w:val="22"/>
              </w:rPr>
              <w:br/>
            </w:r>
            <w:r>
              <w:rPr>
                <w:sz w:val="22"/>
                <w:szCs w:val="22"/>
              </w:rPr>
              <w:t xml:space="preserve">(</w:t>
            </w:r>
            <w:r>
              <w:rPr>
                <w:sz w:val="22"/>
                <w:szCs w:val="22"/>
              </w:rPr>
              <w:t xml:space="preserve">Phụng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0977.884.849</w:t>
            </w:r>
            <w:r>
              <w:rPr>
                <w:sz w:val="22"/>
                <w:szCs w:val="22"/>
              </w:rPr>
              <w:br/>
            </w:r>
            <w:r>
              <w:rPr>
                <w:sz w:val="22"/>
                <w:szCs w:val="22"/>
              </w:rPr>
              <w:t xml:space="preserve">(</w:t>
            </w:r>
            <w:r>
              <w:rPr>
                <w:sz w:val="22"/>
                <w:szCs w:val="22"/>
              </w:rPr>
              <w:t xml:space="preserve">Như Ý</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3CB53B0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0FA75591" w14:textId="4B809133">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AF2936">
            <w:pPr>
              <w:pBdr/>
              <w:spacing/>
              <w:ind/>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109AFC">
            <w:pPr>
              <w:pBdr/>
              <w:spacing/>
              <w:ind/>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1C9D41D7">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0A2D7751">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9756579">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2B12F6">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4473791E">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1.5m, đường xe máy lưu thông nhỏ hơn 2.5m, mặt tiền 2.3m, </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4473791E">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2m, mặt tiền 4.1m.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73791E">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2m, mặt tiền 5m.</w:t>
            </w:r>
            <w:r>
              <w:rPr>
                <w:color w:val="000000" w:themeColor="text1"/>
                <w:sz w:val="22"/>
                <w:szCs w:val="22"/>
                <w:highlight w:val="none"/>
              </w:rPr>
            </w:r>
            <w:r>
              <w:rPr>
                <w:color w:val="000000" w:themeColor="text1"/>
                <w:sz w:val="22"/>
                <w:szCs w:val="22"/>
                <w:highlight w: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73791E">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1.5m, mặt tiền 5.61m.</w:t>
            </w:r>
            <w:r>
              <w:rPr>
                <w:color w:val="000000" w:themeColor="text1"/>
                <w:sz w:val="22"/>
                <w:szCs w:val="22"/>
                <w:highlight w:val="none"/>
              </w:rPr>
            </w:r>
            <w:r>
              <w:rPr>
                <w:color w:val="000000" w:themeColor="text1"/>
                <w:sz w:val="22"/>
                <w:szCs w:val="22"/>
                <w:highlight w:val="none"/>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09AC6B7">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6121F7">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74A5DA">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9FDC1F">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2549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102,1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41,3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48,2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5,61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44,39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9,02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8,26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8,59</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highlight w:val="none"/>
              </w:rPr>
            </w:pPr>
            <w:r>
              <w:rPr>
                <w:color w:val="000000"/>
                <w:sz w:val="22"/>
                <w:szCs w:val="22"/>
              </w:rPr>
              <w:t xml:space="preserve">19</w:t>
            </w:r>
            <w:r>
              <w:rPr>
                <w:color w:val="000000"/>
                <w:sz w:val="22"/>
                <w:szCs w:val="22"/>
                <w:highlight w:val="none"/>
              </w:rPr>
            </w:r>
            <w:r>
              <w:rPr>
                <w:color w:val="000000"/>
                <w:sz w:val="22"/>
                <w:szCs w:val="22"/>
                <w:highlight w:val="non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Không có lợi thế kinh doanh</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61B3A80">
            <w:pPr>
              <w:pBdr/>
              <w:spacing w:after="0" w:before="0" w:line="240" w:lineRule="auto"/>
              <w:ind/>
              <w:jc w:val="center"/>
              <w:rPr/>
            </w:pPr>
            <w:r>
              <w:rPr>
                <w:rFonts w:ascii="Times New Roman" w:hAnsi="Times New Roman" w:eastAsia="Times New Roman" w:cs="Times New Roman"/>
                <w:color w:val="000000"/>
                <w:sz w:val="22"/>
              </w:rPr>
              <w:t xml:space="preserve">Nhà 3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BC7668F">
            <w:pPr>
              <w:pBdr/>
              <w:spacing w:after="0" w:before="0" w:line="240" w:lineRule="auto"/>
              <w:ind/>
              <w:jc w:val="center"/>
              <w:rPr/>
            </w:pPr>
            <w:r>
              <w:rPr>
                <w:rFonts w:ascii="Times New Roman" w:hAnsi="Times New Roman" w:eastAsia="Times New Roman" w:cs="Times New Roman"/>
                <w:color w:val="000000"/>
                <w:sz w:val="22"/>
              </w:rPr>
              <w:t xml:space="preserve">Nhà 2 tầng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8C29D4">
            <w:pPr>
              <w:pBdr/>
              <w:spacing w:after="0" w:before="0" w:line="240" w:lineRule="auto"/>
              <w:ind/>
              <w:jc w:val="center"/>
              <w:rPr/>
            </w:pPr>
            <w:r>
              <w:rPr>
                <w:rFonts w:ascii="Times New Roman" w:hAnsi="Times New Roman" w:eastAsia="Times New Roman" w:cs="Times New Roman"/>
                <w:color w:val="000000"/>
                <w:sz w:val="22"/>
              </w:rPr>
              <w:t xml:space="preserve">Nhà 2 tầng</w:t>
            </w: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5EDA57DA"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969371C" w14:textId="77777777">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5474231C" w14:textId="32052B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FA1781C">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DFC39F">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C207B">
            <w:pPr>
              <w:pBdr/>
              <w:spacing w:after="0" w:before="0" w:line="240" w:lineRule="auto"/>
              <w:ind/>
              <w:jc w:val="center"/>
              <w:rPr/>
            </w:pPr>
            <w:r>
              <w:rPr>
                <w:rFonts w:ascii="Times New Roman" w:hAnsi="Times New Roman" w:eastAsia="Times New Roman" w:cs="Times New Roman"/>
                <w:color w:val="000000"/>
                <w:sz w:val="22"/>
              </w:rPr>
              <w:t xml:space="preserve">2</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6404576F"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159B2747" w14:textId="77777777">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C3E7C1F" w14:textId="10E88182">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2B3F004">
            <w:pPr>
              <w:pBdr/>
              <w:spacing w:after="0" w:before="0" w:line="240" w:lineRule="auto"/>
              <w:ind/>
              <w:jc w:val="center"/>
              <w:rPr/>
            </w:pPr>
            <w:r>
              <w:rPr>
                <w:rFonts w:ascii="Times New Roman" w:hAnsi="Times New Roman" w:eastAsia="Times New Roman" w:cs="Times New Roman"/>
                <w:color w:val="000000"/>
                <w:sz w:val="22"/>
              </w:rPr>
              <w:t xml:space="preserve">111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BB0F4">
            <w:pPr>
              <w:pBdr/>
              <w:spacing w:after="0" w:before="0" w:line="240" w:lineRule="auto"/>
              <w:ind/>
              <w:jc w:val="center"/>
              <w:rPr/>
            </w:pPr>
            <w:r>
              <w:rPr>
                <w:rFonts w:ascii="Times New Roman" w:hAnsi="Times New Roman" w:eastAsia="Times New Roman" w:cs="Times New Roman"/>
                <w:color w:val="000000"/>
                <w:sz w:val="22"/>
              </w:rPr>
              <w:t xml:space="preserve">82,6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2C9E5F4">
            <w:pPr>
              <w:pBdr/>
              <w:spacing w:after="0" w:before="0" w:line="240" w:lineRule="auto"/>
              <w:ind/>
              <w:jc w:val="center"/>
              <w:rPr/>
            </w:pPr>
            <w:r>
              <w:rPr>
                <w:rFonts w:ascii="Times New Roman" w:hAnsi="Times New Roman" w:eastAsia="Times New Roman" w:cs="Times New Roman"/>
                <w:color w:val="000000"/>
                <w:sz w:val="22"/>
              </w:rPr>
              <w:t xml:space="preserve">96,4</w:t>
            </w: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2A09CC8F" w14:textId="77777777">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79BEC45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6804E66" w14:textId="0EA03BB2">
            <w:pPr>
              <w:pBdr/>
              <w:spacing/>
              <w:ind/>
              <w:jc w:val="center"/>
              <w:rPr>
                <w:color w:val="000000"/>
                <w:sz w:val="22"/>
                <w:szCs w:val="22"/>
              </w:rPr>
            </w:pPr>
            <w:r>
              <w:rPr>
                <w:color w:val="000000" w:themeColor="text1"/>
                <w:sz w:val="22"/>
                <w:szCs w:val="22"/>
              </w:rPr>
              <w:t xml:space="preserve">4.380.000.000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ind/>
              <w:jc w:val="center"/>
              <w:rPr>
                <w:color w:val="000000"/>
                <w:sz w:val="22"/>
                <w:szCs w:val="22"/>
              </w:rPr>
            </w:pPr>
            <w:r>
              <w:rPr>
                <w:color w:val="000000" w:themeColor="text1"/>
                <w:sz w:val="22"/>
                <w:szCs w:val="22"/>
              </w:rPr>
              <w:t xml:space="preserve">3.500.000.000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ind/>
              <w:jc w:val="center"/>
              <w:rPr>
                <w:color w:val="000000"/>
                <w:sz w:val="22"/>
                <w:szCs w:val="22"/>
              </w:rPr>
            </w:pPr>
            <w:r>
              <w:rPr>
                <w:color w:val="000000" w:themeColor="text1"/>
                <w:sz w:val="22"/>
                <w:szCs w:val="22"/>
              </w:rPr>
              <w:t xml:space="preserve">4.550.000.000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7E74F64D" w14:textId="77777777">
            <w:pPr>
              <w:pBdr/>
              <w:spacing/>
              <w:ind/>
              <w:jc w:val="center"/>
              <w:rPr>
                <w:color w:val="000000"/>
                <w:sz w:val="22"/>
                <w:szCs w:val="22"/>
              </w:rPr>
            </w:pPr>
            <w:r>
              <w:rPr>
                <w:color w:val="000000"/>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4251F619"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5D5AFA71" w14:textId="3581CF06">
            <w:pPr>
              <w:pBdr/>
              <w:spacing/>
              <w:ind/>
              <w:jc w:val="center"/>
              <w:rPr>
                <w:color w:val="000000"/>
                <w:sz w:val="22"/>
                <w:szCs w:val="22"/>
              </w:rPr>
            </w:pPr>
            <w:r>
              <w:rPr>
                <w:color w:val="000000" w:themeColor="text1"/>
                <w:sz w:val="22"/>
                <w:szCs w:val="22"/>
              </w:rPr>
              <w:t xml:space="preserve">3.942.000.000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ind/>
              <w:jc w:val="center"/>
              <w:rPr>
                <w:color w:val="000000"/>
                <w:sz w:val="22"/>
                <w:szCs w:val="22"/>
              </w:rPr>
            </w:pPr>
            <w:r>
              <w:rPr>
                <w:color w:val="000000" w:themeColor="text1"/>
                <w:sz w:val="22"/>
                <w:szCs w:val="22"/>
              </w:rPr>
              <w:t xml:space="preserve">3.150.000.000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ind/>
              <w:jc w:val="center"/>
              <w:rPr>
                <w:color w:val="000000"/>
                <w:sz w:val="22"/>
                <w:szCs w:val="22"/>
              </w:rPr>
            </w:pPr>
            <w:r>
              <w:rPr>
                <w:color w:val="000000" w:themeColor="text1"/>
                <w:sz w:val="22"/>
                <w:szCs w:val="22"/>
              </w:rPr>
              <w:t xml:space="preserve">4.095.000.000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204AFD7">
            <w:pPr>
              <w:pBdr/>
              <w:spacing w:after="0" w:before="0" w:line="240" w:lineRule="auto"/>
              <w:ind/>
              <w:jc w:val="center"/>
              <w:rPr/>
            </w:pPr>
            <w:r>
              <w:rPr>
                <w:rFonts w:ascii="Times New Roman" w:hAnsi="Times New Roman" w:eastAsia="Times New Roman" w:cs="Times New Roman"/>
                <w:color w:val="000000"/>
                <w:sz w:val="22"/>
              </w:rPr>
              <w:t xml:space="preserve">953.028.418</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7AC306">
            <w:pPr>
              <w:pBdr/>
              <w:spacing w:after="0" w:before="0" w:line="240" w:lineRule="auto"/>
              <w:ind/>
              <w:jc w:val="center"/>
              <w:rPr/>
            </w:pPr>
            <w:r>
              <w:rPr>
                <w:rFonts w:ascii="Times New Roman" w:hAnsi="Times New Roman" w:eastAsia="Times New Roman" w:cs="Times New Roman"/>
                <w:color w:val="000000"/>
                <w:sz w:val="22"/>
              </w:rPr>
              <w:t xml:space="preserve">393.994.731</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B53200">
            <w:pPr>
              <w:pBdr/>
              <w:spacing w:after="0" w:before="0" w:line="240" w:lineRule="auto"/>
              <w:ind/>
              <w:jc w:val="center"/>
              <w:rPr/>
            </w:pPr>
            <w:r>
              <w:rPr>
                <w:rFonts w:ascii="Times New Roman" w:hAnsi="Times New Roman" w:eastAsia="Times New Roman" w:cs="Times New Roman"/>
                <w:color w:val="000000"/>
                <w:sz w:val="22"/>
              </w:rPr>
              <w:t xml:space="preserve">827.675.130</w:t>
            </w:r>
            <w:r/>
          </w:p>
        </w:tc>
      </w:tr>
      <w:tr>
        <w:trPr>
          <w:trHeight w:val="276"/>
        </w:trPr>
        <w:tc>
          <w:tcPr>
            <w:tcBorders>
              <w:top w:val="none" w:color="000000" w:sz="4" w:space="0"/>
              <w:left w:val="single" w:color="000000" w:sz="4" w:space="0"/>
              <w:bottom w:val="single" w:color="000000" w:sz="4" w:space="0"/>
              <w:right w:val="single" w:color="000000" w:sz="4" w:space="0"/>
            </w:tcBorders>
            <w:tcW w:w="676" w:type="dxa"/>
            <w:vAlign w:val="center"/>
            <w:vMerge w:val="restart"/>
            <w:textDirection w:val="lrTb"/>
            <w:noWrap/>
          </w:tcPr>
          <w:p w14:paraId="7D964B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74A5B385">
            <w:pPr>
              <w:pBdr/>
              <w:spacing/>
              <w:ind/>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vMerge w:val="restart"/>
            <w:textDirection w:val="lrTb"/>
            <w:noWrap w:val="false"/>
          </w:tcPr>
          <w:p w14:paraId="4DAE0089">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14:paraId="44AED6E0">
            <w:pPr>
              <w:pBdr/>
              <w:spacing w:after="0" w:before="0" w:line="240" w:lineRule="auto"/>
              <w:ind/>
              <w:jc w:val="center"/>
              <w:rPr/>
            </w:pPr>
            <w:r>
              <w:rPr>
                <w:rFonts w:ascii="Times New Roman" w:hAnsi="Times New Roman" w:eastAsia="Times New Roman" w:cs="Times New Roman"/>
                <w:color w:val="000000"/>
                <w:sz w:val="22"/>
              </w:rPr>
              <w:t xml:space="preserve">9.539.824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D76CF79">
            <w:pPr>
              <w:pBdr/>
              <w:spacing w:after="0" w:before="0" w:line="240" w:lineRule="auto"/>
              <w:ind/>
              <w:jc w:val="center"/>
              <w:rPr/>
            </w:pPr>
            <w:r>
              <w:rPr>
                <w:rFonts w:ascii="Times New Roman" w:hAnsi="Times New Roman" w:eastAsia="Times New Roman" w:cs="Times New Roman"/>
                <w:color w:val="000000"/>
                <w:sz w:val="22"/>
              </w:rPr>
              <w:t xml:space="preserve">9.539.824</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1DBD6CBA">
            <w:pPr>
              <w:pBdr/>
              <w:spacing w:after="0" w:before="0" w:line="240" w:lineRule="auto"/>
              <w:ind/>
              <w:jc w:val="center"/>
              <w:rPr/>
            </w:pPr>
            <w:r>
              <w:rPr>
                <w:rFonts w:ascii="Times New Roman" w:hAnsi="Times New Roman" w:eastAsia="Times New Roman" w:cs="Times New Roman"/>
                <w:color w:val="000000"/>
                <w:sz w:val="22"/>
              </w:rPr>
              <w:t xml:space="preserve">9.539.824</w:t>
            </w:r>
            <w:r/>
          </w:p>
        </w:tc>
      </w:tr>
      <w:tr>
        <w:trPr>
          <w:trHeight w:val="276"/>
        </w:trPr>
        <w:tc>
          <w:tcPr>
            <w:tcBorders>
              <w:top w:val="none" w:color="000000" w:sz="4" w:space="0"/>
              <w:left w:val="single" w:color="000000" w:sz="4" w:space="0"/>
              <w:bottom w:val="single" w:color="000000" w:sz="4" w:space="0"/>
              <w:right w:val="single" w:color="000000" w:sz="4" w:space="0"/>
            </w:tcBorders>
            <w:tcW w:w="676" w:type="dxa"/>
            <w:vAlign w:val="center"/>
            <w:vMerge w:val="restart"/>
            <w:textDirection w:val="lrTb"/>
            <w:noWrap/>
          </w:tcPr>
          <w:p w14:paraId="438D3CF2">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2D3FC02E">
            <w:pPr>
              <w:pBdr/>
              <w:spacing/>
              <w:ind/>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33" w:type="dxa"/>
            <w:vAlign w:val="center"/>
            <w:vMerge w:val="restart"/>
            <w:textDirection w:val="lrTb"/>
            <w:noWrap w:val="false"/>
          </w:tcPr>
          <w:p w14:paraId="68C7CF0C">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14:paraId="4CC10E51">
            <w:pPr>
              <w:pBdr/>
              <w:spacing w:after="0" w:before="0" w:line="240" w:lineRule="auto"/>
              <w:ind/>
              <w:jc w:val="center"/>
              <w:rPr/>
            </w:pPr>
            <w:r>
              <w:rPr>
                <w:rFonts w:ascii="Times New Roman" w:hAnsi="Times New Roman" w:eastAsia="Times New Roman" w:cs="Times New Roman"/>
                <w:color w:val="000000"/>
                <w:sz w:val="22"/>
              </w:rPr>
              <w:t xml:space="preserve">90%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7E685F7C">
            <w:pPr>
              <w:pBdr/>
              <w:spacing w:after="0" w:before="0" w:line="240" w:lineRule="auto"/>
              <w:ind/>
              <w:jc w:val="center"/>
              <w:rPr/>
            </w:pPr>
            <w:r>
              <w:rPr>
                <w:rFonts w:ascii="Times New Roman" w:hAnsi="Times New Roman" w:eastAsia="Times New Roman" w:cs="Times New Roman"/>
                <w:color w:val="000000"/>
                <w:sz w:val="22"/>
              </w:rPr>
              <w:t xml:space="preserve">50%</w:t>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35D776CF">
            <w:pPr>
              <w:pBdr/>
              <w:spacing w:after="0" w:before="0" w:line="240" w:lineRule="auto"/>
              <w:ind/>
              <w:jc w:val="center"/>
              <w:rPr/>
            </w:pPr>
            <w:r>
              <w:rPr>
                <w:rFonts w:ascii="Times New Roman" w:hAnsi="Times New Roman" w:eastAsia="Times New Roman" w:cs="Times New Roman"/>
                <w:color w:val="000000"/>
                <w:sz w:val="22"/>
              </w:rPr>
              <w:t xml:space="preserve">90%</w:t>
            </w: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58077CBC">
            <w:pPr>
              <w:pBdr/>
              <w:spacing w:after="0" w:before="0" w:line="240" w:lineRule="auto"/>
              <w:ind/>
              <w:jc w:val="center"/>
              <w:rPr/>
            </w:pPr>
            <w:r>
              <w:rPr>
                <w:rFonts w:ascii="Times New Roman" w:hAnsi="Times New Roman" w:eastAsia="Times New Roman" w:cs="Times New Roman"/>
                <w:color w:val="000000"/>
                <w:sz w:val="22"/>
              </w:rPr>
              <w:t xml:space="preserve">2.988.971.582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9E709B">
            <w:pPr>
              <w:pBdr/>
              <w:spacing w:after="0" w:before="0" w:line="240" w:lineRule="auto"/>
              <w:ind/>
              <w:jc w:val="center"/>
              <w:rPr/>
            </w:pPr>
            <w:r>
              <w:rPr>
                <w:rFonts w:ascii="Times New Roman" w:hAnsi="Times New Roman" w:eastAsia="Times New Roman" w:cs="Times New Roman"/>
                <w:color w:val="000000"/>
                <w:sz w:val="22"/>
              </w:rPr>
              <w:t xml:space="preserve">2.756.005.269</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CC8959">
            <w:pPr>
              <w:pBdr/>
              <w:spacing w:after="0" w:before="0" w:line="240" w:lineRule="auto"/>
              <w:ind/>
              <w:jc w:val="center"/>
              <w:rPr/>
            </w:pPr>
            <w:r>
              <w:rPr>
                <w:rFonts w:ascii="Times New Roman" w:hAnsi="Times New Roman" w:eastAsia="Times New Roman" w:cs="Times New Roman"/>
                <w:color w:val="000000"/>
                <w:sz w:val="22"/>
              </w:rPr>
              <w:t xml:space="preserve">3.267.324.870</w:t>
            </w:r>
            <w:r/>
          </w:p>
        </w:tc>
      </w:tr>
      <w:tr>
        <w:trPr>
          <w:trHeight w:val="552"/>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14:paraId="3FDB56E0">
            <w:pPr>
              <w:pBdr/>
              <w:spacing w:after="0" w:before="0" w:line="240" w:lineRule="auto"/>
              <w:ind/>
              <w:jc w:val="center"/>
              <w:rPr/>
            </w:pPr>
            <w:r>
              <w:rPr>
                <w:rFonts w:ascii="Times New Roman" w:hAnsi="Times New Roman" w:eastAsia="Times New Roman" w:cs="Times New Roman"/>
                <w:color w:val="000000"/>
                <w:sz w:val="22"/>
              </w:rPr>
              <w:t xml:space="preserve">80.783.016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7C284D5C">
            <w:pPr>
              <w:pBdr/>
              <w:spacing w:after="0" w:before="0" w:line="240" w:lineRule="auto"/>
              <w:ind/>
              <w:jc w:val="center"/>
              <w:rPr/>
            </w:pPr>
            <w:r>
              <w:rPr>
                <w:rFonts w:ascii="Times New Roman" w:hAnsi="Times New Roman" w:eastAsia="Times New Roman" w:cs="Times New Roman"/>
                <w:color w:val="000000"/>
                <w:sz w:val="22"/>
              </w:rPr>
              <w:t xml:space="preserve">66.731.362</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5E0AAAEF">
            <w:pPr>
              <w:pBdr/>
              <w:spacing w:after="0" w:before="0" w:line="240" w:lineRule="auto"/>
              <w:ind/>
              <w:jc w:val="center"/>
              <w:rPr/>
            </w:pPr>
            <w:r>
              <w:rPr>
                <w:rFonts w:ascii="Times New Roman" w:hAnsi="Times New Roman" w:eastAsia="Times New Roman" w:cs="Times New Roman"/>
                <w:color w:val="000000"/>
                <w:sz w:val="22"/>
              </w:rPr>
              <w:t xml:space="preserve">67.786.823</w:t>
            </w: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5B297AE">
            <w:pPr>
              <w:pBdr/>
              <w:spacing/>
              <w:ind/>
              <w:rPr/>
            </w:pPr>
            <w:r>
              <w:rPr>
                <w:color w:val="000000" w:themeColor="text1"/>
                <w:sz w:val="22"/>
                <w:szCs w:val="22"/>
              </w:rPr>
              <w:t xml:space="preserve">Tương đồng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2E64F5E">
            <w:pPr>
              <w:pBdr/>
              <w:spacing/>
              <w:ind/>
              <w:rPr/>
            </w:pPr>
            <w:r>
              <w:rPr>
                <w:color w:val="000000" w:themeColor="text1"/>
                <w:sz w:val="22"/>
                <w:szCs w:val="22"/>
              </w:rPr>
              <w:t xml:space="preserve">Tương đồng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676"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33"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14:paraId="6B6036DD">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FEFA1E1">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C1E0504">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439A49">
            <w:pPr>
              <w:pBdr/>
              <w:spacing w:after="0" w:before="0" w:line="240" w:lineRule="auto"/>
              <w:ind/>
              <w:jc w:val="center"/>
              <w:rPr/>
            </w:pPr>
            <w:r>
              <w:rPr>
                <w:rFonts w:ascii="Times New Roman" w:hAnsi="Times New Roman" w:eastAsia="Times New Roman" w:cs="Times New Roman"/>
                <w:color w:val="000000"/>
                <w:sz w:val="22"/>
              </w:rPr>
              <w:t xml:space="preserve">2.988.971.582</w:t>
            </w:r>
            <w:r/>
          </w:p>
        </w:tc>
        <w:tc>
          <w:tcPr>
            <w:shd w:val="clear" w:color="000000" w:fill="ffffff"/>
            <w:tcBorders/>
            <w:tcW w:w="1522" w:type="dxa"/>
            <w:vAlign w:val="center"/>
            <w:textDirection w:val="lrTb"/>
            <w:noWrap w:val="false"/>
          </w:tcPr>
          <w:p w14:paraId="37F2AD72">
            <w:pPr>
              <w:pBdr/>
              <w:spacing w:after="0" w:before="0" w:line="240" w:lineRule="auto"/>
              <w:ind/>
              <w:jc w:val="center"/>
              <w:rPr/>
            </w:pPr>
            <w:r>
              <w:rPr>
                <w:rFonts w:ascii="Times New Roman" w:hAnsi="Times New Roman" w:eastAsia="Times New Roman" w:cs="Times New Roman"/>
                <w:color w:val="000000"/>
                <w:sz w:val="22"/>
              </w:rPr>
              <w:t xml:space="preserve">2.756.005.269</w:t>
            </w:r>
            <w:r/>
          </w:p>
        </w:tc>
        <w:tc>
          <w:tcPr>
            <w:shd w:val="clear" w:color="000000" w:fill="ffffff"/>
            <w:tcBorders/>
            <w:tcW w:w="1522" w:type="dxa"/>
            <w:vAlign w:val="center"/>
            <w:textDirection w:val="lrTb"/>
            <w:noWrap w:val="false"/>
          </w:tcPr>
          <w:p w14:paraId="4AF7E6A6">
            <w:pPr>
              <w:pBdr/>
              <w:spacing w:after="0" w:before="0" w:line="240" w:lineRule="auto"/>
              <w:ind/>
              <w:jc w:val="center"/>
              <w:rPr/>
            </w:pPr>
            <w:r>
              <w:rPr>
                <w:rFonts w:ascii="Times New Roman" w:hAnsi="Times New Roman" w:eastAsia="Times New Roman" w:cs="Times New Roman"/>
                <w:color w:val="000000"/>
                <w:sz w:val="22"/>
              </w:rPr>
              <w:t xml:space="preserve">3.267.324.870</w:t>
            </w: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49AC6B">
            <w:pPr>
              <w:pBdr/>
              <w:spacing w:after="0" w:before="0" w:line="240" w:lineRule="auto"/>
              <w:ind/>
              <w:jc w:val="center"/>
              <w:rPr/>
            </w:pPr>
            <w:r>
              <w:rPr>
                <w:rFonts w:ascii="Times New Roman" w:hAnsi="Times New Roman" w:eastAsia="Times New Roman" w:cs="Times New Roman"/>
                <w:color w:val="000000"/>
                <w:sz w:val="22"/>
              </w:rPr>
              <w:t xml:space="preserve">80.783.016</w:t>
            </w:r>
            <w:r/>
          </w:p>
        </w:tc>
        <w:tc>
          <w:tcPr>
            <w:shd w:val="clear" w:color="000000" w:fill="ffffff"/>
            <w:tcBorders/>
            <w:tcW w:w="1522" w:type="dxa"/>
            <w:vAlign w:val="center"/>
            <w:textDirection w:val="lrTb"/>
            <w:noWrap w:val="false"/>
          </w:tcPr>
          <w:p w14:paraId="5649BA40">
            <w:pPr>
              <w:pBdr/>
              <w:spacing w:after="0" w:before="0" w:line="240" w:lineRule="auto"/>
              <w:ind/>
              <w:jc w:val="center"/>
              <w:rPr/>
            </w:pPr>
            <w:r>
              <w:rPr>
                <w:rFonts w:ascii="Times New Roman" w:hAnsi="Times New Roman" w:eastAsia="Times New Roman" w:cs="Times New Roman"/>
                <w:color w:val="000000"/>
                <w:sz w:val="22"/>
              </w:rPr>
              <w:t xml:space="preserve">66.731.362</w:t>
            </w:r>
            <w:r/>
          </w:p>
        </w:tc>
        <w:tc>
          <w:tcPr>
            <w:shd w:val="clear" w:color="000000" w:fill="ffffff"/>
            <w:tcBorders/>
            <w:tcW w:w="1522" w:type="dxa"/>
            <w:vAlign w:val="center"/>
            <w:textDirection w:val="lrTb"/>
            <w:noWrap w:val="false"/>
          </w:tcPr>
          <w:p w14:paraId="42233ACA">
            <w:pPr>
              <w:pBdr/>
              <w:spacing w:after="0" w:before="0" w:line="240" w:lineRule="auto"/>
              <w:ind/>
              <w:jc w:val="center"/>
              <w:rPr/>
            </w:pPr>
            <w:r>
              <w:rPr>
                <w:rFonts w:ascii="Times New Roman" w:hAnsi="Times New Roman" w:eastAsia="Times New Roman" w:cs="Times New Roman"/>
                <w:color w:val="000000"/>
                <w:sz w:val="22"/>
              </w:rPr>
              <w:t xml:space="preserve">67.786.823</w:t>
            </w: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5BEDA5">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020132E7">
            <w:pPr>
              <w:pBdr/>
              <w:spacing/>
              <w:ind/>
              <w:jc w:val="center"/>
              <w:rPr/>
            </w:pPr>
            <w:r>
              <w:rPr>
                <w:color w:val="000000" w:themeColor="text1"/>
                <w:sz w:val="22"/>
                <w:szCs w:val="22"/>
              </w:rPr>
              <w:t xml:space="preserve">Có 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14:paraId="09A90F70">
            <w:pPr>
              <w:pBdr/>
              <w:spacing/>
              <w:ind/>
              <w:jc w:val="center"/>
              <w:rPr/>
            </w:pPr>
            <w:r>
              <w:rPr>
                <w:color w:val="000000" w:themeColor="text1"/>
                <w:sz w:val="22"/>
                <w:szCs w:val="22"/>
              </w:rPr>
              <w:t xml:space="preserve">Có 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59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71F4BF6E">
            <w:pPr>
              <w:pBdr/>
              <w:spacing/>
              <w:ind/>
              <w:jc w:val="center"/>
              <w:rPr>
                <w:color w:val="000000" w:themeColor="text1"/>
                <w:sz w:val="22"/>
                <w:szCs w:val="22"/>
                <w14:ligatures w14:val="none"/>
              </w:rPr>
            </w:pPr>
            <w:r>
              <w:rPr>
                <w:color w:val="000000" w:themeColor="text1"/>
                <w:sz w:val="22"/>
                <w:szCs w:val="22"/>
              </w:rPr>
              <w:t xml:space="preserve">80.783.016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07E68E0B">
            <w:pPr>
              <w:pBdr/>
              <w:spacing/>
              <w:ind/>
              <w:jc w:val="center"/>
              <w:rPr>
                <w:color w:val="000000" w:themeColor="text1"/>
                <w:sz w:val="22"/>
                <w:szCs w:val="22"/>
                <w14:ligatures w14:val="none"/>
              </w:rPr>
            </w:pPr>
            <w:r>
              <w:rPr>
                <w:color w:val="000000" w:themeColor="text1"/>
                <w:sz w:val="22"/>
                <w:szCs w:val="22"/>
              </w:rPr>
              <w:t xml:space="preserve">66.731.362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578C60D8">
            <w:pPr>
              <w:pBdr/>
              <w:spacing/>
              <w:ind/>
              <w:jc w:val="center"/>
              <w:rPr>
                <w:color w:val="000000" w:themeColor="text1"/>
                <w:sz w:val="22"/>
                <w:szCs w:val="22"/>
                <w14:ligatures w14:val="none"/>
              </w:rPr>
            </w:pPr>
            <w:r>
              <w:rPr>
                <w:color w:val="000000" w:themeColor="text1"/>
                <w:sz w:val="22"/>
                <w:szCs w:val="22"/>
              </w:rPr>
              <w:t xml:space="preserve">67.786.823</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C191D0">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2AC583A3">
            <w:pPr>
              <w:pBdr/>
              <w:spacing/>
              <w:ind/>
              <w:jc w:val="center"/>
              <w:rPr>
                <w:color w:val="000000" w:themeColor="text1"/>
                <w:sz w:val="22"/>
                <w:szCs w:val="22"/>
                <w14:ligatures w14:val="none"/>
              </w:rPr>
            </w:pPr>
            <w:r>
              <w:rPr>
                <w:color w:val="000000" w:themeColor="text1"/>
                <w:sz w:val="22"/>
                <w:szCs w:val="22"/>
              </w:rPr>
              <w:t xml:space="preserve">80.783.016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392927A0">
            <w:pPr>
              <w:pBdr/>
              <w:spacing/>
              <w:ind/>
              <w:jc w:val="center"/>
              <w:rPr>
                <w:color w:val="000000" w:themeColor="text1"/>
                <w:sz w:val="22"/>
                <w:szCs w:val="22"/>
                <w14:ligatures w14:val="none"/>
              </w:rPr>
            </w:pPr>
            <w:r>
              <w:rPr>
                <w:color w:val="000000" w:themeColor="text1"/>
                <w:sz w:val="22"/>
                <w:szCs w:val="22"/>
              </w:rPr>
              <w:t xml:space="preserve">66.731.362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6C1450CF">
            <w:pPr>
              <w:pBdr/>
              <w:spacing/>
              <w:ind/>
              <w:jc w:val="center"/>
              <w:rPr>
                <w:color w:val="000000" w:themeColor="text1"/>
                <w:sz w:val="22"/>
                <w:szCs w:val="22"/>
                <w14:ligatures w14:val="none"/>
              </w:rPr>
            </w:pPr>
            <w:r>
              <w:rPr>
                <w:color w:val="000000" w:themeColor="text1"/>
                <w:sz w:val="22"/>
                <w:szCs w:val="22"/>
              </w:rPr>
              <w:t xml:space="preserve">67.786.823</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C191D0">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2AC583A3">
            <w:pPr>
              <w:pBdr/>
              <w:spacing/>
              <w:ind/>
              <w:jc w:val="center"/>
              <w:rPr>
                <w:color w:val="000000" w:themeColor="text1"/>
                <w:sz w:val="22"/>
                <w:szCs w:val="22"/>
                <w14:ligatures w14:val="none"/>
              </w:rPr>
            </w:pPr>
            <w:r>
              <w:rPr>
                <w:color w:val="000000" w:themeColor="text1"/>
                <w:sz w:val="22"/>
                <w:szCs w:val="22"/>
              </w:rPr>
              <w:t xml:space="preserve">80.783.016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392927A0">
            <w:pPr>
              <w:pBdr/>
              <w:spacing/>
              <w:ind/>
              <w:jc w:val="center"/>
              <w:rPr>
                <w:color w:val="000000" w:themeColor="text1"/>
                <w:sz w:val="22"/>
                <w:szCs w:val="22"/>
                <w14:ligatures w14:val="none"/>
              </w:rPr>
            </w:pPr>
            <w:r>
              <w:rPr>
                <w:color w:val="000000" w:themeColor="text1"/>
                <w:sz w:val="22"/>
                <w:szCs w:val="22"/>
              </w:rPr>
              <w:t xml:space="preserve">66.731.362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6C1450CF">
            <w:pPr>
              <w:pBdr/>
              <w:spacing/>
              <w:ind/>
              <w:jc w:val="center"/>
              <w:rPr>
                <w:color w:val="000000" w:themeColor="text1"/>
                <w:sz w:val="22"/>
                <w:szCs w:val="22"/>
                <w14:ligatures w14:val="none"/>
              </w:rPr>
            </w:pPr>
            <w:r>
              <w:rPr>
                <w:color w:val="000000" w:themeColor="text1"/>
                <w:sz w:val="22"/>
                <w:szCs w:val="22"/>
              </w:rPr>
              <w:t xml:space="preserve">67.786.823</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BBE88C">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1.5m, đường xe máy lưu thông nhỏ hơn 2.5m, mặt tiền 2.3m, </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14:paraId="34B2D798">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2m, mặt tiền 4.1m.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14:paraId="40C3401D">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2m, mặt tiền 5m.</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14:paraId="449B3B33">
            <w:pPr>
              <w:pBdr/>
              <w:spacing/>
              <w:ind/>
              <w:jc w:val="center"/>
              <w:rPr>
                <w:color w:val="000000" w:themeColor="text1"/>
                <w:sz w:val="22"/>
                <w:szCs w:val="22"/>
                <w:highlight w:val="none"/>
              </w:rPr>
            </w:pPr>
            <w:r>
              <w:rPr>
                <w:color w:val="000000" w:themeColor="text1"/>
                <w:sz w:val="22"/>
                <w:szCs w:val="22"/>
              </w:rPr>
              <w:t xml:space="preserve">Tài sản tại: </w:t>
            </w:r>
            <w:r>
              <w:rPr>
                <w:color w:val="000000" w:themeColor="text1"/>
                <w:sz w:val="22"/>
                <w:szCs w:val="22"/>
              </w:rPr>
              <w:t xml:space="preserve">Phường Phú Định, thành phố Hồ Chí Minh</w:t>
            </w:r>
            <w:r>
              <w:rPr>
                <w:color w:val="000000" w:themeColor="text1"/>
                <w:sz w:val="22"/>
                <w:szCs w:val="22"/>
              </w:rPr>
              <w:t xml:space="preserve">, độ rộng đường trước mặt tài sản 1.5m, mặt tiền 5.61m.</w:t>
            </w:r>
            <w:r>
              <w:rPr>
                <w:color w:val="000000" w:themeColor="text1"/>
                <w:sz w:val="22"/>
                <w:szCs w:val="22"/>
                <w:highlight w:val="none"/>
              </w:rPr>
            </w:r>
            <w:r>
              <w:rPr>
                <w:color w:val="000000" w:themeColor="text1"/>
                <w:sz w:val="22"/>
                <w:szCs w:val="22"/>
                <w:highlight w:val="none"/>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C191D0">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2AC583A3">
            <w:pPr>
              <w:pBdr/>
              <w:spacing/>
              <w:ind/>
              <w:jc w:val="center"/>
              <w:rPr>
                <w:color w:val="000000" w:themeColor="text1"/>
                <w:sz w:val="22"/>
                <w:szCs w:val="22"/>
                <w14:ligatures w14:val="none"/>
              </w:rPr>
            </w:pPr>
            <w:r>
              <w:rPr>
                <w:color w:val="000000" w:themeColor="text1"/>
                <w:sz w:val="22"/>
                <w:szCs w:val="22"/>
              </w:rPr>
              <w:t xml:space="preserve">80.783.016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392927A0">
            <w:pPr>
              <w:pBdr/>
              <w:spacing/>
              <w:ind/>
              <w:jc w:val="center"/>
              <w:rPr>
                <w:color w:val="000000" w:themeColor="text1"/>
                <w:sz w:val="22"/>
                <w:szCs w:val="22"/>
                <w14:ligatures w14:val="none"/>
              </w:rPr>
            </w:pPr>
            <w:r>
              <w:rPr>
                <w:color w:val="000000" w:themeColor="text1"/>
                <w:sz w:val="22"/>
                <w:szCs w:val="22"/>
              </w:rPr>
              <w:t xml:space="preserve">66.731.362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6C1450CF">
            <w:pPr>
              <w:pBdr/>
              <w:spacing/>
              <w:ind/>
              <w:jc w:val="center"/>
              <w:rPr>
                <w:color w:val="000000" w:themeColor="text1"/>
                <w:sz w:val="22"/>
                <w:szCs w:val="22"/>
                <w14:ligatures w14:val="none"/>
              </w:rPr>
            </w:pPr>
            <w:r>
              <w:rPr>
                <w:color w:val="000000" w:themeColor="text1"/>
                <w:sz w:val="22"/>
                <w:szCs w:val="22"/>
              </w:rPr>
              <w:t xml:space="preserve">67.786.823</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1C191D0">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2AC583A3">
            <w:pPr>
              <w:pBdr/>
              <w:spacing/>
              <w:ind/>
              <w:jc w:val="center"/>
              <w:rPr>
                <w:color w:val="000000" w:themeColor="text1"/>
                <w:sz w:val="22"/>
                <w:szCs w:val="22"/>
                <w14:ligatures w14:val="none"/>
              </w:rPr>
            </w:pPr>
            <w:r>
              <w:rPr>
                <w:color w:val="000000" w:themeColor="text1"/>
                <w:sz w:val="22"/>
                <w:szCs w:val="22"/>
              </w:rPr>
              <w:t xml:space="preserve">80.783.016</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392927A0">
            <w:pPr>
              <w:pBdr/>
              <w:spacing/>
              <w:ind/>
              <w:jc w:val="center"/>
              <w:rPr>
                <w:color w:val="000000" w:themeColor="text1"/>
                <w:sz w:val="22"/>
                <w:szCs w:val="22"/>
                <w14:ligatures w14:val="none"/>
              </w:rPr>
            </w:pPr>
            <w:r>
              <w:rPr>
                <w:color w:val="000000" w:themeColor="text1"/>
                <w:sz w:val="22"/>
                <w:szCs w:val="22"/>
              </w:rPr>
              <w:t xml:space="preserve">66.731.362</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14:paraId="6C1450CF">
            <w:pPr>
              <w:pBdr/>
              <w:spacing/>
              <w:ind/>
              <w:jc w:val="center"/>
              <w:rPr>
                <w:color w:val="000000" w:themeColor="text1"/>
                <w:sz w:val="22"/>
                <w:szCs w:val="22"/>
                <w14:ligatures w14:val="none"/>
              </w:rPr>
            </w:pPr>
            <w:r>
              <w:rPr>
                <w:color w:val="000000" w:themeColor="text1"/>
                <w:sz w:val="22"/>
                <w:szCs w:val="22"/>
              </w:rPr>
              <w:t xml:space="preserve">67.786.823</w:t>
            </w:r>
            <w:r>
              <w:rPr>
                <w:color w:val="000000" w:themeColor="text1"/>
                <w:sz w:val="22"/>
                <w:szCs w:val="22"/>
                <w14:ligatures w14:val="none"/>
              </w:rPr>
            </w:r>
            <w:r>
              <w:rPr>
                <w:color w:val="000000" w:themeColor="text1"/>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63E801">
            <w:pPr>
              <w:pBdr/>
              <w:spacing w:after="0" w:before="0" w:line="240" w:lineRule="auto"/>
              <w:ind/>
              <w:jc w:val="center"/>
              <w:rPr/>
            </w:pPr>
            <w:r>
              <w:rPr>
                <w:rFonts w:ascii="Times New Roman" w:hAnsi="Times New Roman" w:eastAsia="Times New Roman" w:cs="Times New Roman"/>
                <w:color w:val="000000"/>
                <w:sz w:val="22"/>
              </w:rPr>
              <w:t xml:space="preserve">-4.039.151 </w:t>
            </w:r>
            <w:r/>
          </w:p>
        </w:tc>
        <w:tc>
          <w:tcPr>
            <w:shd w:val="clear" w:color="000000" w:fill="ffffff"/>
            <w:tcBorders/>
            <w:tcW w:w="1522" w:type="dxa"/>
            <w:vAlign w:val="center"/>
            <w:textDirection w:val="lrTb"/>
            <w:noWrap/>
          </w:tcPr>
          <w:p w14:paraId="0B98F601">
            <w:pPr>
              <w:pBdr/>
              <w:spacing w:after="0" w:before="0" w:line="240" w:lineRule="auto"/>
              <w:ind/>
              <w:jc w:val="center"/>
              <w:rPr/>
            </w:pPr>
            <w:r>
              <w:rPr>
                <w:rFonts w:ascii="Times New Roman" w:hAnsi="Times New Roman" w:eastAsia="Times New Roman" w:cs="Times New Roman"/>
                <w:color w:val="000000"/>
                <w:sz w:val="22"/>
              </w:rPr>
              <w:t xml:space="preserve">-2.001.941 </w:t>
            </w:r>
            <w:r/>
          </w:p>
        </w:tc>
        <w:tc>
          <w:tcPr>
            <w:shd w:val="clear" w:color="000000" w:fill="ffffff"/>
            <w:tcBorders/>
            <w:tcW w:w="1522" w:type="dxa"/>
            <w:vAlign w:val="center"/>
            <w:textDirection w:val="lrTb"/>
            <w:noWrap/>
          </w:tcPr>
          <w:p w14:paraId="29AF72B9">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66B424B">
            <w:pPr>
              <w:pBdr/>
              <w:spacing w:after="0" w:before="0" w:line="240" w:lineRule="auto"/>
              <w:ind/>
              <w:jc w:val="center"/>
              <w:rPr/>
            </w:pPr>
            <w:r>
              <w:rPr>
                <w:rFonts w:ascii="Times New Roman" w:hAnsi="Times New Roman" w:eastAsia="Times New Roman" w:cs="Times New Roman"/>
                <w:color w:val="000000"/>
                <w:sz w:val="22"/>
              </w:rPr>
              <w:t xml:space="preserve">76.743.865 </w:t>
            </w:r>
            <w:r/>
          </w:p>
        </w:tc>
        <w:tc>
          <w:tcPr>
            <w:shd w:val="clear" w:color="000000" w:fill="ffffff"/>
            <w:tcBorders/>
            <w:tcW w:w="1522" w:type="dxa"/>
            <w:vAlign w:val="center"/>
            <w:textDirection w:val="lrTb"/>
            <w:noWrap/>
          </w:tcPr>
          <w:p w14:paraId="428ABA80">
            <w:pPr>
              <w:pBdr/>
              <w:spacing w:after="0" w:before="0" w:line="240" w:lineRule="auto"/>
              <w:ind/>
              <w:jc w:val="center"/>
              <w:rPr/>
            </w:pPr>
            <w:r>
              <w:rPr>
                <w:rFonts w:ascii="Times New Roman" w:hAnsi="Times New Roman" w:eastAsia="Times New Roman" w:cs="Times New Roman"/>
                <w:color w:val="000000"/>
                <w:sz w:val="22"/>
              </w:rPr>
              <w:t xml:space="preserve">64.729.422 </w:t>
            </w:r>
            <w:r/>
          </w:p>
        </w:tc>
        <w:tc>
          <w:tcPr>
            <w:shd w:val="clear" w:color="000000" w:fill="ffffff"/>
            <w:tcBorders/>
            <w:tcW w:w="1522" w:type="dxa"/>
            <w:vAlign w:val="center"/>
            <w:textDirection w:val="lrTb"/>
            <w:noWrap/>
          </w:tcPr>
          <w:p w14:paraId="5F0834B9">
            <w:pPr>
              <w:pBdr/>
              <w:spacing w:after="0" w:before="0" w:line="240" w:lineRule="auto"/>
              <w:ind/>
              <w:jc w:val="center"/>
              <w:rPr/>
            </w:pPr>
            <w:r>
              <w:rPr>
                <w:rFonts w:ascii="Times New Roman" w:hAnsi="Times New Roman" w:eastAsia="Times New Roman" w:cs="Times New Roman"/>
                <w:color w:val="000000"/>
                <w:sz w:val="22"/>
              </w:rPr>
              <w:t xml:space="preserve">67.786.823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AE65AC">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C29F984">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89430C">
            <w:pPr>
              <w:pBdr/>
              <w:spacing/>
              <w:ind/>
              <w:jc w:val="center"/>
              <w:rPr>
                <w:b/>
                <w:bCs/>
                <w:color w:val="000000"/>
                <w:sz w:val="22"/>
                <w:szCs w:val="22"/>
              </w:rPr>
            </w:pPr>
            <w:r>
              <w:rPr>
                <w:color w:val="000000" w:themeColor="text1"/>
                <w:sz w:val="22"/>
                <w:szCs w:val="22"/>
              </w:rPr>
              <w:t xml:space="preserve">1,5</w:t>
            </w:r>
            <w:r>
              <w:rPr>
                <w:b/>
                <w:bCs/>
                <w:color w:val="000000"/>
                <w:sz w:val="22"/>
                <w:szCs w:val="22"/>
              </w:rPr>
            </w:r>
            <w:r>
              <w:rPr>
                <w:b/>
                <w:bCs/>
                <w:color w:val="000000"/>
                <w:sz w:val="22"/>
                <w:szCs w:val="22"/>
              </w:rPr>
            </w:r>
          </w:p>
        </w:tc>
      </w:tr>
      <w:tr>
        <w:trPr>
          <w:trHeight w:val="307"/>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2E6B0CD">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000000" w:fill="ffffff"/>
            <w:tcBorders/>
            <w:tcW w:w="1522" w:type="dxa"/>
            <w:vAlign w:val="center"/>
            <w:textDirection w:val="lrTb"/>
            <w:noWrap w:val="false"/>
          </w:tcPr>
          <w:p w14:paraId="532CDD14">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textDirection w:val="lrTb"/>
            <w:noWrap w:val="false"/>
          </w:tcPr>
          <w:p w14:paraId="5F0CFA4D">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FD7581">
            <w:pPr>
              <w:pBdr/>
              <w:spacing w:after="0" w:before="0" w:line="240" w:lineRule="auto"/>
              <w:ind/>
              <w:jc w:val="center"/>
              <w:rPr/>
            </w:pPr>
            <w:r>
              <w:rPr>
                <w:rFonts w:ascii="Times New Roman" w:hAnsi="Times New Roman" w:eastAsia="Times New Roman" w:cs="Times New Roman"/>
                <w:color w:val="000000"/>
                <w:sz w:val="22"/>
              </w:rPr>
              <w:t xml:space="preserve">-10.501.792 </w:t>
            </w:r>
            <w:r/>
          </w:p>
        </w:tc>
        <w:tc>
          <w:tcPr>
            <w:shd w:val="clear" w:color="000000" w:fill="ffffff"/>
            <w:tcBorders/>
            <w:tcW w:w="1522" w:type="dxa"/>
            <w:vAlign w:val="center"/>
            <w:textDirection w:val="lrTb"/>
            <w:noWrap/>
          </w:tcPr>
          <w:p w14:paraId="5918FEA4">
            <w:pPr>
              <w:pBdr/>
              <w:spacing w:after="0" w:before="0" w:line="240" w:lineRule="auto"/>
              <w:ind/>
              <w:jc w:val="center"/>
              <w:rPr/>
            </w:pPr>
            <w:r>
              <w:rPr>
                <w:rFonts w:ascii="Times New Roman" w:hAnsi="Times New Roman" w:eastAsia="Times New Roman" w:cs="Times New Roman"/>
                <w:color w:val="000000"/>
                <w:sz w:val="22"/>
              </w:rPr>
              <w:t xml:space="preserve">-6.673.136 </w:t>
            </w:r>
            <w:r/>
          </w:p>
        </w:tc>
        <w:tc>
          <w:tcPr>
            <w:shd w:val="clear" w:color="000000" w:fill="ffffff"/>
            <w:tcBorders/>
            <w:tcW w:w="1522" w:type="dxa"/>
            <w:vAlign w:val="center"/>
            <w:textDirection w:val="lrTb"/>
            <w:noWrap/>
          </w:tcPr>
          <w:p w14:paraId="19B03A26">
            <w:pPr>
              <w:pBdr/>
              <w:spacing w:after="0" w:before="0" w:line="240" w:lineRule="auto"/>
              <w:ind/>
              <w:jc w:val="center"/>
              <w:rPr/>
            </w:pPr>
            <w:r>
              <w:rPr>
                <w:rFonts w:ascii="Times New Roman" w:hAnsi="Times New Roman" w:eastAsia="Times New Roman" w:cs="Times New Roman"/>
                <w:color w:val="000000"/>
                <w:sz w:val="22"/>
              </w:rPr>
              <w:t xml:space="preserve">-3.389.341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D1805B">
            <w:pPr>
              <w:pBdr/>
              <w:spacing w:after="0" w:before="0" w:line="240" w:lineRule="auto"/>
              <w:ind/>
              <w:jc w:val="center"/>
              <w:rPr/>
            </w:pPr>
            <w:r>
              <w:rPr>
                <w:rFonts w:ascii="Times New Roman" w:hAnsi="Times New Roman" w:eastAsia="Times New Roman" w:cs="Times New Roman"/>
                <w:color w:val="000000"/>
                <w:sz w:val="22"/>
              </w:rPr>
              <w:t xml:space="preserve">66.242.073 </w:t>
            </w:r>
            <w:r/>
          </w:p>
        </w:tc>
        <w:tc>
          <w:tcPr>
            <w:shd w:val="clear" w:color="000000" w:fill="ffffff"/>
            <w:tcBorders/>
            <w:tcW w:w="1522" w:type="dxa"/>
            <w:vAlign w:val="center"/>
            <w:textDirection w:val="lrTb"/>
            <w:noWrap/>
          </w:tcPr>
          <w:p w14:paraId="04EDD91D">
            <w:pPr>
              <w:pBdr/>
              <w:spacing w:after="0" w:before="0" w:line="240" w:lineRule="auto"/>
              <w:ind/>
              <w:jc w:val="center"/>
              <w:rPr/>
            </w:pPr>
            <w:r>
              <w:rPr>
                <w:rFonts w:ascii="Times New Roman" w:hAnsi="Times New Roman" w:eastAsia="Times New Roman" w:cs="Times New Roman"/>
                <w:color w:val="000000"/>
                <w:sz w:val="22"/>
              </w:rPr>
              <w:t xml:space="preserve">58.056.285 </w:t>
            </w:r>
            <w:r/>
          </w:p>
        </w:tc>
        <w:tc>
          <w:tcPr>
            <w:shd w:val="clear" w:color="000000" w:fill="ffffff"/>
            <w:tcBorders/>
            <w:tcW w:w="1522" w:type="dxa"/>
            <w:vAlign w:val="center"/>
            <w:textDirection w:val="lrTb"/>
            <w:noWrap/>
          </w:tcPr>
          <w:p w14:paraId="302DEA47">
            <w:pPr>
              <w:pBdr/>
              <w:spacing w:after="0" w:before="0" w:line="240" w:lineRule="auto"/>
              <w:ind/>
              <w:jc w:val="center"/>
              <w:rPr/>
            </w:pPr>
            <w:r>
              <w:rPr>
                <w:rFonts w:ascii="Times New Roman" w:hAnsi="Times New Roman" w:eastAsia="Times New Roman" w:cs="Times New Roman"/>
                <w:color w:val="000000"/>
                <w:sz w:val="22"/>
              </w:rPr>
              <w:t xml:space="preserve">64.397.482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14:ligatures w14:val="none"/>
              </w:rPr>
            </w:pPr>
            <w:r>
              <w:rPr>
                <w:color w:val="000000"/>
                <w:sz w:val="22"/>
                <w:szCs w:val="22"/>
              </w:rPr>
              <w:t xml:space="preserve"> </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78FDED3F">
            <w:pPr>
              <w:pBdr/>
              <w:spacing/>
              <w:ind/>
              <w:jc w:val="center"/>
              <w:rPr>
                <w:color w:val="000000"/>
                <w:sz w:val="22"/>
                <w:szCs w:val="22"/>
                <w14:ligatures w14:val="none"/>
              </w:rPr>
            </w:pPr>
            <w:r>
              <w:rPr>
                <w:color w:val="000000"/>
                <w:sz w:val="22"/>
                <w:szCs w:val="22"/>
              </w:rPr>
              <w:t xml:space="preserve">66.242.073 </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08273326">
            <w:pPr>
              <w:pBdr/>
              <w:spacing/>
              <w:ind/>
              <w:jc w:val="center"/>
              <w:rPr>
                <w:color w:val="000000"/>
                <w:sz w:val="22"/>
                <w:szCs w:val="22"/>
                <w14:ligatures w14:val="none"/>
              </w:rPr>
            </w:pPr>
            <w:r>
              <w:rPr>
                <w:color w:val="000000"/>
                <w:sz w:val="22"/>
                <w:szCs w:val="22"/>
              </w:rPr>
              <w:t xml:space="preserve">58.056.285 </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710F7128">
            <w:pPr>
              <w:pBdr/>
              <w:spacing/>
              <w:ind/>
              <w:jc w:val="center"/>
              <w:rPr>
                <w:color w:val="000000"/>
                <w:sz w:val="22"/>
                <w:szCs w:val="22"/>
                <w14:ligatures w14:val="none"/>
              </w:rPr>
            </w:pPr>
            <w:r>
              <w:rPr>
                <w:color w:val="000000"/>
                <w:sz w:val="22"/>
                <w:szCs w:val="22"/>
              </w:rPr>
              <w:t xml:space="preserve">64.397.482 </w:t>
            </w:r>
            <w:r>
              <w:rPr>
                <w:color w:val="000000"/>
                <w:sz w:val="22"/>
                <w:szCs w:val="22"/>
                <w14:ligatures w14:val="none"/>
              </w:rPr>
            </w:r>
            <w:r>
              <w:rPr>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AB97D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F858EE">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D2AF5D">
            <w:pPr>
              <w:pBdr/>
              <w:spacing/>
              <w:ind/>
              <w:jc w:val="center"/>
              <w:rPr>
                <w:color w:val="000000"/>
                <w:sz w:val="22"/>
                <w:szCs w:val="22"/>
                <w14:ligatures w14:val="none"/>
              </w:rPr>
            </w:pPr>
            <w:r>
              <w:rPr>
                <w:color w:val="000000"/>
                <w:sz w:val="22"/>
                <w:szCs w:val="22"/>
              </w:rPr>
              <w:t xml:space="preserve">66.242.073 </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03042184">
            <w:pPr>
              <w:pBdr/>
              <w:spacing/>
              <w:ind/>
              <w:jc w:val="center"/>
              <w:rPr>
                <w:color w:val="000000"/>
                <w:sz w:val="22"/>
                <w:szCs w:val="22"/>
                <w14:ligatures w14:val="none"/>
              </w:rPr>
            </w:pPr>
            <w:r>
              <w:rPr>
                <w:color w:val="000000"/>
                <w:sz w:val="22"/>
                <w:szCs w:val="22"/>
              </w:rPr>
              <w:t xml:space="preserve">58.056.285 </w:t>
            </w:r>
            <w:r>
              <w:rPr>
                <w:color w:val="000000"/>
                <w:sz w:val="22"/>
                <w:szCs w:val="22"/>
                <w14:ligatures w14:val="none"/>
              </w:rPr>
            </w:r>
            <w:r>
              <w:rPr>
                <w:color w:val="000000"/>
                <w:sz w:val="22"/>
                <w:szCs w:val="22"/>
                <w14:ligatures w14:val="none"/>
              </w:rPr>
            </w:r>
          </w:p>
        </w:tc>
        <w:tc>
          <w:tcPr>
            <w:shd w:val="clear" w:color="000000" w:fill="ffffff"/>
            <w:tcBorders/>
            <w:tcW w:w="1522" w:type="dxa"/>
            <w:vAlign w:val="center"/>
            <w:textDirection w:val="lrTb"/>
            <w:noWrap/>
          </w:tcPr>
          <w:p w14:paraId="41BB591F">
            <w:pPr>
              <w:pBdr/>
              <w:spacing/>
              <w:ind/>
              <w:jc w:val="center"/>
              <w:rPr>
                <w:color w:val="000000"/>
                <w:sz w:val="22"/>
                <w:szCs w:val="22"/>
                <w14:ligatures w14:val="none"/>
              </w:rPr>
            </w:pPr>
            <w:r>
              <w:rPr>
                <w:color w:val="000000"/>
                <w:sz w:val="22"/>
                <w:szCs w:val="22"/>
              </w:rPr>
              <w:t xml:space="preserve">64.397.482 </w:t>
            </w:r>
            <w:r>
              <w:rPr>
                <w:color w:val="000000"/>
                <w:sz w:val="22"/>
                <w:szCs w:val="22"/>
                <w14:ligatures w14:val="none"/>
              </w:rPr>
            </w:r>
            <w:r>
              <w:rPr>
                <w:color w:val="000000"/>
                <w:sz w:val="22"/>
                <w:szCs w:val="22"/>
                <w14:ligatures w14:val="none"/>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102,1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41,3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48,2</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C427679">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textDirection w:val="lrTb"/>
            <w:noWrap w:val="false"/>
          </w:tcPr>
          <w:p w14:paraId="05D7E07D">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000000" w:fill="ffffff"/>
            <w:tcBorders/>
            <w:tcW w:w="1522" w:type="dxa"/>
            <w:vAlign w:val="center"/>
            <w:textDirection w:val="lrTb"/>
            <w:noWrap w:val="false"/>
          </w:tcPr>
          <w:p w14:paraId="6BD8D81F">
            <w:pPr>
              <w:pBdr/>
              <w:spacing w:after="0" w:before="0" w:line="240" w:lineRule="auto"/>
              <w:ind/>
              <w:jc w:val="center"/>
              <w:rPr/>
            </w:pPr>
            <w:r>
              <w:rPr>
                <w:rFonts w:ascii="Times New Roman" w:hAnsi="Times New Roman" w:eastAsia="Times New Roman" w:cs="Times New Roman"/>
                <w:color w:val="000000"/>
                <w:sz w:val="22"/>
              </w:rPr>
              <w:t xml:space="preserve">-11%</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D0F130">
            <w:pPr>
              <w:pBdr/>
              <w:spacing w:after="0" w:before="0" w:line="240" w:lineRule="auto"/>
              <w:ind/>
              <w:jc w:val="center"/>
              <w:rPr/>
            </w:pPr>
            <w:r>
              <w:rPr>
                <w:rFonts w:ascii="Times New Roman" w:hAnsi="Times New Roman" w:eastAsia="Times New Roman" w:cs="Times New Roman"/>
                <w:color w:val="000000"/>
                <w:sz w:val="22"/>
              </w:rPr>
              <w:t xml:space="preserve">-8.078.302 </w:t>
            </w:r>
            <w:r/>
          </w:p>
        </w:tc>
        <w:tc>
          <w:tcPr>
            <w:shd w:val="clear" w:color="000000" w:fill="ffffff"/>
            <w:tcBorders/>
            <w:tcW w:w="1522" w:type="dxa"/>
            <w:vAlign w:val="center"/>
            <w:textDirection w:val="lrTb"/>
            <w:noWrap/>
          </w:tcPr>
          <w:p w14:paraId="48C35529">
            <w:pPr>
              <w:pBdr/>
              <w:spacing w:after="0" w:before="0" w:line="240" w:lineRule="auto"/>
              <w:ind/>
              <w:jc w:val="center"/>
              <w:rPr/>
            </w:pPr>
            <w:r>
              <w:rPr>
                <w:rFonts w:ascii="Times New Roman" w:hAnsi="Times New Roman" w:eastAsia="Times New Roman" w:cs="Times New Roman"/>
                <w:color w:val="000000"/>
                <w:sz w:val="22"/>
              </w:rPr>
              <w:t xml:space="preserve">-6.673.136 </w:t>
            </w:r>
            <w:r/>
          </w:p>
        </w:tc>
        <w:tc>
          <w:tcPr>
            <w:shd w:val="clear" w:color="000000" w:fill="ffffff"/>
            <w:tcBorders/>
            <w:tcW w:w="1522" w:type="dxa"/>
            <w:vAlign w:val="center"/>
            <w:textDirection w:val="lrTb"/>
            <w:noWrap/>
          </w:tcPr>
          <w:p w14:paraId="34863E37">
            <w:pPr>
              <w:pBdr/>
              <w:spacing w:after="0" w:before="0" w:line="240" w:lineRule="auto"/>
              <w:ind/>
              <w:jc w:val="center"/>
              <w:rPr/>
            </w:pPr>
            <w:r>
              <w:rPr>
                <w:rFonts w:ascii="Times New Roman" w:hAnsi="Times New Roman" w:eastAsia="Times New Roman" w:cs="Times New Roman"/>
                <w:color w:val="000000"/>
                <w:sz w:val="22"/>
              </w:rPr>
              <w:t xml:space="preserve">-7.456.551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39A5F44">
            <w:pPr>
              <w:pBdr/>
              <w:spacing w:after="0" w:before="0" w:line="240" w:lineRule="auto"/>
              <w:ind/>
              <w:jc w:val="center"/>
              <w:rPr/>
            </w:pPr>
            <w:r>
              <w:rPr>
                <w:rFonts w:ascii="Times New Roman" w:hAnsi="Times New Roman" w:eastAsia="Times New Roman" w:cs="Times New Roman"/>
                <w:color w:val="000000"/>
                <w:sz w:val="22"/>
              </w:rPr>
              <w:t xml:space="preserve">58.163.771 </w:t>
            </w:r>
            <w:r/>
          </w:p>
        </w:tc>
        <w:tc>
          <w:tcPr>
            <w:shd w:val="clear" w:color="000000" w:fill="ffffff"/>
            <w:tcBorders/>
            <w:tcW w:w="1522" w:type="dxa"/>
            <w:vAlign w:val="center"/>
            <w:textDirection w:val="lrTb"/>
            <w:noWrap/>
          </w:tcPr>
          <w:p w14:paraId="5581828F">
            <w:pPr>
              <w:pBdr/>
              <w:spacing w:after="0" w:before="0" w:line="240" w:lineRule="auto"/>
              <w:ind/>
              <w:jc w:val="center"/>
              <w:rPr/>
            </w:pPr>
            <w:r>
              <w:rPr>
                <w:rFonts w:ascii="Times New Roman" w:hAnsi="Times New Roman" w:eastAsia="Times New Roman" w:cs="Times New Roman"/>
                <w:color w:val="000000"/>
                <w:sz w:val="22"/>
              </w:rPr>
              <w:t xml:space="preserve">51.383.149 </w:t>
            </w:r>
            <w:r/>
          </w:p>
        </w:tc>
        <w:tc>
          <w:tcPr>
            <w:shd w:val="clear" w:color="000000" w:fill="ffffff"/>
            <w:tcBorders/>
            <w:tcW w:w="1522" w:type="dxa"/>
            <w:vAlign w:val="center"/>
            <w:textDirection w:val="lrTb"/>
            <w:noWrap/>
          </w:tcPr>
          <w:p w14:paraId="299217FD">
            <w:pPr>
              <w:pBdr/>
              <w:spacing w:after="0" w:before="0" w:line="240" w:lineRule="auto"/>
              <w:ind/>
              <w:jc w:val="center"/>
              <w:rPr/>
            </w:pPr>
            <w:r>
              <w:rPr>
                <w:rFonts w:ascii="Times New Roman" w:hAnsi="Times New Roman" w:eastAsia="Times New Roman" w:cs="Times New Roman"/>
                <w:color w:val="000000"/>
                <w:sz w:val="22"/>
              </w:rPr>
              <w:t xml:space="preserve">56.940.931 </w:t>
            </w:r>
            <w:r/>
          </w:p>
        </w:tc>
      </w:tr>
      <w:tr>
        <w:trPr>
          <w:trHeight w:val="177"/>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2,3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4,1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5,61</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A7141F">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14:paraId="239C9CF4">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000000" w:fill="ffffff"/>
            <w:tcBorders/>
            <w:tcW w:w="1522" w:type="dxa"/>
            <w:vAlign w:val="center"/>
            <w:textDirection w:val="lrTb"/>
            <w:noWrap w:val="false"/>
          </w:tcPr>
          <w:p w14:paraId="5A7C9894">
            <w:pPr>
              <w:pBdr/>
              <w:spacing w:after="0" w:before="0" w:line="240" w:lineRule="auto"/>
              <w:ind/>
              <w:jc w:val="center"/>
              <w:rPr/>
            </w:pPr>
            <w:r>
              <w:rPr>
                <w:rFonts w:ascii="Times New Roman" w:hAnsi="Times New Roman" w:eastAsia="Times New Roman" w:cs="Times New Roman"/>
                <w:color w:val="000000"/>
                <w:sz w:val="22"/>
              </w:rPr>
              <w:t xml:space="preserve">-8%</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581FE0">
            <w:pPr>
              <w:pBdr/>
              <w:spacing w:after="0" w:before="0" w:line="240" w:lineRule="auto"/>
              <w:ind/>
              <w:jc w:val="center"/>
              <w:rPr/>
            </w:pPr>
            <w:r>
              <w:rPr>
                <w:rFonts w:ascii="Times New Roman" w:hAnsi="Times New Roman" w:eastAsia="Times New Roman" w:cs="Times New Roman"/>
                <w:color w:val="000000"/>
                <w:sz w:val="22"/>
              </w:rPr>
              <w:t xml:space="preserve">-4.039.151 </w:t>
            </w:r>
            <w:r/>
          </w:p>
        </w:tc>
        <w:tc>
          <w:tcPr>
            <w:shd w:val="clear" w:color="000000" w:fill="ffffff"/>
            <w:tcBorders/>
            <w:tcW w:w="1522" w:type="dxa"/>
            <w:vAlign w:val="center"/>
            <w:textDirection w:val="lrTb"/>
            <w:noWrap/>
          </w:tcPr>
          <w:p w14:paraId="794CD74A">
            <w:pPr>
              <w:pBdr/>
              <w:spacing w:after="0" w:before="0" w:line="240" w:lineRule="auto"/>
              <w:ind/>
              <w:jc w:val="center"/>
              <w:rPr/>
            </w:pPr>
            <w:r>
              <w:rPr>
                <w:rFonts w:ascii="Times New Roman" w:hAnsi="Times New Roman" w:eastAsia="Times New Roman" w:cs="Times New Roman"/>
                <w:color w:val="000000"/>
                <w:sz w:val="22"/>
              </w:rPr>
              <w:t xml:space="preserve">-4.671.195 </w:t>
            </w:r>
            <w:r/>
          </w:p>
        </w:tc>
        <w:tc>
          <w:tcPr>
            <w:shd w:val="clear" w:color="000000" w:fill="ffffff"/>
            <w:tcBorders/>
            <w:tcW w:w="1522" w:type="dxa"/>
            <w:vAlign w:val="center"/>
            <w:textDirection w:val="lrTb"/>
            <w:noWrap/>
          </w:tcPr>
          <w:p w14:paraId="38031CA9">
            <w:pPr>
              <w:pBdr/>
              <w:spacing w:after="0" w:before="0" w:line="240" w:lineRule="auto"/>
              <w:ind/>
              <w:jc w:val="center"/>
              <w:rPr/>
            </w:pPr>
            <w:r>
              <w:rPr>
                <w:rFonts w:ascii="Times New Roman" w:hAnsi="Times New Roman" w:eastAsia="Times New Roman" w:cs="Times New Roman"/>
                <w:color w:val="000000"/>
                <w:sz w:val="22"/>
              </w:rPr>
              <w:t xml:space="preserve">-5.422.946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5336E2">
            <w:pPr>
              <w:pBdr/>
              <w:spacing w:after="0" w:before="0" w:line="240" w:lineRule="auto"/>
              <w:ind/>
              <w:jc w:val="center"/>
              <w:rPr/>
            </w:pPr>
            <w:r>
              <w:rPr>
                <w:rFonts w:ascii="Times New Roman" w:hAnsi="Times New Roman" w:eastAsia="Times New Roman" w:cs="Times New Roman"/>
                <w:color w:val="000000"/>
                <w:sz w:val="22"/>
              </w:rPr>
              <w:t xml:space="preserve">54.124.621 </w:t>
            </w:r>
            <w:r/>
          </w:p>
        </w:tc>
        <w:tc>
          <w:tcPr>
            <w:shd w:val="clear" w:color="000000" w:fill="ffffff"/>
            <w:tcBorders/>
            <w:tcW w:w="1522" w:type="dxa"/>
            <w:vAlign w:val="center"/>
            <w:textDirection w:val="lrTb"/>
            <w:noWrap/>
          </w:tcPr>
          <w:p w14:paraId="7370EF17">
            <w:pPr>
              <w:pBdr/>
              <w:spacing w:after="0" w:before="0" w:line="240" w:lineRule="auto"/>
              <w:ind/>
              <w:jc w:val="center"/>
              <w:rPr/>
            </w:pPr>
            <w:r>
              <w:rPr>
                <w:rFonts w:ascii="Times New Roman" w:hAnsi="Times New Roman" w:eastAsia="Times New Roman" w:cs="Times New Roman"/>
                <w:color w:val="000000"/>
                <w:sz w:val="22"/>
              </w:rPr>
              <w:t xml:space="preserve">46.711.954 </w:t>
            </w:r>
            <w:r/>
          </w:p>
        </w:tc>
        <w:tc>
          <w:tcPr>
            <w:shd w:val="clear" w:color="000000" w:fill="ffffff"/>
            <w:tcBorders/>
            <w:tcW w:w="1522" w:type="dxa"/>
            <w:vAlign w:val="center"/>
            <w:textDirection w:val="lrTb"/>
            <w:noWrap/>
          </w:tcPr>
          <w:p w14:paraId="27103B83">
            <w:pPr>
              <w:pBdr/>
              <w:spacing w:after="0" w:before="0" w:line="240" w:lineRule="auto"/>
              <w:ind/>
              <w:jc w:val="center"/>
              <w:rPr/>
            </w:pPr>
            <w:r>
              <w:rPr>
                <w:rFonts w:ascii="Times New Roman" w:hAnsi="Times New Roman" w:eastAsia="Times New Roman" w:cs="Times New Roman"/>
                <w:color w:val="000000"/>
                <w:sz w:val="22"/>
              </w:rPr>
              <w:t xml:space="preserve">51.517.985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44,39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9,02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8,26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8,59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A3EEE1">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14:paraId="767CDF8C">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14:paraId="089F6A2D">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5E59B7">
            <w:pPr>
              <w:pBdr/>
              <w:spacing w:after="0" w:before="0" w:line="240" w:lineRule="auto"/>
              <w:ind/>
              <w:jc w:val="center"/>
              <w:rPr/>
            </w:pPr>
            <w:r>
              <w:rPr>
                <w:rFonts w:ascii="Times New Roman" w:hAnsi="Times New Roman" w:eastAsia="Times New Roman" w:cs="Times New Roman"/>
                <w:color w:val="000000"/>
                <w:sz w:val="22"/>
              </w:rPr>
              <w:t xml:space="preserve">-4.039.151 </w:t>
            </w:r>
            <w:r/>
          </w:p>
        </w:tc>
        <w:tc>
          <w:tcPr>
            <w:shd w:val="clear" w:color="000000" w:fill="ffffff"/>
            <w:tcBorders/>
            <w:tcW w:w="1522" w:type="dxa"/>
            <w:vAlign w:val="center"/>
            <w:textDirection w:val="lrTb"/>
            <w:noWrap/>
          </w:tcPr>
          <w:p w14:paraId="6E7F5A04">
            <w:pPr>
              <w:pBdr/>
              <w:spacing w:after="0" w:before="0" w:line="240" w:lineRule="auto"/>
              <w:ind/>
              <w:jc w:val="center"/>
              <w:rPr/>
            </w:pPr>
            <w:r>
              <w:rPr>
                <w:rFonts w:ascii="Times New Roman" w:hAnsi="Times New Roman" w:eastAsia="Times New Roman" w:cs="Times New Roman"/>
                <w:color w:val="000000"/>
                <w:sz w:val="22"/>
              </w:rPr>
              <w:t xml:space="preserve">-3.336.568 </w:t>
            </w:r>
            <w:r/>
          </w:p>
        </w:tc>
        <w:tc>
          <w:tcPr>
            <w:shd w:val="clear" w:color="000000" w:fill="ffffff"/>
            <w:tcBorders/>
            <w:tcW w:w="1522" w:type="dxa"/>
            <w:vAlign w:val="center"/>
            <w:textDirection w:val="lrTb"/>
            <w:noWrap/>
          </w:tcPr>
          <w:p w14:paraId="0E76953A">
            <w:pPr>
              <w:pBdr/>
              <w:spacing w:after="0" w:before="0" w:line="240" w:lineRule="auto"/>
              <w:ind/>
              <w:jc w:val="center"/>
              <w:rPr/>
            </w:pPr>
            <w:r>
              <w:rPr>
                <w:rFonts w:ascii="Times New Roman" w:hAnsi="Times New Roman" w:eastAsia="Times New Roman" w:cs="Times New Roman"/>
                <w:color w:val="000000"/>
                <w:sz w:val="22"/>
              </w:rPr>
              <w:t xml:space="preserve">-3.389.341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BACFCF">
            <w:pPr>
              <w:pBdr/>
              <w:spacing w:after="0" w:before="0" w:line="240" w:lineRule="auto"/>
              <w:ind/>
              <w:jc w:val="center"/>
              <w:rPr/>
            </w:pPr>
            <w:r>
              <w:rPr>
                <w:rFonts w:ascii="Times New Roman" w:hAnsi="Times New Roman" w:eastAsia="Times New Roman" w:cs="Times New Roman"/>
                <w:color w:val="000000"/>
                <w:sz w:val="22"/>
              </w:rPr>
              <w:t xml:space="preserve">50.085.470 </w:t>
            </w:r>
            <w:r/>
          </w:p>
        </w:tc>
        <w:tc>
          <w:tcPr>
            <w:shd w:val="clear" w:color="000000" w:fill="ffffff"/>
            <w:tcBorders/>
            <w:tcW w:w="1522" w:type="dxa"/>
            <w:vAlign w:val="center"/>
            <w:textDirection w:val="lrTb"/>
            <w:noWrap/>
          </w:tcPr>
          <w:p w14:paraId="38D3ED02">
            <w:pPr>
              <w:pBdr/>
              <w:spacing w:after="0" w:before="0" w:line="240" w:lineRule="auto"/>
              <w:ind/>
              <w:jc w:val="center"/>
              <w:rPr/>
            </w:pPr>
            <w:r>
              <w:rPr>
                <w:rFonts w:ascii="Times New Roman" w:hAnsi="Times New Roman" w:eastAsia="Times New Roman" w:cs="Times New Roman"/>
                <w:color w:val="000000"/>
                <w:sz w:val="22"/>
              </w:rPr>
              <w:t xml:space="preserve">43.375.386 </w:t>
            </w:r>
            <w:r/>
          </w:p>
        </w:tc>
        <w:tc>
          <w:tcPr>
            <w:shd w:val="clear" w:color="000000" w:fill="ffffff"/>
            <w:tcBorders/>
            <w:tcW w:w="1522" w:type="dxa"/>
            <w:vAlign w:val="center"/>
            <w:textDirection w:val="lrTb"/>
            <w:noWrap/>
          </w:tcPr>
          <w:p w14:paraId="17BABF4C">
            <w:pPr>
              <w:pBdr/>
              <w:spacing w:after="0" w:before="0" w:line="240" w:lineRule="auto"/>
              <w:ind/>
              <w:jc w:val="center"/>
              <w:rPr/>
            </w:pPr>
            <w:r>
              <w:rPr>
                <w:rFonts w:ascii="Times New Roman" w:hAnsi="Times New Roman" w:eastAsia="Times New Roman" w:cs="Times New Roman"/>
                <w:color w:val="000000"/>
                <w:sz w:val="22"/>
              </w:rPr>
              <w:t xml:space="preserve">48.128.644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46.600.937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41.078.133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43.611.894</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43438C">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14:paraId="19F05FC3">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000000" w:fill="ffffff"/>
            <w:tcBorders/>
            <w:tcW w:w="1522" w:type="dxa"/>
            <w:vAlign w:val="center"/>
            <w:textDirection w:val="lrTb"/>
            <w:noWrap w:val="false"/>
          </w:tcPr>
          <w:p w14:paraId="7D628842">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4D32A6">
            <w:pPr>
              <w:pBdr/>
              <w:spacing w:after="0" w:before="0" w:line="240" w:lineRule="auto"/>
              <w:ind/>
              <w:jc w:val="center"/>
              <w:rPr/>
            </w:pPr>
            <w:r>
              <w:rPr>
                <w:rFonts w:ascii="Times New Roman" w:hAnsi="Times New Roman" w:eastAsia="Times New Roman" w:cs="Times New Roman"/>
                <w:color w:val="000000"/>
                <w:sz w:val="22"/>
              </w:rPr>
              <w:t xml:space="preserve">-4.039.151 </w:t>
            </w:r>
            <w:r/>
          </w:p>
        </w:tc>
        <w:tc>
          <w:tcPr>
            <w:shd w:val="clear" w:color="000000" w:fill="ffffff"/>
            <w:tcBorders/>
            <w:tcW w:w="1522" w:type="dxa"/>
            <w:vAlign w:val="center"/>
            <w:textDirection w:val="lrTb"/>
            <w:noWrap/>
          </w:tcPr>
          <w:p w14:paraId="7A9FF100">
            <w:pPr>
              <w:pBdr/>
              <w:spacing w:after="0" w:before="0" w:line="240" w:lineRule="auto"/>
              <w:ind/>
              <w:jc w:val="center"/>
              <w:rPr/>
            </w:pPr>
            <w:r>
              <w:rPr>
                <w:rFonts w:ascii="Times New Roman" w:hAnsi="Times New Roman" w:eastAsia="Times New Roman" w:cs="Times New Roman"/>
                <w:color w:val="000000"/>
                <w:sz w:val="22"/>
              </w:rPr>
              <w:t xml:space="preserve">-3.336.568 </w:t>
            </w:r>
            <w:r/>
          </w:p>
        </w:tc>
        <w:tc>
          <w:tcPr>
            <w:shd w:val="clear" w:color="000000" w:fill="ffffff"/>
            <w:tcBorders/>
            <w:tcW w:w="1522" w:type="dxa"/>
            <w:vAlign w:val="center"/>
            <w:textDirection w:val="lrTb"/>
            <w:noWrap/>
          </w:tcPr>
          <w:p w14:paraId="10CA6A40">
            <w:pPr>
              <w:pBdr/>
              <w:spacing w:after="0" w:before="0" w:line="240" w:lineRule="auto"/>
              <w:ind/>
              <w:jc w:val="center"/>
              <w:rPr/>
            </w:pPr>
            <w:r>
              <w:rPr>
                <w:rFonts w:ascii="Times New Roman" w:hAnsi="Times New Roman" w:eastAsia="Times New Roman" w:cs="Times New Roman"/>
                <w:color w:val="000000"/>
                <w:sz w:val="22"/>
              </w:rPr>
              <w:t xml:space="preserve">-3.389.341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569872">
            <w:pPr>
              <w:pBdr/>
              <w:spacing w:after="0" w:before="0" w:line="240" w:lineRule="auto"/>
              <w:ind/>
              <w:jc w:val="center"/>
              <w:rPr/>
            </w:pPr>
            <w:r>
              <w:rPr>
                <w:rFonts w:ascii="Times New Roman" w:hAnsi="Times New Roman" w:eastAsia="Times New Roman" w:cs="Times New Roman"/>
                <w:color w:val="000000"/>
                <w:sz w:val="22"/>
              </w:rPr>
              <w:t xml:space="preserve">46.046.319 </w:t>
            </w:r>
            <w:r/>
          </w:p>
        </w:tc>
        <w:tc>
          <w:tcPr>
            <w:shd w:val="clear" w:color="000000" w:fill="ffffff"/>
            <w:tcBorders/>
            <w:tcW w:w="1522" w:type="dxa"/>
            <w:vAlign w:val="center"/>
            <w:textDirection w:val="lrTb"/>
            <w:noWrap/>
          </w:tcPr>
          <w:p w14:paraId="65120BC3">
            <w:pPr>
              <w:pBdr/>
              <w:spacing w:after="0" w:before="0" w:line="240" w:lineRule="auto"/>
              <w:ind/>
              <w:jc w:val="center"/>
              <w:rPr/>
            </w:pPr>
            <w:r>
              <w:rPr>
                <w:rFonts w:ascii="Times New Roman" w:hAnsi="Times New Roman" w:eastAsia="Times New Roman" w:cs="Times New Roman"/>
                <w:color w:val="000000"/>
                <w:sz w:val="22"/>
              </w:rPr>
              <w:t xml:space="preserve">40.038.817 </w:t>
            </w:r>
            <w:r/>
          </w:p>
        </w:tc>
        <w:tc>
          <w:tcPr>
            <w:shd w:val="clear" w:color="000000" w:fill="ffffff"/>
            <w:tcBorders/>
            <w:tcW w:w="1522" w:type="dxa"/>
            <w:vAlign w:val="center"/>
            <w:textDirection w:val="lrTb"/>
            <w:noWrap/>
          </w:tcPr>
          <w:p w14:paraId="5E0C69D3">
            <w:pPr>
              <w:pBdr/>
              <w:spacing w:after="0" w:before="0" w:line="240" w:lineRule="auto"/>
              <w:ind/>
              <w:jc w:val="center"/>
              <w:rPr/>
            </w:pPr>
            <w:r>
              <w:rPr>
                <w:rFonts w:ascii="Times New Roman" w:hAnsi="Times New Roman" w:eastAsia="Times New Roman" w:cs="Times New Roman"/>
                <w:color w:val="000000"/>
                <w:sz w:val="22"/>
              </w:rPr>
              <w:t xml:space="preserve">44.739.303 </w:t>
            </w: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đâm vào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Không có bất lợi thương mại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0BB378">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000000" w:fill="ffffff"/>
            <w:tcBorders/>
            <w:tcW w:w="1522" w:type="dxa"/>
            <w:vAlign w:val="center"/>
            <w:textDirection w:val="lrTb"/>
            <w:noWrap w:val="false"/>
          </w:tcPr>
          <w:p w14:paraId="39119D06">
            <w:pPr>
              <w:pBdr/>
              <w:spacing w:after="0" w:before="0" w:line="240" w:lineRule="auto"/>
              <w:ind/>
              <w:jc w:val="center"/>
              <w:rPr/>
            </w:pPr>
            <w:r>
              <w:rPr>
                <w:rFonts w:ascii="Times New Roman" w:hAnsi="Times New Roman" w:eastAsia="Times New Roman" w:cs="Times New Roman"/>
                <w:color w:val="000000"/>
                <w:sz w:val="22"/>
              </w:rPr>
              <w:t xml:space="preserve">-5,00%</w:t>
            </w:r>
            <w:r/>
          </w:p>
        </w:tc>
        <w:tc>
          <w:tcPr>
            <w:shd w:val="clear" w:color="000000" w:fill="ffffff"/>
            <w:tcBorders/>
            <w:tcW w:w="1522" w:type="dxa"/>
            <w:vAlign w:val="center"/>
            <w:textDirection w:val="lrTb"/>
            <w:noWrap w:val="false"/>
          </w:tcPr>
          <w:p w14:paraId="7385A9C6">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7B9BEE">
            <w:pPr>
              <w:pBdr/>
              <w:spacing w:after="0" w:before="0" w:line="240" w:lineRule="auto"/>
              <w:ind/>
              <w:jc w:val="center"/>
              <w:rPr/>
            </w:pPr>
            <w:r>
              <w:rPr>
                <w:rFonts w:ascii="Times New Roman" w:hAnsi="Times New Roman" w:eastAsia="Times New Roman" w:cs="Times New Roman"/>
                <w:color w:val="000000"/>
                <w:sz w:val="22"/>
              </w:rPr>
              <w:t xml:space="preserve">-4.039.151 </w:t>
            </w:r>
            <w:r/>
          </w:p>
        </w:tc>
        <w:tc>
          <w:tcPr>
            <w:shd w:val="clear" w:color="000000" w:fill="ffffff"/>
            <w:tcBorders/>
            <w:tcW w:w="1522" w:type="dxa"/>
            <w:vAlign w:val="center"/>
            <w:textDirection w:val="lrTb"/>
            <w:noWrap/>
          </w:tcPr>
          <w:p w14:paraId="415EF58E">
            <w:pPr>
              <w:pBdr/>
              <w:spacing w:after="0" w:before="0" w:line="240" w:lineRule="auto"/>
              <w:ind/>
              <w:jc w:val="center"/>
              <w:rPr/>
            </w:pPr>
            <w:r>
              <w:rPr>
                <w:rFonts w:ascii="Times New Roman" w:hAnsi="Times New Roman" w:eastAsia="Times New Roman" w:cs="Times New Roman"/>
                <w:color w:val="000000"/>
                <w:sz w:val="22"/>
              </w:rPr>
              <w:t xml:space="preserve">-3.336.568 </w:t>
            </w:r>
            <w:r/>
          </w:p>
        </w:tc>
        <w:tc>
          <w:tcPr>
            <w:shd w:val="clear" w:color="000000" w:fill="ffffff"/>
            <w:tcBorders/>
            <w:tcW w:w="1522" w:type="dxa"/>
            <w:vAlign w:val="center"/>
            <w:textDirection w:val="lrTb"/>
            <w:noWrap/>
          </w:tcPr>
          <w:p w14:paraId="5111E35D">
            <w:pPr>
              <w:pBdr/>
              <w:spacing w:after="0" w:before="0" w:line="240" w:lineRule="auto"/>
              <w:ind/>
              <w:jc w:val="center"/>
              <w:rPr/>
            </w:pPr>
            <w:r>
              <w:rPr>
                <w:rFonts w:ascii="Times New Roman" w:hAnsi="Times New Roman" w:eastAsia="Times New Roman" w:cs="Times New Roman"/>
                <w:color w:val="000000"/>
                <w:sz w:val="22"/>
              </w:rPr>
              <w:t xml:space="preserve">-3.389.341 </w:t>
            </w: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BE9534">
            <w:pPr>
              <w:pBdr/>
              <w:spacing w:after="0" w:before="0" w:line="240" w:lineRule="auto"/>
              <w:ind/>
              <w:jc w:val="center"/>
              <w:rPr/>
            </w:pPr>
            <w:r>
              <w:rPr>
                <w:rFonts w:ascii="Times New Roman" w:hAnsi="Times New Roman" w:eastAsia="Times New Roman" w:cs="Times New Roman"/>
                <w:color w:val="000000"/>
                <w:sz w:val="22"/>
              </w:rPr>
              <w:t xml:space="preserve">42.007.168 </w:t>
            </w:r>
            <w:r/>
          </w:p>
        </w:tc>
        <w:tc>
          <w:tcPr>
            <w:shd w:val="clear" w:color="000000" w:fill="ffffff"/>
            <w:tcBorders/>
            <w:tcW w:w="1522" w:type="dxa"/>
            <w:vAlign w:val="center"/>
            <w:textDirection w:val="lrTb"/>
            <w:noWrap/>
          </w:tcPr>
          <w:p w14:paraId="104CC639">
            <w:pPr>
              <w:pBdr/>
              <w:spacing w:after="0" w:before="0" w:line="240" w:lineRule="auto"/>
              <w:ind/>
              <w:jc w:val="center"/>
              <w:rPr/>
            </w:pPr>
            <w:r>
              <w:rPr>
                <w:rFonts w:ascii="Times New Roman" w:hAnsi="Times New Roman" w:eastAsia="Times New Roman" w:cs="Times New Roman"/>
                <w:color w:val="000000"/>
                <w:sz w:val="22"/>
              </w:rPr>
              <w:t xml:space="preserve">36.702.249 </w:t>
            </w:r>
            <w:r/>
          </w:p>
        </w:tc>
        <w:tc>
          <w:tcPr>
            <w:shd w:val="clear" w:color="000000" w:fill="ffffff"/>
            <w:tcBorders/>
            <w:tcW w:w="1522" w:type="dxa"/>
            <w:vAlign w:val="center"/>
            <w:textDirection w:val="lrTb"/>
            <w:noWrap/>
          </w:tcPr>
          <w:p w14:paraId="01CEA8A4">
            <w:pPr>
              <w:pBdr/>
              <w:spacing w:after="0" w:before="0" w:line="240" w:lineRule="auto"/>
              <w:ind/>
              <w:jc w:val="center"/>
              <w:rPr/>
            </w:pPr>
            <w:r>
              <w:rPr>
                <w:rFonts w:ascii="Times New Roman" w:hAnsi="Times New Roman" w:eastAsia="Times New Roman" w:cs="Times New Roman"/>
                <w:color w:val="000000"/>
                <w:sz w:val="22"/>
              </w:rPr>
              <w:t xml:space="preserve">41.349.962 </w:t>
            </w: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F96CC6E">
            <w:pPr>
              <w:pBdr/>
              <w:spacing w:after="0" w:before="0" w:line="240" w:lineRule="auto"/>
              <w:ind/>
              <w:jc w:val="center"/>
              <w:rPr/>
            </w:pPr>
            <w:r>
              <w:rPr>
                <w:rFonts w:ascii="Times New Roman" w:hAnsi="Times New Roman" w:eastAsia="Times New Roman" w:cs="Times New Roman"/>
                <w:b/>
                <w:color w:val="000000"/>
                <w:sz w:val="22"/>
              </w:rPr>
              <w:t xml:space="preserve">42.007.168 </w:t>
            </w:r>
            <w:r/>
          </w:p>
        </w:tc>
        <w:tc>
          <w:tcPr>
            <w:shd w:val="clear" w:color="000000" w:fill="ffffff"/>
            <w:tcBorders/>
            <w:tcW w:w="1522" w:type="dxa"/>
            <w:vAlign w:val="center"/>
            <w:textDirection w:val="lrTb"/>
            <w:noWrap w:val="false"/>
          </w:tcPr>
          <w:p w14:paraId="0D89DD4A">
            <w:pPr>
              <w:pBdr/>
              <w:spacing w:after="0" w:before="0" w:line="240" w:lineRule="auto"/>
              <w:ind/>
              <w:jc w:val="center"/>
              <w:rPr/>
            </w:pPr>
            <w:r>
              <w:rPr>
                <w:rFonts w:ascii="Times New Roman" w:hAnsi="Times New Roman" w:eastAsia="Times New Roman" w:cs="Times New Roman"/>
                <w:b/>
                <w:color w:val="000000"/>
                <w:sz w:val="22"/>
              </w:rPr>
              <w:t xml:space="preserve">36.702.249 </w:t>
            </w:r>
            <w:r/>
          </w:p>
        </w:tc>
        <w:tc>
          <w:tcPr>
            <w:shd w:val="clear" w:color="000000" w:fill="ffffff"/>
            <w:tcBorders/>
            <w:tcW w:w="1522" w:type="dxa"/>
            <w:vAlign w:val="center"/>
            <w:textDirection w:val="lrTb"/>
            <w:noWrap w:val="false"/>
          </w:tcPr>
          <w:p w14:paraId="2A8D9E8D">
            <w:pPr>
              <w:pBdr/>
              <w:spacing w:after="0" w:before="0" w:line="240" w:lineRule="auto"/>
              <w:ind/>
              <w:jc w:val="center"/>
              <w:rPr/>
            </w:pPr>
            <w:r>
              <w:rPr>
                <w:rFonts w:ascii="Times New Roman" w:hAnsi="Times New Roman" w:eastAsia="Times New Roman" w:cs="Times New Roman"/>
                <w:b/>
                <w:color w:val="000000"/>
                <w:sz w:val="22"/>
              </w:rPr>
              <w:t xml:space="preserve">41.349.962 </w:t>
            </w: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403468E">
            <w:pPr>
              <w:pBdr/>
              <w:spacing w:after="0" w:before="0" w:line="240" w:lineRule="auto"/>
              <w:ind/>
              <w:jc w:val="center"/>
              <w:rPr/>
            </w:pPr>
            <w:r>
              <w:rPr>
                <w:rFonts w:ascii="Times New Roman" w:hAnsi="Times New Roman" w:eastAsia="Times New Roman" w:cs="Times New Roman"/>
                <w:b/>
                <w:color w:val="000000"/>
                <w:sz w:val="22"/>
              </w:rPr>
              <w:t xml:space="preserve">40.020.000 </w:t>
            </w: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337454">
            <w:pPr>
              <w:pBdr/>
              <w:spacing w:after="0" w:before="0" w:line="240" w:lineRule="auto"/>
              <w:ind/>
              <w:jc w:val="center"/>
              <w:rPr/>
            </w:pPr>
            <w:r>
              <w:rPr>
                <w:rFonts w:ascii="Times New Roman" w:hAnsi="Times New Roman" w:eastAsia="Times New Roman" w:cs="Times New Roman"/>
                <w:color w:val="000000"/>
                <w:sz w:val="22"/>
              </w:rPr>
              <w:t xml:space="preserve">4,97%</w:t>
            </w:r>
            <w:r/>
          </w:p>
        </w:tc>
        <w:tc>
          <w:tcPr>
            <w:shd w:val="clear" w:color="000000" w:fill="ffffff"/>
            <w:tcBorders/>
            <w:tcW w:w="1522" w:type="dxa"/>
            <w:vAlign w:val="center"/>
            <w:textDirection w:val="lrTb"/>
            <w:noWrap w:val="false"/>
          </w:tcPr>
          <w:p w14:paraId="53DB58B7">
            <w:pPr>
              <w:pBdr/>
              <w:spacing w:after="0" w:before="0" w:line="240" w:lineRule="auto"/>
              <w:ind/>
              <w:jc w:val="center"/>
              <w:rPr/>
            </w:pPr>
            <w:r>
              <w:rPr>
                <w:rFonts w:ascii="Times New Roman" w:hAnsi="Times New Roman" w:eastAsia="Times New Roman" w:cs="Times New Roman"/>
                <w:color w:val="000000"/>
                <w:sz w:val="22"/>
              </w:rPr>
              <w:t xml:space="preserve">-8,29%</w:t>
            </w:r>
            <w:r/>
          </w:p>
        </w:tc>
        <w:tc>
          <w:tcPr>
            <w:shd w:val="clear" w:color="000000" w:fill="ffffff"/>
            <w:tcBorders/>
            <w:tcW w:w="1522" w:type="dxa"/>
            <w:vAlign w:val="center"/>
            <w:textDirection w:val="lrTb"/>
            <w:noWrap w:val="false"/>
          </w:tcPr>
          <w:p w14:paraId="70CBB89B">
            <w:pPr>
              <w:pBdr/>
              <w:spacing w:after="0" w:before="0" w:line="240" w:lineRule="auto"/>
              <w:ind/>
              <w:jc w:val="center"/>
              <w:rPr/>
            </w:pPr>
            <w:r>
              <w:rPr>
                <w:rFonts w:ascii="Times New Roman" w:hAnsi="Times New Roman" w:eastAsia="Times New Roman" w:cs="Times New Roman"/>
                <w:color w:val="000000"/>
                <w:sz w:val="22"/>
              </w:rPr>
              <w:t xml:space="preserve">3,32%</w:t>
            </w: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F18E7A">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38.775.848 </w:t>
            </w:r>
            <w:r>
              <w:rPr>
                <w:b w:val="0"/>
                <w:bCs w:val="0"/>
              </w:rPr>
            </w:r>
            <w:r>
              <w:rPr>
                <w:b w:val="0"/>
                <w:bCs w:val="0"/>
              </w:rPr>
            </w:r>
          </w:p>
        </w:tc>
        <w:tc>
          <w:tcPr>
            <w:shd w:val="clear" w:color="000000" w:fill="ffffff"/>
            <w:tcBorders/>
            <w:tcW w:w="1522" w:type="dxa"/>
            <w:vAlign w:val="center"/>
            <w:textDirection w:val="lrTb"/>
            <w:noWrap w:val="false"/>
          </w:tcPr>
          <w:p w14:paraId="51CD627B">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30.029.113 </w:t>
            </w:r>
            <w:r>
              <w:rPr>
                <w:b w:val="0"/>
                <w:bCs w:val="0"/>
              </w:rPr>
            </w:r>
            <w:r>
              <w:rPr>
                <w:b w:val="0"/>
                <w:bCs w:val="0"/>
              </w:rPr>
            </w:r>
          </w:p>
        </w:tc>
        <w:tc>
          <w:tcPr>
            <w:shd w:val="clear" w:color="000000" w:fill="ffffff"/>
            <w:tcBorders/>
            <w:tcW w:w="1522" w:type="dxa"/>
            <w:vAlign w:val="center"/>
            <w:textDirection w:val="lrTb"/>
            <w:noWrap w:val="false"/>
          </w:tcPr>
          <w:p w14:paraId="3881AF9A">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26.436.861 </w:t>
            </w:r>
            <w:r>
              <w:rPr>
                <w:b w:val="0"/>
                <w:bCs w:val="0"/>
              </w:rPr>
            </w:r>
            <w:r>
              <w:rPr>
                <w:b w:val="0"/>
                <w:bCs w:val="0"/>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rPr>
            </w:pPr>
            <w:r>
              <w:rPr>
                <w:color w:val="000000" w:themeColor="text1"/>
                <w:sz w:val="22"/>
                <w:szCs w:val="22"/>
              </w:rPr>
              <w:t xml:space="preserve">0% - 13%%</w:t>
            </w:r>
            <w:r>
              <w:rPr>
                <w:sz w:val="22"/>
                <w:szCs w:val="22"/>
              </w:rPr>
            </w:r>
            <w:r>
              <w:rPr>
                <w:sz w:val="22"/>
                <w:szCs w:val="22"/>
              </w:rPr>
            </w:r>
          </w:p>
        </w:tc>
        <w:tc>
          <w:tcPr>
            <w:shd w:val="clear" w:color="000000" w:fill="ffffff"/>
            <w:tcBorders/>
            <w:tcW w:w="1522" w:type="dxa"/>
            <w:vAlign w:val="center"/>
            <w:textDirection w:val="lrTb"/>
            <w:noWrap/>
          </w:tcPr>
          <w:p w14:paraId="064B2056" w14:textId="3084EC66">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14:paraId="0B243872" w14:textId="708B432C">
            <w:pPr>
              <w:pBdr/>
              <w:spacing/>
              <w:ind/>
              <w:jc w:val="center"/>
              <w:rPr>
                <w:sz w:val="22"/>
                <w:szCs w:val="22"/>
              </w:rPr>
            </w:pPr>
            <w:r>
              <w:rPr>
                <w:color w:val="000000" w:themeColor="text1"/>
                <w:sz w:val="22"/>
                <w:szCs w:val="22"/>
              </w:rPr>
              <w:t xml:space="preserve">0% - 11%%</w:t>
            </w:r>
            <w:r>
              <w:rPr>
                <w:sz w:val="22"/>
                <w:szCs w:val="22"/>
              </w:rPr>
            </w:r>
            <w:r>
              <w:rPr>
                <w:sz w:val="22"/>
                <w:szCs w:val="22"/>
              </w:rPr>
            </w:r>
          </w:p>
        </w:tc>
      </w:tr>
      <w:tr>
        <w:trPr>
          <w:trHeight w:val="20"/>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62ADF0">
            <w:pPr>
              <w:pBdr/>
              <w:spacing w:after="0" w:before="0" w:line="240" w:lineRule="auto"/>
              <w:ind/>
              <w:jc w:val="center"/>
              <w:rPr/>
            </w:pPr>
            <w:r>
              <w:rPr>
                <w:rFonts w:ascii="Times New Roman" w:hAnsi="Times New Roman" w:eastAsia="Times New Roman" w:cs="Times New Roman"/>
                <w:color w:val="000000"/>
                <w:sz w:val="22"/>
              </w:rPr>
              <w:t xml:space="preserve">38.775.848 </w:t>
            </w:r>
            <w:r/>
          </w:p>
        </w:tc>
        <w:tc>
          <w:tcPr>
            <w:shd w:val="clear" w:color="000000" w:fill="ffffff"/>
            <w:tcBorders/>
            <w:tcW w:w="1522" w:type="dxa"/>
            <w:vAlign w:val="center"/>
            <w:textDirection w:val="lrTb"/>
            <w:noWrap/>
          </w:tcPr>
          <w:p w14:paraId="38CE5BAA">
            <w:pPr>
              <w:pBdr/>
              <w:spacing w:after="0" w:before="0" w:line="240" w:lineRule="auto"/>
              <w:ind/>
              <w:jc w:val="center"/>
              <w:rPr/>
            </w:pPr>
            <w:r>
              <w:rPr>
                <w:rFonts w:ascii="Times New Roman" w:hAnsi="Times New Roman" w:eastAsia="Times New Roman" w:cs="Times New Roman"/>
                <w:color w:val="000000"/>
                <w:sz w:val="22"/>
              </w:rPr>
              <w:t xml:space="preserve">30.029.113 </w:t>
            </w:r>
            <w:r/>
          </w:p>
        </w:tc>
        <w:tc>
          <w:tcPr>
            <w:shd w:val="clear" w:color="000000" w:fill="ffffff"/>
            <w:tcBorders/>
            <w:tcW w:w="1522" w:type="dxa"/>
            <w:vAlign w:val="center"/>
            <w:textDirection w:val="lrTb"/>
            <w:noWrap/>
          </w:tcPr>
          <w:p w14:paraId="1F196E49">
            <w:pPr>
              <w:pBdr/>
              <w:spacing w:after="0" w:before="0" w:line="240" w:lineRule="auto"/>
              <w:ind/>
              <w:jc w:val="center"/>
              <w:rPr/>
            </w:pPr>
            <w:r>
              <w:rPr>
                <w:rFonts w:ascii="Times New Roman" w:hAnsi="Times New Roman" w:eastAsia="Times New Roman" w:cs="Times New Roman"/>
                <w:color w:val="000000"/>
                <w:sz w:val="22"/>
              </w:rPr>
              <w:t xml:space="preserve">26.436.861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0020855F">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-8,29</w:t>
      </w:r>
      <w:r>
        <w:t xml:space="preserve">% đến</w:t>
      </w:r>
      <w:r>
        <w:t xml:space="preserve"> </w:t>
      </w:r>
      <w:r>
        <w:t xml:space="preserve"> </w:t>
      </w:r>
      <w:r>
        <w:t xml:space="preserve">4,97%,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85"/>
        <w:gridCol w:w="2105"/>
        <w:gridCol w:w="2112"/>
        <w:gridCol w:w="2108"/>
        <w:gridCol w:w="2112"/>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6C15C281">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53B52F69">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47849CF8">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695E0E71">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0ACE6FEA">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3ED08F5A">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4881AD58">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15C7ED46">
            <w:pPr>
              <w:pBdr/>
              <w:spacing w:after="0" w:before="0" w:line="240" w:lineRule="auto"/>
              <w:ind/>
              <w:jc w:val="center"/>
              <w:rPr/>
            </w:pPr>
            <w:r>
              <w:rPr>
                <w:rFonts w:ascii="Times New Roman" w:hAnsi="Times New Roman" w:eastAsia="Times New Roman" w:cs="Times New Roman"/>
                <w:color w:val="000000"/>
                <w:sz w:val="24"/>
              </w:rPr>
              <w:t xml:space="preserve">42.007.168</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77DE0E8A">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4E2CA9BB">
            <w:pPr>
              <w:pBdr/>
              <w:spacing w:after="0" w:before="0" w:line="240" w:lineRule="auto"/>
              <w:ind/>
              <w:jc w:val="center"/>
              <w:rPr/>
            </w:pPr>
            <w:r>
              <w:rPr>
                <w:rFonts w:ascii="Times New Roman" w:hAnsi="Times New Roman" w:eastAsia="Times New Roman" w:cs="Times New Roman"/>
                <w:color w:val="000000"/>
                <w:sz w:val="24"/>
              </w:rPr>
              <w:t xml:space="preserve">14.002.389</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38555682">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0097B207">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406988F3">
            <w:pPr>
              <w:pBdr/>
              <w:spacing w:after="0" w:before="0" w:line="240" w:lineRule="auto"/>
              <w:ind/>
              <w:jc w:val="center"/>
              <w:rPr/>
            </w:pPr>
            <w:r>
              <w:rPr>
                <w:rFonts w:ascii="Times New Roman" w:hAnsi="Times New Roman" w:eastAsia="Times New Roman" w:cs="Times New Roman"/>
                <w:color w:val="000000"/>
                <w:sz w:val="24"/>
              </w:rPr>
              <w:t xml:space="preserve">36.702.249</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4E07C2AD">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051F08CA">
            <w:pPr>
              <w:pBdr/>
              <w:spacing w:after="0" w:before="0" w:line="240" w:lineRule="auto"/>
              <w:ind/>
              <w:jc w:val="center"/>
              <w:rPr/>
            </w:pPr>
            <w:r>
              <w:rPr>
                <w:rFonts w:ascii="Times New Roman" w:hAnsi="Times New Roman" w:eastAsia="Times New Roman" w:cs="Times New Roman"/>
                <w:color w:val="000000"/>
                <w:sz w:val="24"/>
              </w:rPr>
              <w:t xml:space="preserve">12.234.083</w:t>
            </w:r>
            <w:r/>
          </w:p>
        </w:tc>
      </w:tr>
      <w:tr>
        <w:trPr>
          <w:trHeight w:val="31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885" w:type="dxa"/>
            <w:vAlign w:val="center"/>
            <w:textDirection w:val="lrTb"/>
            <w:noWrap w:val="false"/>
          </w:tcPr>
          <w:p w14:paraId="6B239046">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5" w:space="0"/>
              <w:right w:val="single" w:color="000000" w:sz="5" w:space="0"/>
            </w:tcBorders>
            <w:tcMar>
              <w:left w:w="0" w:type="dxa"/>
              <w:top w:w="0" w:type="dxa"/>
              <w:right w:w="0" w:type="dxa"/>
              <w:bottom w:w="0" w:type="dxa"/>
            </w:tcMar>
            <w:tcW w:w="2105" w:type="dxa"/>
            <w:vAlign w:val="center"/>
            <w:textDirection w:val="lrTb"/>
            <w:noWrap w:val="false"/>
          </w:tcPr>
          <w:p w14:paraId="3CF24C0F">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69F9372B">
            <w:pPr>
              <w:pBdr/>
              <w:spacing w:after="0" w:before="0" w:line="240" w:lineRule="auto"/>
              <w:ind/>
              <w:jc w:val="center"/>
              <w:rPr/>
            </w:pPr>
            <w:r>
              <w:rPr>
                <w:rFonts w:ascii="Times New Roman" w:hAnsi="Times New Roman" w:eastAsia="Times New Roman" w:cs="Times New Roman"/>
                <w:color w:val="000000"/>
                <w:sz w:val="24"/>
              </w:rPr>
              <w:t xml:space="preserve">41.349.962</w:t>
            </w:r>
            <w:r/>
          </w:p>
        </w:tc>
        <w:tc>
          <w:tcPr>
            <w:shd w:val="clear" w:color="ffffff" w:fill="ffffff"/>
            <w:tcBorders>
              <w:bottom w:val="single" w:color="000000" w:sz="5" w:space="0"/>
              <w:right w:val="single" w:color="000000" w:sz="5" w:space="0"/>
            </w:tcBorders>
            <w:tcMar>
              <w:left w:w="0" w:type="dxa"/>
              <w:top w:w="0" w:type="dxa"/>
              <w:right w:w="0" w:type="dxa"/>
              <w:bottom w:w="0" w:type="dxa"/>
            </w:tcMar>
            <w:tcW w:w="2108" w:type="dxa"/>
            <w:vAlign w:val="center"/>
            <w:textDirection w:val="lrTb"/>
            <w:noWrap w:val="false"/>
          </w:tcPr>
          <w:p w14:paraId="3ED3E41B">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7535850F">
            <w:pPr>
              <w:pBdr/>
              <w:spacing w:after="0" w:before="0" w:line="240" w:lineRule="auto"/>
              <w:ind/>
              <w:jc w:val="center"/>
              <w:rPr/>
            </w:pPr>
            <w:r>
              <w:rPr>
                <w:rFonts w:ascii="Times New Roman" w:hAnsi="Times New Roman" w:eastAsia="Times New Roman" w:cs="Times New Roman"/>
                <w:color w:val="000000"/>
                <w:sz w:val="24"/>
              </w:rPr>
              <w:t xml:space="preserve">13.783.321</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9" w:type="dxa"/>
            <w:vAlign w:val="center"/>
            <w:textDirection w:val="lrTb"/>
            <w:noWrap w:val="false"/>
          </w:tcPr>
          <w:p w14:paraId="4CAA0211">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4A536F1F">
            <w:pPr>
              <w:pBdr/>
              <w:spacing w:after="0" w:before="0" w:line="240" w:lineRule="auto"/>
              <w:ind/>
              <w:jc w:val="center"/>
              <w:rPr/>
            </w:pPr>
            <w:r>
              <w:rPr>
                <w:rFonts w:ascii="Times New Roman" w:hAnsi="Times New Roman" w:eastAsia="Times New Roman" w:cs="Times New Roman"/>
                <w:b/>
                <w:color w:val="000000"/>
                <w:sz w:val="24"/>
              </w:rPr>
              <w:t xml:space="preserve">40.019.793</w:t>
            </w:r>
            <w:r/>
          </w:p>
        </w:tc>
      </w:tr>
      <w:tr>
        <w:trPr>
          <w:trHeight w:val="312"/>
        </w:trPr>
        <w:tc>
          <w:tcPr>
            <w:gridSpan w:val="4"/>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09" w:type="dxa"/>
            <w:vAlign w:val="center"/>
            <w:textDirection w:val="lrTb"/>
            <w:noWrap w:val="false"/>
          </w:tcPr>
          <w:p w14:paraId="0430E8FA">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5" w:space="0"/>
              <w:right w:val="single" w:color="000000" w:sz="5" w:space="0"/>
            </w:tcBorders>
            <w:tcMar>
              <w:left w:w="0" w:type="dxa"/>
              <w:top w:w="0" w:type="dxa"/>
              <w:right w:w="0" w:type="dxa"/>
              <w:bottom w:w="0" w:type="dxa"/>
            </w:tcMar>
            <w:tcW w:w="2112" w:type="dxa"/>
            <w:vAlign w:val="center"/>
            <w:textDirection w:val="lrTb"/>
            <w:noWrap w:val="false"/>
          </w:tcPr>
          <w:p w14:paraId="5FBCE46D">
            <w:pPr>
              <w:pBdr/>
              <w:spacing w:after="0" w:before="0" w:line="240" w:lineRule="auto"/>
              <w:ind/>
              <w:jc w:val="center"/>
              <w:rPr/>
            </w:pPr>
            <w:r>
              <w:rPr>
                <w:rFonts w:ascii="Times New Roman" w:hAnsi="Times New Roman" w:eastAsia="Times New Roman" w:cs="Times New Roman"/>
                <w:b/>
                <w:color w:val="000000"/>
                <w:sz w:val="24"/>
              </w:rPr>
              <w:t xml:space="preserve">40.000.000</w:t>
            </w: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40.000.000</w:t>
      </w:r>
      <w:r>
        <w:rPr>
          <w:b/>
          <w:bCs/>
          <w:color w:val="000000" w:themeColor="text1"/>
        </w:rPr>
        <w:t xml:space="preserve"> </w:t>
      </w:r>
      <w:r>
        <w:rPr>
          <w:b/>
          <w:bCs/>
        </w:rPr>
        <w:t xml:space="preserve">đồng/m².</w:t>
      </w:r>
      <w:r>
        <w:rPr>
          <w:b/>
          <w:bCs/>
        </w:rPr>
      </w:r>
      <w:r>
        <w:rPr>
          <w:b/>
          <w:bCs/>
        </w:rPr>
      </w:r>
    </w:p>
    <w:p w14:paraId="7CA7D420" w14:textId="77777777">
      <w:pPr>
        <w:pStyle w:val="1031"/>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14:paraId="7F34BAB1">
      <w:pPr>
        <w:numPr>
          <w:ilvl w:val="0"/>
          <w:numId w:val="39"/>
        </w:numPr>
        <w:pBdr>
          <w:top w:val="none" w:color="000000" w:sz="4" w:space="0"/>
          <w:left w:val="none" w:color="000000" w:sz="4" w:space="0"/>
          <w:bottom w:val="none" w:color="000000" w:sz="4" w:space="0"/>
          <w:right w:val="none" w:color="000000" w:sz="4" w:space="0"/>
        </w:pBdr>
        <w:spacing w:after="120" w:before="120" w:line="312" w:lineRule="auto"/>
        <w:ind/>
        <w:jc w:val="both"/>
        <w:rPr/>
      </w:pPr>
      <w:r>
        <w:rPr>
          <w:rFonts w:ascii="Times New Roman" w:hAnsi="Times New Roman" w:eastAsia="Times New Roman" w:cs="Times New Roman"/>
          <w:b/>
          <w:color w:val="000000"/>
          <w:sz w:val="24"/>
        </w:rPr>
        <w:t xml:space="preserve">Xác định đơn giá của công trình xây dựng</w:t>
      </w:r>
      <w:r/>
    </w:p>
    <w:p w14:paraId="1C5CB95E">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1 tầng, cân nhắc và xem xét với mức độ hoàn thiện của công trình xây dựng hiện có, tổ thẩm định nhận thấy đơn giá vận dụng theo Quyết định 409/QĐ-BXD năm 2025 công bố suất vốn đầu tư xây </w:t>
      </w:r>
      <w:r>
        <w:rPr>
          <w:rFonts w:ascii="Times New Roman" w:hAnsi="Times New Roman" w:eastAsia="Times New Roman" w:cs="Times New Roman"/>
          <w:color w:val="000000"/>
          <w:sz w:val="24"/>
        </w:rPr>
        <w:t xml:space="preserve">dựng và giá xây dựng tổng hợp bộ phận kết cấu công trình 2024 là khá phù hợp với thị trường, theo đó:</w:t>
      </w:r>
      <w:r/>
    </w:p>
    <w:p w14:paraId="6B5CE576">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“Suất vốn đầu tư Nhà 1 tầng, căn hộ khép kín, kết cấu tường gạch, chịu lực, mái tôn, có đơn giá là 5.184.000 đồng/m² sàn.</w:t>
      </w:r>
      <w:r/>
    </w:p>
    <w:p w14:paraId="1C23F1D6">
      <w:pPr>
        <w:pBdr>
          <w:top w:val="none" w:color="000000" w:sz="4" w:space="0"/>
          <w:left w:val="none" w:color="000000" w:sz="4" w:space="0"/>
          <w:bottom w:val="none" w:color="000000" w:sz="4" w:space="0"/>
          <w:right w:val="none" w:color="000000" w:sz="4" w:space="0"/>
        </w:pBdr>
        <w:tabs>
          <w:tab w:val="left" w:leader="none" w:pos="993"/>
          <w:tab w:val="left" w:leader="none" w:pos="3526"/>
        </w:tabs>
        <w:spacing w:after="120" w:before="120" w:line="312" w:lineRule="auto"/>
        <w:ind w:right="0" w:firstLine="426" w:left="0"/>
        <w:jc w:val="both"/>
        <w:rPr/>
      </w:pPr>
      <w:r>
        <w:rPr>
          <w:rFonts w:ascii="Times New Roman" w:hAnsi="Times New Roman" w:eastAsia="Times New Roman" w:cs="Times New Roman"/>
          <w:i/>
          <w:color w:val="000000"/>
          <w:sz w:val="24"/>
        </w:rPr>
        <w:t xml:space="preserve">Hệ số điều chỉnh vùng cho suất vốn đầu tư: Thành phố Hồ Chí Minh thuộc vùng 8 có hệ số điều chỉnh là 1,064.”</w:t>
      </w:r>
      <w:r>
        <w:tab/>
      </w:r>
      <w:r/>
    </w:p>
    <w:p w14:paraId="6648A122">
      <w:pPr>
        <w:pBdr>
          <w:top w:val="none" w:color="000000" w:sz="4" w:space="0"/>
          <w:left w:val="none" w:color="000000" w:sz="4" w:space="0"/>
          <w:bottom w:val="none" w:color="000000" w:sz="4" w:space="0"/>
          <w:right w:val="none" w:color="000000" w:sz="4" w:space="0"/>
        </w:pBdr>
        <w:tabs>
          <w:tab w:val="left" w:leader="none" w:pos="993"/>
        </w:tabs>
        <w:spacing w:after="120" w:before="120" w:line="312" w:lineRule="auto"/>
        <w:ind w:right="0" w:firstLine="426" w:left="0"/>
        <w:jc w:val="both"/>
        <w:rPr/>
      </w:pPr>
      <w:r>
        <w:rPr>
          <w:rFonts w:ascii="Times New Roman" w:hAnsi="Times New Roman" w:eastAsia="Times New Roman" w:cs="Times New Roman"/>
          <w:i/>
          <w:color w:val="000000"/>
          <w:sz w:val="24"/>
        </w:rPr>
        <w:t xml:space="preserve">Tổ thẩm định xác định đơn giá xây mới của công trình xây dựng chưa bao gồm VAT hoàn thiện cơ bản là: (chi phí xây dựng) x (Hệ số vùng) = </w:t>
      </w:r>
      <w:r>
        <w:rPr>
          <w:rFonts w:ascii="Times New Roman" w:hAnsi="Times New Roman" w:eastAsia="Times New Roman" w:cs="Times New Roman"/>
          <w:i/>
          <w:color w:val="000000"/>
          <w:sz w:val="24"/>
        </w:rPr>
        <w:t xml:space="preserve"> 5.184.000</w:t>
      </w:r>
      <w:r>
        <w:rPr>
          <w:rFonts w:ascii="Times New Roman" w:hAnsi="Times New Roman" w:eastAsia="Times New Roman" w:cs="Times New Roman"/>
          <w:i/>
          <w:color w:val="000000"/>
          <w:sz w:val="24"/>
        </w:rPr>
        <w:t xml:space="preserve"> x 1,064/1,1= </w:t>
      </w:r>
      <w:r>
        <w:rPr>
          <w:rFonts w:ascii="Times New Roman" w:hAnsi="Times New Roman" w:eastAsia="Times New Roman" w:cs="Times New Roman"/>
          <w:i/>
          <w:color w:val="000000"/>
          <w:sz w:val="24"/>
        </w:rPr>
        <w:t xml:space="preserve">5.014.341</w:t>
      </w:r>
      <w:r>
        <w:rPr>
          <w:rFonts w:ascii="Times New Roman" w:hAnsi="Times New Roman" w:eastAsia="Times New Roman" w:cs="Times New Roman"/>
          <w:i/>
          <w:color w:val="000000"/>
          <w:sz w:val="24"/>
        </w:rPr>
        <w:t xml:space="preserve"> đồng/m² sàn. </w:t>
      </w:r>
      <w:r/>
    </w:p>
    <w:p w14:paraId="3AA4DF81">
      <w:pPr>
        <w:numPr>
          <w:ilvl w:val="0"/>
          <w:numId w:val="40"/>
        </w:numPr>
        <w:pBdr>
          <w:top w:val="none" w:color="000000" w:sz="4" w:space="0"/>
          <w:left w:val="none" w:color="000000" w:sz="4" w:space="0"/>
          <w:bottom w:val="none" w:color="000000" w:sz="4" w:space="0"/>
          <w:right w:val="none" w:color="000000" w:sz="4" w:space="0"/>
        </w:pBdr>
        <w:spacing w:after="120" w:before="120" w:line="340" w:lineRule="atLeast"/>
        <w:ind/>
        <w:jc w:val="both"/>
        <w:rPr/>
      </w:pPr>
      <w:r>
        <w:rPr>
          <w:rFonts w:ascii="Times New Roman" w:hAnsi="Times New Roman" w:eastAsia="Times New Roman" w:cs="Times New Roman"/>
          <w:b/>
          <w:color w:val="000000"/>
          <w:sz w:val="24"/>
        </w:rPr>
        <w:t xml:space="preserve">Xác định chất lượng còn lại của công trình xây dựng trên đất:</w:t>
      </w:r>
      <w:r/>
    </w:p>
    <w:p w14:paraId="6460BEB0">
      <w:pPr>
        <w:pBdr>
          <w:top w:val="none" w:color="000000" w:sz="4" w:space="0"/>
          <w:left w:val="none" w:color="000000" w:sz="4" w:space="0"/>
          <w:bottom w:val="none" w:color="000000" w:sz="4" w:space="0"/>
          <w:right w:val="none" w:color="000000" w:sz="4" w:space="0"/>
        </w:pBdr>
        <w:spacing w:after="120" w:before="120" w:line="264" w:lineRule="auto"/>
        <w:ind w:right="0" w:firstLine="502"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8/8/2011 về việc hướng dẫn kiểm k</w:t>
      </w:r>
      <w:r>
        <w:rPr>
          <w:rFonts w:ascii="Times New Roman" w:hAnsi="Times New Roman" w:eastAsia="Times New Roman" w:cs="Times New Roman"/>
          <w:color w:val="000000"/>
          <w:sz w:val="24"/>
        </w:rPr>
        <w:t xml:space="preserve">ê, đánh giá lại giá trị tài sản cố định là nhà, vật kiến trúc như sau:</w:t>
      </w:r>
      <w:r/>
    </w:p>
    <w:p w14:paraId="6EC72818">
      <w:pPr>
        <w:pBdr>
          <w:top w:val="none" w:color="000000" w:sz="4" w:space="0"/>
          <w:left w:val="none" w:color="000000" w:sz="4" w:space="0"/>
          <w:bottom w:val="none" w:color="000000" w:sz="4" w:space="0"/>
          <w:right w:val="none" w:color="000000" w:sz="4" w:space="0"/>
        </w:pBdr>
        <w:spacing w:after="120" w:before="120" w:line="264" w:lineRule="auto"/>
        <w:ind w:right="0" w:firstLine="502" w:left="0"/>
        <w:jc w:val="both"/>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p>
    <w:p w14:paraId="19509E27">
      <w:pPr>
        <w:pBdr>
          <w:top w:val="none" w:color="000000" w:sz="4" w:space="0"/>
          <w:left w:val="none" w:color="000000" w:sz="4" w:space="0"/>
          <w:bottom w:val="none" w:color="000000" w:sz="4" w:space="0"/>
          <w:right w:val="none" w:color="000000" w:sz="4" w:space="0"/>
        </w:pBdr>
        <w:spacing w:line="264" w:lineRule="auto"/>
        <w:ind w:right="0" w:firstLine="502" w:left="0"/>
        <w:rPr/>
      </w:pPr>
      <w:r>
        <w:rPr>
          <w:rFonts w:ascii="Times New Roman" w:hAnsi="Times New Roman" w:eastAsia="Times New Roman" w:cs="Times New Roman"/>
          <w:color w:val="000000"/>
          <w:sz w:val="24"/>
        </w:rPr>
        <w:t xml:space="preserve">Công thức tính như sau:</w:t>
      </w:r>
      <w:r/>
    </w:p>
    <w:p w14:paraId="738B090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bl>
      <w:tblPr>
        <w:tblStyle w:val="1035"/>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947"/>
        <w:gridCol w:w="527"/>
        <w:gridCol w:w="659"/>
        <w:gridCol w:w="2696"/>
        <w:gridCol w:w="599"/>
        <w:gridCol w:w="2316"/>
      </w:tblGrid>
      <w:tr>
        <w:trPr>
          <w:trHeight w:val="20"/>
        </w:trPr>
        <w:tc>
          <w:tcPr>
            <w:tcBorders/>
            <w:tcMar>
              <w:left w:w="108" w:type="dxa"/>
              <w:top w:w="0" w:type="dxa"/>
              <w:right w:w="108" w:type="dxa"/>
              <w:bottom w:w="0" w:type="dxa"/>
            </w:tcMar>
            <w:tcW w:w="1947" w:type="dxa"/>
            <w:vAlign w:val="center"/>
            <w:vMerge w:val="restart"/>
            <w:textDirection w:val="lrTb"/>
            <w:noWrap w:val="false"/>
          </w:tcPr>
          <w:p w14:paraId="195AECD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27" w:type="dxa"/>
            <w:vAlign w:val="center"/>
            <w:vMerge w:val="restart"/>
            <w:textDirection w:val="lrTb"/>
            <w:noWrap w:val="false"/>
          </w:tcPr>
          <w:p w14:paraId="47F2C0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659" w:type="dxa"/>
            <w:vAlign w:val="center"/>
            <w:textDirection w:val="lrTb"/>
            <w:noWrap w:val="false"/>
          </w:tcPr>
          <w:p w14:paraId="39FEBA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w:t>
            </w:r>
            <w:r/>
          </w:p>
        </w:tc>
        <w:tc>
          <w:tcPr>
            <w:tcBorders>
              <w:bottom w:val="single" w:color="000000" w:sz="8" w:space="0"/>
            </w:tcBorders>
            <w:tcMar>
              <w:left w:w="108" w:type="dxa"/>
              <w:top w:w="0" w:type="dxa"/>
              <w:right w:w="108" w:type="dxa"/>
              <w:bottom w:w="0" w:type="dxa"/>
            </w:tcMar>
            <w:tcW w:w="2696" w:type="dxa"/>
            <w:vAlign w:val="center"/>
            <w:textDirection w:val="lrTb"/>
            <w:noWrap w:val="false"/>
          </w:tcPr>
          <w:p w14:paraId="068AD3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599" w:type="dxa"/>
            <w:vAlign w:val="center"/>
            <w:textDirection w:val="lrTb"/>
            <w:noWrap w:val="false"/>
          </w:tcPr>
          <w:p w14:paraId="3D0B76B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316" w:type="dxa"/>
            <w:vAlign w:val="center"/>
            <w:textDirection w:val="lrTb"/>
            <w:noWrap w:val="false"/>
          </w:tcPr>
          <w:p w14:paraId="41E4E34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rHeight w:val="20"/>
        </w:trPr>
        <w:tc>
          <w:tcPr>
            <w:tcBorders/>
            <w:vMerge w:val="continue"/>
            <w:textDirection w:val="lrTb"/>
            <w:noWrap w:val="false"/>
          </w:tcPr>
          <w:p w14:paraId="29221360">
            <w:pPr>
              <w:pBdr/>
              <w:spacing/>
              <w:ind/>
              <w:rPr/>
            </w:pPr>
            <w:r/>
            <w:r/>
          </w:p>
        </w:tc>
        <w:tc>
          <w:tcPr>
            <w:tcBorders/>
            <w:vMerge w:val="continue"/>
            <w:textDirection w:val="lrTb"/>
            <w:noWrap w:val="false"/>
          </w:tcPr>
          <w:p w14:paraId="11C14DF2">
            <w:pPr>
              <w:pBdr/>
              <w:spacing/>
              <w:ind/>
              <w:rPr/>
            </w:pPr>
            <w:r/>
            <w:r/>
          </w:p>
        </w:tc>
        <w:tc>
          <w:tcPr>
            <w:gridSpan w:val="4"/>
            <w:tcBorders/>
            <w:tcMar>
              <w:left w:w="108" w:type="dxa"/>
              <w:top w:w="0" w:type="dxa"/>
              <w:right w:w="108" w:type="dxa"/>
              <w:bottom w:w="0" w:type="dxa"/>
            </w:tcMar>
            <w:tcW w:w="6270" w:type="dxa"/>
            <w:vAlign w:val="center"/>
            <w:textDirection w:val="lrTb"/>
            <w:noWrap w:val="false"/>
          </w:tcPr>
          <w:p w14:paraId="3FF0E4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14:paraId="46BF5055">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i/>
          <w:color w:val="000000"/>
          <w:sz w:val="24"/>
        </w:rPr>
        <w:t xml:space="preserve">Trong đó:</w:t>
      </w:r>
      <w:r/>
    </w:p>
    <w:p w14:paraId="5D37F348">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i: số thứ tự của kết cấu chính</w:t>
      </w:r>
      <w:r/>
    </w:p>
    <w:p w14:paraId="2124DF75">
      <w:pPr>
        <w:pBdr>
          <w:top w:val="none" w:color="000000" w:sz="4" w:space="0"/>
          <w:left w:val="none" w:color="000000" w:sz="4" w:space="0"/>
          <w:bottom w:val="none" w:color="000000" w:sz="4" w:space="0"/>
          <w:right w:val="none" w:color="000000" w:sz="4" w:space="0"/>
        </w:pBdr>
        <w:spacing w:after="120"/>
        <w:ind w:right="0" w:firstLine="0" w:left="0"/>
        <w:rPr/>
      </w:pPr>
      <w:r>
        <w:rPr>
          <w:rFonts w:ascii="Times New Roman" w:hAnsi="Times New Roman" w:eastAsia="Times New Roman" w:cs="Times New Roman"/>
          <w:color w:val="000000"/>
          <w:sz w:val="24"/>
        </w:rPr>
        <w:t xml:space="preserve">n: số các kết cấu chính.</w:t>
      </w:r>
      <w:r/>
    </w:p>
    <w:p w14:paraId="096304EA">
      <w:pPr>
        <w:numPr>
          <w:ilvl w:val="0"/>
          <w:numId w:val="40"/>
        </w:numPr>
        <w:pBdr>
          <w:top w:val="none" w:color="000000" w:sz="4" w:space="0"/>
          <w:left w:val="none" w:color="000000" w:sz="4" w:space="0"/>
          <w:bottom w:val="none" w:color="000000" w:sz="4" w:space="0"/>
          <w:right w:val="none" w:color="000000" w:sz="4" w:space="0"/>
        </w:pBdr>
        <w:spacing w:line="360" w:lineRule="auto"/>
        <w:ind/>
        <w:jc w:val="both"/>
        <w:rPr/>
      </w:pPr>
      <w:r>
        <w:rPr>
          <w:rFonts w:ascii="Times New Roman" w:hAnsi="Times New Roman" w:eastAsia="Times New Roman" w:cs="Times New Roman"/>
          <w:color w:val="000000"/>
          <w:sz w:val="24"/>
        </w:rPr>
        <w:t xml:space="preserve">Tổ thẩm định xác định chất lượng còn lại của công trình theo phương pháp chuyên gia:</w:t>
      </w:r>
      <w:r/>
    </w:p>
    <w:tbl>
      <w:tblPr>
        <w:tblStyle w:val="1035"/>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37"/>
        <w:gridCol w:w="3340"/>
        <w:gridCol w:w="1859"/>
        <w:gridCol w:w="1807"/>
        <w:gridCol w:w="1807"/>
      </w:tblGrid>
      <w:tr>
        <w:trPr>
          <w:trHeight w:val="936"/>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610AD0C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14:paraId="4EAF2E5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TÊN KẾT CẤU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59" w:type="dxa"/>
            <w:vAlign w:val="center"/>
            <w:textDirection w:val="lrTb"/>
            <w:noWrap w:val="false"/>
          </w:tcPr>
          <w:p w14:paraId="6B260D4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224CF2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E3098A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28D31FA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i/>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14:paraId="396997C0">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i/>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val="false"/>
          </w:tcPr>
          <w:p w14:paraId="235ADCA3">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i/>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CE0EE3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i/>
                <w:color w:val="000000"/>
                <w:sz w:val="24"/>
              </w:rPr>
              <w:t xml:space="preserve">d</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9F39C3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i/>
                <w:color w:val="000000"/>
                <w:sz w:val="24"/>
              </w:rPr>
              <w:t xml:space="preserve">e = c x d/g</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343342E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tcPr>
          <w:p w14:paraId="37F9582E">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Móng</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tcPr>
          <w:p w14:paraId="002F9EE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0616119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47168C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9%</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48EAE84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tcPr>
          <w:p w14:paraId="600795FD">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Khung, cột</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tcPr>
          <w:p w14:paraId="3A520ED7">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448EBA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A15FA1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3C3444B8">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tcPr>
          <w:p w14:paraId="500DA2D3">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Tường</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tcPr>
          <w:p w14:paraId="5E5C6DA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18%</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C948B5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48%</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77F05A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48BE1CD5">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tcPr>
          <w:p w14:paraId="763A4CF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Nền, sàn</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tcPr>
          <w:p w14:paraId="59E483E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88A6531">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53B4A6D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1E4BAAC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tcPr>
          <w:p w14:paraId="6161AF1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Kết cấu đỡ mái</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tcPr>
          <w:p w14:paraId="364E2B8A">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00EFF5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55%</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4D8534F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8%</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tcPr>
          <w:p w14:paraId="2B9A49B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tcPr>
          <w:p w14:paraId="10B4E9B7">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Mái</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tcPr>
          <w:p w14:paraId="1A8AD11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D305ABD">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45%</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ED0C2A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13%</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33685B66">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14:paraId="143C83EF">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Tổng cộng (g)</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val="false"/>
          </w:tcPr>
          <w:p w14:paraId="052FFB2C">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59%</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1F5B71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6855CED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537" w:type="dxa"/>
            <w:vAlign w:val="center"/>
            <w:textDirection w:val="lrTb"/>
            <w:noWrap w:val="false"/>
          </w:tcPr>
          <w:p w14:paraId="393B4442">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3340" w:type="dxa"/>
            <w:vAlign w:val="center"/>
            <w:textDirection w:val="lrTb"/>
            <w:noWrap w:val="false"/>
          </w:tcPr>
          <w:p w14:paraId="76DA906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Tỷ lệ chất lượng còn lại:</w:t>
            </w:r>
            <w:r/>
          </w:p>
        </w:tc>
        <w:tc>
          <w:tcPr>
            <w:tcBorders>
              <w:bottom w:val="single" w:color="000000" w:sz="8" w:space="0"/>
              <w:right w:val="single" w:color="000000" w:sz="8" w:space="0"/>
            </w:tcBorders>
            <w:tcMar>
              <w:left w:w="108" w:type="dxa"/>
              <w:top w:w="0" w:type="dxa"/>
              <w:right w:w="108" w:type="dxa"/>
              <w:bottom w:w="0" w:type="dxa"/>
            </w:tcMar>
            <w:tcW w:w="1859" w:type="dxa"/>
            <w:vAlign w:val="center"/>
            <w:textDirection w:val="lrTb"/>
            <w:noWrap w:val="false"/>
          </w:tcPr>
          <w:p w14:paraId="3941CF6E">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24303CCF">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14:paraId="13549590">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b/>
                <w:color w:val="000000"/>
                <w:sz w:val="24"/>
              </w:rPr>
              <w:t xml:space="preserve">50%</w:t>
            </w:r>
            <w:r/>
          </w:p>
        </w:tc>
      </w:tr>
    </w:tbl>
    <w:p w14:paraId="206B113C">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Tổ thẩm định xác định Tỷ lệ chất lượng còn lại của công trình xây dựng là: 50%</w:t>
      </w:r>
      <w:r>
        <w:rPr>
          <w:rFonts w:ascii="Times New Roman" w:hAnsi="Times New Roman" w:eastAsia="Times New Roman" w:cs="Times New Roman"/>
          <w:sz w:val="24"/>
        </w:rPr>
      </w:r>
      <w:r/>
    </w:p>
    <w:p w14:paraId="4B506B03" w14:textId="49B8E0F8">
      <w:pPr>
        <w:pStyle w:val="103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3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Style w:val="1035"/>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52"/>
        <w:gridCol w:w="2718"/>
        <w:gridCol w:w="1515"/>
        <w:gridCol w:w="1547"/>
        <w:gridCol w:w="1121"/>
        <w:gridCol w:w="183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6F6D923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TT</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718" w:type="dxa"/>
            <w:vAlign w:val="center"/>
            <w:textDirection w:val="lrTb"/>
            <w:noWrap w:val="false"/>
          </w:tcPr>
          <w:p w14:paraId="34E39B6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Tài sản</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15" w:type="dxa"/>
            <w:vAlign w:val="center"/>
            <w:textDirection w:val="lrTb"/>
            <w:noWrap w:val="false"/>
          </w:tcPr>
          <w:p w14:paraId="56D9B12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Diện tích (m²)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47" w:type="dxa"/>
            <w:vAlign w:val="center"/>
            <w:textDirection w:val="lrTb"/>
            <w:noWrap w:val="false"/>
          </w:tcPr>
          <w:p w14:paraId="4C9C03D5">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Đơn giá (đồng/m²)</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14:paraId="65752BB4">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Hệ số/</w:t>
              <w:br/>
              <w:t xml:space="preserve"> CLCL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13A1653B">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Thành tiền (đồng)</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50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040B89E2">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c>
          <w:tcPr>
            <w:gridSpan w:val="4"/>
            <w:shd w:val="clear" w:color="ffffff" w:fill="ffffff"/>
            <w:tcBorders>
              <w:bottom w:val="single" w:color="000000" w:sz="8" w:space="0"/>
              <w:right w:val="single" w:color="000000" w:sz="8" w:space="0"/>
            </w:tcBorders>
            <w:tcMar>
              <w:left w:w="108" w:type="dxa"/>
              <w:top w:w="0" w:type="dxa"/>
              <w:right w:w="108" w:type="dxa"/>
              <w:bottom w:w="0" w:type="dxa"/>
            </w:tcMar>
            <w:tcW w:w="6900" w:type="dxa"/>
            <w:vAlign w:val="center"/>
            <w:textDirection w:val="lrTb"/>
            <w:noWrap w:val="false"/>
          </w:tcPr>
          <w:p w14:paraId="46EAE61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Quyền sử dụng đất và tài sản</w:t>
            </w:r>
            <w:r>
              <w:rPr>
                <w:rFonts w:ascii="Times New Roman" w:hAnsi="Times New Roman" w:eastAsia="Times New Roman" w:cs="Times New Roman"/>
                <w:b/>
                <w:color w:val="000000"/>
                <w:sz w:val="24"/>
              </w:rPr>
              <w:t xml:space="preserve"> gắn liền với đất tại thửa đất số: 530, tờ bản đồ số 2 (SĐN), P14-Q8 có địa chỉ: 161/1/90 Nguyễn Duy, phường 14, quận 8, Thành phố Hồ Chí Minh (Nay là Phường Phú Định, thành phố Hồ Chí Minh theo Giấy chứng nhận quyền sở hữu nhà ở và quyền sử dụng đất ở số:</w:t>
            </w:r>
            <w:r>
              <w:rPr>
                <w:rFonts w:ascii="Times New Roman" w:hAnsi="Times New Roman" w:eastAsia="Times New Roman" w:cs="Times New Roman"/>
                <w:b/>
                <w:color w:val="000000"/>
                <w:sz w:val="24"/>
              </w:rPr>
              <w:t xml:space="preserve"> 70115270143, Hồ sơ gốc số: 00308/2002 do Ủy ban Nhân dân Quận 8, thành phố Hồ Chí Minh cấp ngày 28/6/2002; Chủ sử dụng đất là Bà Trần Thị Thanh Hằng cùng sở hữu với Ông Jack Ja Sakry và trẻ Marinna</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748F097F">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827"/>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6499D9E0">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01</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18" w:type="dxa"/>
            <w:vAlign w:val="center"/>
            <w:textDirection w:val="lrTb"/>
            <w:noWrap w:val="false"/>
          </w:tcPr>
          <w:p w14:paraId="41CD8962">
            <w:pPr>
              <w:pBdr>
                <w:top w:val="none" w:color="000000" w:sz="4" w:space="0"/>
                <w:left w:val="none" w:color="000000" w:sz="4" w:space="0"/>
                <w:bottom w:val="none" w:color="000000" w:sz="4" w:space="0"/>
                <w:right w:val="none" w:color="000000" w:sz="4" w:space="0"/>
              </w:pBdr>
              <w:shd w:val="clear" w:color="ffffff" w:fill="ffffff"/>
              <w:spacing w:after="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Quyền sử dụng đất 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14:paraId="1453ED7B">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102,1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47" w:type="dxa"/>
            <w:vAlign w:val="center"/>
            <w:textDirection w:val="lrTb"/>
            <w:noWrap w:val="false"/>
          </w:tcPr>
          <w:p w14:paraId="1FCB4F48">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40.000.000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14:paraId="53BF3EAE">
            <w:pPr>
              <w:pBdr/>
              <w:spacing w:after="0" w:before="0" w:line="1016" w:lineRule="auto"/>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7B9C442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4.084.000.000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52" w:type="dxa"/>
            <w:vAlign w:val="center"/>
            <w:textDirection w:val="lrTb"/>
            <w:noWrap w:val="false"/>
          </w:tcPr>
          <w:p w14:paraId="435A9C6C">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02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2718" w:type="dxa"/>
            <w:vAlign w:val="center"/>
            <w:textDirection w:val="lrTb"/>
            <w:noWrap w:val="false"/>
          </w:tcPr>
          <w:p w14:paraId="4FE02269">
            <w:pPr>
              <w:pBdr>
                <w:top w:val="none" w:color="000000" w:sz="4" w:space="0"/>
                <w:left w:val="none" w:color="000000" w:sz="4" w:space="0"/>
                <w:bottom w:val="none" w:color="000000" w:sz="4" w:space="0"/>
                <w:right w:val="none" w:color="000000" w:sz="4" w:space="0"/>
              </w:pBdr>
              <w:shd w:val="clear" w:color="ffffff" w:fill="ffffff"/>
              <w:spacing w:after="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Nhà 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515" w:type="dxa"/>
            <w:vAlign w:val="center"/>
            <w:textDirection w:val="lrTb"/>
            <w:noWrap/>
          </w:tcPr>
          <w:p w14:paraId="1431F829">
            <w:pPr>
              <w:pBdr>
                <w:top w:val="none" w:color="000000" w:sz="4" w:space="0"/>
                <w:left w:val="none" w:color="000000" w:sz="4" w:space="0"/>
                <w:bottom w:val="none" w:color="000000" w:sz="4" w:space="0"/>
                <w:right w:val="none" w:color="000000" w:sz="4" w:space="0"/>
              </w:pBdr>
              <w:spacing w:after="0"/>
              <w:ind w:right="0" w:firstLine="0" w:left="0"/>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         47,7 </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547" w:type="dxa"/>
            <w:vAlign w:val="center"/>
            <w:textDirection w:val="lrTb"/>
            <w:noWrap w:val="false"/>
          </w:tcPr>
          <w:p w14:paraId="7D8EE403">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5.014.342</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121" w:type="dxa"/>
            <w:vAlign w:val="center"/>
            <w:textDirection w:val="lrTb"/>
            <w:noWrap w:val="false"/>
          </w:tcPr>
          <w:p w14:paraId="105F529D">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50%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val="false"/>
          </w:tcPr>
          <w:p w14:paraId="6FC575A6">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right"/>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119.592.052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452" w:type="dxa"/>
            <w:vAlign w:val="center"/>
            <w:textDirection w:val="lrTb"/>
            <w:noWrap/>
          </w:tcPr>
          <w:p w14:paraId="4689310F">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tcPr>
          <w:p w14:paraId="57FADD21">
            <w:pPr>
              <w:pBdr>
                <w:top w:val="none" w:color="000000" w:sz="4" w:space="0"/>
                <w:left w:val="none" w:color="000000" w:sz="4" w:space="0"/>
                <w:bottom w:val="none" w:color="000000" w:sz="4" w:space="0"/>
                <w:right w:val="none" w:color="000000" w:sz="4" w:space="0"/>
              </w:pBdr>
              <w:spacing w:after="0"/>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4.203.592.052</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7452" w:type="dxa"/>
            <w:vAlign w:val="center"/>
            <w:textDirection w:val="lrTb"/>
            <w:noWrap/>
          </w:tcPr>
          <w:p w14:paraId="5AEB1EE3">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108" w:type="dxa"/>
              <w:top w:w="0" w:type="dxa"/>
              <w:right w:w="108" w:type="dxa"/>
              <w:bottom w:w="0" w:type="dxa"/>
            </w:tcMar>
            <w:tcW w:w="1831" w:type="dxa"/>
            <w:vAlign w:val="center"/>
            <w:textDirection w:val="lrTb"/>
            <w:noWrap/>
          </w:tcPr>
          <w:p w14:paraId="78E5C018">
            <w:pPr>
              <w:pBdr>
                <w:top w:val="none" w:color="000000" w:sz="4" w:space="0"/>
                <w:left w:val="none" w:color="000000" w:sz="4" w:space="0"/>
                <w:bottom w:val="none" w:color="000000" w:sz="4" w:space="0"/>
                <w:right w:val="none" w:color="000000" w:sz="4" w:space="0"/>
              </w:pBdr>
              <w:spacing w:after="0"/>
              <w:ind w:right="0" w:firstLine="0" w:left="0"/>
              <w:jc w:val="right"/>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4.203.000.000</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gridSpan w:val="6"/>
            <w:tcBorders>
              <w:left w:val="single" w:color="000000" w:sz="8" w:space="0"/>
              <w:bottom w:val="single" w:color="000000" w:sz="8" w:space="0"/>
              <w:right w:val="single" w:color="000000" w:sz="8" w:space="0"/>
            </w:tcBorders>
            <w:tcMar>
              <w:left w:w="108" w:type="dxa"/>
              <w:top w:w="0" w:type="dxa"/>
              <w:right w:w="108" w:type="dxa"/>
              <w:bottom w:w="0" w:type="dxa"/>
            </w:tcMar>
            <w:tcW w:w="9283" w:type="dxa"/>
            <w:vAlign w:val="center"/>
            <w:textDirection w:val="lrTb"/>
            <w:noWrap w:val="false"/>
          </w:tcPr>
          <w:p w14:paraId="178EF7DD">
            <w:pPr>
              <w:pBdr>
                <w:top w:val="none" w:color="000000" w:sz="4" w:space="0"/>
                <w:left w:val="none" w:color="000000" w:sz="4" w:space="0"/>
                <w:bottom w:val="none" w:color="000000" w:sz="4" w:space="0"/>
                <w:right w:val="none" w:color="000000" w:sz="4" w:space="0"/>
              </w:pBdr>
              <w:spacing w:after="0"/>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Bốn tỷ hai trăm linh ba triệu đồng chẵn ./.)</w:t>
            </w:r>
            <w:r>
              <w:rPr>
                <w:rFonts w:ascii="Times New Roman" w:hAnsi="Times New Roman" w:eastAsia="Times New Roman" w:cs="Times New Roman"/>
                <w:sz w:val="24"/>
              </w:rPr>
            </w:r>
            <w:r>
              <w:rPr>
                <w:rFonts w:ascii="Times New Roman" w:hAnsi="Times New Roman" w:eastAsia="Times New Roman" w:cs="Times New Roman"/>
                <w:sz w:val="24"/>
              </w:rPr>
            </w:r>
          </w:p>
        </w:tc>
      </w:tr>
    </w:tbl>
    <w:p w14:paraId="187E2E91" w14:textId="56B58432">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5F9C87DF" w14:textId="660E13BF">
      <w:pPr>
        <w:pStyle w:val="1031"/>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14:paraId="43B82C1C">
      <w:pPr>
        <w:pStyle w:val="1031"/>
        <w:numPr>
          <w:ilvl w:val="0"/>
          <w:numId w:val="41"/>
        </w:numPr>
        <w:pBdr/>
        <w:tabs>
          <w:tab w:val="left" w:leader="none" w:pos="993"/>
        </w:tabs>
        <w:spacing w:after="120" w:before="120" w:line="264" w:lineRule="auto"/>
        <w:ind/>
        <w:jc w:val="both"/>
        <w:rPr>
          <w:spacing w:val="-2"/>
          <w:lang w:val="pt-BR"/>
        </w:rPr>
      </w:pPr>
      <w:r>
        <w:rPr>
          <w:spacing w:val="-2"/>
          <w:highlight w:val="none"/>
          <w:lang w:val="pt-BR" w:bidi="pt-BR"/>
        </w:rPr>
        <w:t xml:space="preserve">T</w:t>
      </w:r>
      <w:r>
        <w:rPr>
          <w:b w:val="0"/>
          <w:bCs w:val="0"/>
          <w:color w:val="000000"/>
        </w:rPr>
        <w:t xml:space="preserve">ại thời điểm khảo sát, CTXD gắn liền với đất là nhà 2 tầng, DTXD khoảng 80m2/sàn; ngoại quan khá cũ, xuống cấp. CTXD thực tế khảo sát được khác với CTXD được chứng nhận trên GCN là nhà vách gạch, mái tôn DTXD là 47,7m2. </w:t>
      </w:r>
      <w:r>
        <w:rPr>
          <w:b w:val="0"/>
          <w:bCs w:val="0"/>
          <w:color w:val="000000"/>
        </w:rPr>
        <w:t xml:space="preserve">Do vậy, theo đề nghị của Ngân hàng/Khách hàng, Tổ thẩm định xác định giá trị của công trình xây dựng theo trên GCN số </w:t>
      </w:r>
      <w:r>
        <w:rPr>
          <w:b w:val="0"/>
          <w:bCs w:val="0"/>
          <w:color w:val="000000"/>
        </w:rPr>
        <w:t xml:space="preserve">70115270143.</w:t>
      </w:r>
      <w:r>
        <w:rPr>
          <w:spacing w:val="-2"/>
          <w:lang w:val="pt-BR"/>
        </w:rPr>
      </w:r>
      <w:r>
        <w:rPr>
          <w:spacing w:val="-2"/>
          <w:lang w:val="pt-BR"/>
        </w:rPr>
      </w:r>
    </w:p>
    <w:p w14:paraId="0F9E384F" w14:textId="63102E36">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199853D1">
      <w:pPr>
        <w:pBdr/>
        <w:shd w:val="nil" w:color="auto"/>
        <w:spacing/>
        <w:ind/>
        <w:rPr>
          <w:lang w:val="vi-VN"/>
        </w:rPr>
      </w:pPr>
      <w:r>
        <w:rPr>
          <w:highlight w:val="none"/>
          <w:lang w:val="vi-VN"/>
        </w:rPr>
        <w:br w:type="page" w:clear="all"/>
      </w:r>
      <w:r>
        <w:rPr>
          <w:lang w:val="vi-VN"/>
        </w:rPr>
      </w:r>
      <w:r>
        <w:rPr>
          <w:lang w:val="vi-VN"/>
        </w:rPr>
      </w:r>
    </w:p>
    <w:p w14:paraId="699F9D9D" w14:textId="4418D349">
      <w:pPr>
        <w:pStyle w:val="1031"/>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275/2025/1741/VFI-CT.39A</w:t>
      </w:r>
      <w:r>
        <w:rPr>
          <w:color w:val="ff0000"/>
          <w:lang w:val="vi-VN"/>
        </w:rPr>
        <w:t xml:space="preserve"> </w:t>
      </w:r>
      <w:r>
        <w:rPr>
          <w:color w:val="000000" w:themeColor="text1"/>
        </w:rPr>
        <w:t xml:space="preserve">ngày 9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p w14:paraId="6415DD17"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7C35FBCF" w14:textId="77777777">
      <w:pPr>
        <w:pStyle w:val="1031"/>
        <w:pBdr/>
        <w:tabs>
          <w:tab w:val="left" w:leader="none" w:pos="993"/>
        </w:tabs>
        <w:spacing w:after="120" w:before="120" w:line="288" w:lineRule="auto"/>
        <w:ind w:left="0"/>
        <w:jc w:val="both"/>
        <w:rPr>
          <w:lang w:val="vi-VN"/>
        </w:rPr>
      </w:pPr>
      <w:r>
        <w:rPr>
          <w:lang w:val="vi-VN"/>
        </w:rPr>
      </w:r>
      <w:r>
        <w:rPr>
          <w:lang w:val="vi-VN"/>
        </w:rPr>
      </w:r>
      <w:r>
        <w:rPr>
          <w:lang w:val="vi-VN"/>
        </w:rPr>
      </w:r>
    </w:p>
    <w:p w14:paraId="2838A8CA" w14:textId="77777777">
      <w:pPr>
        <w:pStyle w:val="1031"/>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Đinh Thị Lan Hương</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275/2025/1741/VFI-BC.39A</w:t>
      </w:r>
      <w:r>
        <w:rPr>
          <w:i/>
          <w:lang w:val="pt-BR"/>
        </w:rPr>
        <w:t xml:space="preserve"> ngày </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41162CFA">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09124" cy="187883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588241" name=""/>
                              <pic:cNvPicPr>
                                <a:picLocks noChangeAspect="1"/>
                              </pic:cNvPicPr>
                              <pic:nvPr/>
                            </pic:nvPicPr>
                            <pic:blipFill rotWithShape="1">
                              <a:blip r:embed="rId16"/>
                              <a:stretch/>
                            </pic:blipFill>
                            <pic:spPr bwMode="auto">
                              <a:xfrm flipH="0" flipV="0">
                                <a:off x="0" y="0"/>
                                <a:ext cx="1409122" cy="187883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0.95pt;height:147.94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536795434" name="" descr=""/>
                              <pic:cNvPicPr/>
                              <pic:nvPr/>
                            </pic:nvPicPr>
                            <pic:blipFill rotWithShape="1">
                              <a:blip r:embed="rId17"/>
                              <a:stretch/>
                            </pic:blipFill>
                            <pic:spPr bwMode="auto">
                              <a:xfrm>
                                <a:off x="0" y="0"/>
                                <a:ext cx="1428750"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1531327676" name="" descr=""/>
                              <pic:cNvPicPr/>
                              <pic:nvPr/>
                            </pic:nvPicPr>
                            <pic:blipFill rotWithShape="1">
                              <a:blip r:embed="rId18"/>
                              <a:stretch/>
                            </pic:blipFill>
                            <pic:spPr bwMode="auto">
                              <a:xfrm>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584984" cy="193873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944902" name=""/>
                              <pic:cNvPicPr>
                                <a:picLocks noChangeAspect="1"/>
                              </pic:cNvPicPr>
                              <pic:nvPr/>
                            </pic:nvPicPr>
                            <pic:blipFill rotWithShape="1">
                              <a:blip r:embed="rId21"/>
                              <a:stretch/>
                            </pic:blipFill>
                            <pic:spPr bwMode="auto">
                              <a:xfrm flipH="0" flipV="0">
                                <a:off x="0" y="0"/>
                                <a:ext cx="2584984" cy="19387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3.54pt;height:152.66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275/2025/1741/VFI-BC.39A</w:t>
      </w:r>
      <w:r>
        <w:rPr>
          <w:i/>
          <w:lang w:val="pt-BR"/>
        </w:rPr>
        <w:t xml:space="preserve"> ngày </w:t>
      </w:r>
      <w:r>
        <w:rPr>
          <w:i/>
          <w:lang w:val="pt-BR"/>
        </w:rPr>
        <w:t xml:space="preserve">9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https://www.facebook.com/groups/301358937273552/permalink/2069112923831469/</w:t>
            </w:r>
            <w:r>
              <w:rPr>
                <w:color w:val="000000" w:themeColor="text1"/>
                <w:sz w:val="22"/>
                <w:szCs w:val="22"/>
              </w:rPr>
              <w:br/>
              <w:t xml:space="preserve">0901846049</w:t>
            </w:r>
            <w:r>
              <w:rPr>
                <w:sz w:val="22"/>
                <w:szCs w:val="22"/>
              </w:rPr>
              <w:t xml:space="preserve"> </w:t>
            </w:r>
            <w:r>
              <w:rPr>
                <w:sz w:val="22"/>
                <w:szCs w:val="22"/>
              </w:rPr>
              <w:br/>
              <w:t xml:space="preserve">(Thanh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4.380.000.000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3.942.000.000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(37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Phường </w:t>
            </w:r>
            <w:r>
              <w:rPr>
                <w:color w:val="000000" w:themeColor="text1"/>
                <w:sz w:val="22"/>
                <w:szCs w:val="22"/>
              </w:rPr>
              <w:t xml:space="preserve">Phú Định</w:t>
            </w:r>
            <w:r>
              <w:rPr>
                <w:color w:val="000000" w:themeColor="text1"/>
                <w:sz w:val="22"/>
                <w:szCs w:val="22"/>
              </w:rPr>
              <w:t xml:space="preserve">, Thành phố Hồ Chí Minh, độ rộng đường trước mặt tài sản 2m, mặt tiền 4.1m.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69541"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36695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88.94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33.33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Đinh Thị Lan Hương</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https://www.facebook.com/groups/301358937273552/permalink/2062014714541290/?rdid=Tay6qT8Ifznph5QQ#</w:t>
            </w:r>
            <w:r>
              <w:rPr>
                <w:color w:val="000000" w:themeColor="text1"/>
                <w:sz w:val="22"/>
                <w:szCs w:val="22"/>
              </w:rPr>
              <w:br/>
              <w:t xml:space="preserve">0937096122</w:t>
            </w:r>
            <w:r>
              <w:rPr>
                <w:sz w:val="22"/>
                <w:szCs w:val="22"/>
              </w:rPr>
              <w:t xml:space="preserve"> </w:t>
            </w:r>
            <w:r>
              <w:rPr>
                <w:sz w:val="22"/>
                <w:szCs w:val="22"/>
              </w:rPr>
              <w:br/>
              <w:t xml:space="preserve">(Phụng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3.500.000.000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3.150.000.000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(41.3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Phường </w:t>
            </w:r>
            <w:r>
              <w:rPr>
                <w:color w:val="000000" w:themeColor="text1"/>
                <w:sz w:val="22"/>
                <w:szCs w:val="22"/>
              </w:rPr>
              <w:t xml:space="preserve">Phú Định</w:t>
            </w:r>
            <w:r>
              <w:rPr>
                <w:color w:val="000000" w:themeColor="text1"/>
                <w:sz w:val="22"/>
                <w:szCs w:val="22"/>
              </w:rPr>
              <w:t xml:space="preserve">, Thành phố Hồ Chí Minh, độ rộng đường trước mặt tài sản 2m, mặt tiền 5m.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41,3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6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5348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6534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87.68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16384"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18163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43.02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799E55DA" w14:textId="0F7B3065">
            <w:pPr>
              <w:pBdr/>
              <w:spacing/>
              <w:ind/>
              <w:jc w:val="center"/>
              <w:rPr/>
            </w:pPr>
            <w:r>
              <w:t xml:space="preserve">Đinh Thị Lan Hương</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https://alonhadat.com.vn/ban-nha-moi-dep-hem-hoai-thanh-p-phu-dinh-nha-no-hau-gan-cho-binh-dong-48-2m2-17341535.html</w:t>
            </w:r>
            <w:r>
              <w:rPr>
                <w:color w:val="000000" w:themeColor="text1"/>
                <w:sz w:val="22"/>
                <w:szCs w:val="22"/>
              </w:rPr>
              <w:br/>
            </w:r>
            <w:r>
              <w:rPr>
                <w:sz w:val="22"/>
                <w:szCs w:val="22"/>
              </w:rPr>
              <w:t xml:space="preserve">SĐT: </w:t>
            </w:r>
            <w:r>
              <w:rPr>
                <w:color w:val="000000" w:themeColor="text1"/>
                <w:sz w:val="22"/>
                <w:szCs w:val="22"/>
              </w:rPr>
              <w:t xml:space="preserve">0977.884.849</w:t>
            </w:r>
            <w:r>
              <w:rPr>
                <w:sz w:val="22"/>
                <w:szCs w:val="22"/>
              </w:rPr>
              <w:t xml:space="preserve"> </w:t>
            </w:r>
            <w:r>
              <w:rPr>
                <w:sz w:val="22"/>
                <w:szCs w:val="22"/>
              </w:rPr>
              <w:br/>
              <w:t xml:space="preserve">(Như Ý</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4.550.000.000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4.095.000.000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(48.2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Phường Phú Định</w:t>
            </w:r>
            <w:r>
              <w:rPr>
                <w:color w:val="000000" w:themeColor="text1"/>
                <w:sz w:val="22"/>
                <w:szCs w:val="22"/>
              </w:rPr>
              <w:t xml:space="preserve">, Thành phố Hồ Chí Minh, độ rộng đường trước mặt tài sản 1.5m, mặt tiền 5.61m,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48.2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5.61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Không có lợi thế kinh doanh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178091"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417809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28.9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159597"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15959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27.53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78881"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3788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3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264"/>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5356C06A">
            <w:pPr>
              <w:pBdr/>
              <w:spacing/>
              <w:ind/>
              <w:jc w:val="center"/>
              <w:rPr/>
            </w:pPr>
            <w:r>
              <w:t xml:space="preserve">Đinh Thị Lan Hương</w:t>
            </w:r>
            <w:r/>
          </w:p>
          <w:p w14:paraId="38FD8E53">
            <w:pPr>
              <w:pBdr/>
              <w:spacing/>
              <w:ind/>
              <w:jc w:val="center"/>
              <w:rPr/>
            </w:pPr>
            <w:r/>
            <w:r/>
          </w:p>
          <w:p w14:paraId="499CCC44">
            <w:pPr>
              <w:pBdr/>
              <w:spacing/>
              <w:ind/>
              <w:rPr/>
            </w:pPr>
            <w:r/>
            <w:r/>
          </w:p>
          <w:p w14:paraId="73F8205A" w14:textId="4BC76F79">
            <w:pPr>
              <w:pBdr/>
              <w:spacing/>
              <w:ind/>
              <w:jc w:val="center"/>
              <w:rPr>
                <w:b/>
                <w:bCs/>
              </w:rPr>
            </w:pPr>
            <w:r>
              <w:rPr>
                <w:b/>
                <w:bCs/>
              </w:rPr>
            </w:r>
            <w:r>
              <w:rPr>
                <w:b/>
                <w:bCs/>
              </w:rPr>
            </w:r>
            <w:r>
              <w:rPr>
                <w:b/>
                <w:bCs/>
              </w:rPr>
            </w:r>
          </w:p>
        </w:tc>
      </w:tr>
    </w:tbl>
    <w:p w14:paraId="1EAD3878" w14:textId="77777777">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C11DC73"/>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06E889B4"/>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jpg"/><Relationship Id="rId21" Type="http://schemas.openxmlformats.org/officeDocument/2006/relationships/image" Target="media/image9.jp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Vũ Văn Quân - Chủ tịch</cp:lastModifiedBy>
  <cp:revision>274</cp:revision>
  <dcterms:created xsi:type="dcterms:W3CDTF">2025-09-15T09:58:00Z</dcterms:created>
  <dcterms:modified xsi:type="dcterms:W3CDTF">2025-12-09T13:16:48Z</dcterms:modified>
</cp:coreProperties>
</file>