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560355" cy="2934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560354" cy="2934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275/2026/0721/VFI-CT.24.A</w:t>
                            </w:r>
                            <w:r>
                              <w:rPr>
                                <w:b/>
                              </w:rPr>
                            </w:r>
                            <w:r>
                              <w:rPr>
                                <w:b/>
                              </w:rPr>
                            </w:r>
                          </w:p>
                          <w:p>
                            <w:pPr>
                              <w:pBdr/>
                              <w:tabs>
                                <w:tab w:val="left" w:leader="none" w:pos="3002"/>
                              </w:tabs>
                              <w:spacing w:after="120" w:before="120" w:line="276" w:lineRule="auto"/>
                              <w:ind/>
                              <w:jc w:val="both"/>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phát triển thương mại Thăng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141, tờ bản</w:t>
                            </w:r>
                            <w:r>
                              <w:rPr>
                                <w:color w:val="000000"/>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7.82pt;height:23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275/2026/0721/VFI-CT.24.A</w:t>
                      </w:r>
                      <w:r>
                        <w:rPr>
                          <w:b/>
                        </w:rPr>
                      </w:r>
                      <w:r>
                        <w:rPr>
                          <w:b/>
                        </w:rPr>
                      </w:r>
                    </w:p>
                    <w:p>
                      <w:pPr>
                        <w:pBdr/>
                        <w:tabs>
                          <w:tab w:val="left" w:leader="none" w:pos="3002"/>
                        </w:tabs>
                        <w:spacing w:after="120" w:before="120" w:line="276" w:lineRule="auto"/>
                        <w:ind/>
                        <w:jc w:val="both"/>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phát triển thương mại Thăng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141, tờ bản</w:t>
                      </w:r>
                      <w:r>
                        <w:rPr>
                          <w:color w:val="000000"/>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20 - 25</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417"/>
        <w:gridCol w:w="2268"/>
        <w:gridCol w:w="6236"/>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275/2026/0721/VFI-CT.24.A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13 tháng 5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MTV phát triển thương mại Thăng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275/2026/0721/VFI-HĐTĐ.24.A</w:t>
      </w:r>
      <w:r>
        <w:rPr>
          <w:spacing w:val="-4"/>
          <w:lang w:val="vi-VN"/>
        </w:rPr>
        <w:t xml:space="preserve"> ký ngày 09</w:t>
      </w:r>
      <w:r>
        <w:rPr>
          <w:color w:val="000000" w:themeColor="text1"/>
          <w:spacing w:val="-4"/>
        </w:rPr>
        <w:t xml:space="preserve"> tháng 5 năm 2026</w:t>
      </w:r>
      <w:r>
        <w:rPr>
          <w:spacing w:val="-4"/>
          <w:lang w:val="vi-VN"/>
        </w:rPr>
        <w:t xml:space="preserve"> </w:t>
      </w:r>
      <w:r>
        <w:rPr>
          <w:spacing w:val="-4"/>
          <w:lang w:val="vi-VN"/>
        </w:rPr>
        <w:t xml:space="preserve">giữa </w:t>
      </w:r>
      <w:r>
        <w:rPr>
          <w:color w:val="000000" w:themeColor="text1"/>
          <w:spacing w:val="-4"/>
        </w:rPr>
        <w:t xml:space="preserve">Công ty TNHH MTV phát triển thương mại Thăng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275/2026/0721/VFI-BC.24.A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31"/>
        <w:tblInd w:w="-114" w:type="dxa"/>
        <w:tblW w:w="0" w:type="auto"/>
        <w:tblCellMar>
          <w:left w:w="113" w:type="dxa"/>
          <w:top w:w="0" w:type="dxa"/>
          <w:right w:w="113"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84"/>
        <w:gridCol w:w="283"/>
        <w:gridCol w:w="7512"/>
      </w:tblGrid>
      <w:tr>
        <w:trPr>
          <w:trHeight w:val="20"/>
        </w:trPr>
        <w:tc>
          <w:tcPr>
            <w:tcBorders/>
            <w:tcMar>
              <w:left w:w="113" w:type="dxa"/>
              <w:top w:w="0" w:type="dxa"/>
              <w:right w:w="113"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rPr>
                <w:u w:val="none"/>
              </w:rPr>
            </w:pPr>
            <w:r>
              <w:rPr>
                <w:rFonts w:ascii="Times New Roman" w:hAnsi="Times New Roman" w:eastAsia="Times New Roman" w:cs="Times New Roman"/>
                <w:b/>
                <w:color w:val="000000"/>
                <w:sz w:val="24"/>
                <w:u w:val="none"/>
              </w:rPr>
              <w:t xml:space="preserve">Khách hàng</w:t>
            </w:r>
            <w:r>
              <w:rPr>
                <w:u w:val="none"/>
              </w:rPr>
            </w:r>
          </w:p>
        </w:tc>
        <w:tc>
          <w:tcPr>
            <w:tcBorders/>
            <w:tcMar>
              <w:left w:w="113" w:type="dxa"/>
              <w:top w:w="0" w:type="dxa"/>
              <w:right w:w="113"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jc w:val="center"/>
              <w:rPr/>
            </w:pPr>
            <w:r>
              <w:rPr>
                <w:rFonts w:ascii="Times New Roman" w:hAnsi="Times New Roman" w:eastAsia="Times New Roman" w:cs="Times New Roman"/>
                <w:b/>
                <w:color w:val="000000"/>
                <w:sz w:val="24"/>
              </w:rPr>
              <w:t xml:space="preserve">:</w:t>
            </w:r>
            <w:r/>
          </w:p>
        </w:tc>
        <w:tc>
          <w:tcPr>
            <w:tcBorders/>
            <w:tcMar>
              <w:left w:w="113" w:type="dxa"/>
              <w:top w:w="0" w:type="dxa"/>
              <w:right w:w="113" w:type="dxa"/>
              <w:bottom w:w="0" w:type="dxa"/>
            </w:tcMar>
            <w:tcW w:w="75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CÔNG TY TNHH MTV PHÁT TRIỂN THƯƠNG MẠI THĂNG LONG</w:t>
            </w:r>
            <w:r/>
          </w:p>
        </w:tc>
      </w:tr>
      <w:tr>
        <w:trPr>
          <w:trHeight w:val="397"/>
        </w:trPr>
        <w:tc>
          <w:tcPr>
            <w:tcBorders/>
            <w:tcMar>
              <w:left w:w="113" w:type="dxa"/>
              <w:top w:w="0" w:type="dxa"/>
              <w:right w:w="113"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13" w:type="dxa"/>
              <w:top w:w="0" w:type="dxa"/>
              <w:right w:w="113"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75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0109739984</w:t>
            </w:r>
            <w:r/>
          </w:p>
        </w:tc>
      </w:tr>
      <w:tr>
        <w:trPr>
          <w:trHeight w:val="20"/>
        </w:trPr>
        <w:tc>
          <w:tcPr>
            <w:tcBorders/>
            <w:tcMar>
              <w:left w:w="113" w:type="dxa"/>
              <w:top w:w="0" w:type="dxa"/>
              <w:right w:w="113"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Mar>
              <w:left w:w="113" w:type="dxa"/>
              <w:top w:w="0" w:type="dxa"/>
              <w:right w:w="113"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75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38 ngõ 68 đường Trung Kính, phường Yên Hoà, thành phố Hà Nội</w:t>
            </w:r>
            <w:r/>
          </w:p>
        </w:tc>
      </w:tr>
      <w:tr>
        <w:trPr>
          <w:trHeight w:val="20"/>
        </w:trPr>
        <w:tc>
          <w:tcPr>
            <w:tcBorders/>
            <w:tcMar>
              <w:left w:w="113" w:type="dxa"/>
              <w:top w:w="0" w:type="dxa"/>
              <w:right w:w="113"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13" w:type="dxa"/>
              <w:top w:w="0" w:type="dxa"/>
              <w:right w:w="113"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75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Đoàn Văn Toàn</w:t>
            </w:r>
            <w:r/>
          </w:p>
        </w:tc>
      </w:tr>
      <w:tr>
        <w:trPr>
          <w:trHeight w:val="20"/>
        </w:trPr>
        <w:tc>
          <w:tcPr>
            <w:tcBorders/>
            <w:tcMar>
              <w:left w:w="113" w:type="dxa"/>
              <w:top w:w="0" w:type="dxa"/>
              <w:right w:w="113"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13" w:type="dxa"/>
              <w:top w:w="0" w:type="dxa"/>
              <w:right w:w="113"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75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842" w:type="dxa"/>
        <w:tblBorders/>
        <w:tblLayout w:type="fixed"/>
        <w:tblLook w:val="04A0" w:firstRow="1" w:lastRow="0" w:firstColumn="1" w:lastColumn="0" w:noHBand="0" w:noVBand="1"/>
      </w:tblPr>
      <w:tblGrid>
        <w:gridCol w:w="1905"/>
        <w:gridCol w:w="283"/>
        <w:gridCol w:w="7485"/>
        <w:gridCol w:w="169"/>
      </w:tblGrid>
      <w:tr>
        <w:trPr>
          <w:trHeight w:val="20"/>
        </w:trPr>
        <w:tc>
          <w:tcPr>
            <w:tcBorders/>
            <w:tcW w:w="1905"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gridSpan w:val="2"/>
            <w:tcBorders/>
            <w:tcW w:w="7654"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8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gridAfter w:val="1"/>
          <w:trHeight w:val="20"/>
        </w:trPr>
        <w:tc>
          <w:tcPr>
            <w:tcBorders/>
            <w:tcW w:w="1905"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gridAfter w:val="1"/>
          <w:trHeight w:val="20"/>
        </w:trPr>
        <w:tc>
          <w:tcPr>
            <w:tcBorders/>
            <w:tcW w:w="1905"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gridAfter w:val="1"/>
          <w:trHeight w:val="20"/>
        </w:trPr>
        <w:tc>
          <w:tcPr>
            <w:tcBorders/>
            <w:tcW w:w="1905" w:type="dxa"/>
            <w:vAlign w:val="center"/>
            <w:textDirection w:val="lrTb"/>
            <w:noWrap w:val="false"/>
          </w:tcPr>
          <w:p>
            <w:pPr>
              <w:pBdr/>
              <w:spacing w:after="40" w:before="40" w:line="276" w:lineRule="auto"/>
              <w:ind/>
              <w:jc w:val="both"/>
              <w:rPr/>
            </w:pPr>
            <w:r>
              <w:t xml:space="preserve">Thông 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8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8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1905"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8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141, tờ bản</w:t>
      </w:r>
      <w:r>
        <w:rPr>
          <w:color w:val="000000" w:themeColor="text1"/>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551"/>
        <w:gridCol w:w="1492"/>
        <w:gridCol w:w="2581"/>
        <w:gridCol w:w="2164"/>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141, tờ bản</w:t>
            </w:r>
            <w:r>
              <w:rPr>
                <w:b/>
                <w:bCs/>
                <w:color w:val="000000"/>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51" w:type="dxa"/>
            <w:vAlign w:val="center"/>
            <w:textDirection w:val="lrTb"/>
            <w:noWrap w:val="false"/>
          </w:tcPr>
          <w:p>
            <w:pPr>
              <w:pBdr/>
              <w:spacing w:after="40" w:before="40" w:line="288" w:lineRule="auto"/>
              <w:ind/>
              <w:rPr>
                <w:b w:val="0"/>
                <w:bCs w:val="0"/>
              </w:rPr>
            </w:pPr>
            <w:r>
              <w:rPr>
                <w:b w:val="0"/>
                <w:bCs w:val="0"/>
              </w:rPr>
              <w:t xml:space="preserve">Quyền sử dụng đất</w:t>
            </w:r>
            <w:r>
              <w:rPr>
                <w:b w:val="0"/>
                <w:bCs w:val="0"/>
              </w:rPr>
            </w:r>
            <w:r>
              <w:rPr>
                <w:b w:val="0"/>
                <w:bCs w:val="0"/>
              </w:rP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1.398,3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7.400.000</w:t>
            </w:r>
            <w:r/>
          </w:p>
        </w:tc>
        <w:tc>
          <w:tcPr>
            <w:shd w:val="clear" w:color="000000" w:fill="ffffff"/>
            <w:tcBorders/>
            <w:tcW w:w="2164" w:type="dxa"/>
            <w:vAlign w:val="center"/>
            <w:textDirection w:val="lrTb"/>
            <w:noWrap w:val="false"/>
          </w:tcPr>
          <w:p>
            <w:pPr>
              <w:pBdr/>
              <w:spacing w:after="40" w:before="40" w:line="288" w:lineRule="auto"/>
              <w:ind/>
              <w:jc w:val="right"/>
              <w:rPr>
                <w:b w:val="0"/>
                <w:bCs w:val="0"/>
                <w:color w:val="000000"/>
              </w:rPr>
            </w:pPr>
            <w:r>
              <w:rPr>
                <w:b w:val="0"/>
                <w:bCs w:val="0"/>
                <w:color w:val="000000"/>
              </w:rPr>
              <w:t xml:space="preserve">10.347.400.000</w:t>
            </w:r>
            <w:r>
              <w:rPr>
                <w:b w:val="0"/>
                <w:bCs w:val="0"/>
                <w:color w:val="000000"/>
              </w:rPr>
            </w:r>
            <w:r>
              <w:rPr>
                <w:b w:val="0"/>
                <w:bCs w:val="0"/>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t xml:space="preserve">10.347.420.000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color w:val="000000"/>
              </w:rPr>
              <w:t xml:space="preserve">10.347.000.000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ba trăm bốn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382" w:type="dxa"/>
        <w:tblW w:w="5274" w:type="pct"/>
        <w:tblBorders/>
        <w:tblLayout w:type="fixed"/>
        <w:tblLook w:val="01E0" w:firstRow="1" w:lastRow="1" w:firstColumn="1" w:lastColumn="1" w:noHBand="0" w:noVBand="0"/>
      </w:tblPr>
      <w:tblGrid>
        <w:gridCol w:w="4662"/>
        <w:gridCol w:w="5386"/>
      </w:tblGrid>
      <w:tr>
        <w:trPr>
          <w:trHeight w:val="20"/>
        </w:trPr>
        <w:tc>
          <w:tcPr>
            <w:tcBorders/>
            <w:tcW w:w="466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86"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6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86"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6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386"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417"/>
        <w:gridCol w:w="2126"/>
        <w:gridCol w:w="6520"/>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6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0"/>
        </w:trPr>
        <w:tc>
          <w:tcPr>
            <w:gridSpan w:val="2"/>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275/2026/0721/VFI-</w:t>
            </w:r>
            <w:r>
              <w:rPr>
                <w:rStyle w:val="1025"/>
                <w:rFonts w:ascii="Times New Roman" w:hAnsi="Times New Roman"/>
                <w:color w:val="000000" w:themeColor="text1"/>
                <w:lang w:val="pt-BR"/>
              </w:rPr>
              <w:t xml:space="preserve">BC</w:t>
            </w:r>
            <w:r>
              <w:rPr>
                <w:rStyle w:val="1025"/>
                <w:rFonts w:ascii="Times New Roman" w:hAnsi="Times New Roman"/>
                <w:color w:val="000000" w:themeColor="text1"/>
                <w:lang w:val="pt-BR"/>
              </w:rPr>
              <w:t xml:space="preserve">.24.A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13 tháng 5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275/2026/0721/VFI-CT.24.A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83" w:type="dxa"/>
        <w:tblBorders/>
        <w:tblLayout w:type="fixed"/>
        <w:tblLook w:val="04A0" w:firstRow="1" w:lastRow="0" w:firstColumn="1" w:lastColumn="0" w:noHBand="0" w:noVBand="1"/>
      </w:tblPr>
      <w:tblGrid>
        <w:gridCol w:w="2046"/>
        <w:gridCol w:w="283"/>
        <w:gridCol w:w="7451"/>
        <w:gridCol w:w="202"/>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gridSpan w:val="2"/>
            <w:tcBorders/>
            <w:tcW w:w="7654"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gridAfter w:val="1"/>
          <w:trHeight w:val="20"/>
        </w:trPr>
        <w:tc>
          <w:tcPr>
            <w:tcBorders/>
            <w:tcW w:w="2046"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rPr>
                <w:rFonts w:ascii="Times New Roman" w:hAnsi="Times New Roman" w:eastAsia="Times New Roman" w:cs="Times New Roman"/>
                <w:sz w:val="24"/>
                <w:u w:val="none"/>
              </w:rPr>
            </w:pPr>
            <w:r>
              <w:rPr>
                <w:rFonts w:ascii="Times New Roman" w:hAnsi="Times New Roman" w:eastAsia="Times New Roman" w:cs="Times New Roman"/>
                <w:b/>
                <w:color w:val="000000"/>
                <w:sz w:val="24"/>
                <w:u w:val="none"/>
              </w:rPr>
              <w:t xml:space="preserve">Khách hàng</w:t>
            </w:r>
            <w:r>
              <w:rPr>
                <w:rFonts w:ascii="Times New Roman" w:hAnsi="Times New Roman" w:eastAsia="Times New Roman" w:cs="Times New Roman"/>
                <w:sz w:val="24"/>
                <w:u w:val="none"/>
              </w:rPr>
            </w:r>
            <w:r>
              <w:rPr>
                <w:rFonts w:ascii="Times New Roman" w:hAnsi="Times New Roman" w:eastAsia="Times New Roman" w:cs="Times New Roman"/>
                <w:sz w:val="24"/>
                <w:u w:val="none"/>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9"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CÔNG TY TNHH MTV PHÁT TRIỂN THƯƠNG MẠI THĂNG LONG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0109739984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38 ngõ 68 đường Trung Kính, phường Yên Hoà,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Đoàn Văn Toàn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spacing w:after="60" w:before="115" w:beforeAutospacing="0" w:line="276" w:lineRule="auto"/>
              <w:ind/>
              <w:rPr>
                <w:bCs/>
                <w:lang w:val="pt-BR"/>
              </w:rPr>
            </w:pPr>
            <w:r>
              <w:rPr>
                <w:bCs/>
                <w:lang w:val="pt-BR"/>
              </w:rPr>
              <w:t xml:space="preserve">Số hợp đồng</w:t>
            </w:r>
            <w:r>
              <w:rPr>
                <w:bCs/>
                <w:lang w:val="pt-BR"/>
              </w:rPr>
            </w:r>
          </w:p>
        </w:tc>
        <w:tc>
          <w:tcPr>
            <w:tcBorders/>
            <w:tcW w:w="284" w:type="dxa"/>
            <w:vAlign w:val="center"/>
            <w:vMerge w:val="restart"/>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p>
        </w:tc>
        <w:tc>
          <w:tcPr>
            <w:tcBorders/>
            <w:tcW w:w="6945" w:type="dxa"/>
            <w:vAlign w:val="center"/>
            <w:vMerge w:val="restart"/>
            <w:textDirection w:val="lrTb"/>
            <w:noWrap w:val="false"/>
          </w:tcPr>
          <w:p>
            <w:pPr>
              <w:pBdr/>
              <w:spacing w:after="60" w:before="115" w:beforeAutospacing="0" w:line="276" w:lineRule="auto"/>
              <w:ind/>
              <w:jc w:val="both"/>
              <w:rPr>
                <w:bCs/>
                <w:color w:val="000000" w:themeColor="text1"/>
                <w:lang w:val="pt-BR"/>
              </w:rPr>
            </w:pPr>
            <w:r>
              <w:rPr>
                <w:bCs/>
                <w:color w:val="000000" w:themeColor="text1"/>
                <w:lang w:val="pt-BR"/>
              </w:rPr>
            </w:r>
            <w:r>
              <w:rPr>
                <w:rStyle w:val="1025"/>
                <w:rFonts w:ascii="Times New Roman" w:hAnsi="Times New Roman"/>
                <w:color w:val="000000" w:themeColor="text1"/>
                <w:lang w:val="pt-BR"/>
              </w:rPr>
              <w:t xml:space="preserve">275/2026/0721/VFI-</w:t>
            </w:r>
            <w:r>
              <w:rPr>
                <w:rStyle w:val="1025"/>
                <w:rFonts w:ascii="Times New Roman" w:hAnsi="Times New Roman"/>
                <w:color w:val="000000" w:themeColor="text1"/>
                <w:lang w:val="pt-BR"/>
              </w:rPr>
              <w:t xml:space="preserve">HĐTĐ</w:t>
            </w:r>
            <w:r>
              <w:rPr>
                <w:rStyle w:val="1025"/>
                <w:rFonts w:ascii="Times New Roman" w:hAnsi="Times New Roman"/>
                <w:color w:val="000000" w:themeColor="text1"/>
                <w:lang w:val="pt-BR"/>
              </w:rPr>
              <w:t xml:space="preserve">.24.A</w:t>
            </w:r>
            <w:r/>
            <w:r>
              <w:rPr>
                <w:bCs/>
                <w:color w:val="000000" w:themeColor="text1"/>
                <w:lang w:val="pt-BR"/>
              </w:rPr>
            </w:r>
            <w:r>
              <w:rPr>
                <w:bCs/>
                <w:color w:val="000000" w:themeColor="text1"/>
                <w:lang w:val="pt-BR"/>
              </w:rPr>
            </w:r>
          </w:p>
        </w:tc>
      </w:tr>
      <w:tr>
        <w:trPr>
          <w:trHeight w:val="20"/>
        </w:trPr>
        <w:tc>
          <w:tcPr>
            <w:tcBorders/>
            <w:tcW w:w="2518" w:type="dxa"/>
            <w:vAlign w:val="center"/>
            <w:textDirection w:val="lrTb"/>
            <w:noWrap w:val="false"/>
          </w:tcPr>
          <w:p>
            <w:pPr>
              <w:pBdr/>
              <w:spacing w:after="60" w:before="115" w:beforeAutospacing="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115" w:beforeAutospacing="0" w:line="276" w:lineRule="auto"/>
              <w:ind/>
              <w:jc w:val="both"/>
              <w:rPr>
                <w:b/>
                <w:bCs/>
                <w:spacing w:val="2"/>
                <w:lang w:val="vi-VN"/>
              </w:rPr>
            </w:pPr>
            <w:r>
              <w:rPr>
                <w:bCs/>
                <w:color w:val="000000" w:themeColor="text1"/>
                <w:lang w:val="pt-BR"/>
              </w:rPr>
              <w:t xml:space="preserve">Quyền sử dụng đất tại thửa đất số: 141, tờ bản</w:t>
            </w:r>
            <w:r>
              <w:rPr>
                <w:bCs/>
                <w:color w:val="000000" w:themeColor="text1"/>
                <w:lang w:val="pt-BR"/>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115" w:beforeAutospacing="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115" w:beforeAutospacing="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115" w:beforeAutospacing="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115" w:beforeAutospacing="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115" w:beforeAutospacing="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115" w:beforeAutospacing="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115" w:beforeAutospacing="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115" w:beforeAutospacing="0" w:line="276" w:lineRule="auto"/>
              <w:ind/>
              <w:jc w:val="both"/>
              <w:rPr>
                <w:color w:val="ee0000"/>
                <w:lang w:val="pt-BR"/>
              </w:rPr>
            </w:pPr>
            <w:r>
              <w:rPr>
                <w:color w:val="000000" w:themeColor="text1"/>
                <w:lang w:val="pt-BR"/>
              </w:rPr>
              <w:t xml:space="preserve">Xã Tu Vũ,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115" w:beforeAutospacing="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115" w:beforeAutospacing="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21.0615833, 105.2648611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115" w:beforeAutospacing="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115" w:beforeAutospacing="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115" w:beforeAutospacing="0" w:line="276" w:lineRule="auto"/>
              <w:ind/>
              <w:jc w:val="both"/>
              <w:rPr>
                <w:lang w:val="pt-BR"/>
              </w:rPr>
            </w:pPr>
            <w:r>
              <w:rPr>
                <w:lang w:val="pt-BR"/>
              </w:rPr>
            </w:r>
            <w:commentRangeStart w:id="0"/>
            <w:r>
              <w:rPr>
                <w:lang w:val="pt-BR"/>
              </w:rPr>
              <w:t xml:space="preserve">Ngày 09/5/2026</w:t>
            </w:r>
            <w:r>
              <w:rPr>
                <w:lang w:val="pt-BR"/>
              </w:rPr>
            </w:r>
            <w:commentRangeEnd w:id="0"/>
            <w:r>
              <w:commentReference w:id="0"/>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t xml:space="preserve">;</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06746854 số vào sổ cấp GCN CN12912 tại thửa đất số: 141, tờ bản đồ số: 193; có địa chỉ xã Tu Vũ, tỉnh Phú Thọ do Chi nhánh văn phòng đăng ký đất đai Thanh Thuỷ cấp ngày 13/02/202</w:t>
      </w:r>
      <w:r>
        <w:rPr>
          <w:rFonts w:ascii="Times New Roman" w:hAnsi="Times New Roman" w:eastAsia="Times New Roman" w:cs="Times New Roman"/>
          <w:color w:val="000000"/>
          <w:sz w:val="24"/>
        </w:rPr>
        <w:t xml:space="preserve">6 cho Ông Đoàn Văn Toàn</w:t>
      </w:r>
      <w:r>
        <w:rPr>
          <w:lang w:val="pt-BR"/>
        </w:rPr>
        <w:t xml:space="preserve">.</w:t>
      </w:r>
      <w:r>
        <w:rPr>
          <w:i/>
          <w:iCs/>
          <w:lang w:val="pt-BR"/>
        </w:rPr>
      </w:r>
      <w:r>
        <w:rPr>
          <w:i/>
          <w:iCs/>
          <w:lang w:val="pt-BR"/>
        </w:rPr>
      </w:r>
    </w:p>
    <w:p>
      <w:pPr>
        <w:pBdr/>
        <w:spacing w:after="120" w:before="120" w:line="276" w:lineRule="auto"/>
        <w:ind/>
        <w:jc w:val="both"/>
        <w:rPr>
          <w:b/>
          <w:highlight w:val="white"/>
        </w:rPr>
      </w:pPr>
      <w:r>
        <w:rPr>
          <w:b/>
          <w:lang w:val="pt-BR"/>
        </w:rPr>
        <w:t xml:space="preserve">b. Hồ sơ khác</w:t>
      </w:r>
      <w:r>
        <w:rPr>
          <w:b/>
          <w:lang w:val="vi-VN"/>
        </w:rPr>
        <w:t xml:space="preserve">:</w:t>
      </w:r>
      <w:r>
        <w:rPr>
          <w:b/>
          <w:highlight w:val="white"/>
        </w:rPr>
      </w:r>
      <w:r>
        <w:rPr>
          <w:b/>
          <w:highlight w:val="white"/>
        </w:rPr>
      </w:r>
    </w:p>
    <w:p>
      <w:pPr>
        <w:pStyle w:val="1027"/>
        <w:numPr>
          <w:ilvl w:val="0"/>
          <w:numId w:val="2"/>
        </w:numPr>
        <w:pBdr/>
        <w:tabs>
          <w:tab w:val="left" w:leader="none" w:pos="993"/>
        </w:tabs>
        <w:spacing w:after="120" w:before="120" w:line="276" w:lineRule="auto"/>
        <w:ind/>
        <w:jc w:val="both"/>
        <w:rPr>
          <w:b/>
          <w:lang w:val="pt-BR"/>
        </w:rPr>
      </w:pPr>
      <w:r>
        <w:rPr>
          <w:color w:val="000000" w:themeColor="text1"/>
          <w:highlight w:val="white"/>
          <w:lang w:val="pt-BR"/>
        </w:rPr>
        <w:t xml:space="preserve">Hợp đồng thẩm định giá số 275/2026/0721/VFI-HĐTĐ.24.A ngày </w:t>
      </w:r>
      <w:r>
        <w:rPr>
          <w:color w:val="000000" w:themeColor="text1"/>
          <w:highlight w:val="white"/>
          <w:lang w:val="pt-BR"/>
        </w:rPr>
        <w:t xml:space="preserve">09/5</w:t>
      </w:r>
      <w:r>
        <w:rPr>
          <w:color w:val="000000" w:themeColor="text1"/>
          <w:highlight w:val="white"/>
          <w:lang w:val="pt-BR"/>
        </w:rPr>
        <w:t xml:space="preserve">/2026</w:t>
      </w:r>
      <w:r>
        <w:rPr>
          <w:color w:val="000000" w:themeColor="text1"/>
          <w:highlight w:val="white"/>
          <w:lang w:val="pt-BR"/>
        </w:rPr>
        <w:t xml:space="preserve"> giữa Công ty TNHH MTV phát triển thương mại Thăng Long với Công ty Cổ phần Thẩm định </w:t>
      </w:r>
      <w:r>
        <w:rPr>
          <w:color w:val="000000" w:themeColor="text1"/>
          <w:lang w:val="pt-BR"/>
        </w:rPr>
        <w:t xml:space="preserve">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7"/>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44" w:afterAutospacing="0" w:before="144" w:beforeAutospacing="0" w:line="276" w:lineRule="auto"/>
        <w:ind/>
        <w:jc w:val="both"/>
        <w:rPr>
          <w:color w:val="000000" w:themeColor="text1"/>
          <w:lang w:val="pt-BR"/>
          <w14:ligatures w14:val="none"/>
        </w:rPr>
      </w:pPr>
      <w:r>
        <w:rPr>
          <w:color w:val="000000" w:themeColor="text1"/>
          <w:lang w:val="pt-BR"/>
        </w:rPr>
        <w:t xml:space="preserve">So với nhiều khu vực vệ tinh Hà Nội, bất động sản Phú Thọ vẫn ở mức dễ tiếp cận. Giai đoạn 2023-2025, giá đất tại các khu vực có hạ tầng hoàn thiện ghi nhận mức tăng khoảng 10-20%, phản ánh giá trị thực và phù hợp với chiến lược đầu tư dài hạn.</w:t>
      </w:r>
      <w:r>
        <w:rPr>
          <w:color w:val="000000" w:themeColor="text1"/>
          <w:lang w:val="pt-BR"/>
          <w14:ligatures w14:val="none"/>
        </w:rPr>
      </w:r>
      <w:r>
        <w:rPr>
          <w:color w:val="000000" w:themeColor="text1"/>
          <w:lang w:val="pt-BR"/>
          <w14:ligatures w14:val="none"/>
        </w:rPr>
      </w:r>
    </w:p>
    <w:p>
      <w:pPr>
        <w:pStyle w:val="1027"/>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44" w:afterAutospacing="0" w:before="144" w:beforeAutospacing="0" w:line="276" w:lineRule="auto"/>
        <w:ind/>
        <w:jc w:val="both"/>
        <w:rPr>
          <w:color w:val="000000" w:themeColor="text1"/>
          <w:lang w:val="pt-BR"/>
          <w14:ligatures w14:val="none"/>
        </w:rPr>
      </w:pPr>
      <w:r>
        <w:rPr>
          <w:color w:val="000000" w:themeColor="text1"/>
          <w:lang w:val="pt-BR"/>
        </w:rPr>
        <w:t xml:space="preserve">Động lực từ hạ tầng và quy hoạch: Phú Thọ sở hữu vị trí kết nối thuận lợi với các tuyến giao thông huyết mạch như cao tốc Nội Bài - Lào Cai, cùng các trục liên vùng được đầu tư mở rộng. Hạ tầng phát triển tạo nền tảng cho đô thị hóa và gia tăng giá trị bất</w:t>
      </w:r>
      <w:r>
        <w:rPr>
          <w:color w:val="000000" w:themeColor="text1"/>
          <w:lang w:val="pt-BR"/>
        </w:rPr>
        <w:t xml:space="preserve"> động sản.</w:t>
      </w:r>
      <w:r>
        <w:rPr>
          <w:color w:val="000000" w:themeColor="text1"/>
          <w:lang w:val="pt-BR"/>
          <w14:ligatures w14:val="none"/>
        </w:rPr>
      </w:r>
      <w:r>
        <w:rPr>
          <w:color w:val="000000" w:themeColor="text1"/>
          <w:lang w:val="pt-BR"/>
          <w14:ligatures w14:val="none"/>
        </w:rPr>
      </w:r>
    </w:p>
    <w:p>
      <w:pPr>
        <w:pStyle w:val="1027"/>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44" w:afterAutospacing="0" w:before="144" w:beforeAutospacing="0" w:line="276" w:lineRule="auto"/>
        <w:ind/>
        <w:jc w:val="both"/>
        <w:rPr>
          <w:color w:val="000000" w:themeColor="text1"/>
          <w:lang w:val="pt-BR"/>
          <w14:ligatures w14:val="none"/>
        </w:rPr>
      </w:pPr>
      <w:r>
        <w:rPr>
          <w:color w:val="000000" w:themeColor="text1"/>
          <w:lang w:val="pt-BR"/>
        </w:rPr>
        <w:t xml:space="preserve">Công nghiệp cũng trở thành đòn bẩy quan trọng. Các khu công nghiệp liên tục mở rộng, thu hút dòng vốn FDI từ Hàn Quốc, Nhật Bản, Singapore… Dự án khu công nghiệp Phù Ninh quy mô gần 410ha, dự kiến vận hành từ 2026, sẽ tiếp tục gia tăng nhu cầu nhà ở, thươn</w:t>
      </w:r>
      <w:r>
        <w:rPr>
          <w:color w:val="000000" w:themeColor="text1"/>
          <w:lang w:val="pt-BR"/>
        </w:rPr>
        <w:t xml:space="preserve">g mại và dịch vụ.</w:t>
      </w:r>
      <w:r>
        <w:rPr>
          <w:color w:val="000000" w:themeColor="text1"/>
          <w:lang w:val="pt-BR"/>
          <w14:ligatures w14:val="none"/>
        </w:rPr>
      </w:r>
      <w:r>
        <w:rPr>
          <w:color w:val="000000" w:themeColor="text1"/>
          <w:lang w:val="pt-BR"/>
          <w14:ligatures w14:val="none"/>
        </w:rPr>
      </w:r>
    </w:p>
    <w:p>
      <w:pPr>
        <w:pStyle w:val="1027"/>
        <w:numPr>
          <w:ilvl w:val="0"/>
          <w:numId w:val="2"/>
        </w:numPr>
        <w:pBdr>
          <w:top w:val="none" w:color="000000" w:sz="4" w:space="0"/>
          <w:left w:val="none" w:color="000000" w:sz="4" w:space="0"/>
          <w:bottom w:val="none" w:color="000000" w:sz="4" w:space="0"/>
          <w:right w:val="none" w:color="000000" w:sz="4" w:space="0"/>
        </w:pBdr>
        <w:tabs>
          <w:tab w:val="left" w:leader="none" w:pos="993"/>
          <w:tab w:val="left" w:leader="none" w:pos="6361"/>
        </w:tabs>
        <w:spacing w:after="144" w:afterAutospacing="0" w:before="144" w:beforeAutospacing="0" w:line="276" w:lineRule="auto"/>
        <w:ind/>
        <w:jc w:val="both"/>
        <w:rPr>
          <w:color w:val="000000" w:themeColor="text1"/>
          <w:lang w:val="pt-BR"/>
          <w14:ligatures w14:val="none"/>
        </w:rPr>
      </w:pPr>
      <w:r>
        <w:rPr>
          <w:color w:val="000000" w:themeColor="text1"/>
          <w:lang w:val="pt-BR"/>
        </w:rPr>
        <w:t xml:space="preserve">Tổng hòa các yếu tố trên, Phú Thọ hội tụ đầy đủ tiêu chí của một thị trường tiềm năng: giá dễ tiếp cận, nhu cầu thực và tiềm năng tăng trưởng dài hạn</w:t>
      </w:r>
      <w:r>
        <w:rPr>
          <w:color w:val="000000" w:themeColor="text1"/>
          <w:lang w:val="pt-BR"/>
        </w:rPr>
        <w:tab/>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Nguồn: </w:t>
      </w:r>
      <w:r>
        <w:rPr>
          <w:rFonts w:ascii="Times New Roman" w:hAnsi="Times New Roman" w:eastAsia="Times New Roman" w:cs="Times New Roman"/>
          <w:i/>
          <w:iCs/>
          <w:color w:val="000000"/>
          <w:sz w:val="24"/>
        </w:rPr>
        <w:t xml:space="preserve">https://dantri.com.vn/bat-dong-san/bat-dong-san-phu-tho-diem-den-tiem-nang-cua-dong-tien-dau-tu-20260402174557010.htm</w:t>
      </w:r>
      <w:r/>
    </w:p>
    <w:p>
      <w:pPr>
        <w:pStyle w:val="102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p>
      <w:pPr>
        <w:pStyle w:val="1027"/>
        <w:pBdr/>
        <w:tabs>
          <w:tab w:val="left" w:leader="none" w:pos="993"/>
        </w:tabs>
        <w:spacing w:after="120" w:before="120" w:line="276" w:lineRule="auto"/>
        <w:ind w:left="0"/>
        <w:jc w:val="both"/>
        <w:rPr>
          <w:b/>
          <w:bCs/>
          <w:lang w:val="pt-BR"/>
        </w:rPr>
      </w:pPr>
      <w:r>
        <w:rPr>
          <w:b/>
          <w:bCs/>
          <w:highlight w:val="none"/>
          <w:lang w:val="pt-BR" w:bidi="pt-BR"/>
        </w:rPr>
      </w:r>
      <w:r>
        <w:rPr>
          <w:b/>
          <w:bCs/>
          <w:highlight w:val="none"/>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141, tờ bản</w:t>
            </w:r>
            <w:r>
              <w:rPr>
                <w:b/>
                <w:bCs/>
                <w:color w:val="000000"/>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Tu Vũ, Huyện Thanh Thủy,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1.398,3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nông thôn: 150m2</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1.248,3m2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Đất ở nông thôn: Lâu dài</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Đến ngày 01/7/2064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317B</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8,7m +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8,7m + vỉa hè</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pPr>
            <w:r>
              <w:t xml:space="preserve">Tiếp giáp đường 317B</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-Hướng Tây Nam tiếp giáp đường 317B</w:t>
            </w:r>
            <w:r>
              <w:rPr>
                <w:color w:val="000000" w:themeColor="text1"/>
                <w:highlight w:val="none"/>
              </w:rPr>
            </w:r>
            <w:r>
              <w:rPr>
                <w:color w:val="000000" w:themeColor="text1"/>
                <w:highlight w:val="none"/>
              </w:rPr>
            </w:r>
          </w:p>
          <w:p>
            <w:pPr>
              <w:pBdr/>
              <w:spacing/>
              <w:ind/>
              <w:jc w:val="both"/>
              <w:rPr>
                <w:color w:val="000000"/>
              </w:rPr>
            </w:pPr>
            <w:r>
              <w:rPr>
                <w:color w:val="000000" w:themeColor="text1"/>
                <w:highlight w:val="none"/>
              </w:rPr>
              <w:t xml:space="preserve">-Các hướng còn lại tiếp giáp bất động sản khác liền kề</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21.0615833</w:t>
            </w:r>
            <w:r>
              <w:rPr>
                <w:color w:val="000000"/>
              </w:rPr>
              <w:t xml:space="preserve">, </w:t>
            </w:r>
            <w:r>
              <w:rPr>
                <w:color w:val="000000"/>
              </w:rPr>
              <w:t xml:space="preserve">105.2648611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42595" cy="2744738"/>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42594" cy="27447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68pt;height:216.1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1.398,3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jc w:val="center"/>
              <w:rPr>
                <w:color w:val="000000"/>
                <w:highlight w:val="yellow"/>
              </w:rPr>
            </w:pPr>
            <w:r>
              <w:rPr>
                <w:color w:val="000000" w:themeColor="text1"/>
                <w:highlight w:val="yellow"/>
              </w:rPr>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1167"/>
        <w:gridCol w:w="1663"/>
        <w:gridCol w:w="2012"/>
        <w:gridCol w:w="1984"/>
        <w:gridCol w:w="1134"/>
        <w:gridCol w:w="1555"/>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12"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984"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13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2012" w:type="dxa"/>
            <w:vAlign w:val="center"/>
            <w:textDirection w:val="lrTb"/>
            <w:noWrap w:val="false"/>
          </w:tcPr>
          <w:p>
            <w:pPr>
              <w:pBdr/>
              <w:spacing/>
              <w:ind/>
              <w:jc w:val="center"/>
              <w:rPr/>
            </w:pPr>
            <w:r>
              <w:t xml:space="preserve">Xã Tu Vũ, tỉnh Phú Thọ</w:t>
            </w:r>
            <w:r/>
          </w:p>
        </w:tc>
        <w:tc>
          <w:tcPr>
            <w:tcBorders/>
            <w:tcW w:w="1984" w:type="dxa"/>
            <w:vAlign w:val="center"/>
            <w:textDirection w:val="lrTb"/>
            <w:noWrap w:val="false"/>
          </w:tcPr>
          <w:p>
            <w:pPr>
              <w:pBdr/>
              <w:spacing/>
              <w:ind/>
              <w:jc w:val="center"/>
              <w:rPr/>
            </w:pPr>
            <w:r>
              <w:t xml:space="preserve">Xã Tu Vũ, tỉnh Phú Thọ </w:t>
            </w:r>
            <w:r>
              <w:t xml:space="preserve">✔</w:t>
            </w: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2012"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984" w:type="dxa"/>
            <w:vAlign w:val="center"/>
            <w:textDirection w:val="lrTb"/>
            <w:noWrap w:val="false"/>
          </w:tcPr>
          <w:p>
            <w:pPr>
              <w:pBdr/>
              <w:spacing/>
              <w:ind/>
              <w:jc w:val="center"/>
              <w:rPr/>
            </w:pPr>
            <w:r>
              <w:t xml:space="preserve">Giấy chứng nhận quyền sử dụng đất, quyền sở hữu tài sản gắn liền với đất</w:t>
            </w:r>
            <w:r>
              <w:t xml:space="preserve"> ✔</w:t>
            </w: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2012" w:type="dxa"/>
            <w:vAlign w:val="center"/>
            <w:textDirection w:val="lrTb"/>
            <w:noWrap w:val="false"/>
          </w:tcPr>
          <w:p>
            <w:pPr>
              <w:pBdr/>
              <w:spacing/>
              <w:ind/>
              <w:jc w:val="center"/>
              <w:rPr/>
            </w:pPr>
            <w:r>
              <w:t xml:space="preserve">Đất ở nông thôn + Đất trồng cây lâu năm ✔</w:t>
            </w:r>
            <w:r/>
          </w:p>
        </w:tc>
        <w:tc>
          <w:tcPr>
            <w:tcBorders/>
            <w:tcW w:w="1984" w:type="dxa"/>
            <w:vAlign w:val="center"/>
            <w:textDirection w:val="lrTb"/>
            <w:noWrap w:val="false"/>
          </w:tcPr>
          <w:p>
            <w:pPr>
              <w:pBdr/>
              <w:spacing/>
              <w:ind/>
              <w:jc w:val="center"/>
              <w:rPr/>
            </w:pPr>
            <w:r>
              <w:t xml:space="preserve">Đất ở nông thôn + Đất trồng cây lâu năm</w:t>
            </w:r>
            <w:r>
              <w:t xml:space="preserve">✔</w:t>
            </w: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2012" w:type="dxa"/>
            <w:vAlign w:val="center"/>
            <w:textDirection w:val="lrTb"/>
            <w:noWrap w:val="false"/>
          </w:tcPr>
          <w:p>
            <w:pPr>
              <w:pBdr/>
              <w:spacing/>
              <w:ind/>
              <w:jc w:val="center"/>
              <w:rPr>
                <w:color w:val="000000" w:themeColor="text1"/>
              </w:rPr>
            </w:pPr>
            <w:r>
              <w:rPr>
                <w:color w:val="000000" w:themeColor="text1"/>
              </w:rPr>
              <w:t xml:space="preserve">Đất ở nông thôn: Lâu dài</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Đến ngày 01/7/2064</w:t>
            </w:r>
            <w:r>
              <w:rPr>
                <w:color w:val="000000"/>
              </w:rPr>
            </w:r>
            <w:r>
              <w:rPr>
                <w:color w:val="000000"/>
              </w:rPr>
            </w:r>
          </w:p>
          <w:p>
            <w:pPr>
              <w:pBdr/>
              <w:spacing/>
              <w:ind/>
              <w:jc w:val="center"/>
              <w:rPr/>
            </w:pPr>
            <w:r/>
            <w:r/>
          </w:p>
        </w:tc>
        <w:tc>
          <w:tcPr>
            <w:tcBorders/>
            <w:tcW w:w="1984" w:type="dxa"/>
            <w:vAlign w:val="center"/>
            <w:textDirection w:val="lrTb"/>
            <w:noWrap w:val="false"/>
          </w:tcPr>
          <w:p>
            <w:pPr>
              <w:pBdr/>
              <w:spacing/>
              <w:ind/>
              <w:jc w:val="center"/>
              <w:rPr>
                <w:color w:val="000000" w:themeColor="text1"/>
              </w:rPr>
            </w:pPr>
            <w:r>
              <w:rPr>
                <w:color w:val="000000" w:themeColor="text1"/>
              </w:rPr>
              <w:t xml:space="preserve">Đất ở nông thôn: Lâu dài</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Đến ngày 01/7/2064</w:t>
            </w:r>
            <w:r>
              <w:t xml:space="preserve">✔</w:t>
            </w:r>
            <w:r>
              <w:rPr>
                <w:color w:val="000000"/>
              </w:rPr>
            </w:r>
            <w:r>
              <w:rPr>
                <w:color w:val="000000"/>
              </w:rP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012" w:type="dxa"/>
            <w:vAlign w:val="center"/>
            <w:textDirection w:val="lrTb"/>
            <w:noWrap w:val="false"/>
          </w:tcPr>
          <w:p>
            <w:pPr>
              <w:pBdr/>
              <w:spacing/>
              <w:ind/>
              <w:jc w:val="center"/>
              <w:rPr/>
            </w:pPr>
            <w:r>
              <w:t xml:space="preserve">8,7m + hành lang ✔</w:t>
            </w:r>
            <w:r/>
          </w:p>
        </w:tc>
        <w:tc>
          <w:tcPr>
            <w:tcBorders/>
            <w:tcW w:w="1984" w:type="dxa"/>
            <w:vAlign w:val="center"/>
            <w:textDirection w:val="lrTb"/>
            <w:noWrap w:val="false"/>
          </w:tcPr>
          <w:p>
            <w:pPr>
              <w:pBdr/>
              <w:spacing/>
              <w:ind/>
              <w:jc w:val="center"/>
              <w:rPr/>
            </w:pPr>
            <w:r>
              <w:t xml:space="preserve">8,7m + hành lang ✔</w:t>
            </w:r>
            <w:r/>
          </w:p>
        </w:tc>
        <w:tc>
          <w:tcPr>
            <w:tcBorders/>
            <w:tcW w:w="1134"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2012" w:type="dxa"/>
            <w:vAlign w:val="center"/>
            <w:textDirection w:val="lrTb"/>
            <w:noWrap w:val="false"/>
          </w:tcPr>
          <w:p>
            <w:pPr>
              <w:pBdr/>
              <w:spacing/>
              <w:ind/>
              <w:jc w:val="center"/>
              <w:rPr/>
            </w:pPr>
            <w:r>
              <w:t xml:space="preserve">1.398,3</w:t>
            </w:r>
            <w:r/>
          </w:p>
        </w:tc>
        <w:tc>
          <w:tcPr>
            <w:tcBorders/>
            <w:tcW w:w="1984" w:type="dxa"/>
            <w:vAlign w:val="center"/>
            <w:textDirection w:val="lrTb"/>
            <w:noWrap w:val="false"/>
          </w:tcPr>
          <w:p>
            <w:pPr>
              <w:pBdr/>
              <w:spacing/>
              <w:ind/>
              <w:jc w:val="center"/>
              <w:rPr/>
            </w:pPr>
            <w:r>
              <w:t xml:space="preserve">1.398,3 ✔</w:t>
            </w:r>
            <w:r/>
          </w:p>
        </w:tc>
        <w:tc>
          <w:tcPr>
            <w:tcBorders/>
            <w:tcW w:w="1134"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2012" w:type="dxa"/>
            <w:vAlign w:val="center"/>
            <w:textDirection w:val="lrTb"/>
            <w:noWrap w:val="false"/>
          </w:tcPr>
          <w:p>
            <w:pPr>
              <w:pBdr/>
              <w:spacing/>
              <w:ind/>
              <w:jc w:val="center"/>
              <w:rPr/>
            </w:pPr>
            <w:r>
              <w:t xml:space="preserve">30</w:t>
            </w:r>
            <w:r/>
          </w:p>
        </w:tc>
        <w:tc>
          <w:tcPr>
            <w:tcBorders/>
            <w:tcW w:w="1984" w:type="dxa"/>
            <w:vAlign w:val="center"/>
            <w:textDirection w:val="lrTb"/>
            <w:noWrap w:val="false"/>
          </w:tcPr>
          <w:p>
            <w:pPr>
              <w:pBdr/>
              <w:spacing/>
              <w:ind/>
              <w:jc w:val="center"/>
              <w:rPr/>
            </w:pPr>
            <w:r>
              <w:t xml:space="preserve">30 ✔</w:t>
            </w:r>
            <w:r/>
          </w:p>
        </w:tc>
        <w:tc>
          <w:tcPr>
            <w:tcBorders/>
            <w:tcW w:w="1134"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2012" w:type="dxa"/>
            <w:vAlign w:val="center"/>
            <w:textDirection w:val="lrTb"/>
            <w:noWrap w:val="false"/>
          </w:tcPr>
          <w:p>
            <w:pPr>
              <w:pBdr/>
              <w:spacing/>
              <w:ind/>
              <w:jc w:val="center"/>
              <w:rPr/>
            </w:pPr>
            <w:r>
              <w:t xml:space="preserve">48</w:t>
            </w:r>
            <w:r/>
          </w:p>
        </w:tc>
        <w:tc>
          <w:tcPr>
            <w:tcBorders/>
            <w:tcW w:w="1984" w:type="dxa"/>
            <w:vAlign w:val="center"/>
            <w:textDirection w:val="lrTb"/>
            <w:noWrap w:val="false"/>
          </w:tcPr>
          <w:p>
            <w:pPr>
              <w:pBdr/>
              <w:spacing/>
              <w:ind/>
              <w:jc w:val="center"/>
              <w:rPr/>
            </w:pPr>
            <w:r>
              <w:t xml:space="preserve">48 ✔</w:t>
            </w:r>
            <w:r/>
          </w:p>
        </w:tc>
        <w:tc>
          <w:tcPr>
            <w:tcBorders/>
            <w:tcW w:w="1134"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2012" w:type="dxa"/>
            <w:vAlign w:val="center"/>
            <w:textDirection w:val="lrTb"/>
            <w:noWrap w:val="false"/>
          </w:tcPr>
          <w:p>
            <w:pPr>
              <w:pBdr/>
              <w:spacing/>
              <w:ind/>
              <w:jc w:val="center"/>
              <w:rPr/>
            </w:pPr>
            <w:r>
              <w:t xml:space="preserve">Tiếp giáp 1 mặt tiền</w:t>
            </w:r>
            <w:r/>
          </w:p>
        </w:tc>
        <w:tc>
          <w:tcPr>
            <w:tcBorders/>
            <w:tcW w:w="1984" w:type="dxa"/>
            <w:vAlign w:val="center"/>
            <w:textDirection w:val="lrTb"/>
            <w:noWrap w:val="false"/>
          </w:tcPr>
          <w:p>
            <w:pPr>
              <w:pBdr/>
              <w:spacing/>
              <w:ind/>
              <w:jc w:val="center"/>
              <w:rPr/>
            </w:pPr>
            <w:r>
              <w:t xml:space="preserve">Tiếp giáp 1 mặt tiền ✔</w:t>
            </w: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2012" w:type="dxa"/>
            <w:vAlign w:val="center"/>
            <w:textDirection w:val="lrTb"/>
            <w:noWrap w:val="false"/>
          </w:tcPr>
          <w:p>
            <w:pPr>
              <w:pBdr/>
              <w:spacing/>
              <w:ind/>
              <w:jc w:val="center"/>
              <w:rPr/>
            </w:pPr>
            <w:r>
              <w:t xml:space="preserve">Tương đối vuông vức</w:t>
            </w:r>
            <w:r/>
          </w:p>
        </w:tc>
        <w:tc>
          <w:tcPr>
            <w:tcBorders/>
            <w:tcW w:w="1984" w:type="dxa"/>
            <w:vAlign w:val="center"/>
            <w:textDirection w:val="lrTb"/>
            <w:noWrap w:val="false"/>
          </w:tcPr>
          <w:p>
            <w:pPr>
              <w:pBdr/>
              <w:spacing/>
              <w:ind/>
              <w:jc w:val="center"/>
              <w:rPr/>
            </w:pPr>
            <w:r>
              <w:t xml:space="preserve">Tương đối vuông vức ✔</w:t>
            </w: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2012" w:type="dxa"/>
            <w:vAlign w:val="center"/>
            <w:textDirection w:val="lrTb"/>
            <w:noWrap w:val="false"/>
          </w:tcPr>
          <w:p>
            <w:pPr>
              <w:pBdr/>
              <w:spacing/>
              <w:ind/>
              <w:jc w:val="center"/>
              <w:rPr/>
            </w:pPr>
            <w:r>
              <w:t xml:space="preserve">Tây Nam</w:t>
            </w:r>
            <w:r/>
          </w:p>
        </w:tc>
        <w:tc>
          <w:tcPr>
            <w:tcBorders/>
            <w:tcW w:w="1984" w:type="dxa"/>
            <w:vAlign w:val="center"/>
            <w:textDirection w:val="lrTb"/>
            <w:noWrap w:val="false"/>
          </w:tcPr>
          <w:p>
            <w:pPr>
              <w:pBdr/>
              <w:spacing/>
              <w:ind/>
              <w:jc w:val="center"/>
              <w:rPr/>
            </w:pPr>
            <w:r>
              <w:t xml:space="preserve">Tây Nam ✔</w:t>
            </w:r>
            <w:r/>
          </w:p>
        </w:tc>
        <w:tc>
          <w:tcPr>
            <w:tcBorders/>
            <w:tcW w:w="1134"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19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945"/>
        <w:gridCol w:w="5461"/>
        <w:gridCol w:w="1559"/>
        <w:gridCol w:w="1939"/>
      </w:tblGrid>
      <w:tr>
        <w:trPr>
          <w:cantSplit/>
          <w:tblCellSpacing w:w="0" w:type="dxa"/>
          <w:trHeight w:val="300"/>
          <w:tblHeader/>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39" w:type="dxa"/>
            <w:vAlign w:val="center"/>
            <w:textDirection w:val="lrTb"/>
            <w:noWrap w:val="false"/>
          </w:tcPr>
          <w:p>
            <w:pPr>
              <w:widowControl w:val="false"/>
              <w:pBdr/>
              <w:spacing w:line="235" w:lineRule="auto"/>
              <w:ind w:right="359" w:firstLine="0" w:left="0"/>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945"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61"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3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020"/>
        <w:gridCol w:w="5386"/>
        <w:gridCol w:w="1559"/>
        <w:gridCol w:w="1560"/>
      </w:tblGrid>
      <w:tr>
        <w:trPr>
          <w:cantSplit/>
          <w:tblCellSpacing w:w="0" w:type="dxa"/>
          <w:trHeight w:val="300"/>
          <w:tblHeader/>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35"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35"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35"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35"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35"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4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Xã Tu Vũ,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Xã Tu Vũ,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Xã Tu Vũ,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Xã Tu Vũ, Tỉnh Phú Thọ</w:t>
            </w:r>
            <w:r>
              <w:rPr>
                <w:sz w:val="22"/>
                <w:szCs w:val="22"/>
              </w:rPr>
            </w:r>
            <w:r>
              <w:rPr>
                <w:sz w:val="22"/>
                <w:szCs w:val="22"/>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0833382666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0964891448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sz w:val="22"/>
                <w:szCs w:val="22"/>
              </w:rPr>
            </w:pPr>
            <w:r>
              <w:rPr>
                <w:color w:val="000000" w:themeColor="text1"/>
                <w:sz w:val="22"/>
                <w:szCs w:val="22"/>
              </w:rPr>
              <w:t xml:space="preserve">0961776441</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Tháng 05/2026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Tháng 05/2026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Tài sản tại: Xã Tu Vũ, Tỉnh Phú Thọ, đường Đường 317B</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Tài sản tại: Xã Tu Vũ, Tỉnh Phú Thọ, đường Đường 317B</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Tài sản tại: Xã Tu Vũ, Tỉnh Phú Thọ, đường Đường 317B</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Tài sản tại: Xã Tu Vũ, Tỉnh Phú Thọ, đường Đường 317B</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Đường nhựa có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Đường nhựa có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Đường nhựa có vỉa hè</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8,7m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8,7m +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8,7m +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8,7m + vỉa hè</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1.398,3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854,8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893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807,4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11.112.400.000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6.350.000.000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9.445.540.000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9.180.000.000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5.450.000.000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sz w:val="22"/>
                <w:szCs w:val="22"/>
              </w:rPr>
              <w:t xml:space="preserve">Công trình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pPr>
            <w:r>
              <w:rPr>
                <w:color w:val="000000" w:themeColor="text1"/>
                <w:sz w:val="22"/>
                <w:szCs w:val="22"/>
              </w:rPr>
              <w:t xml:space="preserve">Đất trống</w:t>
            </w:r>
            <w:r>
              <w:rPr>
                <w:color w:val="000000"/>
                <w:sz w:val="22"/>
                <w:szCs w:val="22"/>
              </w:rPr>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9.445.540.000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9.180.000.000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5.450.000.000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b/>
                <w:bCs/>
                <w:color w:val="000000"/>
                <w:sz w:val="22"/>
                <w:szCs w:val="22"/>
              </w:rPr>
            </w:pPr>
            <w:r>
              <w:rPr>
                <w:b/>
                <w:bCs/>
                <w:color w:val="000000" w:themeColor="text1"/>
                <w:sz w:val="22"/>
                <w:szCs w:val="22"/>
              </w:rPr>
              <w:t xml:space="preserve">11.050.000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b/>
                <w:bCs/>
                <w:color w:val="000000"/>
                <w:sz w:val="22"/>
                <w:szCs w:val="22"/>
              </w:rPr>
            </w:pPr>
            <w:r>
              <w:rPr>
                <w:b/>
                <w:bCs/>
                <w:color w:val="000000" w:themeColor="text1"/>
                <w:sz w:val="22"/>
                <w:szCs w:val="22"/>
              </w:rPr>
              <w:t xml:space="preserve">10.279.955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b/>
                <w:bCs/>
                <w:color w:val="000000"/>
                <w:sz w:val="22"/>
                <w:szCs w:val="22"/>
              </w:rPr>
            </w:pPr>
            <w:r>
              <w:rPr>
                <w:b/>
                <w:bCs/>
                <w:color w:val="000000" w:themeColor="text1"/>
                <w:sz w:val="22"/>
                <w:szCs w:val="22"/>
              </w:rPr>
              <w:t xml:space="preserve">6.750.062</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35" w:lineRule="auto"/>
              <w:ind/>
              <w:rPr>
                <w:color w:val="000000"/>
                <w:sz w:val="22"/>
                <w:szCs w:val="22"/>
              </w:rPr>
            </w:pPr>
            <w:r>
              <w:rPr>
                <w:color w:val="000000" w:themeColor="text1"/>
                <w:sz w:val="22"/>
                <w:szCs w:val="22"/>
              </w:rPr>
              <w:t xml:space="preserve">Tỷ lệ đất ở/tổng 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0"/>
                <w:szCs w:val="20"/>
              </w:rPr>
            </w:pPr>
            <w:r>
              <w:rPr>
                <w:color w:val="000000" w:themeColor="text1"/>
                <w:sz w:val="22"/>
                <w:szCs w:val="22"/>
              </w:rPr>
              <w:t xml:space="preserve">9.445.540.000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35" w:lineRule="auto"/>
              <w:ind/>
              <w:jc w:val="center"/>
              <w:rPr>
                <w:color w:val="000000"/>
                <w:sz w:val="20"/>
                <w:szCs w:val="20"/>
              </w:rPr>
            </w:pPr>
            <w:r>
              <w:rPr>
                <w:color w:val="000000" w:themeColor="text1"/>
                <w:sz w:val="22"/>
                <w:szCs w:val="22"/>
              </w:rPr>
              <w:t xml:space="preserve">9.180.000.000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35" w:lineRule="auto"/>
              <w:ind/>
              <w:jc w:val="center"/>
              <w:rPr>
                <w:color w:val="000000"/>
                <w:sz w:val="20"/>
                <w:szCs w:val="20"/>
              </w:rPr>
            </w:pPr>
            <w:r>
              <w:rPr>
                <w:color w:val="000000" w:themeColor="text1"/>
                <w:sz w:val="22"/>
                <w:szCs w:val="22"/>
              </w:rPr>
              <w:t xml:space="preserve">5.450.000.000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Đất ở nông thôn +Đất trồng cây lâu năm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Tài sản tại: Xã Tu Vũ, Tỉnh Phú Thọ, đường Đường 317B</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Tài sản tại: Xã Tu Vũ, Tỉnh Phú Thọ, đường Đường 317B</w:t>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Tài sản tại: Xã Tu Vũ, Tỉnh Phú Thọ, đường Đường 317B</w:t>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Tài sản tại: Xã Tu Vũ, Tỉnh Phú Thọ, đường Đường 317B</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Đường nhựa có vỉa hè</w:t>
            </w:r>
            <w:r>
              <w:rPr>
                <w:b/>
                <w:bCs/>
                <w:color w:val="000000"/>
                <w:sz w:val="22"/>
                <w:szCs w:val="22"/>
              </w:rPr>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Đường nhựa có vỉa hè</w:t>
            </w:r>
            <w:r>
              <w:rPr>
                <w:b/>
                <w:bCs/>
                <w:color w:val="000000"/>
                <w:sz w:val="22"/>
                <w:szCs w:val="22"/>
              </w:rPr>
            </w:r>
            <w:r/>
          </w:p>
        </w:tc>
        <w:tc>
          <w:tcPr>
            <w:shd w:val="clear" w:color="000000" w:fill="ffffff"/>
            <w:tcBorders/>
            <w:tcW w:w="1522" w:type="dxa"/>
            <w:vAlign w:val="center"/>
            <w:textDirection w:val="lrTb"/>
            <w:noWrap w:val="false"/>
          </w:tcPr>
          <w:p>
            <w:pPr>
              <w:pBdr/>
              <w:spacing w:line="235" w:lineRule="auto"/>
              <w:ind/>
              <w:jc w:val="center"/>
              <w:rPr/>
            </w:pPr>
            <w:r>
              <w:rPr>
                <w:color w:val="000000" w:themeColor="text1"/>
                <w:sz w:val="22"/>
                <w:szCs w:val="22"/>
              </w:rPr>
              <w:t xml:space="preserve">Đường nhựa có vỉa hè</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44"/>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8,7m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8,7m + vỉa hè</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8,7m + vỉa hè</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8,7m + vỉa hè</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6.750.062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1.398,3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854,8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893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807,4</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35" w:lineRule="auto"/>
              <w:ind/>
              <w:jc w:val="center"/>
              <w:rPr>
                <w:color w:val="000000"/>
                <w:sz w:val="22"/>
                <w:szCs w:val="22"/>
                <w:highlight w:val="white"/>
              </w:rPr>
            </w:pPr>
            <w:r>
              <w:rPr>
                <w:color w:val="000000" w:themeColor="text1"/>
                <w:sz w:val="22"/>
                <w:szCs w:val="22"/>
                <w:highlight w:val="white"/>
              </w:rPr>
              <w:t xml:space="preserve">-1.989.000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35" w:lineRule="auto"/>
              <w:ind/>
              <w:jc w:val="center"/>
              <w:rPr>
                <w:color w:val="000000"/>
                <w:sz w:val="22"/>
                <w:szCs w:val="22"/>
                <w:highlight w:val="white"/>
              </w:rPr>
            </w:pPr>
            <w:r>
              <w:rPr>
                <w:color w:val="000000" w:themeColor="text1"/>
                <w:sz w:val="22"/>
                <w:szCs w:val="22"/>
                <w:highlight w:val="white"/>
              </w:rPr>
              <w:t xml:space="preserve">-1.850.392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35" w:lineRule="auto"/>
              <w:ind/>
              <w:jc w:val="center"/>
              <w:rPr>
                <w:color w:val="000000"/>
                <w:sz w:val="22"/>
                <w:szCs w:val="22"/>
                <w:highlight w:val="white"/>
              </w:rPr>
            </w:pPr>
            <w:r>
              <w:rPr>
                <w:color w:val="000000" w:themeColor="text1"/>
                <w:sz w:val="22"/>
                <w:szCs w:val="22"/>
                <w:highlight w:val="white"/>
              </w:rPr>
              <w:t xml:space="preserve">-1.215.011</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35" w:lineRule="auto"/>
              <w:ind/>
              <w:jc w:val="center"/>
              <w:rPr>
                <w:color w:val="000000"/>
                <w:sz w:val="22"/>
                <w:szCs w:val="22"/>
                <w:highlight w:val="white"/>
              </w:rPr>
            </w:pPr>
            <w:r>
              <w:rPr>
                <w:color w:val="000000" w:themeColor="text1"/>
                <w:sz w:val="22"/>
                <w:szCs w:val="22"/>
                <w:highlight w:val="white"/>
              </w:rPr>
              <w:t xml:space="preserve">9.061.000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35" w:lineRule="auto"/>
              <w:ind/>
              <w:jc w:val="center"/>
              <w:rPr>
                <w:color w:val="000000"/>
                <w:sz w:val="22"/>
                <w:szCs w:val="22"/>
                <w:highlight w:val="white"/>
              </w:rPr>
            </w:pPr>
            <w:r>
              <w:rPr>
                <w:color w:val="000000" w:themeColor="text1"/>
                <w:sz w:val="22"/>
                <w:szCs w:val="22"/>
                <w:highlight w:val="white"/>
              </w:rPr>
              <w:t xml:space="preserve">8.429.563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line="235" w:lineRule="auto"/>
              <w:ind/>
              <w:jc w:val="center"/>
              <w:rPr>
                <w:color w:val="000000"/>
                <w:sz w:val="22"/>
                <w:szCs w:val="22"/>
                <w:highlight w:val="white"/>
              </w:rPr>
            </w:pPr>
            <w:r>
              <w:rPr>
                <w:color w:val="000000" w:themeColor="text1"/>
                <w:sz w:val="22"/>
                <w:szCs w:val="22"/>
                <w:highlight w:val="white"/>
              </w:rPr>
              <w:t xml:space="preserve">5.535.051</w:t>
            </w:r>
            <w:r>
              <w:rPr>
                <w:color w:val="000000"/>
                <w:sz w:val="22"/>
                <w:szCs w:val="22"/>
                <w:highlight w:val="white"/>
              </w:rPr>
            </w:r>
            <w:r>
              <w:rPr>
                <w:color w:val="000000"/>
                <w:sz w:val="22"/>
                <w:szCs w:val="22"/>
                <w:highlight w:val="white"/>
              </w:rPr>
            </w:r>
          </w:p>
        </w:tc>
      </w:tr>
      <w:tr>
        <w:trPr>
          <w:trHeight w:val="265"/>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30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19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19,8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highlight w:val="white"/>
              </w:rPr>
            </w:pPr>
            <w:r>
              <w:rPr>
                <w:color w:val="000000" w:themeColor="text1"/>
                <w:sz w:val="22"/>
                <w:szCs w:val="22"/>
                <w:highlight w:val="white"/>
              </w:rPr>
              <w:t xml:space="preserve">10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1.350.012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10.166.000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9.457.559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6.885.063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10.166.000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9.457.559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6.885.063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-1.105.000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-1.027.996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9.061.000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8.429.563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6.885.063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35"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Tỷ lệ đất ở/Tổng 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-994.500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-513.998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-337.503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8.066.500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7.915.565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themeColor="text1"/>
                <w:sz w:val="22"/>
                <w:szCs w:val="22"/>
              </w:rPr>
              <w:t xml:space="preserve">6.547.560</w:t>
            </w:r>
            <w:r>
              <w:rPr>
                <w:color w:val="000000"/>
                <w:sz w:val="22"/>
                <w:szCs w:val="22"/>
              </w:rPr>
            </w:r>
            <w:r>
              <w:rPr>
                <w:color w:val="000000"/>
                <w:sz w:val="22"/>
                <w:szCs w:val="22"/>
              </w:rPr>
            </w:r>
          </w:p>
        </w:tc>
      </w:tr>
      <w:tr>
        <w:trPr>
          <w:trHeight w:val="374"/>
        </w:trPr>
        <w:tc>
          <w:tcPr>
            <w:shd w:val="clear" w:color="000000" w:fill="ffffff"/>
            <w:tcBorders/>
            <w:tcW w:w="632"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35"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8.066.500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7.915.565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6.547.560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35" w:lineRule="auto"/>
              <w:ind/>
              <w:jc w:val="center"/>
              <w:rPr>
                <w:b/>
                <w:bCs/>
                <w:color w:val="000000"/>
                <w:sz w:val="22"/>
                <w:szCs w:val="22"/>
              </w:rPr>
            </w:pPr>
            <w:r>
              <w:rPr>
                <w:b/>
                <w:bCs/>
                <w:color w:val="000000" w:themeColor="text1"/>
                <w:sz w:val="22"/>
                <w:szCs w:val="22"/>
              </w:rPr>
              <w:t xml:space="preserve">7.509.875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7,41%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themeColor="text1"/>
                <w:sz w:val="22"/>
                <w:szCs w:val="22"/>
              </w:rPr>
              <w:t xml:space="preserve">-12,81%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2"/>
            <w:shd w:val="clear" w:color="000000" w:fill="ffffff"/>
            <w:tcBorders/>
            <w:tcW w:w="2795" w:type="dxa"/>
            <w:vAlign w:val="center"/>
            <w:textDirection w:val="lrTb"/>
            <w:noWrap w:val="false"/>
          </w:tcPr>
          <w:p>
            <w:pPr>
              <w:pBdr/>
              <w:spacing w:line="235"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35"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5.193.500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4.420.382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35" w:lineRule="auto"/>
              <w:ind/>
              <w:jc w:val="center"/>
              <w:rPr>
                <w:b/>
                <w:bCs/>
                <w:color w:val="000000"/>
                <w:sz w:val="22"/>
                <w:szCs w:val="22"/>
              </w:rPr>
            </w:pPr>
            <w:r>
              <w:rPr>
                <w:color w:val="000000" w:themeColor="text1"/>
                <w:sz w:val="22"/>
                <w:szCs w:val="22"/>
              </w:rPr>
              <w:t xml:space="preserve">2.902.526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35"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35"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35"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35"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2.983.500</w:t>
            </w:r>
            <w:r>
              <w:rPr>
                <w:sz w:val="22"/>
                <w:szCs w:val="22"/>
              </w:rPr>
            </w:r>
            <w:r>
              <w:rPr>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2.364.390</w:t>
            </w:r>
            <w:r>
              <w:rPr>
                <w:sz w:val="22"/>
                <w:szCs w:val="22"/>
              </w:rPr>
            </w:r>
            <w:r>
              <w:rPr>
                <w:sz w:val="22"/>
                <w:szCs w:val="22"/>
              </w:rPr>
            </w:r>
          </w:p>
        </w:tc>
        <w:tc>
          <w:tcPr>
            <w:shd w:val="clear" w:color="000000" w:fill="ffffff"/>
            <w:tcBorders/>
            <w:tcW w:w="1522" w:type="dxa"/>
            <w:vAlign w:val="center"/>
            <w:textDirection w:val="lrTb"/>
            <w:noWrap/>
          </w:tcPr>
          <w:p>
            <w:pPr>
              <w:pBdr/>
              <w:spacing w:line="235" w:lineRule="auto"/>
              <w:ind/>
              <w:jc w:val="center"/>
              <w:rPr>
                <w:sz w:val="22"/>
                <w:szCs w:val="22"/>
              </w:rPr>
            </w:pPr>
            <w:r>
              <w:rPr>
                <w:color w:val="000000" w:themeColor="text1"/>
                <w:sz w:val="22"/>
                <w:szCs w:val="22"/>
              </w:rPr>
              <w:t xml:space="preserve">202.502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-12,81</w:t>
      </w:r>
      <w:r>
        <w:t xml:space="preserve">% đến</w:t>
      </w:r>
      <w:r>
        <w:t xml:space="preserve"> </w:t>
      </w:r>
      <w:r>
        <w:t xml:space="preserve"> </w:t>
      </w:r>
      <w:r>
        <w:t xml:space="preserve">7,41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8.066.500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2.419.950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7.915.565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2.374.670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6.547.560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2.619.024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7.413.644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7.400.000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551"/>
        <w:gridCol w:w="1492"/>
        <w:gridCol w:w="2581"/>
        <w:gridCol w:w="2164"/>
      </w:tblGrid>
      <w:tr>
        <w:trPr>
          <w:trHeight w:val="20"/>
        </w:trPr>
        <w:tc>
          <w:tcPr>
            <w:shd w:val="clear" w:color="000000" w:fill="ffffff"/>
            <w:tcBorders/>
            <w:tcW w:w="737"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spacing w:after="40" w:before="40" w:line="240" w:lineRule="auto"/>
              <w:ind/>
              <w:jc w:val="both"/>
              <w:rPr>
                <w:b/>
                <w:bCs/>
              </w:rPr>
            </w:pPr>
            <w:r>
              <w:rPr>
                <w:b/>
                <w:bCs/>
                <w:color w:val="000000"/>
              </w:rPr>
              <w:t xml:space="preserve">Quyền sử dụng đất tại thửa đất số: 141, tờ bản</w:t>
            </w:r>
            <w:r>
              <w:rPr>
                <w:b/>
                <w:bCs/>
                <w:color w:val="000000"/>
              </w:rPr>
              <w:t xml:space="preserve"> đồ số: 193; có địa chỉ xã Tu Vũ, tỉnh Phú Thọ theo Giấy chứng nhận quyền sử dụng đất quyền sở hữu tài sản gắn liền với đất số AA 06746854 số vào sổ cấp GCN CN12912 do Chi nhánh văn phòng đăng ký đất đai Thanh Thuỷ cấp ngày 13/02/2026 cho Ông Đoàn Văn Toàn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shd w:val="clear" w:color="000000" w:fill="ffffff"/>
            <w:tcBorders/>
            <w:tcW w:w="2551" w:type="dxa"/>
            <w:vAlign w:val="center"/>
            <w:textDirection w:val="lrTb"/>
            <w:noWrap w:val="false"/>
          </w:tcPr>
          <w:p>
            <w:pPr>
              <w:pBdr/>
              <w:spacing w:after="40" w:before="40" w:line="240" w:lineRule="auto"/>
              <w:ind/>
              <w:rPr>
                <w:b w:val="0"/>
                <w:bCs w:val="0"/>
              </w:rPr>
            </w:pPr>
            <w:r>
              <w:rPr>
                <w:b w:val="0"/>
                <w:bCs w:val="0"/>
              </w:rPr>
              <w:t xml:space="preserve">Quyền sử dụng đất</w:t>
            </w:r>
            <w:r>
              <w:rPr>
                <w:b w:val="0"/>
                <w:bCs w:val="0"/>
              </w:rPr>
            </w:r>
            <w:r>
              <w:rPr>
                <w:b w:val="0"/>
                <w:bCs w:val="0"/>
              </w:rPr>
            </w:r>
          </w:p>
        </w:tc>
        <w:tc>
          <w:tcPr>
            <w:tcBorders/>
            <w:tcW w:w="1492" w:type="dxa"/>
            <w:vAlign w:val="center"/>
            <w:textDirection w:val="lrTb"/>
            <w:noWrap/>
          </w:tcPr>
          <w:p>
            <w:pPr>
              <w:pBdr/>
              <w:spacing w:after="40" w:before="40" w:line="240" w:lineRule="auto"/>
              <w:ind/>
              <w:jc w:val="center"/>
              <w:rPr>
                <w:color w:val="000000"/>
              </w:rPr>
            </w:pPr>
            <w:r>
              <w:rPr>
                <w:color w:val="000000" w:themeColor="text1"/>
              </w:rPr>
              <w:t xml:space="preserve">1.398,3</w:t>
            </w:r>
            <w:r>
              <w:rPr>
                <w:color w:val="000000"/>
              </w:rPr>
            </w:r>
            <w:r>
              <w:rPr>
                <w:color w:val="000000"/>
              </w:rPr>
            </w:r>
          </w:p>
        </w:tc>
        <w:tc>
          <w:tcPr>
            <w:shd w:val="clear" w:color="000000" w:fill="ffffff"/>
            <w:tcBorders/>
            <w:tcW w:w="2581" w:type="dxa"/>
            <w:vAlign w:val="center"/>
            <w:textDirection w:val="lrTb"/>
            <w:noWrap w:val="false"/>
          </w:tcPr>
          <w:p>
            <w:pPr>
              <w:pBdr/>
              <w:spacing w:after="40" w:before="40" w:line="240" w:lineRule="auto"/>
              <w:ind/>
              <w:jc w:val="center"/>
              <w:rPr/>
            </w:pPr>
            <w:r>
              <w:rPr>
                <w:color w:val="000000" w:themeColor="text1"/>
              </w:rPr>
              <w:t xml:space="preserve">7.400.000</w:t>
            </w:r>
            <w:r/>
          </w:p>
        </w:tc>
        <w:tc>
          <w:tcPr>
            <w:shd w:val="clear" w:color="000000" w:fill="ffffff"/>
            <w:tcBorders/>
            <w:tcW w:w="2164" w:type="dxa"/>
            <w:vAlign w:val="center"/>
            <w:textDirection w:val="lrTb"/>
            <w:noWrap w:val="false"/>
          </w:tcPr>
          <w:p>
            <w:pPr>
              <w:pBdr/>
              <w:spacing w:after="40" w:before="40" w:line="240" w:lineRule="auto"/>
              <w:ind/>
              <w:jc w:val="right"/>
              <w:rPr>
                <w:b w:val="0"/>
                <w:bCs w:val="0"/>
                <w:color w:val="000000"/>
              </w:rPr>
            </w:pPr>
            <w:r>
              <w:rPr>
                <w:b w:val="0"/>
                <w:bCs w:val="0"/>
                <w:color w:val="000000"/>
              </w:rPr>
              <w:t xml:space="preserve">10.347.400.000</w:t>
            </w:r>
            <w:r>
              <w:rPr>
                <w:b w:val="0"/>
                <w:bCs w:val="0"/>
                <w:color w:val="000000"/>
              </w:rPr>
            </w:r>
            <w:r>
              <w:rPr>
                <w:b w:val="0"/>
                <w:bCs w:val="0"/>
                <w:color w:val="000000"/>
              </w:rPr>
            </w:r>
          </w:p>
        </w:tc>
      </w:tr>
      <w:tr>
        <w:trPr>
          <w:trHeight w:val="20"/>
        </w:trPr>
        <w:tc>
          <w:tcPr>
            <w:gridSpan w:val="4"/>
            <w:tcBorders/>
            <w:tcW w:w="7361"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40" w:lineRule="auto"/>
              <w:ind/>
              <w:jc w:val="right"/>
              <w:rPr>
                <w:b/>
                <w:bCs/>
                <w:color w:val="000000"/>
              </w:rPr>
            </w:pPr>
            <w:r>
              <w:t xml:space="preserve">10.347.420.000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40" w:lineRule="auto"/>
              <w:ind/>
              <w:jc w:val="right"/>
              <w:rPr>
                <w:b/>
                <w:bCs/>
                <w:color w:val="000000"/>
              </w:rPr>
            </w:pPr>
            <w:r>
              <w:rPr>
                <w:b/>
                <w:bCs/>
                <w:color w:val="000000"/>
              </w:rPr>
              <w:t xml:space="preserve">10.347.000.000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Mười tỷ, ba trăm bốn mươi bảy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275/2026/0721/VFI-CT.24.A</w:t>
      </w:r>
      <w:r>
        <w:rPr>
          <w:color w:val="ff0000"/>
          <w:lang w:val="vi-VN"/>
        </w:rPr>
        <w:t xml:space="preserve"> </w:t>
      </w:r>
      <w:r>
        <w:rPr>
          <w:color w:val="000000" w:themeColor="text1"/>
        </w:rPr>
        <w:t xml:space="preserve">ngày 13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72" w:type="dxa"/>
        <w:tblW w:w="5112" w:type="pct"/>
        <w:tblBorders/>
        <w:tblLayout w:type="fixed"/>
        <w:tblLook w:val="01E0" w:firstRow="1" w:lastRow="1" w:firstColumn="1" w:lastColumn="1" w:noHBand="0" w:noVBand="0"/>
      </w:tblPr>
      <w:tblGrid>
        <w:gridCol w:w="4687"/>
        <w:gridCol w:w="5051"/>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51"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1"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051"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275/2026/0721/VFI-BC.24.A ngày</w:t>
      </w:r>
      <w:r>
        <w:rPr>
          <w:i/>
          <w:lang w:val="pt-BR"/>
        </w:rPr>
        <w:t xml:space="preserve"> </w:t>
      </w:r>
      <w:r>
        <w:rPr>
          <w:i/>
          <w:lang w:val="pt-BR"/>
        </w:rPr>
        <w:t xml:space="preserve">13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67733" cy="192579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97972" name=""/>
                              <pic:cNvPicPr>
                                <a:picLocks noChangeAspect="1"/>
                              </pic:cNvPicPr>
                              <pic:nvPr/>
                            </pic:nvPicPr>
                            <pic:blipFill rotWithShape="1">
                              <a:blip r:embed="rId23"/>
                              <a:stretch/>
                            </pic:blipFill>
                            <pic:spPr bwMode="auto">
                              <a:xfrm flipH="0" flipV="0">
                                <a:off x="0" y="0"/>
                                <a:ext cx="2567732" cy="1925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2.18pt;height:151.6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commentRangeStart w:id="1"/>
      <w:r>
        <w:rPr>
          <w:b/>
          <w:lang w:val="vi-VN"/>
        </w:rPr>
        <w:t xml:space="preserve">THÔNG TIN THU THẬP THỊ TRƯỜN</w:t>
      </w:r>
      <w:r>
        <w:rPr>
          <w:b/>
        </w:rPr>
        <w:t xml:space="preserve">G</w:t>
      </w:r>
      <w:commentRangeEnd w:id="1"/>
      <w:r>
        <w:commentReference w:id="1"/>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275/2026/0721/VFI-BC.24.A ngày</w:t>
      </w:r>
      <w:r>
        <w:rPr>
          <w:i/>
          <w:lang w:val="pt-BR"/>
        </w:rPr>
        <w:t xml:space="preserve"> </w:t>
      </w:r>
      <w:r>
        <w:rPr>
          <w:i/>
          <w:lang w:val="pt-BR"/>
        </w:rPr>
        <w:t xml:space="preserve">13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0833382666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11.112.400.000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9.445.540.000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Đầy đủ pháp lý</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(302.5m²), Đất trồng cây lâu năm (552.3m²)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Tu Vũ, Tỉnh Phú Thọ, đường Đường 317B</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16865" cy="308393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216864" cy="30839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0.78pt;height:242.8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3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0964891448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none"/>
              </w:rPr>
              <w:t xml:space="preserve">Đầy đủ pháp lý</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(180m²), Đất trồng cây lâu năm (713m²)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Tu Vũ, Tỉnh Phú Thọ, đường Đường 317B</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2207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3220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9.0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6276" cy="28029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56276" cy="28029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7.50pt;height:220.7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0961776441</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5.450.000.000</w:t>
            </w:r>
            <w:r>
              <w:rPr>
                <w:sz w:val="22"/>
                <w:szCs w:val="22"/>
              </w:rPr>
            </w:r>
            <w:r>
              <w:rPr>
                <w:sz w:val="22"/>
                <w:szCs w:val="22"/>
              </w:rPr>
            </w:r>
          </w:p>
        </w:tc>
      </w:tr>
      <w:tr>
        <w:trPr>
          <w:trHeight w:val="37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Đầy đủ pháp lý</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(403.7m²), Đất trồng cây lâu năm (403.7m²)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Tu Vũ, Tỉnh Phú Thọ, đường Đường 317B</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69290" cy="3025279"/>
                      <wp:effectExtent l="0" t="0" r="0" b="0"/>
                      <wp:docPr id="16" name=""/>
                      <wp:cNvGraphicFramePr/>
                      <a:graphic xmlns:a="http://schemas.openxmlformats.org/drawingml/2006/main">
                        <a:graphicData uri="http://schemas.openxmlformats.org/drawingml/2006/picture">
                          <pic:pic xmlns:pic="http://schemas.openxmlformats.org/drawingml/2006/picture">
                            <pic:nvPicPr>
                              <pic:cNvPr id="91461852" name="" descr=""/>
                              <pic:cNvPicPr/>
                              <pic:nvPr/>
                            </pic:nvPicPr>
                            <pic:blipFill rotWithShape="1">
                              <a:blip r:embed="rId28"/>
                              <a:stretch/>
                            </pic:blipFill>
                            <pic:spPr bwMode="auto">
                              <a:xfrm flipH="0" flipV="0">
                                <a:off x="0" y="0"/>
                                <a:ext cx="5569289" cy="30252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8.53pt;height:238.2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2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rPr>
          <w:iCs/>
          <w:lang w:val="pt-BR"/>
        </w:rPr>
      </w:pPr>
      <w:r>
        <w:rPr>
          <w:iCs/>
          <w:lang w:val="pt-BR"/>
        </w:rP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59900"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mc:AlternateContent>
          <mc:Choice Requires="wpg">
            <w:drawing>
              <wp:inline xmlns:wp="http://schemas.openxmlformats.org/drawingml/2006/wordprocessingDrawing" distT="0" distB="0" distL="0" distR="0">
                <wp:extent cx="5619750" cy="74866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19742" name=""/>
                        <pic:cNvPicPr>
                          <a:picLocks noChangeAspect="1"/>
                        </pic:cNvPicPr>
                        <pic:nvPr/>
                      </pic:nvPicPr>
                      <pic:blipFill rotWithShape="1">
                        <a:blip r:embed="rId31"/>
                        <a:stretch/>
                      </pic:blipFill>
                      <pic:spPr bwMode="auto">
                        <a:xfrm>
                          <a:off x="0" y="0"/>
                          <a:ext cx="5619749" cy="7486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2.50pt;height:589.50pt;mso-wrap-distance-left:0.00pt;mso-wrap-distance-top:0.00pt;mso-wrap-distance-right:0.00pt;mso-wrap-distance-bottom:0.00pt;z-index:1;" stroked="false">
                <v:imagedata r:id="rId31" o:title=""/>
                <o:lock v:ext="edit" rotation="t"/>
              </v:shape>
            </w:pict>
          </mc:Fallback>
        </mc:AlternateContent>
        <mc:AlternateContent>
          <mc:Choice Requires="wpg">
            <w:drawing>
              <wp:inline xmlns:wp="http://schemas.openxmlformats.org/drawingml/2006/wordprocessingDrawing" distT="0" distB="0" distL="0" distR="0">
                <wp:extent cx="5619750" cy="69723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95339" name=""/>
                        <pic:cNvPicPr>
                          <a:picLocks noChangeAspect="1"/>
                        </pic:cNvPicPr>
                        <pic:nvPr/>
                      </pic:nvPicPr>
                      <pic:blipFill rotWithShape="1">
                        <a:blip r:embed="rId32"/>
                        <a:stretch/>
                      </pic:blipFill>
                      <pic:spPr bwMode="auto">
                        <a:xfrm>
                          <a:off x="0" y="0"/>
                          <a:ext cx="5619749" cy="6972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2.50pt;height:549.00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5-15T14:32:06Z" w:initials="NTTD">
    <w:p w14:paraId="00000001" w14:textId="00000001">
      <w:pPr>
        <w:spacing w:line="240" w:after="0" w:lineRule="auto" w:before="0"/>
        <w:ind w:firstLine="0" w:left="0" w:right="0"/>
        <w:jc w:val="left"/>
      </w:pPr>
      <w:r>
        <w:rPr>
          <w:rFonts w:eastAsia="Arial" w:ascii="Arial" w:hAnsi="Arial" w:cs="Arial"/>
          <w:sz w:val="22"/>
        </w:rPr>
        <w:t xml:space="preserve">Sửa các thông tin khớp bảng so sánh</w:t>
      </w:r>
    </w:p>
  </w:comment>
  <w:comment w:id="0" w:author="Nguyễn Thị Thùy Dương" w:date="2026-05-15T14:04:04Z" w:initials="NTTD">
    <w:p w14:paraId="00000002" w14:textId="00000002">
      <w:pPr>
        <w:spacing w:line="240" w:after="0" w:lineRule="auto" w:before="0"/>
        <w:ind w:firstLine="0" w:left="0" w:right="0"/>
        <w:jc w:val="left"/>
      </w:pPr>
      <w:r>
        <w:rPr>
          <w:rFonts w:eastAsia="Arial" w:ascii="Arial" w:hAnsi="Arial" w:cs="Arial"/>
          <w:sz w:val="22"/>
        </w:rPr>
        <w:t xml:space="preserve">Để cả 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783A41C" w16cex:dateUtc="2026-05-15T07:32:06Z"/>
  <w16cex:commentExtensible w16cex:durableId="4CA1113B" w16cex:dateUtc="2026-05-15T07:04:0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783A41C"/>
  <w16cid:commentId w16cid:paraId="00000002" w16cid:durableId="4CA111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284</cp:revision>
  <dcterms:created xsi:type="dcterms:W3CDTF">2025-09-15T09:58:00Z</dcterms:created>
  <dcterms:modified xsi:type="dcterms:W3CDTF">2026-05-16T02:58:37Z</dcterms:modified>
</cp:coreProperties>
</file>