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rFonts w:ascii="Times New Roman" w:hAnsi="Times New Roman" w:cs="Times New Roman"/>
                                <w:b/>
                                <w:color w:val="990000"/>
                                <w:sz w:val="30"/>
                                <w:szCs w:val="30"/>
                              </w:rPr>
                            </w:pPr>
                            <w:r>
                              <w:rPr>
                                <w:rFonts w:ascii="Times New Roman" w:hAnsi="Times New Roman" w:eastAsia="Times New Roman" w:cs="Times New Roman"/>
                                <w:b/>
                                <w:color w:val="17365d" w:themeColor="text2" w:themeShade="BF"/>
                                <w:sz w:val="30"/>
                                <w:szCs w:val="30"/>
                              </w:rPr>
                              <w:t xml:space="preserve">CHỨNG THƯ</w:t>
                            </w:r>
                            <w:r>
                              <w:rPr>
                                <w:rFonts w:ascii="Times New Roman" w:hAnsi="Times New Roman" w:eastAsia="Times New Roman" w:cs="Times New Roman"/>
                                <w:b/>
                                <w:color w:val="17365d" w:themeColor="text2" w:themeShade="BF"/>
                                <w:sz w:val="30"/>
                                <w:szCs w:val="30"/>
                              </w:rPr>
                              <w:t xml:space="preserve">,</w:t>
                            </w:r>
                            <w:r>
                              <w:rPr>
                                <w:rFonts w:ascii="Times New Roman" w:hAnsi="Times New Roman" w:eastAsia="Times New Roman" w:cs="Times New Roman"/>
                                <w:b/>
                                <w:color w:val="17365d" w:themeColor="text2" w:themeShade="BF"/>
                                <w:sz w:val="30"/>
                                <w:szCs w:val="30"/>
                              </w:rPr>
                              <w:t xml:space="preserve"> BÁO CÁO THẨM ĐỊNH GIÁ</w:t>
                            </w:r>
                            <w:r>
                              <w:rPr>
                                <w:rFonts w:ascii="Times New Roman" w:hAnsi="Times New Roman" w:cs="Times New Roman"/>
                                <w:b/>
                                <w:color w:val="990000"/>
                                <w:sz w:val="30"/>
                                <w:szCs w:val="30"/>
                              </w:rPr>
                            </w:r>
                            <w:r>
                              <w:rPr>
                                <w:rFonts w:ascii="Times New Roman" w:hAnsi="Times New Roman" w:cs="Times New Roman"/>
                                <w:b/>
                                <w:color w:val="990000"/>
                                <w:sz w:val="30"/>
                                <w:szCs w:val="30"/>
                              </w:rPr>
                            </w:r>
                          </w:p>
                          <w:p w14:paraId="0815951A" w14:textId="3755DA31">
                            <w:pPr>
                              <w:pBdr/>
                              <w:spacing w:after="120" w:before="120" w:line="276" w:lineRule="auto"/>
                              <w:ind/>
                              <w:jc w:val="center"/>
                              <w:rPr>
                                <w:rFonts w:ascii="Times New Roman" w:hAnsi="Times New Roman" w:cs="Times New Roman"/>
                                <w:b/>
                              </w:rPr>
                            </w:pPr>
                            <w:r>
                              <w:rPr>
                                <w:rFonts w:ascii="Times New Roman" w:hAnsi="Times New Roman" w:eastAsia="Times New Roman" w:cs="Times New Roman"/>
                                <w:b/>
                              </w:rPr>
                              <w:t xml:space="preserve">Số: </w:t>
                            </w:r>
                            <w:r>
                              <w:rPr>
                                <w:rFonts w:ascii="Times New Roman" w:hAnsi="Times New Roman" w:eastAsia="Times New Roman" w:cs="Times New Roman"/>
                                <w:b/>
                                <w:bCs/>
                                <w:color w:val="081b3a"/>
                                <w:spacing w:val="3"/>
                                <w:sz w:val="23"/>
                                <w:highlight w:val="none"/>
                              </w:rPr>
                              <w:t xml:space="preserve">275/2025/1770/VFI-CT.51.A</w:t>
                            </w:r>
                            <w:r>
                              <w:rPr>
                                <w:rFonts w:ascii="Times New Roman" w:hAnsi="Times New Roman" w:cs="Times New Roman"/>
                                <w:b/>
                              </w:rPr>
                            </w:r>
                            <w:r>
                              <w:rPr>
                                <w:rFonts w:ascii="Times New Roman" w:hAnsi="Times New Roman" w:cs="Times New Roman"/>
                                <w:b/>
                              </w:rPr>
                            </w:r>
                          </w:p>
                          <w:p w14:paraId="1E00851B" w14:textId="240AC658">
                            <w:pPr>
                              <w:pBdr/>
                              <w:tabs>
                                <w:tab w:val="left" w:leader="none" w:pos="3002"/>
                              </w:tabs>
                              <w:spacing w:after="120" w:before="120" w:line="276" w:lineRule="auto"/>
                              <w:ind/>
                              <w:jc w:val="center"/>
                              <w:rPr>
                                <w:rFonts w:ascii="Times New Roman" w:hAnsi="Times New Roman" w:cs="Times New Roman"/>
                                <w:b/>
                              </w:rPr>
                            </w:pPr>
                            <w:r>
                              <w:rPr>
                                <w:rFonts w:ascii="Times New Roman" w:hAnsi="Times New Roman" w:eastAsia="Times New Roman" w:cs="Times New Roman"/>
                                <w:b/>
                                <w:lang w:val="pt-BR"/>
                              </w:rPr>
                              <w:t xml:space="preserve">Khách hàng yêu cầu: </w:t>
                            </w:r>
                            <w:r>
                              <w:rPr>
                                <w:rFonts w:ascii="Times New Roman" w:hAnsi="Times New Roman" w:cs="Times New Roman"/>
                                <w:b/>
                              </w:rPr>
                              <w:t xml:space="preserve">NGÔ THỊ THANH NHÀN</w:t>
                            </w:r>
                            <w:r>
                              <w:rPr>
                                <w:rFonts w:ascii="Times New Roman" w:hAnsi="Times New Roman" w:cs="Times New Roman"/>
                                <w:b/>
                              </w:rPr>
                            </w:r>
                            <w:r>
                              <w:rPr>
                                <w:rFonts w:ascii="Times New Roman" w:hAnsi="Times New Roman" w:cs="Times New Roman"/>
                                <w:b/>
                              </w:rPr>
                            </w:r>
                          </w:p>
                          <w:p w14:paraId="2B1FED5E" w14:textId="22BABD42">
                            <w:pPr>
                              <w:pBdr/>
                              <w:spacing w:after="120" w:before="120" w:line="360" w:lineRule="auto"/>
                              <w:ind/>
                              <w:jc w:val="both"/>
                              <w:rPr>
                                <w:rFonts w:ascii="Times New Roman" w:hAnsi="Times New Roman" w:cs="Times New Roman"/>
                                <w:bCs/>
                                <w:i/>
                                <w:iCs/>
                              </w:rPr>
                            </w:pPr>
                            <w:r>
                              <w:rPr>
                                <w:rFonts w:ascii="Times New Roman" w:hAnsi="Times New Roman" w:eastAsia="Times New Roman" w:cs="Times New Roman"/>
                                <w:b/>
                              </w:rPr>
                              <w:t xml:space="preserve">Tài sản thẩm </w:t>
                            </w:r>
                            <w:r>
                              <w:rPr>
                                <w:rFonts w:ascii="Times New Roman" w:hAnsi="Times New Roman" w:eastAsia="Times New Roman" w:cs="Times New Roman"/>
                                <w:b/>
                              </w:rPr>
                              <w:t xml:space="preserve">định: </w:t>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uyền sử dụng đất tại thửa đất số: 815, tờ bản đồ số: 79 có địa chỉ: Thôn Vĩnh Đồng, Xã Nghĩa Dân, Thành phố Hà Nội theo Giấy chứng nhận quyền sử dụng đất, quyền sở hữu tài sản  gắn liền với đất số: AA 05197061, số vào sổ cấp GCN: CN 1309 do Chi nhánh văn p</w:t>
                            </w:r>
                            <w:r>
                              <w:rPr>
                                <w:rFonts w:ascii="Times New Roman" w:hAnsi="Times New Roman" w:eastAsia="Times New Roman" w:cs="Times New Roman"/>
                                <w:color w:val="000000"/>
                                <w:sz w:val="24"/>
                              </w:rPr>
                              <w:t xml:space="preserve">hòng đăng ký đất đai khu vực Kim Động cấp ngày 10/11/2025 cho Bà Ngô Thị Thanh Nhàn</w:t>
                            </w:r>
                            <w:r>
                              <w:rPr>
                                <w:rFonts w:ascii="Times New Roman" w:hAnsi="Times New Roman" w:eastAsia="Times New Roman" w:cs="Times New Roman"/>
                                <w:bCs/>
                                <w:i/>
                                <w:iCs/>
                              </w:rPr>
                              <w:t xml:space="preserve">.</w:t>
                            </w:r>
                            <w:r>
                              <w:rPr>
                                <w:rFonts w:ascii="Times New Roman" w:hAnsi="Times New Roman" w:cs="Times New Roman"/>
                                <w:bCs/>
                                <w:i/>
                                <w:iCs/>
                              </w:rPr>
                            </w:r>
                            <w:r>
                              <w:rPr>
                                <w:rFonts w:ascii="Times New Roman" w:hAnsi="Times New Roman" w:cs="Times New Roman"/>
                                <w:bCs/>
                                <w:i/>
                                <w:iCs/>
                              </w:rPr>
                            </w:r>
                          </w:p>
                          <w:p w14:paraId="572E5005" w14:textId="39A8B690">
                            <w:pPr>
                              <w:pBdr/>
                              <w:spacing w:after="120" w:before="120" w:line="360" w:lineRule="auto"/>
                              <w:ind/>
                              <w:jc w:val="center"/>
                              <w:rPr>
                                <w:rFonts w:ascii="Times New Roman" w:hAnsi="Times New Roman" w:cs="Times New Roman"/>
                                <w:bCs/>
                                <w:i/>
                                <w:iCs/>
                              </w:rPr>
                            </w:pPr>
                            <w:r>
                              <w:rPr>
                                <w:rFonts w:ascii="Times New Roman" w:hAnsi="Times New Roman" w:eastAsia="Times New Roman" w:cs="Times New Roman"/>
                                <w:b/>
                                <w:bCs/>
                                <w:lang w:val="pt-BR"/>
                              </w:rPr>
                              <w:t xml:space="preserve">Thời điểm thẩm định: </w:t>
                            </w:r>
                            <w:r>
                              <w:rPr>
                                <w:rFonts w:ascii="Times New Roman" w:hAnsi="Times New Roman" w:eastAsia="Times New Roman" w:cs="Times New Roman"/>
                                <w:color w:val="000000" w:themeColor="text1"/>
                                <w:lang w:val="pt-BR"/>
                              </w:rPr>
                              <w:t xml:space="preserve">Tháng 12/2025</w:t>
                            </w:r>
                            <w:r>
                              <w:rPr>
                                <w:rFonts w:ascii="Times New Roman" w:hAnsi="Times New Roman" w:eastAsia="Times New Roman" w:cs="Times New Roman"/>
                                <w:lang w:val="pt-BR"/>
                              </w:rPr>
                              <w:t xml:space="preserve">.</w:t>
                            </w:r>
                            <w:r>
                              <w:rPr>
                                <w:rFonts w:ascii="Times New Roman" w:hAnsi="Times New Roman" w:cs="Times New Roman"/>
                                <w:bCs/>
                                <w:i/>
                                <w:iCs/>
                              </w:rPr>
                            </w:r>
                            <w:r>
                              <w:rPr>
                                <w:rFonts w:ascii="Times New Roman" w:hAnsi="Times New Roman" w:cs="Times New Roman"/>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rFonts w:ascii="Times New Roman" w:hAnsi="Times New Roman" w:cs="Times New Roman"/>
                          <w:b/>
                          <w:color w:val="990000"/>
                          <w:sz w:val="30"/>
                          <w:szCs w:val="30"/>
                        </w:rPr>
                      </w:pPr>
                      <w:r>
                        <w:rPr>
                          <w:rFonts w:ascii="Times New Roman" w:hAnsi="Times New Roman" w:eastAsia="Times New Roman" w:cs="Times New Roman"/>
                          <w:b/>
                          <w:color w:val="17365d" w:themeColor="text2" w:themeShade="BF"/>
                          <w:sz w:val="30"/>
                          <w:szCs w:val="30"/>
                        </w:rPr>
                        <w:t xml:space="preserve">CHỨNG THƯ</w:t>
                      </w:r>
                      <w:r>
                        <w:rPr>
                          <w:rFonts w:ascii="Times New Roman" w:hAnsi="Times New Roman" w:eastAsia="Times New Roman" w:cs="Times New Roman"/>
                          <w:b/>
                          <w:color w:val="17365d" w:themeColor="text2" w:themeShade="BF"/>
                          <w:sz w:val="30"/>
                          <w:szCs w:val="30"/>
                        </w:rPr>
                        <w:t xml:space="preserve">,</w:t>
                      </w:r>
                      <w:r>
                        <w:rPr>
                          <w:rFonts w:ascii="Times New Roman" w:hAnsi="Times New Roman" w:eastAsia="Times New Roman" w:cs="Times New Roman"/>
                          <w:b/>
                          <w:color w:val="17365d" w:themeColor="text2" w:themeShade="BF"/>
                          <w:sz w:val="30"/>
                          <w:szCs w:val="30"/>
                        </w:rPr>
                        <w:t xml:space="preserve"> BÁO CÁO THẨM ĐỊNH GIÁ</w:t>
                      </w:r>
                      <w:r>
                        <w:rPr>
                          <w:rFonts w:ascii="Times New Roman" w:hAnsi="Times New Roman" w:cs="Times New Roman"/>
                          <w:b/>
                          <w:color w:val="990000"/>
                          <w:sz w:val="30"/>
                          <w:szCs w:val="30"/>
                        </w:rPr>
                      </w:r>
                      <w:r>
                        <w:rPr>
                          <w:rFonts w:ascii="Times New Roman" w:hAnsi="Times New Roman" w:cs="Times New Roman"/>
                          <w:b/>
                          <w:color w:val="990000"/>
                          <w:sz w:val="30"/>
                          <w:szCs w:val="30"/>
                        </w:rPr>
                      </w:r>
                    </w:p>
                    <w:p w14:paraId="0815951A" w14:textId="3755DA31">
                      <w:pPr>
                        <w:pBdr/>
                        <w:spacing w:after="120" w:before="120" w:line="276" w:lineRule="auto"/>
                        <w:ind/>
                        <w:jc w:val="center"/>
                        <w:rPr>
                          <w:rFonts w:ascii="Times New Roman" w:hAnsi="Times New Roman" w:cs="Times New Roman"/>
                          <w:b/>
                        </w:rPr>
                      </w:pPr>
                      <w:r>
                        <w:rPr>
                          <w:rFonts w:ascii="Times New Roman" w:hAnsi="Times New Roman" w:eastAsia="Times New Roman" w:cs="Times New Roman"/>
                          <w:b/>
                        </w:rPr>
                        <w:t xml:space="preserve">Số: </w:t>
                      </w:r>
                      <w:r>
                        <w:rPr>
                          <w:rFonts w:ascii="Times New Roman" w:hAnsi="Times New Roman" w:eastAsia="Times New Roman" w:cs="Times New Roman"/>
                          <w:b/>
                          <w:bCs/>
                          <w:color w:val="081b3a"/>
                          <w:spacing w:val="3"/>
                          <w:sz w:val="23"/>
                          <w:highlight w:val="none"/>
                        </w:rPr>
                        <w:t xml:space="preserve">275/2025/1770/VFI-CT.51.A</w:t>
                      </w:r>
                      <w:r>
                        <w:rPr>
                          <w:rFonts w:ascii="Times New Roman" w:hAnsi="Times New Roman" w:cs="Times New Roman"/>
                          <w:b/>
                        </w:rPr>
                      </w:r>
                      <w:r>
                        <w:rPr>
                          <w:rFonts w:ascii="Times New Roman" w:hAnsi="Times New Roman" w:cs="Times New Roman"/>
                          <w:b/>
                        </w:rPr>
                      </w:r>
                    </w:p>
                    <w:p w14:paraId="1E00851B" w14:textId="240AC658">
                      <w:pPr>
                        <w:pBdr/>
                        <w:tabs>
                          <w:tab w:val="left" w:leader="none" w:pos="3002"/>
                        </w:tabs>
                        <w:spacing w:after="120" w:before="120" w:line="276" w:lineRule="auto"/>
                        <w:ind/>
                        <w:jc w:val="center"/>
                        <w:rPr>
                          <w:rFonts w:ascii="Times New Roman" w:hAnsi="Times New Roman" w:cs="Times New Roman"/>
                          <w:b/>
                        </w:rPr>
                      </w:pPr>
                      <w:r>
                        <w:rPr>
                          <w:rFonts w:ascii="Times New Roman" w:hAnsi="Times New Roman" w:eastAsia="Times New Roman" w:cs="Times New Roman"/>
                          <w:b/>
                          <w:lang w:val="pt-BR"/>
                        </w:rPr>
                        <w:t xml:space="preserve">Khách hàng yêu cầu: </w:t>
                      </w:r>
                      <w:r>
                        <w:rPr>
                          <w:rFonts w:ascii="Times New Roman" w:hAnsi="Times New Roman" w:cs="Times New Roman"/>
                          <w:b/>
                        </w:rPr>
                        <w:t xml:space="preserve">NGÔ THỊ THANH NHÀN</w:t>
                      </w:r>
                      <w:r>
                        <w:rPr>
                          <w:rFonts w:ascii="Times New Roman" w:hAnsi="Times New Roman" w:cs="Times New Roman"/>
                          <w:b/>
                        </w:rPr>
                      </w:r>
                      <w:r>
                        <w:rPr>
                          <w:rFonts w:ascii="Times New Roman" w:hAnsi="Times New Roman" w:cs="Times New Roman"/>
                          <w:b/>
                        </w:rPr>
                      </w:r>
                    </w:p>
                    <w:p w14:paraId="2B1FED5E" w14:textId="22BABD42">
                      <w:pPr>
                        <w:pBdr/>
                        <w:spacing w:after="120" w:before="120" w:line="360" w:lineRule="auto"/>
                        <w:ind/>
                        <w:jc w:val="both"/>
                        <w:rPr>
                          <w:rFonts w:ascii="Times New Roman" w:hAnsi="Times New Roman" w:cs="Times New Roman"/>
                          <w:bCs/>
                          <w:i/>
                          <w:iCs/>
                        </w:rPr>
                      </w:pPr>
                      <w:r>
                        <w:rPr>
                          <w:rFonts w:ascii="Times New Roman" w:hAnsi="Times New Roman" w:eastAsia="Times New Roman" w:cs="Times New Roman"/>
                          <w:b/>
                        </w:rPr>
                        <w:t xml:space="preserve">Tài sản thẩm </w:t>
                      </w:r>
                      <w:r>
                        <w:rPr>
                          <w:rFonts w:ascii="Times New Roman" w:hAnsi="Times New Roman" w:eastAsia="Times New Roman" w:cs="Times New Roman"/>
                          <w:b/>
                        </w:rPr>
                        <w:t xml:space="preserve">định: </w:t>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uyền sử dụng đất tại thửa đất số: 815, tờ bản đồ số: 79 có địa chỉ: Thôn Vĩnh Đồng, Xã Nghĩa Dân, Thành phố Hà Nội theo Giấy chứng nhận quyền sử dụng đất, quyền sở hữu tài sản  gắn liền với đất số: AA 05197061, số vào sổ cấp GCN: CN 1309 do Chi nhánh văn p</w:t>
                      </w:r>
                      <w:r>
                        <w:rPr>
                          <w:rFonts w:ascii="Times New Roman" w:hAnsi="Times New Roman" w:eastAsia="Times New Roman" w:cs="Times New Roman"/>
                          <w:color w:val="000000"/>
                          <w:sz w:val="24"/>
                        </w:rPr>
                        <w:t xml:space="preserve">hòng đăng ký đất đai khu vực Kim Động cấp ngày 10/11/2025 cho Bà Ngô Thị Thanh Nhàn</w:t>
                      </w:r>
                      <w:r>
                        <w:rPr>
                          <w:rFonts w:ascii="Times New Roman" w:hAnsi="Times New Roman" w:eastAsia="Times New Roman" w:cs="Times New Roman"/>
                          <w:bCs/>
                          <w:i/>
                          <w:iCs/>
                        </w:rPr>
                        <w:t xml:space="preserve">.</w:t>
                      </w:r>
                      <w:r>
                        <w:rPr>
                          <w:rFonts w:ascii="Times New Roman" w:hAnsi="Times New Roman" w:cs="Times New Roman"/>
                          <w:bCs/>
                          <w:i/>
                          <w:iCs/>
                        </w:rPr>
                      </w:r>
                      <w:r>
                        <w:rPr>
                          <w:rFonts w:ascii="Times New Roman" w:hAnsi="Times New Roman" w:cs="Times New Roman"/>
                          <w:bCs/>
                          <w:i/>
                          <w:iCs/>
                        </w:rPr>
                      </w:r>
                    </w:p>
                    <w:p w14:paraId="572E5005" w14:textId="39A8B690">
                      <w:pPr>
                        <w:pBdr/>
                        <w:spacing w:after="120" w:before="120" w:line="360" w:lineRule="auto"/>
                        <w:ind/>
                        <w:jc w:val="center"/>
                        <w:rPr>
                          <w:rFonts w:ascii="Times New Roman" w:hAnsi="Times New Roman" w:cs="Times New Roman"/>
                          <w:bCs/>
                          <w:i/>
                          <w:iCs/>
                        </w:rPr>
                      </w:pPr>
                      <w:r>
                        <w:rPr>
                          <w:rFonts w:ascii="Times New Roman" w:hAnsi="Times New Roman" w:eastAsia="Times New Roman" w:cs="Times New Roman"/>
                          <w:b/>
                          <w:bCs/>
                          <w:lang w:val="pt-BR"/>
                        </w:rPr>
                        <w:t xml:space="preserve">Thời điểm thẩm định: </w:t>
                      </w:r>
                      <w:r>
                        <w:rPr>
                          <w:rFonts w:ascii="Times New Roman" w:hAnsi="Times New Roman" w:eastAsia="Times New Roman" w:cs="Times New Roman"/>
                          <w:color w:val="000000" w:themeColor="text1"/>
                          <w:lang w:val="pt-BR"/>
                        </w:rPr>
                        <w:t xml:space="preserve">Tháng 12/2025</w:t>
                      </w:r>
                      <w:r>
                        <w:rPr>
                          <w:rFonts w:ascii="Times New Roman" w:hAnsi="Times New Roman" w:eastAsia="Times New Roman" w:cs="Times New Roman"/>
                          <w:lang w:val="pt-BR"/>
                        </w:rPr>
                        <w:t xml:space="preserve">.</w:t>
                      </w:r>
                      <w:r>
                        <w:rPr>
                          <w:rFonts w:ascii="Times New Roman" w:hAnsi="Times New Roman" w:cs="Times New Roman"/>
                          <w:bCs/>
                          <w:i/>
                          <w:iCs/>
                        </w:rPr>
                      </w:r>
                      <w:r>
                        <w:rPr>
                          <w:rFonts w:ascii="Times New Roman" w:hAnsi="Times New Roman" w:cs="Times New Roman"/>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2"/>
              <w:pBdr/>
              <w:spacing w:after="60" w:before="200"/>
              <w:ind/>
              <w:rPr>
                <w:rStyle w:val="1031"/>
                <w:rFonts w:ascii="Times New Roman" w:hAnsi="Times New Roman"/>
                <w:color w:val="auto"/>
                <w:lang w:val="pt-BR"/>
              </w:rPr>
            </w:pPr>
            <w:r>
              <w:rPr>
                <w:rFonts w:ascii="Times New Roman" w:hAnsi="Times New Roman"/>
                <w:color w:val="auto"/>
                <w:lang w:val="pt-BR"/>
              </w:rPr>
            </w:r>
            <w:r>
              <w:rPr>
                <w:rStyle w:val="1031"/>
                <w:rFonts w:ascii="Times New Roman" w:hAnsi="Times New Roman"/>
                <w:color w:val="auto"/>
                <w:lang w:val="pt-BR"/>
              </w:rPr>
            </w:r>
            <w:r>
              <w:rPr>
                <w:rStyle w:val="1031"/>
                <w:rFonts w:ascii="Times New Roman" w:hAnsi="Times New Roman"/>
                <w:color w:val="auto"/>
                <w:lang w:val="pt-BR"/>
              </w:rPr>
            </w:r>
          </w:p>
          <w:p w14:paraId="189019A0" w14:textId="50D2DFCA">
            <w:pPr>
              <w:pStyle w:val="1032"/>
              <w:pBdr/>
              <w:spacing w:after="60" w:before="200"/>
              <w:ind/>
              <w:rPr>
                <w:sz w:val="24"/>
                <w:szCs w:val="24"/>
              </w:rPr>
            </w:pPr>
            <w:r>
              <w:rPr>
                <w:rStyle w:val="1031"/>
                <w:rFonts w:ascii="Times New Roman" w:hAnsi="Times New Roman"/>
                <w:color w:val="auto"/>
                <w:lang w:val="pt-BR"/>
              </w:rPr>
              <w:t xml:space="preserve">Số:</w:t>
            </w:r>
            <w:r>
              <w:rPr>
                <w:rStyle w:val="1031"/>
                <w:rFonts w:ascii="Times New Roman" w:hAnsi="Times New Roman"/>
                <w:color w:val="auto"/>
                <w:lang w:val="pt-BR"/>
              </w:rPr>
              <w:t xml:space="preserve"> </w:t>
            </w:r>
            <w:r>
              <w:rPr>
                <w:rStyle w:val="1031"/>
                <w:rFonts w:ascii="Times New Roman" w:hAnsi="Times New Roman"/>
                <w:color w:val="000000" w:themeColor="text1"/>
                <w:lang w:val="pt-BR"/>
              </w:rPr>
            </w:r>
            <w:r>
              <w:rPr>
                <w:rFonts w:ascii="Arial" w:hAnsi="Arial" w:eastAsia="Arial" w:cs="Arial"/>
                <w:color w:val="081b3a"/>
                <w:spacing w:val="3"/>
                <w:sz w:val="23"/>
                <w:highlight w:val="none"/>
              </w:rPr>
              <w:t xml:space="preserve">275/2025/1770/VFI-CT.51.A</w:t>
            </w:r>
            <w:r>
              <w:rPr>
                <w:rStyle w:val="1031"/>
                <w:rFonts w:ascii="Times New Roman" w:hAnsi="Times New Roman"/>
                <w:color w:val="000000" w:themeColor="text1"/>
                <w:lang w:val="pt-BR"/>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2"/>
              <w:pBdr/>
              <w:spacing w:after="60" w:before="20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14:paraId="6B33CD77" w14:textId="29BAA06D">
            <w:pPr>
              <w:pStyle w:val="1032"/>
              <w:pBdr/>
              <w:spacing w:after="60" w:before="200"/>
              <w:ind w:right="-56"/>
              <w:jc w:val="right"/>
              <w:rPr>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11 tháng 12 năm 2025</w:t>
            </w:r>
            <w:r>
              <w:rPr>
                <w:rStyle w:val="1031"/>
                <w:rFonts w:ascii="Times New Roman" w:hAnsi="Times New Roman"/>
                <w:i/>
                <w:color w:val="auto"/>
                <w:lang w:val="vi-VN"/>
              </w:rPr>
              <w:t xml:space="preserve">   </w:t>
            </w:r>
            <w:r>
              <w:rPr>
                <w:rStyle w:val="1031"/>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2"/>
        <w:pBdr/>
        <w:spacing w:after="120" w:before="200" w:line="288" w:lineRule="auto"/>
        <w:ind/>
        <w:jc w:val="center"/>
        <w:rPr>
          <w:rStyle w:val="1031"/>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14:paraId="50C085C2">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NGÔ THỊ THANH NHÀN</w:t>
      </w:r>
      <w:r/>
    </w:p>
    <w:p w14:paraId="7ABA5622">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275/2025/1770/VFI-HĐTĐ.51.A  ký ngày 11/12/2025 giữa Bà Ngô Thị Thanh Nhàn với Công ty Cổ phần Thẩm định và Đầu tư Tài chính Hoa Sen</w:t>
      </w:r>
      <w:r>
        <w:rPr>
          <w:rFonts w:ascii="Times New Roman" w:hAnsi="Times New Roman" w:eastAsia="Times New Roman" w:cs="Times New Roman"/>
          <w:color w:val="000000"/>
          <w:spacing w:val="-6"/>
          <w:sz w:val="24"/>
        </w:rPr>
        <w:t xml:space="preserve">;</w:t>
      </w:r>
      <w:r>
        <w:rPr>
          <w:rFonts w:ascii="Times New Roman" w:hAnsi="Times New Roman" w:eastAsia="Times New Roman" w:cs="Times New Roman"/>
          <w:color w:val="000000"/>
          <w:spacing w:val="-4"/>
          <w:sz w:val="24"/>
        </w:rPr>
        <w:t xml:space="preserve"> </w:t>
      </w:r>
      <w:r/>
    </w:p>
    <w:p w14:paraId="792595A6">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pacing w:val="3"/>
          <w:sz w:val="24"/>
          <w:highlight w:val="white"/>
        </w:rPr>
        <w:t xml:space="preserve">275/2025/1770/VFI-BC.51.A </w:t>
      </w:r>
      <w:r>
        <w:rPr>
          <w:rFonts w:ascii="Times New Roman" w:hAnsi="Times New Roman" w:eastAsia="Times New Roman" w:cs="Times New Roman"/>
          <w:color w:val="000000"/>
          <w:spacing w:val="-2"/>
          <w:sz w:val="24"/>
        </w:rPr>
        <w:t xml:space="preserve">11/12/2025 của Công ty Cổ phần Thẩm định và Đầu tư Tài chính Hoa Sen,</w:t>
      </w:r>
      <w:r/>
    </w:p>
    <w:p w14:paraId="44BB095A">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438"/>
        <w:gridCol w:w="283"/>
        <w:gridCol w:w="6804"/>
      </w:tblGrid>
      <w:tr>
        <w:trPr>
          <w:trHeight w:val="20"/>
        </w:trPr>
        <w:tc>
          <w:tcPr>
            <w:tcBorders/>
            <w:tcMar>
              <w:left w:w="108" w:type="dxa"/>
              <w:top w:w="0" w:type="dxa"/>
              <w:right w:w="108" w:type="dxa"/>
              <w:bottom w:w="0" w:type="dxa"/>
            </w:tcMar>
            <w:tcW w:w="2438" w:type="dxa"/>
            <w:vAlign w:val="center"/>
            <w:textDirection w:val="lrTb"/>
            <w:noWrap w:val="false"/>
          </w:tcPr>
          <w:p w14:paraId="4E5037A8">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183CC823">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04" w:type="dxa"/>
            <w:vAlign w:val="center"/>
            <w:textDirection w:val="lrTb"/>
            <w:noWrap w:val="false"/>
          </w:tcPr>
          <w:p w14:paraId="79675C9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BÀ NGÔ THỊ THANH NHÀN</w:t>
            </w:r>
            <w:r/>
          </w:p>
        </w:tc>
      </w:tr>
      <w:tr>
        <w:trPr>
          <w:trHeight w:val="20"/>
        </w:trPr>
        <w:tc>
          <w:tcPr>
            <w:tcBorders/>
            <w:tcMar>
              <w:left w:w="108" w:type="dxa"/>
              <w:top w:w="0" w:type="dxa"/>
              <w:right w:w="108" w:type="dxa"/>
              <w:bottom w:w="0" w:type="dxa"/>
            </w:tcMar>
            <w:tcW w:w="2438" w:type="dxa"/>
            <w:vAlign w:val="center"/>
            <w:textDirection w:val="lrTb"/>
            <w:noWrap w:val="false"/>
          </w:tcPr>
          <w:p w14:paraId="590EA66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14:paraId="3EE2D5E8">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04" w:type="dxa"/>
            <w:vAlign w:val="center"/>
            <w:textDirection w:val="lrTb"/>
            <w:noWrap w:val="false"/>
          </w:tcPr>
          <w:p w14:paraId="7EBF78E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001177039771</w:t>
            </w:r>
            <w:r/>
          </w:p>
        </w:tc>
      </w:tr>
      <w:tr>
        <w:trPr>
          <w:trHeight w:val="20"/>
        </w:trPr>
        <w:tc>
          <w:tcPr>
            <w:tcBorders/>
            <w:tcMar>
              <w:left w:w="108" w:type="dxa"/>
              <w:top w:w="0" w:type="dxa"/>
              <w:right w:w="108" w:type="dxa"/>
              <w:bottom w:w="0" w:type="dxa"/>
            </w:tcMar>
            <w:tcW w:w="2438" w:type="dxa"/>
            <w:vAlign w:val="center"/>
            <w:textDirection w:val="lrTb"/>
            <w:noWrap w:val="false"/>
          </w:tcPr>
          <w:p w14:paraId="364A172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Ngày, tháng, năm sinh</w:t>
            </w:r>
            <w:r/>
          </w:p>
        </w:tc>
        <w:tc>
          <w:tcPr>
            <w:tcBorders/>
            <w:tcMar>
              <w:left w:w="108" w:type="dxa"/>
              <w:top w:w="0" w:type="dxa"/>
              <w:right w:w="108" w:type="dxa"/>
              <w:bottom w:w="0" w:type="dxa"/>
            </w:tcMar>
            <w:tcW w:w="283" w:type="dxa"/>
            <w:vAlign w:val="center"/>
            <w:textDirection w:val="lrTb"/>
            <w:noWrap w:val="false"/>
          </w:tcPr>
          <w:p w14:paraId="76E9BA7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04" w:type="dxa"/>
            <w:vAlign w:val="center"/>
            <w:textDirection w:val="lrTb"/>
            <w:noWrap w:val="false"/>
          </w:tcPr>
          <w:p w14:paraId="1AA43F43">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23/08/1977</w:t>
            </w:r>
            <w:r/>
          </w:p>
        </w:tc>
      </w:tr>
      <w:tr>
        <w:trPr>
          <w:trHeight w:val="20"/>
        </w:trPr>
        <w:tc>
          <w:tcPr>
            <w:tcBorders/>
            <w:tcMar>
              <w:left w:w="108" w:type="dxa"/>
              <w:top w:w="0" w:type="dxa"/>
              <w:right w:w="108" w:type="dxa"/>
              <w:bottom w:w="0" w:type="dxa"/>
            </w:tcMar>
            <w:tcW w:w="2438" w:type="dxa"/>
            <w:vAlign w:val="center"/>
            <w:vMerge w:val="restart"/>
            <w:textDirection w:val="lrTb"/>
            <w:noWrap w:val="false"/>
          </w:tcPr>
          <w:p w14:paraId="23807D9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Nơi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vMerge w:val="restart"/>
            <w:textDirection w:val="lrTb"/>
            <w:noWrap w:val="false"/>
          </w:tcPr>
          <w:p w14:paraId="5AFD79B9">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6804" w:type="dxa"/>
            <w:vAlign w:val="center"/>
            <w:vMerge w:val="restart"/>
            <w:textDirection w:val="lrTb"/>
            <w:noWrap w:val="false"/>
          </w:tcPr>
          <w:p w14:paraId="3C24D57E">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29 ngõ 12 Chùa Bộc, phường Kim Liên, Thành phố Hà Nội</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yền sử dụng đất tại thửa đất số: 815, tờ bản đồ số: 79 có địa chỉ: Thôn Vĩnh Đồng, Xã Nghĩa Dân, Thành phố Hà Nội theo Giấy chứng nhận quyền sử dụng đất, quyền sở hữu tài sản  gắn liền với đất số: AA 05197061, số vào sổ cấp GCN: CN 1309 do Chi nhánh văn p</w:t>
      </w:r>
      <w:r>
        <w:rPr>
          <w:rFonts w:ascii="Times New Roman" w:hAnsi="Times New Roman" w:eastAsia="Times New Roman" w:cs="Times New Roman"/>
          <w:color w:val="000000"/>
          <w:sz w:val="24"/>
        </w:rPr>
        <w:t xml:space="preserve">hòng đăng ký đất đai khu vực Kim Động cấp ngày 10/11/2025 cho Bà Ngô Thị Thanh Nhàn</w:t>
      </w:r>
      <w:r>
        <w:rPr>
          <w:rFonts w:ascii="Times New Roman" w:hAnsi="Times New Roman" w:eastAsia="Times New Roman" w:cs="Times New Roman"/>
          <w:bCs/>
          <w:i/>
          <w:iCs/>
        </w:rPr>
        <w:t xml:space="preserve">.</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w:t>
            </w:r>
            <w:r>
              <w:rPr>
                <w:rFonts w:ascii="Times New Roman" w:hAnsi="Times New Roman" w:eastAsia="Times New Roman" w:cs="Times New Roman"/>
                <w:color w:val="000000"/>
                <w:sz w:val="24"/>
              </w:rPr>
              <w:t xml:space="preserve">yền sử dụng đất tại thửa đất số: 815, tờ bản đồ số: 79 có địa chỉ: Thôn Vĩnh Đồng, Xã Nghĩa Dân, Thành phố Hà Nội theo Giấy chứng nhận quyền sử dụng đất, quyền sở hữu tài sản  gắn liền với đất số: AA 05197061, số vào sổ cấp GCN: CN 1309 do Chi nhánh văn p</w:t>
            </w:r>
            <w:r>
              <w:rPr>
                <w:rFonts w:ascii="Times New Roman" w:hAnsi="Times New Roman" w:eastAsia="Times New Roman" w:cs="Times New Roman"/>
                <w:color w:val="000000"/>
                <w:sz w:val="24"/>
              </w:rPr>
              <w:t xml:space="preserve">hòng đăng ký đất đai khu vực Kim Động cấp ngày 10/11/2025 cho Bà Ngô Thị Thanh Nhàn</w:t>
            </w:r>
            <w:r>
              <w:rPr>
                <w:rFonts w:ascii="Times New Roman" w:hAnsi="Times New Roman" w:eastAsia="Times New Roman" w:cs="Times New Roman"/>
                <w:bCs/>
                <w:i/>
                <w:i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2.160.000.000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2.160.000.000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2.160.000.000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sáu mươi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2"/>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2"/>
              <w:pBdr/>
              <w:tabs>
                <w:tab w:val="left" w:leader="none" w:pos="5103"/>
              </w:tabs>
              <w:spacing w:before="100" w:line="360" w:lineRule="auto"/>
              <w:ind/>
              <w:jc w:val="left"/>
              <w:rPr>
                <w:sz w:val="24"/>
                <w:szCs w:val="24"/>
              </w:rPr>
            </w:pPr>
            <w:r>
              <w:rPr>
                <w:sz w:val="24"/>
                <w:szCs w:val="24"/>
              </w:rPr>
            </w:r>
            <w:r>
              <w:rPr>
                <w:rFonts w:ascii="Times New Roman" w:hAnsi="Times New Roman" w:eastAsia="Times New Roman" w:cs="Times New Roman"/>
                <w:color w:val="000000"/>
                <w:sz w:val="24"/>
              </w:rPr>
              <w:t xml:space="preserve">Số:  275/2025/1770/VFI-CT.51.A </w:t>
            </w:r>
            <w:r>
              <w:rPr>
                <w:sz w:val="24"/>
                <w:szCs w:val="24"/>
              </w:rPr>
            </w:r>
            <w:r>
              <w:rPr>
                <w:sz w:val="24"/>
                <w:szCs w:val="24"/>
              </w:rPr>
            </w:r>
          </w:p>
        </w:tc>
        <w:tc>
          <w:tcPr>
            <w:tcBorders/>
            <w:tcW w:w="4781" w:type="dxa"/>
            <w:textDirection w:val="lrTb"/>
            <w:noWrap w:val="false"/>
          </w:tcPr>
          <w:p w14:paraId="4E249833" w14:textId="77777777">
            <w:pPr>
              <w:pStyle w:val="1032"/>
              <w:pBdr/>
              <w:tabs>
                <w:tab w:val="left" w:leader="none" w:pos="5103"/>
              </w:tabs>
              <w:spacing w:before="100" w:line="360" w:lineRule="auto"/>
              <w:ind/>
              <w:jc w:val="right"/>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14:paraId="1C1E2870" w14:textId="207F25D6">
            <w:pPr>
              <w:pStyle w:val="1032"/>
              <w:pBdr/>
              <w:tabs>
                <w:tab w:val="left" w:leader="none" w:pos="5103"/>
              </w:tabs>
              <w:spacing w:before="100" w:line="360" w:lineRule="auto"/>
              <w:ind/>
              <w:jc w:val="right"/>
              <w:rPr>
                <w:i/>
                <w:iCs/>
                <w:sz w:val="24"/>
                <w:szCs w:val="24"/>
              </w:rPr>
            </w:pPr>
            <w:r>
              <w:rPr>
                <w:rStyle w:val="1031"/>
                <w:rFonts w:ascii="Times New Roman" w:hAnsi="Times New Roman"/>
                <w:i/>
                <w:color w:val="auto"/>
              </w:rPr>
              <w:t xml:space="preserve">TP</w:t>
            </w:r>
            <w:r>
              <w:rPr>
                <w:rStyle w:val="1031"/>
                <w:rFonts w:ascii="Times New Roman" w:hAnsi="Times New Roman"/>
                <w:color w:val="auto"/>
              </w:rPr>
              <w:t xml:space="preserve">.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i/>
                <w:iCs/>
                <w:color w:val="000000" w:themeColor="text1"/>
                <w:sz w:val="24"/>
                <w:szCs w:val="24"/>
                <w:lang w:val="pt-BR"/>
              </w:rPr>
              <w:t xml:space="preserve">ngày 11 tháng 12 năm 2025</w:t>
            </w:r>
            <w:r>
              <w:rPr>
                <w:rStyle w:val="1031"/>
                <w:rFonts w:ascii="Times New Roman" w:hAnsi="Times New Roman"/>
                <w:i/>
                <w:color w:val="auto"/>
                <w:lang w:val="vi-VN"/>
              </w:rPr>
              <w:t xml:space="preserve">   </w:t>
            </w:r>
            <w:r>
              <w:rPr>
                <w:rStyle w:val="1031"/>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2"/>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65AD4626">
      <w:pPr>
        <w:pStyle w:val="1012"/>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b w:val="0"/>
          <w:bCs w:val="0"/>
        </w:rPr>
      </w:pPr>
      <w:r>
        <w:rPr>
          <w:rFonts w:ascii="Times New Roman" w:hAnsi="Times New Roman" w:eastAsia="Times New Roman" w:cs="Times New Roman"/>
          <w:b w:val="0"/>
          <w:bCs w:val="0"/>
          <w:i/>
          <w:color w:val="000000"/>
          <w:spacing w:val="-6"/>
          <w:sz w:val="24"/>
        </w:rPr>
        <w:t xml:space="preserve">(Kèm theo Chứng thư thẩm định giá số: </w:t>
      </w:r>
      <w:r>
        <w:rPr>
          <w:rFonts w:ascii="Times New Roman" w:hAnsi="Times New Roman" w:eastAsia="Times New Roman" w:cs="Times New Roman"/>
          <w:b w:val="0"/>
          <w:bCs w:val="0"/>
          <w:i/>
          <w:color w:val="000000"/>
          <w:sz w:val="24"/>
        </w:rPr>
        <w:t xml:space="preserve">275/2025/1770/VFI-CT.51.A </w:t>
      </w:r>
      <w:r>
        <w:rPr>
          <w:rFonts w:ascii="Times New Roman" w:hAnsi="Times New Roman" w:eastAsia="Times New Roman" w:cs="Times New Roman"/>
          <w:b w:val="0"/>
          <w:bCs w:val="0"/>
          <w:i/>
          <w:color w:val="000000"/>
          <w:spacing w:val="-6"/>
          <w:sz w:val="24"/>
        </w:rPr>
        <w:t xml:space="preserve">ngày 11 tháng 12 năm 2025)</w:t>
      </w:r>
      <w:r>
        <w:rPr>
          <w:b w:val="0"/>
          <w:bCs w:val="0"/>
        </w:rPr>
      </w:r>
      <w:r>
        <w:rPr>
          <w:b w:val="0"/>
          <w:bCs w:val="0"/>
        </w:rPr>
      </w:r>
    </w:p>
    <w:p w14:paraId="115F5EC5" w14:textId="3D6167EF">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438"/>
        <w:gridCol w:w="283"/>
        <w:gridCol w:w="6804"/>
      </w:tblGrid>
      <w:tr>
        <w:trPr>
          <w:trHeight w:val="20"/>
        </w:trPr>
        <w:tc>
          <w:tcPr>
            <w:tcBorders/>
            <w:tcMar>
              <w:left w:w="108" w:type="dxa"/>
              <w:top w:w="0" w:type="dxa"/>
              <w:right w:w="108" w:type="dxa"/>
              <w:bottom w:w="0" w:type="dxa"/>
            </w:tcMar>
            <w:tcW w:w="2438" w:type="dxa"/>
            <w:vAlign w:val="center"/>
            <w:textDirection w:val="lrTb"/>
            <w:noWrap w:val="false"/>
          </w:tcPr>
          <w:p w14:paraId="2E4B3953">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3B6AA7A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04" w:type="dxa"/>
            <w:vAlign w:val="center"/>
            <w:textDirection w:val="lrTb"/>
            <w:noWrap w:val="false"/>
          </w:tcPr>
          <w:p w14:paraId="706BA55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BÀ NGÔ THỊ THANH NHÀN</w:t>
            </w:r>
            <w:r/>
          </w:p>
        </w:tc>
      </w:tr>
      <w:tr>
        <w:trPr>
          <w:trHeight w:val="20"/>
        </w:trPr>
        <w:tc>
          <w:tcPr>
            <w:tcBorders/>
            <w:tcMar>
              <w:left w:w="108" w:type="dxa"/>
              <w:top w:w="0" w:type="dxa"/>
              <w:right w:w="108" w:type="dxa"/>
              <w:bottom w:w="0" w:type="dxa"/>
            </w:tcMar>
            <w:tcW w:w="2438" w:type="dxa"/>
            <w:vAlign w:val="center"/>
            <w:textDirection w:val="lrTb"/>
            <w:noWrap w:val="false"/>
          </w:tcPr>
          <w:p w14:paraId="4151E5A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14:paraId="1B961EA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04" w:type="dxa"/>
            <w:vAlign w:val="center"/>
            <w:textDirection w:val="lrTb"/>
            <w:noWrap w:val="false"/>
          </w:tcPr>
          <w:p w14:paraId="0ECBB819">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001177039771</w:t>
            </w:r>
            <w:r/>
          </w:p>
        </w:tc>
      </w:tr>
      <w:tr>
        <w:trPr>
          <w:trHeight w:val="20"/>
        </w:trPr>
        <w:tc>
          <w:tcPr>
            <w:tcBorders/>
            <w:tcMar>
              <w:left w:w="108" w:type="dxa"/>
              <w:top w:w="0" w:type="dxa"/>
              <w:right w:w="108" w:type="dxa"/>
              <w:bottom w:w="0" w:type="dxa"/>
            </w:tcMar>
            <w:tcW w:w="2438" w:type="dxa"/>
            <w:vAlign w:val="center"/>
            <w:textDirection w:val="lrTb"/>
            <w:noWrap w:val="false"/>
          </w:tcPr>
          <w:p w14:paraId="7AB2A05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Ngày, tháng, năm sinh</w:t>
            </w:r>
            <w:r/>
          </w:p>
        </w:tc>
        <w:tc>
          <w:tcPr>
            <w:tcBorders/>
            <w:tcMar>
              <w:left w:w="108" w:type="dxa"/>
              <w:top w:w="0" w:type="dxa"/>
              <w:right w:w="108" w:type="dxa"/>
              <w:bottom w:w="0" w:type="dxa"/>
            </w:tcMar>
            <w:tcW w:w="283" w:type="dxa"/>
            <w:vAlign w:val="center"/>
            <w:textDirection w:val="lrTb"/>
            <w:noWrap w:val="false"/>
          </w:tcPr>
          <w:p w14:paraId="5E984A2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04" w:type="dxa"/>
            <w:vAlign w:val="center"/>
            <w:textDirection w:val="lrTb"/>
            <w:noWrap w:val="false"/>
          </w:tcPr>
          <w:p w14:paraId="0EBCCEF2">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23/08/1977</w:t>
            </w:r>
            <w:r/>
          </w:p>
        </w:tc>
      </w:tr>
      <w:tr>
        <w:trPr>
          <w:trHeight w:val="20"/>
        </w:trPr>
        <w:tc>
          <w:tcPr>
            <w:tcBorders/>
            <w:tcMar>
              <w:left w:w="108" w:type="dxa"/>
              <w:top w:w="0" w:type="dxa"/>
              <w:right w:w="108" w:type="dxa"/>
              <w:bottom w:w="0" w:type="dxa"/>
            </w:tcMar>
            <w:tcW w:w="2438" w:type="dxa"/>
            <w:vAlign w:val="center"/>
            <w:vMerge w:val="restart"/>
            <w:textDirection w:val="lrTb"/>
            <w:noWrap w:val="false"/>
          </w:tcPr>
          <w:p w14:paraId="04BD84DB">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Nơi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vMerge w:val="restart"/>
            <w:textDirection w:val="lrTb"/>
            <w:noWrap w:val="false"/>
          </w:tcPr>
          <w:p w14:paraId="7BAB85E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6804" w:type="dxa"/>
            <w:vAlign w:val="center"/>
            <w:vMerge w:val="restart"/>
            <w:textDirection w:val="lrTb"/>
            <w:noWrap w:val="false"/>
          </w:tcPr>
          <w:p w14:paraId="049BBE1F">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29 ngõ 12 Chùa Bộc, phường Kim Liên, Thành phố Hà Nội</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bl>
    <w:tbl>
      <w:tblPr>
        <w:tblW w:w="9747" w:type="dxa"/>
        <w:tblBorders/>
        <w:tblLayout w:type="fixed"/>
        <w:tblLook w:val="04A0" w:firstRow="1" w:lastRow="0" w:firstColumn="1" w:lastColumn="0" w:noHBand="0" w:noVBand="1"/>
      </w:tblPr>
      <w:tblGrid>
        <w:gridCol w:w="2438"/>
        <w:gridCol w:w="216"/>
        <w:gridCol w:w="7093"/>
      </w:tblGrid>
      <w:tr>
        <w:trPr>
          <w:trHeight w:val="20"/>
        </w:trPr>
        <w:tc>
          <w:tcPr>
            <w:tcBorders/>
            <w:tcW w:w="243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16" w:type="dxa"/>
            <w:vAlign w:val="center"/>
            <w:textDirection w:val="lrTb"/>
            <w:noWrap w:val="false"/>
          </w:tcPr>
          <w:p w14:paraId="40A1E1E9"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7093" w:type="dxa"/>
            <w:vAlign w:val="center"/>
            <w:textDirection w:val="lrTb"/>
            <w:noWrap w:val="false"/>
          </w:tcPr>
          <w:p w14:paraId="4739A15C">
            <w:pPr>
              <w:pBdr/>
              <w:spacing w:after="40" w:before="40" w:line="288" w:lineRule="auto"/>
              <w:ind/>
              <w:jc w:val="both"/>
              <w:rPr>
                <w:b/>
                <w:bCs/>
              </w:rPr>
            </w:pPr>
            <w:r>
              <w:rPr>
                <w:color w:val="000000"/>
              </w:rPr>
              <w:t xml:space="preserve">Qu</w:t>
            </w:r>
            <w:r>
              <w:rPr>
                <w:rFonts w:ascii="Times New Roman" w:hAnsi="Times New Roman" w:eastAsia="Times New Roman" w:cs="Times New Roman"/>
                <w:color w:val="000000"/>
                <w:sz w:val="24"/>
              </w:rPr>
              <w:t xml:space="preserve">yền sử dụng đất tại thửa đất số: 815, tờ bản đồ số: 79 có địa chỉ: Thôn Vĩnh Đồng, Xã Nghĩa Dân, Thành phố Hà Nội theo Giấy chứng nhận quyền sử dụng đất, quyền sở hữu tài sản  gắn liền với đất số: AA 05197061, số vào sổ cấp GCN: CN 1309 do Chi nhánh văn p</w:t>
            </w:r>
            <w:r>
              <w:rPr>
                <w:rFonts w:ascii="Times New Roman" w:hAnsi="Times New Roman" w:eastAsia="Times New Roman" w:cs="Times New Roman"/>
                <w:color w:val="000000"/>
                <w:sz w:val="24"/>
              </w:rPr>
              <w:t xml:space="preserve">hòng đăng ký đất đai khu vực Kim Động cấp ngày 10/11/2025 cho Bà Ngô Thị Thanh Nhàn</w:t>
            </w:r>
            <w:r>
              <w:rPr>
                <w:rFonts w:ascii="Times New Roman" w:hAnsi="Times New Roman" w:eastAsia="Times New Roman" w:cs="Times New Roman"/>
                <w:bCs/>
                <w:i/>
                <w:iCs/>
              </w:rPr>
              <w:t xml:space="preserve">.</w:t>
            </w:r>
            <w:r>
              <w:rPr>
                <w:b/>
                <w:bCs/>
              </w:rPr>
            </w:r>
            <w:r>
              <w:rPr>
                <w:b/>
                <w:bCs/>
              </w:rPr>
            </w:r>
          </w:p>
        </w:tc>
      </w:tr>
      <w:tr>
        <w:trPr>
          <w:trHeight w:val="20"/>
        </w:trPr>
        <w:tc>
          <w:tcPr>
            <w:tcBorders/>
            <w:tcW w:w="243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16" w:type="dxa"/>
            <w:vAlign w:val="center"/>
            <w:textDirection w:val="lrTb"/>
            <w:noWrap w:val="false"/>
          </w:tcPr>
          <w:p w14:paraId="0EEFF1D0"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7093"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43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16" w:type="dxa"/>
            <w:vAlign w:val="center"/>
            <w:textDirection w:val="lrTb"/>
            <w:noWrap w:val="false"/>
          </w:tcPr>
          <w:p w14:paraId="7639A8D8" w14:textId="5B6014CD">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7093"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43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16" w:type="dxa"/>
            <w:vAlign w:val="center"/>
            <w:textDirection w:val="lrTb"/>
            <w:noWrap w:val="false"/>
          </w:tcPr>
          <w:p w14:paraId="5A672FF1"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7093"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43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16" w:type="dxa"/>
            <w:vAlign w:val="center"/>
            <w:textDirection w:val="lrTb"/>
            <w:noWrap w:val="false"/>
          </w:tcPr>
          <w:p w14:paraId="31940EEE" w14:textId="7460E982">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7093"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Vĩnh Đồng, Xã Nghĩa Dân, tỉnh Hưng Yên</w:t>
            </w:r>
            <w:r>
              <w:rPr>
                <w:color w:val="ee0000"/>
                <w:lang w:val="pt-BR"/>
              </w:rPr>
            </w:r>
            <w:r>
              <w:rPr>
                <w:color w:val="ee0000"/>
                <w:lang w:val="pt-BR"/>
              </w:rPr>
            </w:r>
          </w:p>
        </w:tc>
      </w:tr>
      <w:tr>
        <w:trPr>
          <w:trHeight w:val="20"/>
        </w:trPr>
        <w:tc>
          <w:tcPr>
            <w:tcBorders/>
            <w:tcW w:w="243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16" w:type="dxa"/>
            <w:vAlign w:val="center"/>
            <w:textDirection w:val="lrTb"/>
            <w:noWrap w:val="false"/>
          </w:tcPr>
          <w:p w14:paraId="77108DCC" w14:textId="65496ECB">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7093" w:type="dxa"/>
            <w:vAlign w:val="center"/>
            <w:textDirection w:val="lrTb"/>
            <w:noWrap w:val="false"/>
          </w:tcPr>
          <w:p w14:paraId="511CCADD" w14:textId="09D933CE">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20.759737014771, 106.02836608887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43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16" w:type="dxa"/>
            <w:vAlign w:val="center"/>
            <w:textDirection w:val="lrTb"/>
            <w:noWrap w:val="false"/>
          </w:tcPr>
          <w:p w14:paraId="4F4AC9DF" w14:textId="4B76E6D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7093"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05197061, số vào sổ cấp GCN: CN 1309 do Chi nhánh văn p</w:t>
      </w:r>
      <w:r>
        <w:rPr>
          <w:rFonts w:ascii="Times New Roman" w:hAnsi="Times New Roman" w:eastAsia="Times New Roman" w:cs="Times New Roman"/>
          <w:color w:val="000000"/>
          <w:sz w:val="24"/>
        </w:rPr>
        <w:t xml:space="preserve">hòng đăng ký đất đai khu vực Kim Động cấp ngày 10/11/2025 cho Bà Ngô Thị Thanh Nhàn</w:t>
      </w:r>
      <w:r>
        <w:rPr>
          <w:rFonts w:ascii="Times New Roman" w:hAnsi="Times New Roman" w:eastAsia="Times New Roman" w:cs="Times New Roman"/>
          <w:bCs/>
          <w:i/>
          <w:iCs/>
        </w:rPr>
        <w:t xml:space="preserve">.</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69759159">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275/2025/1770/VFI-HĐTĐ.51.A  ký ngày 11/12/2025 giữa </w:t>
      </w:r>
      <w:r>
        <w:rPr>
          <w:rFonts w:ascii="Times New Roman" w:hAnsi="Times New Roman" w:eastAsia="Times New Roman" w:cs="Times New Roman"/>
          <w:b w:val="0"/>
          <w:bCs w:val="0"/>
          <w:color w:val="000000"/>
          <w:spacing w:val="-4"/>
          <w:sz w:val="24"/>
        </w:rPr>
        <w:t xml:space="preserve">Bà Ngô Thị Thanh Nhàn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rPr>
        <w:t xml:space="preserve">với Công ty Cổ phần Thẩm định và Đầu tư Tài chính Hoa Sen;</w:t>
      </w:r>
      <w:r/>
    </w:p>
    <w:p w14:paraId="07514F12">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sz w:val="24"/>
        </w:rPr>
      </w: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22BF924">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bCs/>
          <w:i/>
          <w:iCs/>
          <w:lang w:val="pt-BR"/>
        </w:rPr>
      </w:r>
      <w:r>
        <w:rPr>
          <w:rFonts w:ascii="Times New Roman" w:hAnsi="Times New Roman" w:eastAsia="Times New Roman" w:cs="Times New Roman"/>
          <w:color w:val="000000"/>
          <w:sz w:val="24"/>
        </w:rPr>
        <w:t xml:space="preserve">Hưng Yên là tỉnh cửa ngõ phía Đông Nam của Thủ đô, nằm ở tả ngạn sông Hồng, thuộc Đồng bằng Bắc Bộ và nằm trong vùng tam giác kinh tế trọng điểm Hà Nội - Hải Phòng - Quảng Ninh.</w:t>
      </w:r>
      <w:r/>
    </w:p>
    <w:p w14:paraId="407AEBE9">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Dữ liệu mới công bố của Batdongsan.com.vn ghi nhận, trong quý II/2025, Hưng Yên là thị trường đất nền sáng giá ở khu vực phía Bắc với mức tăng trưởng giá đạt 75% so với quý I/2023.</w:t>
      </w:r>
      <w:r/>
    </w:p>
    <w:p w14:paraId="6C755AB5">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Tại xã Văn Giang (sáp nhập từ thị trấn Văn Giang, xã Liên Nghĩa và xã Tân Tiến cũ), so với hồi đầu năm, giá những lô đất thuộc khu vực vòng xuyến Văn Giang đã tăng từ mức 125 - 150 triệu/m2 lên khoảng 135 - 160 triệu/m2.</w:t>
      </w:r>
      <w:r/>
    </w:p>
    <w:p w14:paraId="733FF6BE">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Ở vị trí kém đẹp hơn, giá những lô đất mặt tiền thuộc trục đường chính có thể kinh doanh thuộc xã Văn Giang đạt 65 - 78 triệu/m2, thay cho mức 50 - 60 triệu/m2 của đầu năm.</w:t>
      </w:r>
      <w:r/>
    </w:p>
    <w:p w14:paraId="6F9845E1">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Cùng biên độ thời gian, giá đất nền thuộc các khu vực Phụng Công, Xuân Cao và Cửu Cao (cũ) tăng từ mức 40 - 55 triệu/m2 lên 44 - 58 triệu/m2.</w:t>
      </w:r>
      <w:r/>
    </w:p>
    <w:p w14:paraId="702507D9">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Ngoài đất thổ cư thì đất dịch vụ tại xã Văn Giang cũng tăng giá, từ mức 78 - 120 triệu/m2 lên 84 - 126 triệu/m2. Những lô có vị trí không sầm uất cũng tăng trung bình từ 3 - 5 triệu/m2 so với cuối năm ngoái, hiện dao động 40 - 55 triệu/m2.</w:t>
      </w:r>
      <w:r/>
    </w:p>
    <w:p w14:paraId="04750737">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Tại khu vực TP Hưng Yên cũ, đất có thể kinh doanh tại đường Lương Định Của, Tạ Quang Bửu, Tôn Thất Tùng (phường Phố Hiến) tăng giá từ mức 30 - 35 triệu/m2 lên 33 - 38 triệu/m2.</w:t>
      </w:r>
      <w:r/>
    </w:p>
    <w:p w14:paraId="03F85BEF">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Đất kinh doanh, buôn bán tại đường An Vũ, Nguyễn Biểu, Nguyễn Văn Linh (phường Hiến Nam cũ) tăng giá từ mức 26 - 32 triệu/m2 lên 28 - 35 triệu/m2. Đất mặt đường Huỳnh Thúc Kháng (phường Sơn Nan) được chào bán từ 33 - 36 triệu đồng/m2, tăng khoảng 10% so vớ</w:t>
      </w:r>
      <w:r>
        <w:rPr>
          <w:rFonts w:ascii="Times New Roman" w:hAnsi="Times New Roman" w:eastAsia="Times New Roman" w:cs="Times New Roman"/>
          <w:color w:val="000000"/>
          <w:sz w:val="24"/>
        </w:rPr>
        <w:t xml:space="preserve">i 3 tháng trước. Một số lô đất đẹp có giá bán dao động 44 - 47 triệu/m2.</w:t>
      </w:r>
      <w:r/>
    </w:p>
    <w:p w14:paraId="06A43802">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Như vậy, giá đất nền nhiều nơi ở Hưng Yên tiếp tục có xu hướng đi lên trong quý II.</w:t>
      </w:r>
      <w:r/>
    </w:p>
    <w:p w14:paraId="6D43B0D0">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Trước đó vào quý I, theo báo cáo của Bộ Xây dựng, tại Hưng Yên đã xảy ra hiện tượng sốt đất nền cục bộ (cùng với một số địa phương khác như Bắc Ninh, Phú Thọ, Ninh Bình, Hưng Yên, Hải Phòng, Đồng Nai...). Giá đất nền tại đây tăng nhanh trước thông tin sáp </w:t>
      </w:r>
      <w:r>
        <w:rPr>
          <w:rFonts w:ascii="Times New Roman" w:hAnsi="Times New Roman" w:eastAsia="Times New Roman" w:cs="Times New Roman"/>
          <w:color w:val="000000"/>
          <w:sz w:val="24"/>
        </w:rPr>
        <w:t xml:space="preserve">nhập tỉnh thành và sắp xếp lại đơn vị hành chính mới. Các giao dịch trong thời gian này chủ yếu là giao dịch đầu cơ.</w:t>
      </w:r>
      <w:r/>
    </w:p>
    <w:p w14:paraId="60C5B316">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Dữ liệu của Batdongsan.con.vn cũng ghi nhận trong quý I, Hưng Yên thuộc top đầu những tỉnh có lượng người tìm kiếm thông tin nhà đất nhiều nhất trên cả nước.</w:t>
      </w:r>
      <w:r/>
    </w:p>
    <w:p w14:paraId="505E63BB">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Trên thực tế, Hưng Yên đang trở thành điểm sáng trên bản đồ bất động sản phía Bắc khi liên tục đón những dự án mới của các ông lớn trong thời gian gần đây.</w:t>
      </w:r>
      <w:r/>
    </w:p>
    <w:p w14:paraId="20FA9120">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Tháng 7, UBND tỉnh đã duyệt CTCP Phát triển Khu đô thị xanh là nhà đầu tư Phân khu A, Khu đô thị phía Bắc quốc lộ 5 thuộc Khu đô thị Phố Nối (quy mô 262 ha, tổng vốn gần 35.000 tỷ, tương đương 1,3 tỷ USD). Người đại diện pháp luật là ông Nguyễn Kiên Cường,</w:t>
      </w:r>
      <w:r>
        <w:rPr>
          <w:rFonts w:ascii="Times New Roman" w:hAnsi="Times New Roman" w:eastAsia="Times New Roman" w:cs="Times New Roman"/>
          <w:color w:val="000000"/>
          <w:sz w:val="24"/>
        </w:rPr>
        <w:t xml:space="preserve"> vị này đang đồng thời đứng tên tại CTCP Xây dựng và Phát triển Đô thị Hòa Phát - thành viên Tập đoàn Hòa Phát (mã: HPG).</w:t>
      </w:r>
      <w:r/>
    </w:p>
    <w:p w14:paraId="0E1597FD">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Ngày 21/5, Tổng công ty Phát triển Đô thị Kinh Bắc (mã: KBC) đã khởi công Khu phức hợp đô thị, du lịch sinh thái và sân golf Khoái Châu, tên thương mại là Trump International Hung Yen (990 ha, 39.800 tỷ, tức khoảng 1,5 tỷ USD).</w:t>
      </w:r>
      <w:r/>
    </w:p>
    <w:p w14:paraId="500D85FD">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Đây là dự án nằm trong khuôn khổ hợp tác chiến lược giữa The Trump Organization (tập đoàn của gia đình Tổng thống Mỹ Donald Trump và CTCP Tập đoàn Đầu tư và Phát triển Hưng Yên (thành viên Kinh Bắc).</w:t>
      </w:r>
      <w:r/>
    </w:p>
    <w:p w14:paraId="3AD742C9">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Cũng trong tháng này, HĐQT CTCP Phát triển Sunshine Homes đã thông qua nghị quyết về việc sẽ mua Công ty Xuất nhập khẩu Thanh Xuân để triển khai một phần Khu đô thị nhà vườn sinh thái Alluvia City của Xuân Cầu Holdings. Phần diện tích mà Sunshine Homes và </w:t>
      </w:r>
      <w:r>
        <w:rPr>
          <w:rFonts w:ascii="Times New Roman" w:hAnsi="Times New Roman" w:eastAsia="Times New Roman" w:cs="Times New Roman"/>
          <w:color w:val="000000"/>
          <w:sz w:val="24"/>
        </w:rPr>
        <w:t xml:space="preserve">các bên liên quan thực hiện có quy mô gần 55 ha.</w:t>
      </w:r>
      <w:r/>
    </w:p>
    <w:p w14:paraId="59D96C66">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Trước đó vào ngày 8/3, Xuân Cầu Holdings đã khởi công dự án Alluvia City (198 ha, hơn 31.000 tỷ, tương đương khoảng 1,2 tỷ USD). Theo quy hoạch, công trình nằm hai bên tuyến đường vành đai 3,5 - Vùng Thủ đô, ở đầu cầu Ngọc Hồi.</w:t>
      </w:r>
      <w:r/>
    </w:p>
    <w:p w14:paraId="164694EA">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Ngoài ra vừa qua Hưng Yên đã hợp nhất với tỉnh Thái Bình cũ, lấy tên mới là Hưng Yên. Qua đó giúp mở rộng quỹ đất, diện tích tự nhiên sau sáp nhập của địa phương đạt 2.515 km2.</w:t>
      </w:r>
      <w:r/>
    </w:p>
    <w:p w14:paraId="09A7898C">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Tại ĐHĐCĐ thường niên năm 2025 của CTCP Damsan (mã: ADS), ban lãnh đạo doanh nghiệp thông tin năm nay lên kế hoạch đầu tư dự án NOXH thuộc Khu dân cư xã Phú Xuân (quy mô hai tòa nhà cao 15 tầng, tổng vốn dự kiến 690 tỷ), đấu thầu CCN Vũ Vân (920 tỷ), xây 1</w:t>
      </w:r>
      <w:r>
        <w:rPr>
          <w:rFonts w:ascii="Times New Roman" w:hAnsi="Times New Roman" w:eastAsia="Times New Roman" w:cs="Times New Roman"/>
          <w:color w:val="000000"/>
          <w:sz w:val="24"/>
        </w:rPr>
        <w:t xml:space="preserve">00.000 - 150.000 m2 nhà xưởng cho thuê tại các CCN Ninh An, An Ninh, Vũ Ninh (700 tỷ)... tại khu vực Thái Bình cũ.</w:t>
      </w:r>
      <w:r/>
    </w:p>
    <w:p w14:paraId="52705B9B">
      <w:pPr>
        <w:numPr>
          <w:ilvl w:val="0"/>
          <w:numId w:val="40"/>
        </w:numPr>
        <w:pBdr>
          <w:top w:val="none" w:color="000000" w:sz="4" w:space="0"/>
          <w:left w:val="none" w:color="000000" w:sz="4" w:space="0"/>
          <w:bottom w:val="none" w:color="000000" w:sz="4" w:space="0"/>
          <w:right w:val="none" w:color="000000" w:sz="4" w:space="0"/>
        </w:pBdr>
        <w:tabs>
          <w:tab w:val="left" w:leader="none" w:pos="450"/>
        </w:tabs>
        <w:spacing w:after="120" w:before="120" w:line="380" w:lineRule="atLeast"/>
        <w:ind w:right="0" w:firstLine="0" w:left="0"/>
        <w:jc w:val="both"/>
        <w:rPr/>
      </w:pPr>
      <w:r>
        <w:rPr>
          <w:rFonts w:ascii="Times New Roman" w:hAnsi="Times New Roman" w:eastAsia="Times New Roman" w:cs="Times New Roman"/>
          <w:color w:val="000000"/>
          <w:sz w:val="24"/>
        </w:rPr>
        <w:t xml:space="preserve">Hay hồi tháng 6, CTCP Central City Development Thái Bình đã công bố báo cáo đánh giá tác động môi trường (ĐTM) cho dự án phát triển nhà ở Khu đô thị mới Kiến Giang (96 ha, 9.686 tỷ) tại TP Thái Bình cũ. Tại đây sẽ xây 858 căn nhà ở liền kề cao tối đa 4 tần</w:t>
      </w:r>
      <w:r>
        <w:rPr>
          <w:rFonts w:ascii="Times New Roman" w:hAnsi="Times New Roman" w:eastAsia="Times New Roman" w:cs="Times New Roman"/>
          <w:color w:val="000000"/>
          <w:sz w:val="24"/>
        </w:rPr>
        <w:t xml:space="preserve">g, 544 căn biệt thự cao tối đa 3 tầng, nhà ở xã hội cao 15 tầng, bố trí 5 lô đất xây chung cư cao tối đa 25 tầng...</w:t>
      </w:r>
      <w:r/>
    </w:p>
    <w:p w14:paraId="2DF4BD32">
      <w:pPr>
        <w:pStyle w:val="1033"/>
        <w:numPr>
          <w:ilvl w:val="0"/>
          <w:numId w:val="41"/>
        </w:numPr>
        <w:pBdr/>
        <w:tabs>
          <w:tab w:val="left" w:leader="none" w:pos="450"/>
        </w:tabs>
        <w:spacing w:after="120" w:before="120" w:line="276" w:lineRule="auto"/>
        <w:ind w:right="0" w:firstLine="0" w:left="0"/>
        <w:jc w:val="both"/>
        <w:rPr>
          <w:bCs/>
          <w:i/>
          <w:lang w:val="pt-BR"/>
        </w:rPr>
      </w:pPr>
      <w:r>
        <w:rPr>
          <w:rFonts w:ascii="Times New Roman" w:hAnsi="Times New Roman" w:eastAsia="Times New Roman" w:cs="Times New Roman"/>
          <w:color w:val="000000"/>
          <w:sz w:val="24"/>
        </w:rPr>
        <w:t xml:space="preserve">Trước đó vào năm ngoái, liên danh gồm 4 doanh nghiệp đã được chấp thuận là nhà đầu tư Khu đô thị mới Kiến Giang. Trong số này có công ty TNHH Daewoo Engineering &amp; Construction Việt Nam (Daewoo E&amp;C Vina), công ty TNHH Phát triển THT (thành viên Daewoo E&amp;C V</w:t>
      </w:r>
      <w:r>
        <w:rPr>
          <w:rFonts w:ascii="Times New Roman" w:hAnsi="Times New Roman" w:eastAsia="Times New Roman" w:cs="Times New Roman"/>
          <w:color w:val="000000"/>
          <w:sz w:val="24"/>
        </w:rPr>
        <w:t xml:space="preserve">ina, chủ đầu tư Khu đô thị Tây Hồ Tây (Starlake) ở Hà Nội).</w:t>
      </w:r>
      <w:r>
        <w:rPr>
          <w:bCs/>
          <w:i/>
          <w:lang w:val="pt-BR"/>
        </w:rPr>
      </w:r>
      <w:r>
        <w:rPr>
          <w:bCs/>
          <w:i/>
          <w:lang w:val="pt-BR"/>
        </w:rPr>
      </w:r>
    </w:p>
    <w:p w14:paraId="4105ED15">
      <w:pPr>
        <w:pBdr/>
        <w:tabs>
          <w:tab w:val="left" w:leader="none" w:pos="450"/>
        </w:tabs>
        <w:spacing w:after="120" w:before="120" w:line="276" w:lineRule="auto"/>
        <w:ind w:right="0" w:firstLine="0" w:left="0"/>
        <w:jc w:val="center"/>
        <w:rPr>
          <w:bCs/>
          <w:i/>
        </w:rPr>
      </w:pPr>
      <w:r>
        <w:rPr>
          <w:rFonts w:ascii="Times New Roman" w:hAnsi="Times New Roman" w:eastAsia="Times New Roman" w:cs="Times New Roman"/>
          <w:i/>
          <w:iCs/>
          <w:color w:val="000000"/>
          <w:sz w:val="24"/>
          <w:highlight w:val="none"/>
          <w:lang w:val="pt-BR" w:bidi="pt-BR"/>
        </w:rPr>
        <w:t xml:space="preserve">(</w:t>
      </w:r>
      <w:r>
        <w:rPr>
          <w:rFonts w:ascii="Times New Roman" w:hAnsi="Times New Roman" w:eastAsia="Times New Roman" w:cs="Times New Roman"/>
          <w:i/>
          <w:iCs/>
          <w:color w:val="000000"/>
          <w:sz w:val="24"/>
          <w:highlight w:val="none"/>
          <w:lang w:val="pt-BR" w:bidi="pt-BR"/>
        </w:rPr>
        <w:t xml:space="preserve">https://doanhnhanvn.vn/sau-con-sot-sap-nhap-dat-hung-yen-lai-tang-gia-theo-su-do-bo-cua-kinh-bac-hoa-phat.html</w:t>
      </w:r>
      <w:r>
        <w:rPr>
          <w:rFonts w:ascii="Times New Roman" w:hAnsi="Times New Roman" w:eastAsia="Times New Roman" w:cs="Times New Roman"/>
          <w:i/>
          <w:iCs/>
          <w:color w:val="000000"/>
          <w:sz w:val="24"/>
          <w:highlight w:val="none"/>
          <w:lang w:val="pt-BR" w:bidi="pt-BR"/>
        </w:rPr>
        <w:t xml:space="preserve">)</w:t>
      </w:r>
      <w:r>
        <w:rPr>
          <w:bCs/>
          <w:i/>
        </w:rPr>
      </w:r>
      <w:r>
        <w:rPr>
          <w:bCs/>
          <w:i/>
        </w:rPr>
      </w:r>
    </w:p>
    <w:p w14:paraId="20BF0D54" w14:textId="312C63AB">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976"/>
        <w:gridCol w:w="1811"/>
        <w:gridCol w:w="2126"/>
        <w:gridCol w:w="2007"/>
      </w:tblGrid>
      <w:tr>
        <w:trPr>
          <w:trHeight w:val="20"/>
        </w:trPr>
        <w:tc>
          <w:tcPr>
            <w:tcBorders/>
            <w:tcW w:w="595"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920" w:type="dxa"/>
            <w:vAlign w:val="center"/>
            <w:textDirection w:val="lrTb"/>
            <w:noWrap w:val="false"/>
          </w:tcPr>
          <w:p w14:paraId="5E5F98D6">
            <w:pPr>
              <w:pBdr/>
              <w:spacing w:after="40" w:before="40" w:line="288" w:lineRule="auto"/>
              <w:ind/>
              <w:jc w:val="both"/>
              <w:rPr>
                <w:b/>
                <w:bCs/>
              </w:rPr>
            </w:pPr>
            <w:r>
              <w:rPr>
                <w:b/>
                <w:bCs/>
                <w:color w:val="000000"/>
              </w:rPr>
            </w:r>
            <w:r>
              <w:rPr>
                <w:b/>
                <w:bCs/>
                <w:color w:val="000000"/>
              </w:rPr>
              <w:t xml:space="preserve">Qu</w:t>
            </w:r>
            <w:r>
              <w:rPr>
                <w:rFonts w:ascii="Times New Roman" w:hAnsi="Times New Roman" w:eastAsia="Times New Roman" w:cs="Times New Roman"/>
                <w:b/>
                <w:bCs/>
                <w:color w:val="000000"/>
                <w:sz w:val="24"/>
              </w:rPr>
              <w:t xml:space="preserve">yền sử dụng đất tại thửa đất số: 815, tờ bản đồ số: 79 có địa chỉ: Thôn Vĩnh Đồng, Xã Nghĩa Dân, Thành phố Hà Nội theo Giấy chứng nhận quyền sử dụng đất, quyền sở hữu tài sản  gắn liền với đất số: AA 05197061, số vào sổ cấp GCN: CN 1309 do Chi nhánh văn p</w:t>
            </w:r>
            <w:r>
              <w:rPr>
                <w:rFonts w:ascii="Times New Roman" w:hAnsi="Times New Roman" w:eastAsia="Times New Roman" w:cs="Times New Roman"/>
                <w:b/>
                <w:bCs/>
                <w:color w:val="000000"/>
                <w:sz w:val="24"/>
              </w:rPr>
              <w:t xml:space="preserve">hòng đăng ký đất đai khu vực Kim Động cấp ngày 10/11/2025 cho Bà Ngô Thị Thanh Nhàn</w:t>
            </w:r>
            <w:r>
              <w:rPr>
                <w:rFonts w:ascii="Times New Roman" w:hAnsi="Times New Roman" w:eastAsia="Times New Roman" w:cs="Times New Roman"/>
                <w:b/>
                <w:bCs/>
                <w:i/>
                <w:iCs/>
              </w:rPr>
              <w:t xml:space="preserve">.</w:t>
            </w:r>
            <w:r>
              <w:rPr>
                <w:b/>
                <w:bCs/>
              </w:rPr>
            </w:r>
            <w:r>
              <w:rPr>
                <w:b/>
                <w:bCs/>
              </w:rPr>
            </w:r>
          </w:p>
        </w:tc>
      </w:tr>
      <w:tr>
        <w:trPr>
          <w:trHeight w:val="20"/>
        </w:trPr>
        <w:tc>
          <w:tcPr>
            <w:tcBorders/>
            <w:tcW w:w="595"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920"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595"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1811" w:type="dxa"/>
            <w:vAlign w:val="center"/>
            <w:textDirection w:val="lrTb"/>
            <w:noWrap w:val="false"/>
          </w:tcPr>
          <w:p w14:paraId="5B848F9F" w14:textId="5A84DF19">
            <w:pPr>
              <w:pBdr/>
              <w:spacing/>
              <w:ind/>
              <w:jc w:val="center"/>
              <w:rPr>
                <w:color w:val="000000"/>
              </w:rPr>
            </w:pPr>
            <w:r>
              <w:rPr>
                <w:color w:val="000000" w:themeColor="text1"/>
              </w:rPr>
              <w:t xml:space="preserve">815</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79</w:t>
            </w:r>
            <w:r>
              <w:rPr>
                <w:color w:val="ee0000"/>
              </w:rPr>
            </w:r>
            <w:r>
              <w:rPr>
                <w:color w:val="ee0000"/>
              </w:rPr>
            </w:r>
          </w:p>
        </w:tc>
      </w:tr>
      <w:tr>
        <w:trPr>
          <w:trHeight w:val="20"/>
        </w:trPr>
        <w:tc>
          <w:tcPr>
            <w:tcBorders/>
            <w:tcW w:w="595"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5944" w:type="dxa"/>
            <w:vAlign w:val="center"/>
            <w:textDirection w:val="lrTb"/>
            <w:noWrap w:val="false"/>
          </w:tcPr>
          <w:p w14:paraId="2500C91E" w14:textId="05641D6E">
            <w:pPr>
              <w:pBdr/>
              <w:spacing/>
              <w:ind/>
              <w:jc w:val="both"/>
              <w:rPr>
                <w:color w:val="000000"/>
              </w:rPr>
            </w:pPr>
            <w:r>
              <w:rPr>
                <w:color w:val="000000"/>
              </w:rPr>
              <w:t xml:space="preserve">Thôn Vĩnh Đồng, Xã Nghĩa Dân, tỉnh Hưng Yên</w:t>
            </w:r>
            <w:r>
              <w:rPr>
                <w:color w:val="000000"/>
              </w:rPr>
            </w:r>
            <w:r>
              <w:rPr>
                <w:color w:val="000000"/>
              </w:rPr>
            </w:r>
          </w:p>
        </w:tc>
      </w:tr>
      <w:tr>
        <w:trPr>
          <w:trHeight w:val="20"/>
        </w:trPr>
        <w:tc>
          <w:tcPr>
            <w:tcBorders/>
            <w:tcW w:w="595"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1811" w:type="dxa"/>
            <w:vAlign w:val="center"/>
            <w:textDirection w:val="lrTb"/>
            <w:noWrap w:val="false"/>
          </w:tcPr>
          <w:p w14:paraId="04BBE80E" w14:textId="62BF6733">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595"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1811"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595"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5944"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rPr>
                <w:color w:val="000000"/>
              </w:rPr>
            </w:r>
            <w:r>
              <w:rPr>
                <w:color w:val="000000"/>
              </w:rPr>
            </w:r>
          </w:p>
        </w:tc>
      </w:tr>
      <w:tr>
        <w:trPr>
          <w:trHeight w:val="20"/>
        </w:trPr>
        <w:tc>
          <w:tcPr>
            <w:tcBorders/>
            <w:tcW w:w="595"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920"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595"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920"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595"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316313C5" w14:textId="77777777">
            <w:pPr>
              <w:pBdr/>
              <w:spacing/>
              <w:ind/>
              <w:jc w:val="both"/>
              <w:rPr>
                <w:color w:val="000000"/>
              </w:rPr>
            </w:pPr>
            <w:r>
              <w:rPr>
                <w:color w:val="000000"/>
              </w:rPr>
              <w:t xml:space="preserve">Đường tiếp giáp chính:</w:t>
            </w:r>
            <w:r>
              <w:rPr>
                <w:color w:val="000000"/>
              </w:rPr>
            </w:r>
            <w:r>
              <w:rPr>
                <w:color w:val="000000"/>
              </w:rPr>
            </w:r>
          </w:p>
        </w:tc>
        <w:tc>
          <w:tcPr>
            <w:tcBorders/>
            <w:tcW w:w="1811" w:type="dxa"/>
            <w:vAlign w:val="center"/>
            <w:textDirection w:val="lrTb"/>
            <w:noWrap w:val="false"/>
          </w:tcPr>
          <w:p w14:paraId="40FA449B" w14:textId="626514CB">
            <w:pPr>
              <w:pBdr/>
              <w:spacing/>
              <w:ind/>
              <w:jc w:val="center"/>
              <w:rPr>
                <w:color w:val="000000"/>
              </w:rPr>
            </w:pPr>
            <w:r>
              <w:rPr>
                <w:color w:val="000000"/>
              </w:rPr>
              <w:t xml:space="preserve">Đường nhựa </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595"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1811" w:type="dxa"/>
            <w:vAlign w:val="center"/>
            <w:textDirection w:val="lrTb"/>
            <w:noWrap w:val="false"/>
          </w:tcPr>
          <w:p w14:paraId="478E64B2" w14:textId="1EF759FC">
            <w:pPr>
              <w:pBdr/>
              <w:spacing/>
              <w:ind/>
              <w:jc w:val="center"/>
              <w:rPr>
                <w:color w:val="000000"/>
              </w:rPr>
            </w:pPr>
            <w:r>
              <w:rPr>
                <w:color w:val="000000" w:themeColor="text1"/>
              </w:rPr>
              <w:t xml:space="preserve">18.93</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18.93</w:t>
            </w:r>
            <w:r>
              <w:rPr>
                <w:color w:val="000000"/>
              </w:rPr>
            </w:r>
            <w:r>
              <w:rPr>
                <w:color w:val="000000"/>
              </w:rPr>
            </w:r>
          </w:p>
        </w:tc>
      </w:tr>
      <w:tr>
        <w:trPr>
          <w:trHeight w:val="20"/>
        </w:trPr>
        <w:tc>
          <w:tcPr>
            <w:tcBorders/>
            <w:tcW w:w="595"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78255039" w14:textId="7009D7CA">
            <w:pPr>
              <w:pBdr/>
              <w:spacing/>
              <w:ind/>
              <w:jc w:val="both"/>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5944" w:type="dxa"/>
            <w:vAlign w:val="center"/>
            <w:textDirection w:val="lrTb"/>
            <w:noWrap w:val="false"/>
          </w:tcPr>
          <w:p w14:paraId="4A838002" w14:textId="4079FCA5">
            <w:pPr>
              <w:pBdr/>
              <w:tabs>
                <w:tab w:val="left" w:leader="none" w:pos="536"/>
              </w:tabs>
              <w:spacing/>
              <w:ind/>
              <w:jc w:val="both"/>
              <w:rPr>
                <w:color w:val="000000"/>
              </w:rPr>
            </w:pPr>
            <w:r>
              <w:rPr>
                <w:color w:val="000000"/>
              </w:rPr>
              <w:t xml:space="preserve">Tài sản nằm tiếp giáp đường DH73 khoảng 500m</w:t>
            </w:r>
            <w:r>
              <w:rPr>
                <w:color w:val="000000"/>
              </w:rPr>
            </w:r>
            <w:r>
              <w:rPr>
                <w:color w:val="000000"/>
              </w:rPr>
            </w:r>
          </w:p>
        </w:tc>
      </w:tr>
      <w:tr>
        <w:trPr>
          <w:trHeight w:val="20"/>
        </w:trPr>
        <w:tc>
          <w:tcPr>
            <w:tcBorders/>
            <w:tcW w:w="595"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5944" w:type="dxa"/>
            <w:vAlign w:val="center"/>
            <w:textDirection w:val="lrTb"/>
            <w:noWrap w:val="false"/>
          </w:tcPr>
          <w:p w14:paraId="3D4FCA9C" w14:textId="0B548AE7">
            <w:pPr>
              <w:pBdr/>
              <w:spacing/>
              <w:ind/>
              <w:rPr>
                <w:color w:val="000000" w:themeColor="text1"/>
                <w:highlight w:val="none"/>
              </w:rPr>
            </w:pPr>
            <w:r/>
            <w:bookmarkStart w:id="3" w:name="OLE_LINK1"/>
            <w:r>
              <w:rPr>
                <w:color w:val="000000" w:themeColor="text1"/>
              </w:rPr>
            </w:r>
            <w:bookmarkEnd w:id="3"/>
            <w:r>
              <w:rPr>
                <w:color w:val="000000" w:themeColor="text1"/>
              </w:rPr>
              <w:t xml:space="preserve">-Hướng Đông Nam tiếp giáp với đường giao thông</w:t>
            </w:r>
            <w:r>
              <w:rPr>
                <w:color w:val="000000" w:themeColor="text1"/>
                <w:highlight w:val="none"/>
              </w:rPr>
            </w:r>
            <w:r>
              <w:rPr>
                <w:color w:val="000000" w:themeColor="text1"/>
                <w:highlight w:val="none"/>
              </w:rPr>
            </w:r>
          </w:p>
          <w:p w14:paraId="750FB6B3">
            <w:pPr>
              <w:pBdr/>
              <w:spacing/>
              <w:ind w:firstLine="0" w:left="0"/>
              <w:rPr>
                <w:color w:val="000000" w:themeColor="text1"/>
              </w:rPr>
            </w:pPr>
            <w:r>
              <w:rPr>
                <w:color w:val="000000" w:themeColor="text1"/>
                <w:highlight w:val="none"/>
              </w:rPr>
            </w:r>
            <w:r>
              <w:rPr>
                <w:rFonts w:ascii="Times New Roman" w:hAnsi="Times New Roman" w:eastAsia="Times New Roman" w:cs="Times New Roman"/>
                <w:color w:val="000000"/>
                <w:sz w:val="24"/>
              </w:rPr>
              <w:t xml:space="preserve">- Các hướng khác: tiếp giáp các thửa đất khác</w:t>
            </w:r>
            <w:r>
              <w:rPr>
                <w:color w:val="000000" w:themeColor="text1"/>
              </w:rPr>
            </w:r>
            <w:r>
              <w:rPr>
                <w:color w:val="000000" w:themeColor="text1"/>
              </w:rPr>
            </w:r>
          </w:p>
        </w:tc>
      </w:tr>
      <w:tr>
        <w:trPr>
          <w:trHeight w:val="20"/>
        </w:trPr>
        <w:tc>
          <w:tcPr>
            <w:tcBorders/>
            <w:tcW w:w="595"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920"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20.759737014771</w:t>
            </w:r>
            <w:r>
              <w:rPr>
                <w:color w:val="000000"/>
              </w:rPr>
              <w:t xml:space="preserve">, </w:t>
            </w:r>
            <w:r>
              <w:rPr>
                <w:color w:val="000000"/>
              </w:rPr>
              <w:t xml:space="preserve">106.02836608887</w:t>
            </w:r>
            <w:r>
              <w:rPr>
                <w:color w:val="000000"/>
              </w:rPr>
              <w:t xml:space="preserve">)</w:t>
            </w:r>
            <w:r>
              <w:rPr>
                <w:color w:val="000000"/>
              </w:rPr>
            </w:r>
            <w:r>
              <w:rPr>
                <w:color w:val="000000"/>
              </w:rPr>
            </w:r>
          </w:p>
        </w:tc>
      </w:tr>
      <w:tr>
        <w:trPr>
          <w:trHeight w:val="20"/>
        </w:trPr>
        <w:tc>
          <w:tcPr>
            <w:tcBorders/>
            <w:tcW w:w="595"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920"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68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68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67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595"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920"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595"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1811" w:type="dxa"/>
            <w:vAlign w:val="center"/>
            <w:textDirection w:val="lrTb"/>
            <w:noWrap w:val="false"/>
          </w:tcPr>
          <w:p w14:paraId="3727A96B" w14:textId="5D0D3DCE">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595"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1811" w:type="dxa"/>
            <w:vAlign w:val="center"/>
            <w:textDirection w:val="lrTb"/>
            <w:noWrap w:val="false"/>
          </w:tcPr>
          <w:p w14:paraId="70564D34" w14:textId="5F84B402">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595"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1811"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595"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920"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595"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5944"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595"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5944"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595"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1811"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595"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976"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1811"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595"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920" w:type="dxa"/>
            <w:vAlign w:val="center"/>
            <w:textDirection w:val="lrTb"/>
            <w:noWrap w:val="false"/>
          </w:tcPr>
          <w:p w14:paraId="5EB2FE48" w14:textId="77777777">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Vĩnh Đồng, Xã Nghĩa Dân, tỉnh Hưng Yên ✔</w:t>
            </w:r>
            <w:r/>
          </w:p>
        </w:tc>
        <w:tc>
          <w:tcPr>
            <w:tcBorders/>
            <w:tcW w:w="1605" w:type="dxa"/>
            <w:vAlign w:val="center"/>
            <w:textDirection w:val="lrTb"/>
            <w:noWrap w:val="false"/>
          </w:tcPr>
          <w:p w14:paraId="2592EFFF">
            <w:pPr>
              <w:pBdr/>
              <w:spacing/>
              <w:ind/>
              <w:jc w:val="center"/>
              <w:rPr/>
            </w:pPr>
            <w:r>
              <w:t xml:space="preserve">Thôn Vĩnh Đồng, Xã Nghĩa Dân, tỉnh Hưng Yên ✔</w:t>
            </w:r>
            <w:r/>
          </w:p>
        </w:tc>
        <w:tc>
          <w:tcPr>
            <w:tcBorders/>
            <w:tcW w:w="1371" w:type="dxa"/>
            <w:vAlign w:val="center"/>
            <w:textDirection w:val="lrTb"/>
            <w:noWrap w:val="false"/>
          </w:tcPr>
          <w:p w14:paraId="2AE55ABF">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Nghĩa Dân, Huyện Kim Động, Tỉnh Hưng Yên</w:t>
            </w:r>
            <w:r/>
          </w:p>
        </w:tc>
        <w:tc>
          <w:tcPr>
            <w:tcBorders/>
            <w:tcW w:w="1605" w:type="dxa"/>
            <w:vAlign w:val="center"/>
            <w:textDirection w:val="lrTb"/>
            <w:noWrap w:val="false"/>
          </w:tcPr>
          <w:p w14:paraId="79F97508" w14:textId="77777777">
            <w:pPr>
              <w:pBdr/>
              <w:spacing/>
              <w:ind/>
              <w:jc w:val="center"/>
              <w:rPr/>
            </w:pPr>
            <w:r>
              <w:t xml:space="preserve">Xã Nghĩa Dân, Huyện Kim Động, Tỉnh Hưng Yên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VT2</w:t>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7B34B906">
            <w:pPr>
              <w:pBdr/>
              <w:spacing/>
              <w:ind/>
              <w:jc w:val="center"/>
              <w:rPr/>
            </w:pPr>
            <w:r>
              <w:t xml:space="preserve">18.93 ✔</w:t>
            </w:r>
            <w:r/>
          </w:p>
        </w:tc>
        <w:tc>
          <w:tcPr>
            <w:tcBorders/>
            <w:tcW w:w="1605" w:type="dxa"/>
            <w:vAlign w:val="center"/>
            <w:textDirection w:val="lrTb"/>
            <w:noWrap w:val="false"/>
          </w:tcPr>
          <w:p w14:paraId="79F97508" w14:textId="77777777">
            <w:pPr>
              <w:pBdr/>
              <w:spacing/>
              <w:ind/>
              <w:jc w:val="center"/>
              <w:rPr/>
            </w:pPr>
            <w:r>
              <w:t xml:space="preserve">18.93 ✔</w:t>
            </w:r>
            <w:r/>
          </w:p>
        </w:tc>
        <w:tc>
          <w:tcPr>
            <w:tcBorders/>
            <w:tcW w:w="1371" w:type="dxa"/>
            <w:vAlign w:val="center"/>
            <w:textDirection w:val="lrTb"/>
            <w:noWrap w:val="false"/>
          </w:tcPr>
          <w:p w14:paraId="42AFFBC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61DF1812">
            <w:pPr>
              <w:pBdr/>
              <w:spacing/>
              <w:ind/>
              <w:jc w:val="center"/>
              <w:rPr/>
            </w:pPr>
            <w:r>
              <w:t xml:space="preserve">Hạ tầng khu đô thị, khu phân lô/tái định cư ✔</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D0CAF6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6DDABC73">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123CB23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1E82C09B">
            <w:pPr>
              <w:pBdr/>
              <w:spacing/>
              <w:ind/>
              <w:jc w:val="center"/>
              <w:rPr/>
            </w:pPr>
            <w:r>
              <w:t xml:space="preserve">90 ✔</w:t>
            </w:r>
            <w:r/>
          </w:p>
        </w:tc>
        <w:tc>
          <w:tcPr>
            <w:tcBorders/>
            <w:tcW w:w="1605" w:type="dxa"/>
            <w:vAlign w:val="center"/>
            <w:textDirection w:val="lrTb"/>
            <w:noWrap w:val="false"/>
          </w:tcPr>
          <w:p w14:paraId="79F97508" w14:textId="77777777">
            <w:pPr>
              <w:pBdr/>
              <w:spacing/>
              <w:ind/>
              <w:jc w:val="center"/>
              <w:rPr/>
            </w:pPr>
            <w:r>
              <w:t xml:space="preserve">90 ✔</w:t>
            </w:r>
            <w:r/>
          </w:p>
        </w:tc>
        <w:tc>
          <w:tcPr>
            <w:tcBorders/>
            <w:tcW w:w="1371" w:type="dxa"/>
            <w:vAlign w:val="center"/>
            <w:textDirection w:val="lrTb"/>
            <w:noWrap w:val="false"/>
          </w:tcPr>
          <w:p w14:paraId="6611D9D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08DA65DF">
            <w:pPr>
              <w:pBdr/>
              <w:spacing/>
              <w:ind/>
              <w:jc w:val="center"/>
              <w:rPr/>
            </w:pPr>
            <w:r>
              <w:t xml:space="preserve">5 ✔</w:t>
            </w:r>
            <w:r/>
          </w:p>
        </w:tc>
        <w:tc>
          <w:tcPr>
            <w:tcBorders/>
            <w:tcW w:w="1605" w:type="dxa"/>
            <w:vAlign w:val="center"/>
            <w:textDirection w:val="lrTb"/>
            <w:noWrap w:val="false"/>
          </w:tcPr>
          <w:p w14:paraId="79F97508" w14:textId="77777777">
            <w:pPr>
              <w:pBdr/>
              <w:spacing/>
              <w:ind/>
              <w:jc w:val="center"/>
              <w:rPr/>
            </w:pPr>
            <w:r>
              <w:t xml:space="preserve">5 ✔</w:t>
            </w:r>
            <w:r/>
          </w:p>
        </w:tc>
        <w:tc>
          <w:tcPr>
            <w:tcBorders/>
            <w:tcW w:w="1371" w:type="dxa"/>
            <w:vAlign w:val="center"/>
            <w:textDirection w:val="lrTb"/>
            <w:noWrap w:val="false"/>
          </w:tcPr>
          <w:p w14:paraId="079CCD0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788AA832">
            <w:pPr>
              <w:pBdr/>
              <w:spacing/>
              <w:ind/>
              <w:jc w:val="center"/>
              <w:rPr/>
            </w:pPr>
            <w:r>
              <w:t xml:space="preserve">18</w:t>
            </w:r>
            <w:r>
              <w:t xml:space="preserve">✔</w:t>
            </w:r>
            <w:r/>
          </w:p>
        </w:tc>
        <w:tc>
          <w:tcPr>
            <w:tcBorders/>
            <w:tcW w:w="1605" w:type="dxa"/>
            <w:vAlign w:val="center"/>
            <w:textDirection w:val="lrTb"/>
            <w:noWrap w:val="false"/>
          </w:tcPr>
          <w:p w14:paraId="79F97508" w14:textId="77777777">
            <w:pPr>
              <w:pBdr/>
              <w:spacing/>
              <w:ind/>
              <w:jc w:val="center"/>
              <w:rPr/>
            </w:pPr>
            <w:r>
              <w:t xml:space="preserve">18</w:t>
            </w:r>
            <w:r>
              <w:t xml:space="preserve">✔</w:t>
            </w:r>
            <w:r/>
          </w:p>
        </w:tc>
        <w:tc>
          <w:tcPr>
            <w:tcBorders/>
            <w:tcW w:w="1371" w:type="dxa"/>
            <w:vAlign w:val="center"/>
            <w:textDirection w:val="lrTb"/>
            <w:noWrap w:val="false"/>
          </w:tcPr>
          <w:p w14:paraId="50D5F13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0FE509A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C82E263">
            <w:pPr>
              <w:pBdr/>
              <w:spacing/>
              <w:ind/>
              <w:jc w:val="center"/>
              <w:rPr/>
            </w:pPr>
            <w:r>
              <w:t xml:space="preserve">Đông Nam ✔</w:t>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1D5BC7D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47CDEB0">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1EDF742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9962F85">
            <w:pPr>
              <w:pBdr/>
              <w:spacing/>
              <w:ind/>
              <w:jc w:val="center"/>
              <w:rPr/>
            </w:pPr>
            <w:r>
              <w:t xml:space="preserve">Khá ✔</w:t>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271A625C">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3F06C019">
            <w:pPr>
              <w:pBdr/>
              <w:spacing/>
              <w:ind/>
              <w:jc w:val="center"/>
              <w:rPr/>
            </w:pPr>
            <w:r>
              <w:t xml:space="preserve">Không có lợi thế thương mại ✔</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628E3EF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798EA1EA">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6A8C70AD">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Nghĩa Dân, Huyện Kim Động,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Vĩnh Xá, Huyện Kim Động,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Vĩnh Xá, Huyện Kim Động,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Vĩnh Xá, Huyện Kim Động, Tỉnh Hưng Yên</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facebook.com/groups/346737186471682/permalink/1503222264156496/?rdid=4KLxTqRuIgYgfdIB&amp;share_url=https%3A%2F%2Fwww.facebook.com%2Fshare%2Fp%2F1A8V8cJCMz%2F#</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https://www.facebook.com/share/r/1BB1z7Wz1S/</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0976356811</w:t>
            </w:r>
            <w:r>
              <w:rPr>
                <w:sz w:val="22"/>
                <w:szCs w:val="22"/>
              </w:rPr>
              <w:t xml:space="preserve"> </w:t>
            </w:r>
            <w:r>
              <w:rPr>
                <w:sz w:val="22"/>
                <w:szCs w:val="22"/>
              </w:rPr>
              <w:br/>
              <w:t xml:space="preserve">(</w:t>
            </w:r>
            <w:r>
              <w:rPr>
                <w:sz w:val="22"/>
                <w:szCs w:val="22"/>
              </w:rPr>
              <w:t xml:space="preserve">Nguyễn 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69567A">
            <w:pPr>
              <w:pBdr/>
              <w:spacing/>
              <w:ind/>
              <w:jc w:val="center"/>
              <w:rPr>
                <w:sz w:val="22"/>
                <w:szCs w:val="22"/>
              </w:rPr>
            </w:pPr>
            <w:r>
              <w:rPr>
                <w:color w:val="000000" w:themeColor="text1"/>
                <w:sz w:val="22"/>
                <w:szCs w:val="22"/>
              </w:rPr>
              <w:t xml:space="preserve">0976356811</w:t>
            </w:r>
            <w:r>
              <w:rPr>
                <w:sz w:val="22"/>
                <w:szCs w:val="22"/>
              </w:rPr>
              <w:t xml:space="preserve"> </w:t>
            </w:r>
            <w:r>
              <w:rPr>
                <w:sz w:val="22"/>
                <w:szCs w:val="22"/>
              </w:rPr>
              <w:br/>
              <w:t xml:space="preserve">(</w:t>
            </w:r>
            <w:r>
              <w:rPr>
                <w:sz w:val="22"/>
                <w:szCs w:val="22"/>
              </w:rPr>
              <w:t xml:space="preserve">Nguyễn Hằng</w:t>
            </w:r>
            <w:r>
              <w:rPr>
                <w:sz w:val="22"/>
                <w:szCs w:val="22"/>
              </w:rPr>
              <w:t xml:space="preserv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0327938920</w:t>
            </w:r>
            <w:r>
              <w:rPr>
                <w:sz w:val="22"/>
                <w:szCs w:val="22"/>
              </w:rPr>
              <w:br/>
            </w:r>
            <w:r>
              <w:rPr>
                <w:sz w:val="22"/>
                <w:szCs w:val="22"/>
              </w:rPr>
              <w:t xml:space="preserve">(</w:t>
            </w:r>
            <w:r>
              <w:rPr>
                <w:sz w:val="22"/>
                <w:szCs w:val="22"/>
              </w:rPr>
              <w:t xml:space="preserve">Nguyễn Hảo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Nghĩa Dân, Huyện Kim Động, Tỉnh Hưng Yên, khoảng cách ra đường chính cách đường DH73 khoảng 500mm, độ rộng đường trước mặt tài sản 15.2m, mặt tiền 5m, 20.759737014771, 106.02836608887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Vĩnh Xá, Huyện Kim Động, Tỉnh Hưng Yên, khoảng cách ra đường chính Cách đường DH73 khoảng 1200mm, độ rộng đường trước mặt tài sản 25m, mặt tiền 6m, 20.777888888888903, 106.02538137873637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Khu giãn dân Xã Vĩnh Xá, Xã Vĩnh Xá, Huyện Kim Động, Tỉnh Hưng Yên, khoảng cách ra đường chính cách Đường DH73 khoảng 1200m, độ rộng đường trước mặt tài sản 25m, mặt tiền 7m, 20.77782359969175, 106.02545883688123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Giãn dân vĩnh xá Xã Vĩnh Xá, Huyện Kim Động, Tỉnh Hưng Yên, khoảng cách ra đường chính cách DH73 khoảng 900m, độ rộng đường trước mặt tài sản 12m, mặt tiền 5m, 20.77803954599755, 106.02499263382687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86430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E10242">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5664E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A922E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A922E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A922E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5F163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5F163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5F163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91B19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91B19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91B19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C66A8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C66A8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C66A8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1450B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1450B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1450B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1293D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1293D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1293D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2.677.500.000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3.102.500.000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2.635.000.000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2.677.500.000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3.102.500.000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2.635.000.000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24.623.016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1EB6F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1EB6F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60B78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B2C59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5A76B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60B78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B2C59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5A76B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80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0339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09E4C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580D5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2.677.500.000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3.102.500.000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2.635.000.000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24.623.016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24.623.016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24.623.016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24.623.016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Nghĩa Dân, Huyện Kim Động, Tỉnh Hưng Yên, khoảng cách ra đường chính cách đường DH73 khoảng 500mm, độ rộng đường trước mặt tài sản 15.2m, mặt tiền 5m, 20.759737014771, 106.02836608887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Vĩnh Xá, Huyện Kim Động, Tỉnh Hưng Yên, khoảng cách ra đường chính Cách đường DH73 khoảng 1200mm, độ rộng đường trước mặt tài sản 25m, mặt tiền 6m, 20.777888888888903, 106.02538137873637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Khu giãn dân Xã Vĩnh Xá, Xã Vĩnh Xá, Huyện Kim Động, Tỉnh Hưng Yên, khoảng cách ra đường chính cách Đường DH73 khoảng 1200m, độ rộng đường trước mặt tài sản 25m, mặt tiền 7m, 20.77782359969175, 106.02545883688123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Giãn dân vĩnh xá Xã Vĩnh Xá, Huyện Kim Động, Tỉnh Hưng Yên, khoảng cách ra đường chính cách DH73 khoảng 900m, độ rộng đường trước mặt tài sản 12m, mặt tiền 5m, 20.77803954599755, 106.02499263382687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24.623.016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24.623.016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24.623.016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-1.239.583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-1.231.151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1.317.500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23.552.084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23.391.865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27.667.500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23.552.084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23.391.865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27.667.500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23.552.084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23.391.865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27.667.500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1.239.583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1.723.611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1.317.500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24.791.667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25.115.476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28.985.000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-743.750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-738.690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24.047.917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24.376.786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28.985.000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24.047.917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24.376.786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28.985.000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24.047.917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24.376.786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28.985.000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24.047.917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24.376.786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28.985.000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24.047.917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24.376.786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28.985.000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-1.239.583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-1.231.151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-2.635.000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22.808.334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23.145.635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22.808.334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23.145.635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22.808.334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23.145.635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22.808.334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23.145.635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22.808.334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23.145.635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26.350.000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24.101.323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9.33%</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4.462.499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4.924.603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5.270.000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3% - 7%%</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5% - 10%%</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1.983.333</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1.477.381</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-5.36</w:t>
      </w:r>
      <w:r>
        <w:t xml:space="preserve">% đến</w:t>
      </w:r>
      <w:r>
        <w:t xml:space="preserve"> </w:t>
      </w:r>
      <w:r>
        <w:t xml:space="preserve"> </w:t>
      </w:r>
      <w:r>
        <w:t xml:space="preserve">9.33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22.808.334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7.604.299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23.145.635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7.714.440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26.350.000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8.782.455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24.101.194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24.000.000</w:t>
      </w:r>
      <w:r>
        <w:rPr>
          <w:b/>
          <w:bCs/>
          <w:color w:val="000000" w:themeColor="text1"/>
        </w:rPr>
        <w:t xml:space="preserve"> </w:t>
      </w:r>
      <w:r>
        <w:rPr>
          <w:b/>
          <w:bCs/>
        </w:rPr>
        <w:t xml:space="preserve">đồng/m².</w:t>
      </w:r>
      <w:r>
        <w:rPr>
          <w:b/>
          <w:bCs/>
        </w:rPr>
      </w:r>
      <w:r>
        <w:rPr>
          <w:b/>
          <w:bCs/>
        </w:rPr>
      </w:r>
    </w:p>
    <w:p w14:paraId="4B506B03" w14:textId="49B8E0F8">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p w14:paraId="10DEBD2E">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04F06520">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47750B81">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3159707F">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5DC3571A">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385C708B">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71B3450F">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5D740DBB">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126DFF16">
            <w:pPr>
              <w:pBdr/>
              <w:spacing w:after="40" w:before="40" w:line="288" w:lineRule="auto"/>
              <w:ind/>
              <w:jc w:val="both"/>
              <w:rPr>
                <w:b/>
                <w:bCs/>
              </w:rPr>
            </w:pPr>
            <w:r>
              <w:rPr>
                <w:b/>
                <w:bCs/>
                <w:color w:val="000000"/>
              </w:rPr>
            </w:r>
            <w:r>
              <w:rPr>
                <w:b/>
                <w:bCs/>
                <w:color w:val="000000"/>
              </w:rPr>
              <w:t xml:space="preserve">Qu</w:t>
            </w:r>
            <w:r>
              <w:rPr>
                <w:rFonts w:ascii="Times New Roman" w:hAnsi="Times New Roman" w:eastAsia="Times New Roman" w:cs="Times New Roman"/>
                <w:b/>
                <w:bCs/>
                <w:color w:val="000000"/>
                <w:sz w:val="24"/>
              </w:rPr>
              <w:t xml:space="preserve">yền sử dụng đất tại thửa đất số: 815, tờ bản đồ số: 79 có địa chỉ: Thôn Vĩnh Đồng, Xã Nghĩa Dân, Thành phố Hà Nội theo Giấy chứng nhận quyền sử dụng đất, quyền sở hữu tài sản  gắn liền với đất số: AA 05197061, số vào sổ cấp GCN: CN 1309 do Chi nhánh văn p</w:t>
            </w:r>
            <w:r>
              <w:rPr>
                <w:rFonts w:ascii="Times New Roman" w:hAnsi="Times New Roman" w:eastAsia="Times New Roman" w:cs="Times New Roman"/>
                <w:b/>
                <w:bCs/>
                <w:color w:val="000000"/>
                <w:sz w:val="24"/>
              </w:rPr>
              <w:t xml:space="preserve">hòng đăng ký đất đai khu vực Kim Động cấp ngày 10/11/2025 cho Bà Ngô Thị Thanh Nhàn</w:t>
            </w:r>
            <w:r>
              <w:rPr>
                <w:rFonts w:ascii="Times New Roman" w:hAnsi="Times New Roman" w:eastAsia="Times New Roman" w:cs="Times New Roman"/>
                <w:b/>
                <w:bCs/>
                <w:i/>
                <w:i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24.000.000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2.160.000.000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2.160.000.000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2.160.000.000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sáu mươi triệu</w:t>
            </w:r>
            <w:r>
              <w:rPr>
                <w:b/>
                <w:bCs/>
                <w:i/>
                <w:iCs/>
                <w:color w:val="000000"/>
              </w:rPr>
              <w:t xml:space="preserve">./.)</w:t>
            </w:r>
            <w:r>
              <w:rPr>
                <w:b/>
                <w:bCs/>
                <w:i/>
                <w:iCs/>
                <w:color w:val="000000"/>
              </w:rPr>
            </w:r>
            <w:r>
              <w:rPr>
                <w:b/>
                <w:bCs/>
                <w:i/>
                <w:iCs/>
                <w:color w:val="000000"/>
              </w:rPr>
            </w:r>
          </w:p>
        </w:tc>
      </w:tr>
    </w:tbl>
    <w:p w14:paraId="187E2E91" w14:textId="56B58432">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b w:val="0"/>
          <w:bCs w:val="0"/>
          <w:i/>
          <w:color w:val="000000"/>
          <w:sz w:val="24"/>
        </w:rPr>
        <w:t xml:space="preserve">275/2025/1770</w:t>
      </w:r>
      <w:r>
        <w:rPr>
          <w:rFonts w:ascii="Times New Roman" w:hAnsi="Times New Roman" w:eastAsia="Times New Roman" w:cs="Times New Roman"/>
          <w:b w:val="0"/>
          <w:bCs w:val="0"/>
          <w:i/>
          <w:color w:val="000000"/>
          <w:sz w:val="24"/>
        </w:rPr>
        <w:t xml:space="preserve">/VFI-CT.51.A</w:t>
      </w:r>
      <w:r>
        <w:rPr>
          <w:rFonts w:ascii="Times New Roman" w:hAnsi="Times New Roman" w:eastAsia="Times New Roman" w:cs="Times New Roman"/>
          <w:i/>
          <w:color w:val="000000"/>
          <w:sz w:val="24"/>
        </w:rPr>
        <w:t xml:space="preserve"> </w:t>
      </w:r>
      <w:r>
        <w:rPr>
          <w:color w:val="000000" w:themeColor="text1"/>
        </w:rPr>
        <w:t xml:space="preserve">ngày 11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HSTD-20251205-0003/BC-VFI</w:t>
      </w:r>
      <w:r>
        <w:rPr>
          <w:i/>
          <w:lang w:val="pt-BR"/>
        </w:rPr>
        <w:t xml:space="preserve"> </w:t>
      </w:r>
      <w:r>
        <w:rPr>
          <w:i/>
          <w:lang w:val="pt-BR"/>
        </w:rPr>
        <w:t xml:space="preserve">12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2151" name=""/>
                              <pic:cNvPicPr>
                                <a:picLocks noChangeAspect="1"/>
                              </pic:cNvPicPr>
                              <pic:nvPr/>
                            </pic:nvPicPr>
                            <pic:blipFill rotWithShape="1">
                              <a:blip r:embed="rId16"/>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2.00pt;height:156.24pt;mso-wrap-distance-left:0.00pt;mso-wrap-distance-top:0.00pt;mso-wrap-distance-right:0.00pt;mso-wrap-distance-bottom:0.00pt;rotation:0;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64455" name=""/>
                              <pic:cNvPicPr>
                                <a:picLocks noChangeAspect="1"/>
                              </pic:cNvPicPr>
                              <pic:nvPr/>
                            </pic:nvPicPr>
                            <pic:blipFill rotWithShape="1">
                              <a:blip r:embed="rId17"/>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64119" name=""/>
                              <pic:cNvPicPr>
                                <a:picLocks noChangeAspect="1"/>
                              </pic:cNvPicPr>
                              <pic:nvPr/>
                            </pic:nvPicPr>
                            <pic:blipFill rotWithShape="1">
                              <a:blip r:embed="rId18"/>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08.0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69364" name=""/>
                              <pic:cNvPicPr>
                                <a:picLocks noChangeAspect="1"/>
                              </pic:cNvPicPr>
                              <pic:nvPr/>
                            </pic:nvPicPr>
                            <pic:blipFill rotWithShape="1">
                              <a:blip r:embed="rId19"/>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95156" name=""/>
                              <pic:cNvPicPr>
                                <a:picLocks noChangeAspect="1"/>
                              </pic:cNvPicPr>
                              <pic:nvPr/>
                            </pic:nvPicPr>
                            <pic:blipFill rotWithShape="1">
                              <a:blip r:embed="rId20"/>
                              <a:stretch/>
                            </pic:blipFill>
                            <pic:spPr bwMode="auto">
                              <a:xfrm rot="0" flipH="0" flipV="0">
                                <a:off x="0" y="0"/>
                                <a:ext cx="1828800" cy="1371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08.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371600" cy="1828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15317" name=""/>
                              <pic:cNvPicPr>
                                <a:picLocks noChangeAspect="1"/>
                              </pic:cNvPicPr>
                              <pic:nvPr/>
                            </pic:nvPicPr>
                            <pic:blipFill rotWithShape="1">
                              <a:blip r:embed="rId21"/>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08.00pt;height:144.00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661ACF2C">
      <w:pPr>
        <w:pBdr/>
        <w:spacing w:after="200" w:line="276" w:lineRule="auto"/>
        <w:ind/>
        <w:jc w:val="center"/>
        <w:rPr>
          <w:bCs/>
          <w:i/>
          <w:lang w:val="pt-BR"/>
        </w:rPr>
      </w:pPr>
      <w:r>
        <w:rPr>
          <w:b/>
          <w:highlight w:val="none"/>
        </w:rPr>
        <w:t xml:space="preserve">PHÁP LÝ TÀI SẢN</w:t>
      </w:r>
      <w:r>
        <w:rPr>
          <w:bCs/>
          <w:i/>
          <w:lang w:val="pt-BR"/>
        </w:rPr>
      </w:r>
      <w:r>
        <w:rPr>
          <w:bCs/>
          <w:i/>
          <w:lang w:val="pt-BR"/>
        </w:rPr>
      </w:r>
    </w:p>
    <w:p w14:paraId="5895FE99">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2743200" cy="361188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38074" name=""/>
                        <pic:cNvPicPr>
                          <a:picLocks noChangeAspect="1"/>
                        </pic:cNvPicPr>
                        <pic:nvPr/>
                      </pic:nvPicPr>
                      <pic:blipFill rotWithShape="1">
                        <a:blip r:embed="rId22"/>
                        <a:stretch/>
                      </pic:blipFill>
                      <pic:spPr bwMode="auto">
                        <a:xfrm rot="0" flipH="0" flipV="0">
                          <a:off x="0" y="0"/>
                          <a:ext cx="2743199" cy="3611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00pt;height:284.40pt;mso-wrap-distance-left:0.00pt;mso-wrap-distance-top:0.00pt;mso-wrap-distance-right:0.00pt;mso-wrap-distance-bottom:0.00pt;rotation:0;z-index:1;" stroked="false">
                <v:imagedata r:id="rId22" o:title=""/>
                <o:lock v:ext="edit" rotation="t"/>
              </v:shape>
            </w:pict>
          </mc:Fallback>
        </mc:AlternateContent>
      </w:r>
      <w:r>
        <w:rPr>
          <w:b/>
          <w:bCs/>
          <w:highlight w:val="none"/>
        </w:rPr>
      </w:r>
      <w:r>
        <w:rPr>
          <w:b/>
          <w:bCs/>
          <w:highlight w:val="none"/>
        </w:rPr>
      </w:r>
    </w:p>
    <w:p w14:paraId="7D071387">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2743200" cy="363931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08021" name=""/>
                        <pic:cNvPicPr>
                          <a:picLocks noChangeAspect="1"/>
                        </pic:cNvPicPr>
                        <pic:nvPr/>
                      </pic:nvPicPr>
                      <pic:blipFill rotWithShape="1">
                        <a:blip r:embed="rId23"/>
                        <a:stretch/>
                      </pic:blipFill>
                      <pic:spPr bwMode="auto">
                        <a:xfrm rot="0" flipH="0" flipV="0">
                          <a:off x="0" y="0"/>
                          <a:ext cx="2743199" cy="3639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00pt;height:286.56pt;mso-wrap-distance-left:0.00pt;mso-wrap-distance-top:0.00pt;mso-wrap-distance-right:0.00pt;mso-wrap-distance-bottom:0.00pt;rotation:0;z-index:1;" stroked="false">
                <v:imagedata r:id="rId23" o:title=""/>
                <o:lock v:ext="edit" rotation="t"/>
              </v:shape>
            </w:pict>
          </mc:Fallback>
        </mc:AlternateContent>
      </w:r>
      <w:r>
        <w:rPr>
          <w:b/>
          <w:bCs/>
          <w:highlight w:val="none"/>
        </w:rPr>
      </w:r>
      <w:r>
        <w:rPr>
          <w:b/>
          <w:bCs/>
          <w:highlight w:val="none"/>
        </w:rPr>
      </w:r>
    </w:p>
    <w:p w14:paraId="341C7E23">
      <w:pPr>
        <w:pBdr/>
        <w:spacing w:after="200" w:line="276" w:lineRule="auto"/>
        <w:ind/>
        <w:jc w:val="center"/>
        <w:rPr>
          <w:b/>
          <w:bCs/>
          <w:highlight w:val="none"/>
        </w:rPr>
      </w:pPr>
      <w:r>
        <w:rPr>
          <w:b/>
          <w:highlight w:val="none"/>
        </w:rPr>
      </w:r>
      <w:r>
        <w:rPr>
          <w:b/>
          <w:bCs/>
          <w:highlight w:val="none"/>
        </w:rPr>
      </w:r>
      <w:r>
        <w:rPr>
          <w:b/>
          <w:bCs/>
          <w:highlight w:val="none"/>
        </w:rPr>
      </w:r>
    </w:p>
    <w:p w14:paraId="68A07343">
      <w:pPr>
        <w:pBdr/>
        <w:spacing w:after="200" w:line="276" w:lineRule="auto"/>
        <w:ind/>
        <w:jc w:val="center"/>
        <w:rPr>
          <w:b/>
          <w:bCs/>
          <w:highlight w:val="none"/>
        </w:rPr>
      </w:pPr>
      <w:r>
        <w:rPr>
          <w:b/>
          <w:highlight w:val="none"/>
        </w:rPr>
      </w:r>
      <w:r>
        <w:rPr>
          <w:b/>
          <w:bCs/>
          <w:highlight w:val="none"/>
        </w:rPr>
      </w:r>
      <w:r>
        <w:rPr>
          <w:b/>
          <w:bCs/>
          <w:highlight w:val="none"/>
        </w:rPr>
      </w:r>
    </w:p>
    <w:p w14:paraId="22EB57FC">
      <w:pPr>
        <w:pBdr/>
        <w:spacing w:after="200" w:line="276" w:lineRule="auto"/>
        <w:ind/>
        <w:jc w:val="center"/>
        <w:rPr>
          <w:b/>
          <w:bCs/>
          <w:highlight w:val="none"/>
        </w:rPr>
      </w:pPr>
      <w:r>
        <w:rPr>
          <w:b/>
          <w:highlight w:val="none"/>
        </w:rPr>
      </w:r>
      <w:r>
        <w:rPr>
          <w:b/>
          <w:bCs/>
          <w:highlight w:val="none"/>
        </w:rPr>
      </w:r>
      <w:r>
        <w:rPr>
          <w:b/>
          <w:bCs/>
          <w:highlight w:val="none"/>
        </w:rPr>
      </w:r>
    </w:p>
    <w:p w14:paraId="6B22C142">
      <w:pPr>
        <w:pBdr/>
        <w:spacing w:after="200" w:line="276" w:lineRule="auto"/>
        <w:ind/>
        <w:jc w:val="center"/>
        <w:rPr>
          <w:b/>
          <w:bCs/>
          <w:highlight w:val="none"/>
        </w:rPr>
      </w:pPr>
      <w:r>
        <w:rPr>
          <w:b/>
          <w:highlight w:val="none"/>
        </w:rPr>
      </w:r>
      <w:r>
        <w:rPr>
          <w:b/>
          <w:bCs/>
          <w:highlight w:val="none"/>
        </w:rPr>
      </w:r>
      <w:r>
        <w:rPr>
          <w:b/>
          <w:bCs/>
          <w:highlight w:val="none"/>
        </w:rPr>
      </w:r>
    </w:p>
    <w:p w14:paraId="642B0E5B">
      <w:pPr>
        <w:pBdr/>
        <w:spacing w:after="200" w:line="276" w:lineRule="auto"/>
        <w:ind/>
        <w:jc w:val="center"/>
        <w:rPr>
          <w:b/>
          <w:bCs/>
          <w:highlight w:val="none"/>
        </w:rPr>
      </w:pPr>
      <w:r>
        <w:rPr>
          <w:b/>
          <w:highlight w:val="none"/>
        </w:rPr>
      </w:r>
      <w:r>
        <w:rPr>
          <w:b/>
          <w:highlight w:val="none"/>
        </w:rPr>
        <w:t xml:space="preserve">BIÊN BẢN KHẢO SÁT</w:t>
      </w:r>
      <w:r>
        <w:rPr>
          <w:b/>
          <w:bCs/>
          <w:highlight w:val="none"/>
        </w:rPr>
      </w:r>
      <w:r>
        <w:rPr>
          <w:b/>
          <w:bCs/>
          <w:highlight w:val="none"/>
        </w:rPr>
      </w:r>
    </w:p>
    <w:p w14:paraId="520AB4BA">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84285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03844" name=""/>
                        <pic:cNvPicPr>
                          <a:picLocks noChangeAspect="1"/>
                        </pic:cNvPicPr>
                        <pic:nvPr/>
                      </pic:nvPicPr>
                      <pic:blipFill rotWithShape="1">
                        <a:blip r:embed="rId24"/>
                        <a:stretch/>
                      </pic:blipFill>
                      <pic:spPr bwMode="auto">
                        <a:xfrm>
                          <a:off x="0" y="0"/>
                          <a:ext cx="6048374" cy="88428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96.29pt;mso-wrap-distance-left:0.00pt;mso-wrap-distance-top:0.00pt;mso-wrap-distance-right:0.00pt;mso-wrap-distance-bottom:0.00pt;z-index:1;" stroked="false">
                <v:imagedata r:id="rId24" o:title=""/>
                <o:lock v:ext="edit" rotation="t"/>
              </v:shape>
            </w:pict>
          </mc:Fallback>
        </mc:AlternateContent>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(Kèm theo Báo cáo thẩm định số </w:t>
      </w:r>
      <w:r>
        <w:rPr>
          <w:rFonts w:ascii="Times New Roman" w:hAnsi="Times New Roman" w:eastAsia="Times New Roman" w:cs="Times New Roman"/>
          <w:i/>
          <w:color w:val="000000"/>
          <w:sz w:val="24"/>
        </w:rPr>
        <w:t xml:space="preserve">275/2025/1770/VFI-CT.51.A</w:t>
      </w:r>
      <w:r>
        <w:rPr>
          <w:i/>
          <w:lang w:val="pt-BR"/>
        </w:rPr>
        <w:t xml:space="preserve"> </w:t>
      </w:r>
      <w:r>
        <w:rPr>
          <w:i/>
          <w:lang w:val="pt-BR"/>
        </w:rPr>
        <w:t xml:space="preserve">12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facebook.com/groups/346737186471682/permalink/1503222264156496/?rdid=4KLxTqRuIgYgfdIB&amp;share_url=https%3A%2F%2Fwww.facebook.com%2Fshare%2Fp%2F1A8V8cJCMz%2F#</w:t>
            </w:r>
            <w:r>
              <w:rPr>
                <w:color w:val="000000" w:themeColor="text1"/>
                <w:sz w:val="22"/>
                <w:szCs w:val="22"/>
              </w:rPr>
              <w:br/>
              <w:t xml:space="preserve">0976356811</w:t>
            </w:r>
            <w:r>
              <w:rPr>
                <w:sz w:val="22"/>
                <w:szCs w:val="22"/>
              </w:rPr>
              <w:t xml:space="preserve"> </w:t>
            </w:r>
            <w:r>
              <w:rPr>
                <w:sz w:val="22"/>
                <w:szCs w:val="22"/>
              </w:rPr>
              <w:br/>
              <w:t xml:space="preserve">(Nguyễn 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2.677.500.000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(108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Vĩnh Xá, Huyện Kim Động, Tỉnh Hưng Yên, khoảng cách ra đường chính Cách đường DH73 khoảng 1200mm, độ rộng đường trước mặt tài sản 25m, mặt tiền 6m, 20.777888888888903, 106.02538137873637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5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53CD3954">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5065EE0D">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16702E0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71DEFD29">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648" w:type="dxa"/>
            <w:vAlign w:val="center"/>
            <w:vMerge w:val="restart"/>
            <w:textDirection w:val="lrTb"/>
            <w:noWrap w:val="false"/>
          </w:tcPr>
          <w:p w14:paraId="13B0B86B">
            <w:pPr>
              <w:pBdr/>
              <w:spacing w:line="276" w:lineRule="auto"/>
              <w:ind/>
              <w:jc w:val="left"/>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339" w:type="dxa"/>
            <w:vAlign w:val="center"/>
            <w:vMerge w:val="restart"/>
            <w:textDirection w:val="lrTb"/>
            <w:noWrap w:val="false"/>
          </w:tcPr>
          <w:p w14:paraId="5996DCA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86000" cy="3172968"/>
                      <wp:effectExtent l="228600" t="0" r="228600" b="0"/>
                      <wp:docPr id="15" name=""/>
                      <wp:cNvGraphicFramePr/>
                      <a:graphic xmlns:a="http://schemas.openxmlformats.org/drawingml/2006/main">
                        <a:graphicData uri="http://schemas.openxmlformats.org/drawingml/2006/picture">
                          <pic:pic xmlns:pic="http://schemas.openxmlformats.org/drawingml/2006/picture">
                            <pic:nvPicPr>
                              <pic:cNvPr id="1990926660" name="" descr=""/>
                              <pic:cNvPicPr/>
                              <pic:nvPr/>
                            </pic:nvPicPr>
                            <pic:blipFill rotWithShape="1">
                              <a:blip r:embed="rId25"/>
                              <a:stretch/>
                            </pic:blipFill>
                            <pic:spPr bwMode="auto">
                              <a:xfrm rot="0" flipH="0" flipV="0">
                                <a:off x="0" y="0"/>
                                <a:ext cx="22860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0.00pt;height:249.84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86000" cy="3172968"/>
                      <wp:effectExtent l="228600" t="0" r="228600" b="0"/>
                      <wp:docPr id="16" name=""/>
                      <wp:cNvGraphicFramePr/>
                      <a:graphic xmlns:a="http://schemas.openxmlformats.org/drawingml/2006/main">
                        <a:graphicData uri="http://schemas.openxmlformats.org/drawingml/2006/picture">
                          <pic:pic xmlns:pic="http://schemas.openxmlformats.org/drawingml/2006/picture">
                            <pic:nvPicPr>
                              <pic:cNvPr id="40225360" name="" descr=""/>
                              <pic:cNvPicPr/>
                              <pic:nvPr/>
                            </pic:nvPicPr>
                            <pic:blipFill rotWithShape="1">
                              <a:blip r:embed="rId26"/>
                              <a:stretch/>
                            </pic:blipFill>
                            <pic:spPr bwMode="auto">
                              <a:xfrm rot="0" flipH="0" flipV="0">
                                <a:off x="0" y="0"/>
                                <a:ext cx="22860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0.00pt;height:249.84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52FCCDEC" w14:textId="108B65E5">
      <w:pPr>
        <w:pBdr/>
        <w:spacing w:after="120"/>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0972025836</w:t>
            </w:r>
            <w:r>
              <w:rPr>
                <w:sz w:val="22"/>
                <w:szCs w:val="22"/>
              </w:rPr>
              <w:t xml:space="preserve"> </w:t>
            </w:r>
            <w:r>
              <w:rPr>
                <w:sz w:val="22"/>
                <w:szCs w:val="22"/>
              </w:rPr>
              <w:br/>
              <w:t xml:space="preserve">(NGuyễn 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jc w:val="left"/>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jc w:val="left"/>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3.102.500.000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jc w:val="left"/>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jc w:val="left"/>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jc w:val="left"/>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jc w:val="left"/>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(126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jc w:val="left"/>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jc w:val="left"/>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Khu giãn dân Xã Vĩnh Xá, Xã Vĩnh Xá, Huyện Kim Động, Tỉnh Hưng Yên, khoảng cách ra đường chính cách Đường DH73 khoảng 1200m, độ rộng đường trước mặt tài sản 25m, mặt tiền 7m, 20.77782359969175, 106.02545883688123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jc w:val="left"/>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jc w:val="left"/>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jc w:val="left"/>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jc w:val="left"/>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jc w:val="left"/>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jc w:val="left"/>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jc w:val="left"/>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E39FE5">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jc w:val="left"/>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6177180">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jc w:val="left"/>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2DAAC9">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jc w:val="left"/>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jc w:val="left"/>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86000" cy="3172968"/>
                      <wp:effectExtent l="228600" t="0" r="22860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rot="0" flipH="0" flipV="0">
                                <a:off x="0" y="0"/>
                                <a:ext cx="22860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0.00pt;height:249.84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86000" cy="3172968"/>
                      <wp:effectExtent l="228600" t="0" r="228600" b="0"/>
                      <wp:docPr id="18" name=""/>
                      <wp:cNvGraphicFramePr/>
                      <a:graphic xmlns:a="http://schemas.openxmlformats.org/drawingml/2006/main">
                        <a:graphicData uri="http://schemas.openxmlformats.org/drawingml/2006/picture">
                          <pic:pic xmlns:pic="http://schemas.openxmlformats.org/drawingml/2006/picture">
                            <pic:nvPicPr>
                              <pic:cNvPr id="764977944" name="" descr=""/>
                              <pic:cNvPicPr/>
                              <pic:nvPr/>
                            </pic:nvPicPr>
                            <pic:blipFill rotWithShape="1">
                              <a:blip r:embed="rId28"/>
                              <a:stretch/>
                            </pic:blipFill>
                            <pic:spPr bwMode="auto">
                              <a:xfrm rot="0" flipH="0" flipV="0">
                                <a:off x="0" y="0"/>
                                <a:ext cx="22860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0.00pt;height:249.84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rPr>
            </w:r>
            <w:r>
              <w:rPr>
                <w:b/>
                <w:bCs/>
                <w:i/>
              </w:rP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07EDB287">
      <w:pPr>
        <w:pBdr/>
        <w:spacing w:after="200" w:line="276" w:lineRule="auto"/>
        <w:ind/>
        <w:rPr>
          <w:lang w:val="pt-BR"/>
        </w:rPr>
      </w:pPr>
      <w:r>
        <w:rPr>
          <w:iCs/>
          <w:lang w:val="pt-BR"/>
        </w:rPr>
      </w:r>
      <w:r>
        <w:rPr>
          <w:iCs/>
          <w:lang w:val="pt-BR"/>
        </w:rPr>
      </w:r>
      <w:r>
        <w:rPr>
          <w:lang w:val="pt-BR"/>
        </w:rPr>
      </w:r>
    </w:p>
    <w:p w14:paraId="1D1C9950">
      <w:pPr>
        <w:pBdr/>
        <w:spacing w:after="200" w:line="276" w:lineRule="auto"/>
        <w:ind/>
        <w:rPr>
          <w:lang w:val="pt-BR"/>
        </w:rPr>
      </w:pPr>
      <w:r>
        <w:rPr>
          <w:iCs/>
          <w:lang w:val="pt-BR"/>
        </w:rPr>
      </w:r>
      <w:r>
        <w:rPr>
          <w:iCs/>
          <w:lang w:val="pt-BR"/>
        </w:rPr>
      </w:r>
      <w:r>
        <w:rPr>
          <w:lang w:val="pt-BR"/>
        </w:rPr>
      </w:r>
    </w:p>
    <w:p w14:paraId="05D89F3E">
      <w:pPr>
        <w:pBdr/>
        <w:spacing w:after="200" w:line="276" w:lineRule="auto"/>
        <w:ind/>
        <w:rPr>
          <w:lang w:val="pt-BR"/>
        </w:rPr>
      </w:pPr>
      <w:r>
        <w:rPr>
          <w:iCs/>
          <w:lang w:val="pt-BR"/>
        </w:rPr>
      </w:r>
      <w:r>
        <w:rPr>
          <w:iCs/>
          <w:lang w:val="pt-BR"/>
        </w:rPr>
      </w:r>
      <w:r>
        <w:rPr>
          <w:lang w:val="pt-BR"/>
        </w:rPr>
      </w:r>
    </w:p>
    <w:p w14:paraId="6F0CFFEF">
      <w:pPr>
        <w:pBdr/>
        <w:spacing w:after="200" w:line="276" w:lineRule="auto"/>
        <w:ind/>
        <w:rPr>
          <w:lang w:val="pt-BR"/>
        </w:rPr>
      </w:pPr>
      <w:r>
        <w:rPr>
          <w:iCs/>
          <w:lang w:val="pt-BR"/>
        </w:rPr>
      </w:r>
      <w:r>
        <w:rPr>
          <w:iCs/>
          <w:lang w:val="pt-BR"/>
        </w:rPr>
      </w:r>
      <w:r>
        <w:rPr>
          <w:lang w:val="pt-BR"/>
        </w:rPr>
      </w:r>
    </w:p>
    <w:p w14:paraId="6F4EE60B">
      <w:pPr>
        <w:pBdr/>
        <w:spacing w:after="200" w:line="276" w:lineRule="auto"/>
        <w:ind/>
        <w:rPr>
          <w:lang w:val="pt-BR"/>
        </w:rPr>
      </w:pPr>
      <w:r>
        <w:rPr>
          <w:iCs/>
          <w:lang w:val="pt-BR"/>
        </w:rPr>
      </w:r>
      <w:r>
        <w:rPr>
          <w:iCs/>
          <w:lang w:val="pt-BR"/>
        </w:rPr>
      </w:r>
      <w:r>
        <w:rPr>
          <w:lang w:val="pt-BR"/>
        </w:rPr>
      </w:r>
    </w:p>
    <w:p w14:paraId="64443CC8">
      <w:pPr>
        <w:pBdr/>
        <w:spacing w:after="200" w:line="276" w:lineRule="auto"/>
        <w:ind/>
        <w:rPr>
          <w:lang w:val="pt-BR"/>
        </w:rPr>
      </w:pPr>
      <w:r>
        <w:rPr>
          <w:iCs/>
          <w:lang w:val="pt-BR"/>
        </w:rPr>
      </w:r>
      <w:r>
        <w:rPr>
          <w:iCs/>
          <w:lang w:val="pt-BR"/>
        </w:rPr>
      </w:r>
      <w:r>
        <w:rPr>
          <w:lang w:val="pt-BR"/>
        </w:rPr>
      </w:r>
    </w:p>
    <w:p w14:paraId="5A7CD9A2">
      <w:pPr>
        <w:pBdr/>
        <w:spacing w:after="200" w:line="276" w:lineRule="auto"/>
        <w:ind/>
        <w:rPr>
          <w:lang w:val="pt-BR"/>
        </w:rPr>
      </w:pPr>
      <w:r>
        <w:rPr>
          <w:iCs/>
          <w:lang w:val="pt-BR"/>
        </w:rPr>
      </w:r>
      <w:r>
        <w:rPr>
          <w:iCs/>
          <w:lang w:val="pt-BR"/>
        </w:rPr>
      </w:r>
      <w:r>
        <w:rPr>
          <w:lang w:val="pt-BR"/>
        </w:rPr>
      </w:r>
    </w:p>
    <w:p w14:paraId="71B11A9F">
      <w:pPr>
        <w:pBdr/>
        <w:spacing w:after="200" w:line="276" w:lineRule="auto"/>
        <w:ind/>
        <w:rPr>
          <w:lang w:val="pt-BR"/>
        </w:rPr>
      </w:pPr>
      <w:r>
        <w:rPr>
          <w:iCs/>
          <w:lang w:val="pt-BR"/>
        </w:rPr>
      </w:r>
      <w:r>
        <w:rPr>
          <w:iCs/>
          <w:lang w:val="pt-BR"/>
        </w:rPr>
      </w:r>
      <w:r>
        <w:rPr>
          <w:lang w:val="pt-BR"/>
        </w:rPr>
      </w:r>
    </w:p>
    <w:p w14:paraId="0FC0A248">
      <w:pPr>
        <w:pBdr/>
        <w:spacing w:after="200" w:line="276" w:lineRule="auto"/>
        <w:ind/>
        <w:rPr>
          <w:lang w:val="pt-BR"/>
        </w:rPr>
      </w:pPr>
      <w:r>
        <w:rPr>
          <w:iCs/>
          <w:lang w:val="pt-BR"/>
        </w:rPr>
      </w:r>
      <w:r>
        <w:rPr>
          <w:iCs/>
          <w:lang w:val="pt-BR"/>
        </w:rPr>
      </w:r>
      <w:r>
        <w:rPr>
          <w:lang w:val="pt-BR"/>
        </w:rPr>
      </w:r>
    </w:p>
    <w:p w14:paraId="12930896" w14:textId="77777777">
      <w:pPr>
        <w:pBdr/>
        <w:spacing w:after="200" w:line="276" w:lineRule="auto"/>
        <w:ind/>
        <w:rPr>
          <w:iCs/>
          <w:lang w:val="pt-BR"/>
        </w:rPr>
      </w:pPr>
      <w:r>
        <w:rPr>
          <w:iCs/>
          <w:lang w:val="pt-BR"/>
        </w:rPr>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https://www.facebook.com/share/r/1BB1z7Wz1S/</w:t>
            </w:r>
            <w:r>
              <w:rPr>
                <w:color w:val="000000" w:themeColor="text1"/>
                <w:sz w:val="22"/>
                <w:szCs w:val="22"/>
              </w:rPr>
              <w:br/>
            </w:r>
            <w:r>
              <w:rPr>
                <w:sz w:val="22"/>
                <w:szCs w:val="22"/>
              </w:rPr>
              <w:t xml:space="preserve">SĐT: </w:t>
            </w:r>
            <w:r>
              <w:rPr>
                <w:color w:val="000000" w:themeColor="text1"/>
                <w:sz w:val="22"/>
                <w:szCs w:val="22"/>
              </w:rPr>
              <w:t xml:space="preserve">0327938920</w:t>
            </w:r>
            <w:r>
              <w:rPr>
                <w:sz w:val="22"/>
                <w:szCs w:val="22"/>
              </w:rPr>
              <w:t xml:space="preserve"> </w:t>
            </w:r>
            <w:r>
              <w:rPr>
                <w:sz w:val="22"/>
                <w:szCs w:val="22"/>
              </w:rPr>
              <w:br/>
              <w:t xml:space="preserve">(Nguyễn 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2.635.000.000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Giãn dân vĩnh xá Xã Vĩnh Xá, Huyện Kim Động, Tỉnh Hưng Yên, khoảng cách ra đường chính cách DH73 khoảng 900m, độ rộng đường trước mặt tài sản 12m, mặt tiền 5m, 20.77803954599755, 106.02499263382687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041002">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D5EB7C">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E9A9A1C">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7D8DE9">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00400" cy="3172968"/>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62508676" name="" descr=""/>
                              <pic:cNvPicPr/>
                              <pic:nvPr/>
                            </pic:nvPicPr>
                            <pic:blipFill rotWithShape="1">
                              <a:blip r:embed="rId29"/>
                              <a:stretch/>
                            </pic:blipFill>
                            <pic:spPr bwMode="auto">
                              <a:xfrm rot="0" flipH="0" flipV="0">
                                <a:off x="0" y="0"/>
                                <a:ext cx="32004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52.00pt;height:249.84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28800" cy="3172968"/>
                      <wp:effectExtent l="0" t="0" r="0" b="0"/>
                      <wp:docPr id="20" name=""/>
                      <wp:cNvGraphicFramePr/>
                      <a:graphic xmlns:a="http://schemas.openxmlformats.org/drawingml/2006/main">
                        <a:graphicData uri="http://schemas.openxmlformats.org/drawingml/2006/picture">
                          <pic:pic xmlns:pic="http://schemas.openxmlformats.org/drawingml/2006/picture">
                            <pic:nvPicPr>
                              <pic:cNvPr id="765948789" name="" descr=""/>
                              <pic:cNvPicPr/>
                              <pic:nvPr/>
                            </pic:nvPicPr>
                            <pic:blipFill rotWithShape="1">
                              <a:blip r:embed="rId30"/>
                              <a:stretch/>
                            </pic:blipFill>
                            <pic:spPr bwMode="auto">
                              <a:xfrm rot="0" flipH="0" flipV="0">
                                <a:off x="0" y="0"/>
                                <a:ext cx="18288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4.00pt;height:249.84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286DEE92">
            <w:pPr>
              <w:pBdr/>
              <w:spacing/>
              <w:ind/>
              <w:jc w:val="center"/>
              <w:rPr>
                <w:b/>
                <w:bCs/>
                <w:i/>
              </w:rPr>
            </w:pPr>
            <w:r>
              <w:rPr>
                <w:b/>
                <w:bCs/>
                <w:i/>
                <w:iCs/>
              </w:rPr>
              <w:t xml:space="preserve">Nguyễn Đăng Hiếu</w:t>
            </w:r>
            <w:r>
              <w:rPr>
                <w:b/>
                <w:bCs/>
                <w:i/>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729779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6F30FF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5790FF15"/>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6DA0BBD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jp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275</cp:revision>
  <dcterms:created xsi:type="dcterms:W3CDTF">2025-09-15T09:58:00Z</dcterms:created>
  <dcterms:modified xsi:type="dcterms:W3CDTF">2025-12-12T07:33:20Z</dcterms:modified>
</cp:coreProperties>
</file>