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p>
    <w:p w14:paraId="66B50FB9" w14:textId="4B2906F2">
      <w:pPr>
        <w:pBdr/>
        <w:spacing/>
        <w:ind w:right="-1"/>
        <w:jc w:val="center"/>
        <w:rPr>
          <w:b/>
          <w:sz w:val="28"/>
        </w:rPr>
      </w:pPr>
      <w:r>
        <w:rPr>
          <w:b/>
          <w:sz w:val="28"/>
        </w:rPr>
      </w:r>
      <w:r>
        <w:rPr>
          <w:b/>
          <w:sz w:val="28"/>
        </w:rPr>
      </w:r>
    </w:p>
    <w:p w14:paraId="7FFC4A7A" w14:textId="0CC21EFD">
      <w:pPr>
        <w:pBdr/>
        <w:spacing/>
        <w:ind w:right="-1"/>
        <w:jc w:val="center"/>
        <w:rPr>
          <w:b/>
          <w:sz w:val="28"/>
        </w:rPr>
      </w:pPr>
      <w:r>
        <w:rPr>
          <w:b/>
          <w:sz w:val="28"/>
        </w:rPr>
      </w:r>
      <w:r>
        <w:rPr>
          <w:b/>
          <w:sz w:val="28"/>
        </w:rPr>
      </w:r>
    </w:p>
    <w:p w14:paraId="0E2B7C59" w14:textId="354E0ACB">
      <w:pPr>
        <w:pBdr/>
        <w:spacing/>
        <w:ind w:right="-1"/>
        <w:jc w:val="center"/>
        <w:rPr>
          <w:b/>
          <w:sz w:val="28"/>
        </w:rPr>
      </w:pPr>
      <w:r>
        <w:rPr>
          <w:b/>
          <w:sz w:val="28"/>
        </w:rPr>
      </w:r>
      <w:r>
        <w:rPr>
          <w:b/>
          <w:sz w:val="28"/>
        </w:rPr>
      </w:r>
    </w:p>
    <w:p w14:paraId="0E00EAE3" w14:textId="4ADEBA74">
      <w:pPr>
        <w:pBdr/>
        <w:spacing/>
        <w:ind w:right="-1"/>
        <w:jc w:val="center"/>
        <w:rPr>
          <w:b/>
          <w:sz w:val="28"/>
        </w:rPr>
      </w:pPr>
      <w:r>
        <w:rPr>
          <w:b/>
          <w:sz w:val="28"/>
        </w:rPr>
      </w:r>
      <w:r>
        <w:rPr>
          <w:b/>
          <w:sz w:val="28"/>
        </w:rPr>
      </w:r>
    </w:p>
    <w:p w14:paraId="5DA3BE65" w14:textId="023D207E">
      <w:pPr>
        <w:pBdr/>
        <w:spacing/>
        <w:ind w:right="-1"/>
        <w:jc w:val="center"/>
        <w:rPr>
          <w:b/>
          <w:sz w:val="28"/>
        </w:rPr>
      </w:pPr>
      <w:r>
        <w:rPr>
          <w:b/>
          <w:sz w:val="28"/>
        </w:rPr>
      </w:r>
      <w:r>
        <w:rPr>
          <w:b/>
          <w:sz w:val="28"/>
        </w:rPr>
      </w:r>
    </w:p>
    <w:p w14:paraId="7E14224A" w14:textId="77777777">
      <w:pPr>
        <w:pBdr/>
        <w:spacing/>
        <w:ind w:right="-1"/>
        <w:jc w:val="center"/>
        <w:rPr>
          <w:b/>
          <w:sz w:val="28"/>
        </w:rPr>
      </w:pPr>
      <w:r>
        <w:rPr>
          <w:b/>
          <w:sz w:val="28"/>
        </w:rPr>
      </w:r>
      <w:r>
        <w:rPr>
          <w:b/>
          <w:sz w:val="28"/>
        </w:rPr>
      </w:r>
    </w:p>
    <w:p w14:paraId="2FB64195" w14:textId="65746AA4">
      <w:pPr>
        <w:pBdr/>
        <w:spacing/>
        <w:ind w:right="-1"/>
        <w:jc w:val="center"/>
        <w:rPr>
          <w:b/>
          <w:sz w:val="28"/>
        </w:rPr>
      </w:pPr>
      <w:r>
        <w:rPr>
          <w:b/>
          <w:sz w:val="28"/>
        </w:rPr>
      </w:r>
      <w:r>
        <w:rPr>
          <w:b/>
          <w:sz w:val="28"/>
        </w:rPr>
      </w:r>
    </w:p>
    <w:p w14:paraId="3E2C0CCA" w14:textId="3AF37AD9">
      <w:pPr>
        <w:pBdr/>
        <w:spacing/>
        <w:ind w:right="-1"/>
        <w:jc w:val="center"/>
        <w:rPr>
          <w:b/>
          <w:sz w:val="28"/>
        </w:rPr>
      </w:pPr>
      <w:r>
        <w:rPr>
          <w:b/>
          <w:sz w:val="28"/>
        </w:rPr>
      </w:r>
      <w:r>
        <w:rPr>
          <w:b/>
          <w:sz w:val="28"/>
        </w:rPr>
      </w:r>
    </w:p>
    <w:p w14:paraId="29BCAC07" w14:textId="4620502D">
      <w:pPr>
        <w:pBdr/>
        <w:spacing/>
        <w:ind w:right="-1"/>
        <w:jc w:val="center"/>
        <w:rPr>
          <w:b/>
          <w:sz w:val="28"/>
        </w:rPr>
      </w:pPr>
      <w:r>
        <w:rPr>
          <w:b/>
          <w:sz w:val="28"/>
        </w:rPr>
      </w:r>
      <w:r>
        <w:rPr>
          <w:b/>
          <w:sz w:val="28"/>
        </w:rPr>
      </w:r>
    </w:p>
    <w:p w14:paraId="3324D91C" w14:textId="77777777">
      <w:pPr>
        <w:pBdr/>
        <w:spacing/>
        <w:ind w:right="-1"/>
        <w:rPr>
          <w:b/>
          <w:sz w:val="28"/>
        </w:rPr>
      </w:pPr>
      <w:r>
        <w:rPr>
          <w:b/>
          <w:sz w:val="28"/>
        </w:rPr>
      </w:r>
      <w:r>
        <w:rPr>
          <w:b/>
          <w:sz w:val="28"/>
        </w:rPr>
      </w:r>
    </w:p>
    <w:p w14:paraId="5D2358BC" w14:textId="77777777">
      <w:pPr>
        <w:pBdr/>
        <w:spacing/>
        <w:ind w:right="-1"/>
        <w:jc w:val="center"/>
        <w:rPr>
          <w:b/>
          <w:sz w:val="28"/>
        </w:rPr>
      </w:pP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302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3024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275/2025/1731/VFI-CT.44.A</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Lã Văn Chiu</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r>
                            <w:r>
                              <w:rPr>
                                <w:rFonts w:ascii="Times New Roman" w:hAnsi="Times New Roman" w:eastAsia="Times New Roman" w:cs="Times New Roman"/>
                                <w:color w:val="000000"/>
                                <w:sz w:val="24"/>
                              </w:rPr>
                              <w:t xml:space="preserve">Quyền sử dụng đất tại thửa đất số: 477, tờ bản đồ số: 16, có địa chỉ: Thôn Phượng Vũ, xã Phượng Dực, huyện Phú Xuyên ( nay là xã Phượng Dực), thành phố Hà Nội theo 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DQ 253197, Số vào sổ cấp GCN: CN-02754 do Chi nhánh văn phòng đăng ký đất đai Hà Nội - Huyện Phú Xuyên cấp ngày 19/11/2024; chủ sử dụng đất là Ông Lã Văn Chiu</w:t>
                            </w:r>
                            <w:r>
                              <w:rPr>
                                <w:color w:val="000000"/>
                              </w:rPr>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5.8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275/2025/1731/VFI-CT.44.A</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Lã Văn Chiu</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r>
                      <w:r>
                        <w:rPr>
                          <w:rFonts w:ascii="Times New Roman" w:hAnsi="Times New Roman" w:eastAsia="Times New Roman" w:cs="Times New Roman"/>
                          <w:color w:val="000000"/>
                          <w:sz w:val="24"/>
                        </w:rPr>
                        <w:t xml:space="preserve">Quyền sử dụng đất tại thửa đất số: 477, tờ bản đồ số: 16, có địa chỉ: Thôn Phượng Vũ, xã Phượng Dực, huyện Phú Xuyên ( nay là xã Phượng Dực), thành phố Hà Nội theo 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DQ 253197, Số vào sổ cấp GCN: CN-02754 do Chi nhánh văn phòng đăng ký đất đai Hà Nội - Huyện Phú Xuyên cấp ngày 19/11/2024; chủ sử dụng đất là Ông Lã Văn Chiu</w:t>
                      </w:r>
                      <w:r>
                        <w:rPr>
                          <w:color w:val="000000"/>
                        </w:rPr>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14:paraId="07B60244" w14:textId="4FC2AEDF">
      <w:pPr>
        <w:pBdr/>
        <w:spacing/>
        <w:ind w:right="-1"/>
        <w:jc w:val="center"/>
        <w:rPr>
          <w:b/>
          <w:sz w:val="28"/>
        </w:rPr>
      </w:pPr>
      <w:r>
        <w:rPr>
          <w:b/>
          <w:sz w:val="28"/>
        </w:rPr>
      </w:r>
      <w:r>
        <w:rPr>
          <w:b/>
          <w:sz w:val="28"/>
        </w:rPr>
      </w:r>
    </w:p>
    <w:p w14:paraId="6C81AB24" w14:textId="44FD889E">
      <w:pPr>
        <w:pBdr/>
        <w:spacing/>
        <w:ind w:right="-1"/>
        <w:jc w:val="center"/>
        <w:rPr>
          <w:b/>
          <w:sz w:val="28"/>
        </w:rPr>
      </w:pPr>
      <w:r>
        <w:rPr>
          <w:b/>
          <w:sz w:val="28"/>
        </w:rPr>
      </w:r>
      <w:r>
        <w:rPr>
          <w:b/>
          <w:sz w:val="28"/>
        </w:rPr>
      </w:r>
    </w:p>
    <w:p w14:paraId="458F6602" w14:textId="0FD46D27">
      <w:pPr>
        <w:pBdr/>
        <w:spacing/>
        <w:ind w:right="-1"/>
        <w:jc w:val="center"/>
        <w:rPr>
          <w:b/>
          <w:sz w:val="28"/>
        </w:rPr>
      </w:pPr>
      <w:r>
        <w:rPr>
          <w:b/>
          <w:sz w:val="28"/>
        </w:rPr>
      </w:r>
      <w:r>
        <w:rPr>
          <w:b/>
          <w:sz w:val="28"/>
        </w:rPr>
      </w:r>
    </w:p>
    <w:p w14:paraId="29494427" w14:textId="5D115C9A">
      <w:pPr>
        <w:pBdr/>
        <w:spacing/>
        <w:ind w:right="-1"/>
        <w:jc w:val="center"/>
        <w:rPr>
          <w:b/>
          <w:sz w:val="28"/>
        </w:rPr>
      </w:pPr>
      <w:r>
        <w:rPr>
          <w:b/>
          <w:sz w:val="28"/>
        </w:rPr>
      </w:r>
      <w:r>
        <w:rPr>
          <w:b/>
          <w:sz w:val="28"/>
        </w:rPr>
      </w:r>
    </w:p>
    <w:p w14:paraId="7AC85572" w14:textId="656C989C">
      <w:pPr>
        <w:pBdr/>
        <w:spacing/>
        <w:ind w:right="-1"/>
        <w:jc w:val="center"/>
        <w:rPr>
          <w:b/>
          <w:sz w:val="28"/>
        </w:rPr>
      </w:pPr>
      <w:r>
        <w:rPr>
          <w:b/>
          <w:sz w:val="28"/>
        </w:rPr>
      </w:r>
      <w:r>
        <w:rPr>
          <w:b/>
          <w:sz w:val="28"/>
        </w:rPr>
      </w:r>
    </w:p>
    <w:p w14:paraId="7282E8FA" w14:textId="03774A5F">
      <w:pPr>
        <w:pBdr/>
        <w:spacing/>
        <w:ind w:right="-1"/>
        <w:jc w:val="center"/>
        <w:rPr>
          <w:b/>
          <w:sz w:val="28"/>
        </w:rPr>
      </w:pPr>
      <w:r>
        <w:rPr>
          <w:b/>
          <w:sz w:val="28"/>
        </w:rPr>
      </w:r>
      <w:r>
        <w:rPr>
          <w:b/>
          <w:sz w:val="28"/>
        </w:rPr>
      </w:r>
    </w:p>
    <w:p w14:paraId="662CBCC8" w14:textId="2B54496A">
      <w:pPr>
        <w:pBdr/>
        <w:spacing/>
        <w:ind w:right="-1"/>
        <w:jc w:val="center"/>
        <w:rPr>
          <w:b/>
          <w:sz w:val="28"/>
        </w:rPr>
      </w:pPr>
      <w:r>
        <w:rPr>
          <w:b/>
          <w:sz w:val="28"/>
        </w:rPr>
      </w:r>
      <w:r>
        <w:rPr>
          <w:b/>
          <w:sz w:val="28"/>
        </w:rPr>
      </w:r>
    </w:p>
    <w:p w14:paraId="71E5B3D6" w14:textId="3C30DE50">
      <w:pPr>
        <w:pBdr/>
        <w:spacing/>
        <w:ind w:right="-1"/>
        <w:jc w:val="center"/>
        <w:rPr>
          <w:b/>
          <w:sz w:val="28"/>
        </w:rPr>
      </w:pPr>
      <w:r>
        <w:rPr>
          <w:b/>
          <w:sz w:val="28"/>
        </w:rPr>
      </w:r>
      <w:r>
        <w:rPr>
          <w:b/>
          <w:sz w:val="28"/>
        </w:rPr>
      </w:r>
    </w:p>
    <w:p w14:paraId="2330B4AF" w14:textId="2169C7EB">
      <w:pPr>
        <w:pBdr/>
        <w:spacing/>
        <w:ind w:right="-1"/>
        <w:jc w:val="center"/>
        <w:rPr>
          <w:b/>
          <w:sz w:val="28"/>
        </w:rPr>
      </w:pPr>
      <w:r>
        <w:rPr>
          <w:b/>
          <w:sz w:val="28"/>
        </w:rPr>
      </w:r>
      <w:r>
        <w:rPr>
          <w:b/>
          <w:sz w:val="28"/>
        </w:rPr>
      </w:r>
    </w:p>
    <w:p w14:paraId="1E906CC7" w14:textId="604EE98A">
      <w:pPr>
        <w:pBdr/>
        <w:spacing/>
        <w:ind w:right="-1"/>
        <w:jc w:val="center"/>
        <w:rPr>
          <w:b/>
          <w:sz w:val="28"/>
        </w:rPr>
      </w:pPr>
      <w:r>
        <w:rPr>
          <w:b/>
          <w:sz w:val="28"/>
        </w:rPr>
      </w:r>
      <w:r>
        <w:rPr>
          <w:b/>
          <w:sz w:val="28"/>
        </w:rPr>
      </w:r>
    </w:p>
    <w:p w14:paraId="25A9C18C" w14:textId="70925B93">
      <w:pPr>
        <w:pBdr/>
        <w:spacing/>
        <w:ind w:right="-1"/>
        <w:jc w:val="center"/>
        <w:rPr>
          <w:b/>
          <w:sz w:val="28"/>
        </w:rPr>
      </w:pPr>
      <w:r>
        <w:rPr>
          <w:b/>
          <w:sz w:val="28"/>
        </w:rPr>
      </w:r>
      <w:r>
        <w:rPr>
          <w:b/>
          <w:sz w:val="28"/>
        </w:rPr>
      </w:r>
    </w:p>
    <w:p w14:paraId="7C72D49F" w14:textId="0259940B">
      <w:pPr>
        <w:pBdr/>
        <w:spacing/>
        <w:ind w:right="-1"/>
        <w:jc w:val="center"/>
        <w:rPr>
          <w:b/>
          <w:sz w:val="28"/>
        </w:rPr>
      </w:pPr>
      <w:r>
        <w:rPr>
          <w:b/>
          <w:sz w:val="28"/>
        </w:rPr>
      </w:r>
      <w:r>
        <w:rPr>
          <w:b/>
          <w:sz w:val="28"/>
        </w:rPr>
      </w:r>
    </w:p>
    <w:p w14:paraId="5C53E3E0" w14:textId="4C6FDC73">
      <w:pPr>
        <w:pBdr/>
        <w:spacing/>
        <w:ind w:right="-1"/>
        <w:jc w:val="center"/>
        <w:rPr>
          <w:b/>
          <w:sz w:val="28"/>
        </w:rPr>
      </w:pPr>
      <w:r>
        <w:rPr>
          <w:b/>
          <w:sz w:val="28"/>
        </w:rPr>
      </w:r>
      <w:r>
        <w:rPr>
          <w:b/>
          <w:sz w:val="28"/>
        </w:rPr>
      </w:r>
    </w:p>
    <w:p w14:paraId="1959FBFE" w14:textId="77777777">
      <w:pPr>
        <w:pBdr/>
        <w:spacing/>
        <w:ind w:right="-1"/>
        <w:jc w:val="center"/>
        <w:rPr>
          <w:b/>
          <w:sz w:val="28"/>
        </w:rPr>
      </w:pPr>
      <w:r>
        <w:rPr>
          <w:b/>
          <w:sz w:val="28"/>
        </w:rPr>
      </w:r>
      <w:r>
        <w:rPr>
          <w:b/>
          <w:sz w:val="28"/>
        </w:rPr>
      </w:r>
    </w:p>
    <w:p w14:paraId="2C24FD2A" w14:textId="77777777">
      <w:pPr>
        <w:pBdr/>
        <w:spacing/>
        <w:ind w:right="-1"/>
        <w:jc w:val="center"/>
        <w:rPr>
          <w:b/>
          <w:sz w:val="28"/>
        </w:rPr>
      </w:pPr>
      <w:r>
        <w:rPr>
          <w:b/>
          <w:sz w:val="28"/>
        </w:rPr>
      </w:r>
      <w:r>
        <w:rPr>
          <w:b/>
          <w:sz w:val="28"/>
        </w:rPr>
      </w:r>
    </w:p>
    <w:p w14:paraId="22110F73" w14:textId="77777777">
      <w:pPr>
        <w:pBdr/>
        <w:spacing/>
        <w:ind w:right="-1"/>
        <w:jc w:val="center"/>
        <w:rPr>
          <w:b/>
          <w:sz w:val="28"/>
        </w:rPr>
      </w:pPr>
      <w:r>
        <w:rPr>
          <w:b/>
          <w:sz w:val="28"/>
        </w:rPr>
      </w:r>
      <w:r>
        <w:rPr>
          <w:b/>
          <w:sz w:val="28"/>
        </w:rPr>
      </w:r>
    </w:p>
    <w:p w14:paraId="038A646E" w14:textId="77777777">
      <w:pPr>
        <w:pBdr/>
        <w:spacing/>
        <w:ind w:right="-1"/>
        <w:jc w:val="center"/>
        <w:rPr>
          <w:b/>
          <w:sz w:val="28"/>
        </w:rPr>
      </w:pPr>
      <w:r>
        <w:rPr>
          <w:b/>
          <w:sz w:val="28"/>
        </w:rPr>
      </w:r>
      <w:r>
        <w:rPr>
          <w:b/>
          <w:sz w:val="28"/>
        </w:rPr>
      </w:r>
    </w:p>
    <w:p w14:paraId="6F3B8588" w14:textId="2C161D97">
      <w:pPr>
        <w:pBdr/>
        <w:spacing/>
        <w:ind w:right="-1"/>
        <w:rPr>
          <w:b/>
          <w:sz w:val="28"/>
        </w:rPr>
      </w:pPr>
      <w:r>
        <w:rPr>
          <w:b/>
          <w:sz w:val="28"/>
        </w:rPr>
      </w:r>
      <w:r>
        <w:rPr>
          <w:b/>
          <w:sz w:val="28"/>
        </w:rPr>
      </w:r>
    </w:p>
    <w:p w14:paraId="597EADBD" w14:textId="77777777">
      <w:pPr>
        <w:pBdr/>
        <w:spacing/>
        <w:ind w:right="-1"/>
        <w:jc w:val="center"/>
        <w:rPr>
          <w:b/>
          <w:sz w:val="28"/>
        </w:rPr>
      </w:pPr>
      <w:r>
        <w:rPr>
          <w:b/>
          <w:sz w:val="28"/>
        </w:rPr>
      </w:r>
      <w:r>
        <w:rPr>
          <w:b/>
          <w:sz w:val="28"/>
        </w:rPr>
      </w:r>
    </w:p>
    <w:p w14:paraId="6BDC04E6" w14:textId="77777777">
      <w:pPr>
        <w:pBdr/>
        <w:spacing/>
        <w:ind w:right="-1"/>
        <w:jc w:val="center"/>
        <w:rPr>
          <w:b/>
          <w:sz w:val="28"/>
        </w:rPr>
      </w:pPr>
      <w:r>
        <w:rPr>
          <w:b/>
          <w:sz w:val="28"/>
        </w:rPr>
      </w:r>
      <w:r>
        <w:rPr>
          <w:b/>
          <w:sz w:val="28"/>
        </w:rPr>
      </w:r>
    </w:p>
    <w:p w14:paraId="72B4D234" w14:textId="77777777">
      <w:pPr>
        <w:pBdr/>
        <w:spacing/>
        <w:ind w:right="-1"/>
        <w:jc w:val="center"/>
        <w:rPr>
          <w:b/>
          <w:sz w:val="28"/>
        </w:rPr>
      </w:pPr>
      <w:r>
        <w:rPr>
          <w:b/>
          <w:sz w:val="28"/>
        </w:rPr>
      </w:r>
      <w:r>
        <w:rPr>
          <w:b/>
          <w:sz w:val="28"/>
        </w:rPr>
      </w:r>
    </w:p>
    <w:p w14:paraId="1DF10F67" w14:textId="77777777">
      <w:pPr>
        <w:pBdr/>
        <w:spacing/>
        <w:ind w:right="-1"/>
        <w:jc w:val="center"/>
        <w:rPr>
          <w:b/>
          <w:sz w:val="28"/>
        </w:rPr>
      </w:pPr>
      <w:r>
        <w:rPr>
          <w:b/>
          <w:sz w:val="28"/>
        </w:rPr>
      </w:r>
      <w:r>
        <w:rPr>
          <w:b/>
          <w:sz w:val="28"/>
        </w:rPr>
      </w:r>
    </w:p>
    <w:p w14:paraId="43E8954B" w14:textId="77777777">
      <w:pPr>
        <w:pBdr/>
        <w:spacing/>
        <w:ind w:right="-1"/>
        <w:jc w:val="center"/>
        <w:rPr>
          <w:b/>
          <w:sz w:val="28"/>
        </w:rPr>
      </w:pPr>
      <w:r>
        <w:rPr>
          <w:b/>
          <w:sz w:val="28"/>
        </w:rPr>
      </w:r>
      <w:r>
        <w:rPr>
          <w:b/>
          <w:sz w:val="28"/>
        </w:rPr>
      </w:r>
    </w:p>
    <w:p w14:paraId="4CB444E6" w14:textId="77777777">
      <w:pPr>
        <w:pBdr/>
        <w:spacing/>
        <w:ind w:right="-1"/>
        <w:jc w:val="center"/>
        <w:rPr>
          <w:b/>
          <w:sz w:val="28"/>
        </w:rPr>
      </w:pPr>
      <w:r>
        <w:rPr>
          <w:b/>
          <w:sz w:val="28"/>
        </w:rPr>
      </w:r>
      <w:r>
        <w:rPr>
          <w:b/>
          <w:sz w:val="28"/>
        </w:rPr>
      </w:r>
    </w:p>
    <w:p w14:paraId="3AC3FF8D" w14:textId="77777777">
      <w:pPr>
        <w:pBdr/>
        <w:spacing/>
        <w:ind w:right="-1"/>
        <w:jc w:val="center"/>
        <w:rPr>
          <w:b/>
          <w:sz w:val="28"/>
        </w:rPr>
      </w:pPr>
      <w:r>
        <w:rPr>
          <w:b/>
          <w:sz w:val="28"/>
        </w:rPr>
      </w:r>
      <w:r>
        <w:rPr>
          <w:b/>
          <w:sz w:val="28"/>
        </w:rPr>
      </w:r>
    </w:p>
    <w:p w14:paraId="0C2F8F74" w14:textId="77777777">
      <w:pPr>
        <w:pBdr/>
        <w:spacing/>
        <w:ind w:right="-1"/>
        <w:jc w:val="center"/>
        <w:rPr>
          <w:b/>
          <w:sz w:val="28"/>
        </w:rPr>
      </w:pPr>
      <w:r>
        <w:rPr>
          <w:b/>
          <w:sz w:val="28"/>
        </w:rPr>
      </w:r>
      <w:r>
        <w:rPr>
          <w:b/>
          <w:sz w:val="28"/>
        </w:rPr>
      </w:r>
    </w:p>
    <w:p w14:paraId="179F16B5" w14:textId="77777777">
      <w:pPr>
        <w:pBdr/>
        <w:spacing/>
        <w:ind w:right="-1"/>
        <w:jc w:val="center"/>
        <w:rPr>
          <w:b/>
          <w:sz w:val="28"/>
        </w:rPr>
      </w:pPr>
      <w:r>
        <w:rPr>
          <w:b/>
          <w:sz w:val="28"/>
        </w:rPr>
      </w:r>
      <w:r>
        <w:rPr>
          <w:b/>
          <w:sz w:val="28"/>
        </w:rPr>
      </w:r>
    </w:p>
    <w:p w14:paraId="4D36CEC2" w14:textId="77777777">
      <w:pPr>
        <w:pBdr/>
        <w:spacing/>
        <w:ind w:right="-1"/>
        <w:jc w:val="center"/>
        <w:rPr>
          <w:b/>
          <w:sz w:val="28"/>
        </w:rPr>
      </w:pPr>
      <w:r>
        <w:rPr>
          <w:b/>
          <w:sz w:val="28"/>
        </w:rPr>
      </w:r>
      <w:r>
        <w:rPr>
          <w:b/>
          <w:sz w:val="28"/>
        </w:rPr>
      </w:r>
    </w:p>
    <w:p w14:paraId="4AA6BA5F" w14:textId="77777777">
      <w:pPr>
        <w:pBdr/>
        <w:spacing/>
        <w:ind w:right="-1"/>
        <w:jc w:val="center"/>
        <w:rPr>
          <w:b/>
          <w:sz w:val="28"/>
        </w:rPr>
      </w:pPr>
      <w:r>
        <w:rPr>
          <w:b/>
          <w:sz w:val="28"/>
        </w:rPr>
      </w:r>
      <w:r>
        <w:rPr>
          <w:b/>
          <w:sz w:val="28"/>
        </w:rPr>
      </w:r>
    </w:p>
    <w:p w14:paraId="7948BCCE" w14:textId="77777777">
      <w:pPr>
        <w:pBdr/>
        <w:spacing/>
        <w:ind w:right="-1"/>
        <w:jc w:val="center"/>
        <w:rPr>
          <w:b/>
          <w:sz w:val="28"/>
        </w:rPr>
      </w:pPr>
      <w:r>
        <w:rPr>
          <w:b/>
          <w:sz w:val="28"/>
        </w:rPr>
      </w:r>
      <w:r>
        <w:rPr>
          <w:b/>
          <w:sz w:val="28"/>
        </w:rPr>
      </w:r>
    </w:p>
    <w:p w14:paraId="7680130F" w14:textId="77777777">
      <w:pPr>
        <w:pBdr/>
        <w:spacing/>
        <w:ind w:right="-1"/>
        <w:jc w:val="center"/>
        <w:rPr>
          <w:b/>
          <w:sz w:val="28"/>
        </w:rPr>
      </w:pP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14:paraId="76B13CA8" w14:textId="77777777">
      <w:pPr>
        <w:pBdr/>
        <w:spacing/>
        <w:ind w:right="-1"/>
        <w:jc w:val="center"/>
        <w:rPr>
          <w:sz w:val="28"/>
        </w:rPr>
      </w:pPr>
      <w:r>
        <w:rPr>
          <w:b/>
          <w:sz w:val="28"/>
        </w:rPr>
        <w:t xml:space="preserve">MỤC LỤC</w:t>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14:paraId="3938CF39" w14:textId="7C91FF48">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p>
        </w:tc>
      </w:tr>
    </w:tbl>
    <w:p w14:paraId="65E8110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2E2780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522DA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528A1FA"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AECD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3BC685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DFBBDF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DB3062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7FF7E60"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FA006E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935F0E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6567F39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FF88C4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D2A178B"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61F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B86B3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9A138EC"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911A6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52D6480" w14:textId="77777777">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855"/>
              <w:pBdr/>
              <w:spacing w:after="60" w:before="200"/>
              <w:ind/>
              <w:rPr>
                <w:rStyle w:val="854"/>
                <w:rFonts w:ascii="Times New Roman" w:hAnsi="Times New Roman"/>
                <w:color w:val="auto"/>
                <w:lang w:val="pt-BR"/>
              </w:rPr>
            </w:pPr>
            <w:r>
              <w:rPr>
                <w:rFonts w:ascii="Times New Roman" w:hAnsi="Times New Roman"/>
                <w:color w:val="auto"/>
                <w:lang w:val="pt-BR"/>
              </w:rPr>
            </w:r>
            <w:r>
              <w:rPr>
                <w:rStyle w:val="854"/>
                <w:rFonts w:ascii="Times New Roman" w:hAnsi="Times New Roman"/>
                <w:color w:val="auto"/>
                <w:lang w:val="pt-BR"/>
              </w:rPr>
            </w:r>
          </w:p>
          <w:p w14:paraId="189019A0" w14:textId="50D2DFCA">
            <w:pPr>
              <w:pStyle w:val="855"/>
              <w:pBdr/>
              <w:spacing w:after="60" w:before="200"/>
              <w:ind/>
              <w:rPr>
                <w:sz w:val="24"/>
                <w:szCs w:val="24"/>
              </w:rPr>
            </w:pPr>
            <w:r>
              <w:rPr>
                <w:rStyle w:val="854"/>
                <w:rFonts w:ascii="Times New Roman" w:hAnsi="Times New Roman"/>
                <w:color w:val="auto"/>
                <w:lang w:val="pt-BR"/>
              </w:rPr>
              <w:t xml:space="preserve">Số:</w:t>
            </w:r>
            <w:r>
              <w:rPr>
                <w:rStyle w:val="854"/>
                <w:rFonts w:ascii="Times New Roman" w:hAnsi="Times New Roman"/>
                <w:color w:val="auto"/>
                <w:lang w:val="pt-BR"/>
              </w:rPr>
              <w:t xml:space="preserve"> </w:t>
            </w:r>
            <w:r>
              <w:rPr>
                <w:rStyle w:val="854"/>
                <w:rFonts w:ascii="Times New Roman" w:hAnsi="Times New Roman"/>
                <w:color w:val="000000" w:themeColor="text1"/>
                <w:lang w:val="pt-BR"/>
              </w:rPr>
              <w:t xml:space="preserve">275/2025/1731/VFI-CT.44.A</w:t>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855"/>
              <w:pBdr/>
              <w:spacing w:after="60" w:before="20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14:paraId="6B33CD77" w14:textId="29BAA06D">
            <w:pPr>
              <w:pStyle w:val="855"/>
              <w:pBdr/>
              <w:spacing w:after="60" w:before="200"/>
              <w:ind w:right="-56"/>
              <w:jc w:val="right"/>
              <w:rPr>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9 tháng 12 năm 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sz w:val="24"/>
                <w:szCs w:val="24"/>
                <w:lang w:val="vi-VN"/>
              </w:rPr>
            </w:r>
          </w:p>
        </w:tc>
      </w:tr>
    </w:tbl>
    <w:p w14:paraId="60EC0402" w14:textId="10F1A230">
      <w:pPr>
        <w:pStyle w:val="855"/>
        <w:pBdr/>
        <w:spacing w:after="120" w:before="200" w:line="288" w:lineRule="auto"/>
        <w:ind/>
        <w:jc w:val="center"/>
        <w:rPr>
          <w:rStyle w:val="854"/>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Lã Văn Chiu</w:t>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275/2025/1731/VFI-HĐTĐ.44.A </w:t>
      </w:r>
      <w:r>
        <w:rPr>
          <w:spacing w:val="-4"/>
          <w:lang w:val="vi-VN"/>
        </w:rPr>
        <w:t xml:space="preserve"> ký ngày </w:t>
      </w:r>
      <w:r>
        <w:rPr>
          <w:color w:val="000000" w:themeColor="text1"/>
          <w:spacing w:val="-4"/>
        </w:rPr>
        <w:t xml:space="preserve">1 tháng 12 năm 2025</w:t>
      </w:r>
      <w:r>
        <w:rPr>
          <w:spacing w:val="-4"/>
          <w:lang w:val="vi-VN"/>
        </w:rPr>
        <w:t xml:space="preserve"> </w:t>
      </w:r>
      <w:r>
        <w:rPr>
          <w:spacing w:val="-4"/>
          <w:lang w:val="vi-VN"/>
        </w:rPr>
        <w:t xml:space="preserve">giữa </w:t>
      </w:r>
      <w:r>
        <w:rPr>
          <w:color w:val="000000" w:themeColor="text1"/>
          <w:spacing w:val="-4"/>
        </w:rPr>
        <w:t xml:space="preserve">Ông Lã Văn Chiu</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275/2025/1731/BC-VFI</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9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highlight w:val="none"/>
          <w:lang w:val="vi-VN"/>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Style w:val="860"/>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27"/>
        <w:gridCol w:w="263"/>
        <w:gridCol w:w="6565"/>
      </w:tblGrid>
      <w:tr>
        <w:trPr>
          <w:trHeight w:val="284"/>
        </w:trPr>
        <w:tc>
          <w:tcPr>
            <w:tcBorders/>
            <w:tcMar>
              <w:left w:w="108" w:type="dxa"/>
              <w:top w:w="0" w:type="dxa"/>
              <w:right w:w="108" w:type="dxa"/>
              <w:bottom w:w="0" w:type="dxa"/>
            </w:tcMar>
            <w:tcW w:w="2527" w:type="dxa"/>
            <w:vAlign w:val="center"/>
            <w:textDirection w:val="lrTb"/>
            <w:noWrap w:val="false"/>
          </w:tcPr>
          <w:p w14:paraId="5A04C4F8">
            <w:pPr>
              <w:pBdr>
                <w:top w:val="none" w:color="000000" w:sz="4" w:space="0"/>
                <w:left w:val="none" w:color="000000" w:sz="4" w:space="0"/>
                <w:bottom w:val="none" w:color="000000" w:sz="4" w:space="0"/>
                <w:right w:val="none" w:color="000000" w:sz="4" w:space="0"/>
              </w:pBdr>
              <w:spacing w:before="60"/>
              <w:ind w:right="0" w:firstLine="0" w:left="0"/>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63" w:type="dxa"/>
            <w:vAlign w:val="center"/>
            <w:textDirection w:val="lrTb"/>
            <w:noWrap w:val="false"/>
          </w:tcPr>
          <w:p w14:paraId="2A229C6F">
            <w:pPr>
              <w:pBdr>
                <w:top w:val="none" w:color="000000" w:sz="4" w:space="0"/>
                <w:left w:val="none" w:color="000000" w:sz="4" w:space="0"/>
                <w:bottom w:val="none" w:color="000000" w:sz="4" w:space="0"/>
                <w:right w:val="none" w:color="000000" w:sz="4" w:space="0"/>
              </w:pBdr>
              <w:spacing w:after="0" w:before="6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65" w:type="dxa"/>
            <w:vAlign w:val="center"/>
            <w:textDirection w:val="lrTb"/>
            <w:noWrap w:val="false"/>
          </w:tcPr>
          <w:p w14:paraId="65AE013B">
            <w:pPr>
              <w:pBdr>
                <w:top w:val="none" w:color="000000" w:sz="4" w:space="0"/>
                <w:left w:val="none" w:color="000000" w:sz="4" w:space="0"/>
                <w:bottom w:val="none" w:color="000000" w:sz="4" w:space="0"/>
                <w:right w:val="none" w:color="000000" w:sz="4" w:space="0"/>
              </w:pBdr>
              <w:spacing w:before="60"/>
              <w:ind w:right="0" w:firstLine="0" w:left="0"/>
              <w:jc w:val="both"/>
              <w:rPr/>
            </w:pPr>
            <w:r>
              <w:rPr>
                <w:rFonts w:ascii="Times New Roman" w:hAnsi="Times New Roman" w:eastAsia="Times New Roman" w:cs="Times New Roman"/>
                <w:b/>
                <w:color w:val="000000"/>
                <w:sz w:val="24"/>
              </w:rPr>
              <w:t xml:space="preserve">ÔNG LÃ VĂN CHIU</w:t>
            </w:r>
            <w:r/>
          </w:p>
        </w:tc>
      </w:tr>
      <w:tr>
        <w:trPr>
          <w:trHeight w:val="284"/>
        </w:trPr>
        <w:tc>
          <w:tcPr>
            <w:tcBorders/>
            <w:tcMar>
              <w:left w:w="108" w:type="dxa"/>
              <w:top w:w="0" w:type="dxa"/>
              <w:right w:w="108" w:type="dxa"/>
              <w:bottom w:w="0" w:type="dxa"/>
            </w:tcMar>
            <w:tcW w:w="2527" w:type="dxa"/>
            <w:vAlign w:val="center"/>
            <w:textDirection w:val="lrTb"/>
            <w:noWrap w:val="false"/>
          </w:tcPr>
          <w:p w14:paraId="5F4979C2">
            <w:pPr>
              <w:pBdr>
                <w:top w:val="none" w:color="000000" w:sz="4" w:space="0"/>
                <w:left w:val="none" w:color="000000" w:sz="4" w:space="0"/>
                <w:bottom w:val="none" w:color="000000" w:sz="4" w:space="0"/>
                <w:right w:val="none" w:color="000000" w:sz="4" w:space="0"/>
              </w:pBdr>
              <w:spacing w:before="60"/>
              <w:ind w:right="0" w:firstLine="0" w:left="0"/>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263" w:type="dxa"/>
            <w:vAlign w:val="center"/>
            <w:textDirection w:val="lrTb"/>
            <w:noWrap w:val="false"/>
          </w:tcPr>
          <w:p w14:paraId="52EC4283">
            <w:pPr>
              <w:pBdr>
                <w:top w:val="none" w:color="000000" w:sz="4" w:space="0"/>
                <w:left w:val="none" w:color="000000" w:sz="4" w:space="0"/>
                <w:bottom w:val="none" w:color="000000" w:sz="4" w:space="0"/>
                <w:right w:val="none" w:color="000000" w:sz="4" w:space="0"/>
              </w:pBdr>
              <w:spacing w:after="0" w:before="60"/>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565" w:type="dxa"/>
            <w:vAlign w:val="center"/>
            <w:textDirection w:val="lrTb"/>
            <w:noWrap w:val="false"/>
          </w:tcPr>
          <w:p w14:paraId="17D77F43">
            <w:pPr>
              <w:pBdr>
                <w:top w:val="none" w:color="000000" w:sz="4" w:space="0"/>
                <w:left w:val="none" w:color="000000" w:sz="4" w:space="0"/>
                <w:bottom w:val="none" w:color="000000" w:sz="4" w:space="0"/>
                <w:right w:val="none" w:color="000000" w:sz="4" w:space="0"/>
              </w:pBdr>
              <w:spacing w:before="60"/>
              <w:ind w:right="0" w:firstLine="0" w:left="0"/>
              <w:jc w:val="both"/>
              <w:rPr/>
            </w:pPr>
            <w:r>
              <w:rPr>
                <w:rFonts w:ascii="Times New Roman" w:hAnsi="Times New Roman" w:eastAsia="Times New Roman" w:cs="Times New Roman"/>
                <w:color w:val="000000"/>
                <w:sz w:val="24"/>
              </w:rPr>
              <w:t xml:space="preserve">001065013565</w:t>
            </w: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BT5-23 Khu đô thị mới Văn Phú, phường Phú La, quận Hà Đông, Hà Nội</w:t>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w:t>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477, tờ bản đồ số: 16, có địa chỉ: Thôn Phượng Vũ, xã Phượng Dực, huyện Phú Xuyên ( nay là xã Phượng Dực), thành phố Hà Nội theo 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DQ 253197, Số vào sổ cấp GCN: CN-02754 do Chi nhánh văn phòng đăng ký đất đai Hà Nội - Huyện Phú Xuyên cấp ngày 19/11/2024; chủ sử dụng đất là Ông Lã Văn Chiu</w:t>
      </w:r>
      <w:r>
        <w:rPr>
          <w:rFonts w:ascii="Times New Roman" w:hAnsi="Times New Roman" w:eastAsia="Times New Roman" w:cs="Times New Roman"/>
          <w:b/>
          <w:color w:val="000000"/>
          <w:sz w:val="24"/>
        </w:rPr>
        <w:t xml:space="preserve">.</w:t>
      </w:r>
      <w:r>
        <w:rPr>
          <w:color w:val="000000" w:themeColor="text1"/>
        </w:rPr>
      </w:r>
      <w:r>
        <w:rPr>
          <w:i/>
          <w:i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r>
            <w:r>
              <w:rPr>
                <w:b/>
              </w:rPr>
            </w:r>
            <w:r>
              <w:rPr>
                <w:rFonts w:ascii="Times New Roman" w:hAnsi="Times New Roman" w:eastAsia="Times New Roman" w:cs="Times New Roman"/>
                <w:color w:val="000000"/>
                <w:sz w:val="24"/>
              </w:rPr>
              <w:t xml:space="preserve">Quyền sử dụng đất tại thửa đất số: 477, tờ bản đồ số: 16, có địa chỉ: Thôn Phượng Vũ, xã Phượng Dực, huyện Phú Xuyên ( nay là xã Phượng Dực), thành phố Hà Nội theo 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DQ 253197, Số vào sổ cấp GCN: CN-02754 do Chi nhánh văn phòng đăng ký đất đai Hà Nội - Huyện Phú Xuyên cấp ngày 19/11/2024; chủ sử dụng đất là Ông Lã Văn Chiu</w:t>
            </w:r>
            <w:r/>
            <w:r>
              <w:rPr>
                <w:color w:val="000000"/>
              </w:rPr>
            </w:r>
            <w:r>
              <w:rPr>
                <w:b/>
                <w:bCs/>
              </w:rPr>
              <w:t xml:space="preserve">.</w:t>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pPr>
            <w:r>
              <w:rPr>
                <w:b/>
                <w:bCs/>
              </w:rPr>
              <w:t xml:space="preserve">Đất ở nông thôn</w:t>
            </w: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264.3</w:t>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16.000.000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4.228.800.000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4.228.800.000</w:t>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4.229.000.000</w:t>
            </w:r>
            <w:r>
              <w:rPr>
                <w:b/>
                <w:bCs/>
                <w:color w:val="000000"/>
              </w:rPr>
            </w:r>
          </w:p>
        </w:tc>
      </w:tr>
      <w:tr>
        <w:trPr>
          <w:trHeight w:val="20"/>
        </w:trPr>
        <w:tc>
          <w:tcPr>
            <w:gridSpan w:val="5"/>
            <w:tcBorders/>
            <w:tcW w:w="5000" w:type="pct"/>
            <w:vAlign w:val="center"/>
            <w:textDirection w:val="lrTb"/>
            <w:noWrap w:val="false"/>
          </w:tcPr>
          <w:p w14:paraId="5C6006FB">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hai trăm hai mươi chín triệu đồng</w:t>
            </w:r>
            <w:r>
              <w:rPr>
                <w:b/>
                <w:bCs/>
                <w:i/>
                <w:iCs/>
                <w:color w:val="000000"/>
              </w:rPr>
              <w:t xml:space="preserve">./.)</w:t>
            </w:r>
            <w:r>
              <w:rPr>
                <w:b/>
                <w:bCs/>
                <w:i/>
                <w:iCs/>
                <w:color w:val="000000"/>
              </w:rPr>
            </w:r>
            <w:r>
              <w:rPr>
                <w:b/>
                <w:bCs/>
                <w:i/>
                <w:iCs/>
                <w:color w:val="000000"/>
              </w:rPr>
            </w:r>
            <w:r>
              <w:rPr>
                <w:b/>
                <w:bCs/>
                <w:i/>
                <w:iCs/>
                <w:color w:val="000000"/>
              </w:rPr>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855"/>
              <w:pBdr/>
              <w:tabs>
                <w:tab w:val="left" w:leader="none" w:pos="5103"/>
              </w:tabs>
              <w:spacing w:before="100" w:line="360" w:lineRule="auto"/>
              <w:ind/>
              <w:jc w:val="left"/>
              <w:rPr>
                <w:sz w:val="24"/>
                <w:szCs w:val="24"/>
              </w:rPr>
            </w:pPr>
            <w:r>
              <w:rPr>
                <w:sz w:val="24"/>
                <w:szCs w:val="24"/>
              </w:rPr>
            </w:r>
            <w:r>
              <w:rPr>
                <w:sz w:val="24"/>
                <w:szCs w:val="24"/>
              </w:rPr>
            </w:r>
          </w:p>
          <w:p w14:paraId="4AAE4F1F" w14:textId="593C5ACF">
            <w:pPr>
              <w:pStyle w:val="855"/>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275/2025/1731/BC-VFI</w:t>
            </w:r>
            <w:r>
              <w:rPr>
                <w:sz w:val="24"/>
                <w:szCs w:val="24"/>
              </w:rPr>
            </w:r>
          </w:p>
        </w:tc>
        <w:tc>
          <w:tcPr>
            <w:tcBorders/>
            <w:tcW w:w="4781" w:type="dxa"/>
            <w:textDirection w:val="lrTb"/>
            <w:noWrap w:val="false"/>
          </w:tcPr>
          <w:p w14:paraId="4E249833" w14:textId="77777777">
            <w:pPr>
              <w:pStyle w:val="855"/>
              <w:pBdr/>
              <w:tabs>
                <w:tab w:val="left" w:leader="none" w:pos="5103"/>
              </w:tabs>
              <w:spacing w:before="100" w:line="360" w:lineRule="auto"/>
              <w:ind/>
              <w:jc w:val="right"/>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14:paraId="1C1E2870" w14:textId="207F25D6">
            <w:pPr>
              <w:pStyle w:val="855"/>
              <w:pBdr/>
              <w:tabs>
                <w:tab w:val="left" w:leader="none" w:pos="5103"/>
              </w:tabs>
              <w:spacing w:before="100" w:line="360" w:lineRule="auto"/>
              <w:ind/>
              <w:jc w:val="right"/>
              <w:rPr>
                <w:i/>
                <w:iCs/>
                <w:sz w:val="24"/>
                <w:szCs w:val="24"/>
              </w:rPr>
            </w:pPr>
            <w:r>
              <w:rPr>
                <w:rStyle w:val="854"/>
                <w:rFonts w:ascii="Times New Roman" w:hAnsi="Times New Roman"/>
                <w:i/>
                <w:color w:val="auto"/>
              </w:rPr>
              <w:t xml:space="preserve">TP</w:t>
            </w:r>
            <w:r>
              <w:rPr>
                <w:rStyle w:val="854"/>
                <w:rFonts w:ascii="Times New Roman" w:hAnsi="Times New Roman"/>
                <w:color w:val="auto"/>
              </w:rPr>
              <w:t xml:space="preserve">.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i/>
                <w:iCs/>
                <w:color w:val="000000" w:themeColor="text1"/>
                <w:sz w:val="24"/>
                <w:szCs w:val="24"/>
                <w:lang w:val="pt-BR"/>
              </w:rPr>
              <w:t xml:space="preserve">ngày 9 tháng 12 năm 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i/>
                <w:iCs/>
                <w:sz w:val="24"/>
                <w:szCs w:val="24"/>
              </w:rPr>
            </w:r>
          </w:p>
        </w:tc>
      </w:tr>
    </w:tbl>
    <w:p w14:paraId="53E21BF3" w14:textId="73F69511">
      <w:pPr>
        <w:pStyle w:val="855"/>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p>
    <w:p w14:paraId="24572553" w14:textId="75B0C296">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275/2025/1731/VFI-CT.44.A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9 tháng 12 năm 2025</w:t>
      </w:r>
      <w:r>
        <w:rPr>
          <w:b w:val="0"/>
          <w:i/>
          <w:spacing w:val="-6"/>
          <w:sz w:val="24"/>
          <w:szCs w:val="24"/>
          <w:lang w:val="pt-BR"/>
        </w:rPr>
        <w:t xml:space="preserve">)</w:t>
      </w:r>
      <w:r>
        <w:rPr>
          <w:b w:val="0"/>
          <w:i/>
          <w:spacing w:val="-6"/>
          <w:sz w:val="24"/>
          <w:szCs w:val="24"/>
          <w:lang w:val="pt-BR"/>
        </w:rPr>
      </w:r>
    </w:p>
    <w:p w14:paraId="115F5EC5" w14:textId="3D6167EF">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BT5-23 Khu đô thị mới Văn Phú, phường Phú La, quận Hà Đông, Hà Nội</w:t>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w:t>
            </w:r>
            <w:r>
              <w:rPr>
                <w:b/>
                <w:bCs/>
                <w:lang w:val="vi-VN"/>
              </w:rPr>
            </w:r>
          </w:p>
        </w:tc>
      </w:tr>
    </w:tbl>
    <w:p w14:paraId="621972A2" w14:textId="7EAC10D2">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14:paraId="2A0E4918" w14:textId="3E3AECF9">
      <w:pPr>
        <w:pBdr/>
        <w:tabs>
          <w:tab w:val="left" w:leader="none" w:pos="284"/>
        </w:tabs>
        <w:spacing w:after="120" w:before="120" w:line="320" w:lineRule="atLeast"/>
        <w:ind/>
        <w:jc w:val="both"/>
        <w:rPr>
          <w:b/>
          <w:bCs/>
          <w:highlight w:val="none"/>
          <w:lang w:val="pt-BR"/>
        </w:rPr>
      </w:pPr>
      <w:r>
        <w:rPr>
          <w:b/>
          <w:bCs/>
          <w:lang w:val="pt-BR"/>
        </w:rPr>
        <w:t xml:space="preserve">1</w:t>
      </w:r>
      <w:r>
        <w:rPr>
          <w:b/>
          <w:bCs/>
          <w:lang w:val="pt-BR"/>
        </w:rPr>
        <w:t xml:space="preserve">. Thông tin cơ bản về cuộc thẩm định giá:</w:t>
      </w:r>
      <w:r>
        <w:rPr>
          <w:b/>
          <w:bCs/>
          <w:lang w:val="pt-BR"/>
        </w:rPr>
      </w:r>
    </w:p>
    <w:tbl>
      <w:tblPr>
        <w:tblStyle w:val="860"/>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27"/>
        <w:gridCol w:w="263"/>
        <w:gridCol w:w="6565"/>
      </w:tblGrid>
      <w:tr>
        <w:trPr>
          <w:trHeight w:val="284"/>
        </w:trPr>
        <w:tc>
          <w:tcPr>
            <w:tcBorders/>
            <w:tcMar>
              <w:left w:w="108" w:type="dxa"/>
              <w:top w:w="0" w:type="dxa"/>
              <w:right w:w="108" w:type="dxa"/>
              <w:bottom w:w="0" w:type="dxa"/>
            </w:tcMar>
            <w:tcW w:w="2527" w:type="dxa"/>
            <w:vAlign w:val="center"/>
            <w:textDirection w:val="lrTb"/>
            <w:noWrap w:val="false"/>
          </w:tcPr>
          <w:p w14:paraId="0BE845FC">
            <w:pPr>
              <w:pBdr>
                <w:top w:val="none" w:color="000000" w:sz="4" w:space="0"/>
                <w:left w:val="none" w:color="000000" w:sz="4" w:space="0"/>
                <w:bottom w:val="none" w:color="000000" w:sz="4" w:space="0"/>
                <w:right w:val="none" w:color="000000" w:sz="4" w:space="0"/>
              </w:pBdr>
              <w:spacing w:before="60"/>
              <w:ind w:right="0" w:firstLine="0" w:left="0"/>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63" w:type="dxa"/>
            <w:vAlign w:val="center"/>
            <w:textDirection w:val="lrTb"/>
            <w:noWrap w:val="false"/>
          </w:tcPr>
          <w:p w14:paraId="7AAF8837">
            <w:pPr>
              <w:pBdr>
                <w:top w:val="none" w:color="000000" w:sz="4" w:space="0"/>
                <w:left w:val="none" w:color="000000" w:sz="4" w:space="0"/>
                <w:bottom w:val="none" w:color="000000" w:sz="4" w:space="0"/>
                <w:right w:val="none" w:color="000000" w:sz="4" w:space="0"/>
              </w:pBdr>
              <w:spacing w:after="0" w:before="6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65" w:type="dxa"/>
            <w:vAlign w:val="center"/>
            <w:textDirection w:val="lrTb"/>
            <w:noWrap w:val="false"/>
          </w:tcPr>
          <w:p w14:paraId="1B940FD8">
            <w:pPr>
              <w:pBdr>
                <w:top w:val="none" w:color="000000" w:sz="4" w:space="0"/>
                <w:left w:val="none" w:color="000000" w:sz="4" w:space="0"/>
                <w:bottom w:val="none" w:color="000000" w:sz="4" w:space="0"/>
                <w:right w:val="none" w:color="000000" w:sz="4" w:space="0"/>
              </w:pBdr>
              <w:spacing w:before="60"/>
              <w:ind w:right="0" w:firstLine="0" w:left="0"/>
              <w:jc w:val="both"/>
              <w:rPr/>
            </w:pPr>
            <w:r>
              <w:rPr>
                <w:rFonts w:ascii="Times New Roman" w:hAnsi="Times New Roman" w:eastAsia="Times New Roman" w:cs="Times New Roman"/>
                <w:b/>
                <w:color w:val="000000"/>
                <w:sz w:val="24"/>
              </w:rPr>
              <w:t xml:space="preserve">ÔNG LÃ VĂN CHIU</w:t>
            </w:r>
            <w:r/>
          </w:p>
        </w:tc>
      </w:tr>
      <w:tr>
        <w:trPr>
          <w:trHeight w:val="284"/>
        </w:trPr>
        <w:tc>
          <w:tcPr>
            <w:tcBorders/>
            <w:tcMar>
              <w:left w:w="108" w:type="dxa"/>
              <w:top w:w="0" w:type="dxa"/>
              <w:right w:w="108" w:type="dxa"/>
              <w:bottom w:w="0" w:type="dxa"/>
            </w:tcMar>
            <w:tcW w:w="2527" w:type="dxa"/>
            <w:vAlign w:val="center"/>
            <w:textDirection w:val="lrTb"/>
            <w:noWrap w:val="false"/>
          </w:tcPr>
          <w:p w14:paraId="715CCC52">
            <w:pPr>
              <w:pBdr>
                <w:top w:val="none" w:color="000000" w:sz="4" w:space="0"/>
                <w:left w:val="none" w:color="000000" w:sz="4" w:space="0"/>
                <w:bottom w:val="none" w:color="000000" w:sz="4" w:space="0"/>
                <w:right w:val="none" w:color="000000" w:sz="4" w:space="0"/>
              </w:pBdr>
              <w:spacing w:before="60"/>
              <w:ind w:right="0" w:firstLine="0" w:left="0"/>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263" w:type="dxa"/>
            <w:vAlign w:val="center"/>
            <w:textDirection w:val="lrTb"/>
            <w:noWrap w:val="false"/>
          </w:tcPr>
          <w:p w14:paraId="1B335564">
            <w:pPr>
              <w:pBdr>
                <w:top w:val="none" w:color="000000" w:sz="4" w:space="0"/>
                <w:left w:val="none" w:color="000000" w:sz="4" w:space="0"/>
                <w:bottom w:val="none" w:color="000000" w:sz="4" w:space="0"/>
                <w:right w:val="none" w:color="000000" w:sz="4" w:space="0"/>
              </w:pBdr>
              <w:spacing w:after="0" w:before="60"/>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565" w:type="dxa"/>
            <w:vAlign w:val="center"/>
            <w:textDirection w:val="lrTb"/>
            <w:noWrap w:val="false"/>
          </w:tcPr>
          <w:p w14:paraId="6D7AA139">
            <w:pPr>
              <w:pBdr>
                <w:top w:val="none" w:color="000000" w:sz="4" w:space="0"/>
                <w:left w:val="none" w:color="000000" w:sz="4" w:space="0"/>
                <w:bottom w:val="none" w:color="000000" w:sz="4" w:space="0"/>
                <w:right w:val="none" w:color="000000" w:sz="4" w:space="0"/>
              </w:pBdr>
              <w:spacing w:before="60"/>
              <w:ind w:right="0" w:firstLine="0" w:left="0"/>
              <w:jc w:val="both"/>
              <w:rPr/>
            </w:pPr>
            <w:r>
              <w:rPr>
                <w:rFonts w:ascii="Times New Roman" w:hAnsi="Times New Roman" w:eastAsia="Times New Roman" w:cs="Times New Roman"/>
                <w:color w:val="000000"/>
                <w:sz w:val="24"/>
              </w:rPr>
              <w:t xml:space="preserve">001065013565</w:t>
            </w:r>
            <w:r/>
          </w:p>
        </w:tc>
      </w:tr>
    </w:tbl>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nhinTài sản thẩm định giá</w:t>
            </w:r>
            <w:r>
              <w:rPr>
                <w:bCs/>
                <w:lang w:val="pt-BR"/>
              </w:rPr>
            </w:r>
          </w:p>
        </w:tc>
        <w:tc>
          <w:tcPr>
            <w:tcBorders/>
            <w:tcW w:w="284" w:type="dxa"/>
            <w:vAlign w:val="center"/>
            <w:textDirection w:val="lrTb"/>
            <w:noWrap w:val="false"/>
          </w:tcPr>
          <w:p w14:paraId="40A1E1E9"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5F2E8EA2">
            <w:pPr>
              <w:pBdr/>
              <w:spacing/>
              <w:ind/>
              <w:rPr/>
            </w:pPr>
            <w:r/>
            <w:r>
              <w:rPr>
                <w:b/>
              </w:rPr>
            </w:r>
            <w:r>
              <w:rPr>
                <w:rFonts w:ascii="Times New Roman" w:hAnsi="Times New Roman" w:eastAsia="Times New Roman" w:cs="Times New Roman"/>
                <w:color w:val="000000"/>
                <w:sz w:val="24"/>
              </w:rPr>
              <w:t xml:space="preserve">Quyền sử dụng đất tại thửa đất số: 477, tờ bản đồ số: 16, có địa chỉ: Thôn Phượng Vũ, xã Phượng Dực, huyện Phú Xuyên ( nay là xã Phượng Dực), thành phố Hà Nội theo 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DQ 253197, Số vào sổ cấp GCN: CN-02754 do Chi nhánh văn phòng đăng ký đất đai Hà Nội - Huyện Phú Xuyên cấp ngày 19/11/2024; chủ sử dụng đất là Ông Lã Văn Chiu</w:t>
            </w:r>
            <w:r/>
            <w:r>
              <w:rPr>
                <w:bCs/>
                <w:i/>
                <w:iCs/>
              </w:rPr>
            </w:r>
            <w:r>
              <w:rPr>
                <w:bCs/>
                <w:i/>
                <w:iCs/>
              </w:rPr>
            </w: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14:paraId="0EEFF1D0"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14:paraId="7639A8D8" w14:textId="5B6014CD">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14:paraId="5A672FF1"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14:paraId="31940EEE" w14:textId="7460E982">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Thôn Phượng Vũ, xã Phượng Dực, huyện Phú Xuyên ( nay là xã Phượng Dực), thành phố Hà Nội</w:t>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14:paraId="77108DCC" w14:textId="65496ECB">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511CCADD" w14:textId="09D933CE">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20.797833333333, 105.8515</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14:paraId="4F4AC9DF" w14:textId="4B76E6D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14:paraId="35291251" w14:textId="7FC96182">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14:paraId="5C68D112" w14:textId="47F6E3E1">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14:paraId="7BF12FE4" w14:textId="69912EA2">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14:paraId="3A5995BB" w14:textId="4C58FE41">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14:paraId="19D2002D" w14:textId="2F299217">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14:paraId="347D2A2F" w14:textId="73866019">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p>
    <w:p w14:paraId="40C82796"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14:paraId="59A38F84"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14:paraId="576ACB60" w14:textId="78565206">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14:paraId="72C5959D"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14:paraId="094BCC23" w14:textId="77777777">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14:paraId="3BE30DAB" w14:textId="77777777">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14:paraId="10902062" w14:textId="1FB9D9E7">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14:paraId="0436F91E" w14:textId="6D0158E3">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14:paraId="4BFF9923" w14:textId="67BBDDF2">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14:paraId="27A2B81F" w14:textId="2D3E72E5">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14:paraId="287E4006" w14:textId="253DB9B3">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14:paraId="0E6AF9F4" w14:textId="4C09C638">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14:paraId="66722F3A" w14:textId="0B7911AB">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14:paraId="3BAC975E"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14:paraId="6737B555"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14:paraId="5F3462F5" w14:textId="77777777">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14:paraId="77C52C1D" w14:textId="77777777">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14:paraId="3EA7852B" w14:textId="76B7682B">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14:paraId="7494B17B" w14:textId="41F9AB61">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14:paraId="420B3607" w14:textId="1C9B15D2">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14:paraId="34F79288" w14:textId="19EB1C37">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14:paraId="58E9443A" w14:textId="324B8BF4">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DQ 253197, Số vào sổ cấp GCN: CN-02754 do Chi nhánh văn phòng đăng ký đất đai Hà Nội - Huyện Phú Xuyên cấp ngày 19/11/2024; chủ sử dụng đất là Ông Lã Văn Chiu</w:t>
      </w:r>
      <w:r/>
      <w:r>
        <w:rPr>
          <w:bCs/>
          <w:color w:val="000000" w:themeColor="text1"/>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p>
    <w:p w14:paraId="072D9C92" w14:textId="0CB7CF18">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275/2025/1731/VFI-HĐTĐ.44.A  ngày 01/12/2025 giữa  với Công ty Cổ phần Thẩm định và Đầu tư Tài chính Hoa Sen.</w:t>
      </w:r>
      <w:r>
        <w:rPr>
          <w:b/>
          <w:lang w:val="pt-BR"/>
        </w:rPr>
      </w:r>
    </w:p>
    <w:p w14:paraId="7BDC3A25" w14:textId="77D2CF95">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14:paraId="5F981760">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lang w:val="pt-BR"/>
        </w:rPr>
        <w:tab/>
      </w:r>
      <w:r>
        <w:rPr>
          <w:i/>
          <w:iCs/>
          <w:lang w:val="pt-BR"/>
        </w:rPr>
      </w:r>
      <w:r>
        <w:rPr>
          <w:rFonts w:ascii="Times New Roman" w:hAnsi="Times New Roman" w:eastAsia="Times New Roman" w:cs="Times New Roman"/>
          <w:color w:val="000000"/>
          <w:sz w:val="24"/>
        </w:rPr>
        <w:t xml:space="preserve">Tại họp báo về tổng quan thị trường bất động sản Hà Nội Quý 1/2025, bà Nguyễn Hoài An, Giám đốc cấp cao CBRE Hà Nội, nhận định rằng thời gian qua, phân khúc bất động sản nhà ở đã có nhiều thay đổi.</w:t>
      </w:r>
      <w:r/>
    </w:p>
    <w:p w14:paraId="121B39DD">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Trong đó, quý 1/2025, thị trường căn hộ Hà Nội ghi nhận nguồn cung giảm so với một vài quý trước của năm 2024. Tuy nhiên, nếu so với cùng kì quý 1 của các năm trước thì số lượng nguồn cung năm 2025 cũng không phải quá ít. Mặt khác, sau đà tăng mạnh, tốc độ</w:t>
      </w:r>
      <w:r>
        <w:rPr>
          <w:rFonts w:ascii="Times New Roman" w:hAnsi="Times New Roman" w:eastAsia="Times New Roman" w:cs="Times New Roman"/>
          <w:color w:val="000000"/>
          <w:sz w:val="24"/>
        </w:rPr>
        <w:t xml:space="preserve"> tăng giá bán của chung cư bắt đầu chững lại.</w:t>
      </w:r>
      <w:r/>
    </w:p>
    <w:p w14:paraId="20CC9BDA">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đối với thị trường nhà ở gắn liền với đất, bà Hoài An cho biết nguồn cung mở bán mới nhà ở gắn liền với đất Quý 1/2025 tại Hà Nội ổn định với hơn 1.500 căn mở bán từ dự án đô thị lớn ở Đan Phượng. Do sự gián đoạn của dịp Tết Nguyên đán, nguồn cung mới quý </w:t>
      </w:r>
      <w:r>
        <w:rPr>
          <w:rFonts w:ascii="Times New Roman" w:hAnsi="Times New Roman" w:eastAsia="Times New Roman" w:cs="Times New Roman"/>
          <w:color w:val="000000"/>
          <w:sz w:val="24"/>
        </w:rPr>
        <w:t xml:space="preserve">này giảm 46% so với quý trước, nhưng cũng là một trong những quý đầu năm ghi nhận nhiều nguồn cung nhà ở gắn liền với đất nhất từ trước tới nay.</w:t>
      </w:r>
      <w:r/>
    </w:p>
    <w:p w14:paraId="13E51442">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Tỷ lệ hấp thụ của thị trường nhà ở gắn liền với đất tại Hà Nội vẫn duy trì ổn định và vượt lượng cung mở bán mới trong quý. Tổng số căn bán được đạt hơn 1.800 căn, tập trung ở các dự án đô thị lớn ở Đông Anh, Đan Phượng và Văn Giang (tỉnh Hưng Yên, giáp ra</w:t>
      </w:r>
      <w:r>
        <w:rPr>
          <w:rFonts w:ascii="Times New Roman" w:hAnsi="Times New Roman" w:eastAsia="Times New Roman" w:cs="Times New Roman"/>
          <w:color w:val="000000"/>
          <w:sz w:val="24"/>
        </w:rPr>
        <w:t xml:space="preserve">nh Hà Nội) với quỹ hàng mở bán lớn.</w:t>
      </w:r>
      <w:r/>
    </w:p>
    <w:p w14:paraId="2C1D023E">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Về giá bán, giá bán sơ cấp trung bình Quý 1/2025 tăng nhẹ so với quý trước, đạt 226 triệu đồng/m2 (bao gồm chi phí xây dựng và chưa bao gồm VAT), tăng 3% theo quý và 17% theo năm. Các dự án mở bán có vị trí thuận lợi, nằm ở những khu vực đang được đầu tư m</w:t>
      </w:r>
      <w:r>
        <w:rPr>
          <w:rFonts w:ascii="Times New Roman" w:hAnsi="Times New Roman" w:eastAsia="Times New Roman" w:cs="Times New Roman"/>
          <w:color w:val="000000"/>
          <w:sz w:val="24"/>
        </w:rPr>
        <w:t xml:space="preserve">ạnh về cơ sở hạ tầng, vì vậy, mức giá chào bán sơ cấp tương đối cao. Trong khi giá bán trung bình thứ cấp vẫn duy trì đà tăng, đạt xấp xỉ 183 triệu đồng/m2  (bao gồm chi phí xây dựng và chưa bao gồm VAT), tăng 5% theo quý.</w:t>
      </w:r>
      <w:r/>
    </w:p>
    <w:p w14:paraId="3074F81F">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Dự báo thị trường bất động sản nhà ở trong thời gian tới, bà Nguyễn Hoài An cho biết năm 2025, Hà Nội sẽ đón nhận khoảng 31.700 căn hộ và 6.700 nhà thấp tầng được mở bán. Sức mua duy trì ổn định trước bối cảnh nguồn cung mới quy mô lớn tiếp tục được mở bán</w:t>
      </w:r>
      <w:r>
        <w:rPr>
          <w:rFonts w:ascii="Times New Roman" w:hAnsi="Times New Roman" w:eastAsia="Times New Roman" w:cs="Times New Roman"/>
          <w:color w:val="000000"/>
          <w:sz w:val="24"/>
        </w:rPr>
        <w:t xml:space="preserve">. Ngoài ra, giá sơ cấp sẽ tăng nhẹ đến cuối năm 2025.</w:t>
      </w:r>
      <w:r/>
    </w:p>
    <w:p w14:paraId="76E748D5">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Trong đó, với thị trường căn hộ Hà Nội, nếu năm 2024, giá sơ cấp của sản phẩm chung cư đã tiệm cận mặt bằng giá sơ cấp của thị trường TP.HCM, thì năm 2025, những dự án có vị trí tương tự, mức giá tăng trưởng nhưng không thể đột biến.</w:t>
      </w:r>
      <w:r/>
    </w:p>
    <w:p w14:paraId="62349849">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Theo chuyên gia của CBRE, với nhiều động thái của chủ đầu tư lẫn chính quyền địa phương nhằm thúc đẩy các sản phẩm nhà ở xã hội, kì vọng sẽ làm tăng khả năng tiếp cận cho người dân có nhu cầu nhà ở.</w:t>
      </w:r>
      <w:r/>
    </w:p>
    <w:p w14:paraId="4D634DB3">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 “Ở các nước khác, vấn đề này không mới, nhất là ở những thị trường phát triển. Đây gần như là nguồn cung nhà ở hiếm hoi của những thành phố lớn khi quỹ đất ngày càng trở nên khan hiếm. Tuy nhiên, tại Hà Nội và TP.HCM, chúng ta cần thêm cơ chế giúp tháo gỡ</w:t>
      </w:r>
      <w:r>
        <w:rPr>
          <w:rFonts w:ascii="Times New Roman" w:hAnsi="Times New Roman" w:eastAsia="Times New Roman" w:cs="Times New Roman"/>
          <w:color w:val="000000"/>
          <w:sz w:val="24"/>
        </w:rPr>
        <w:t xml:space="preserve"> các nút thắt, nhằm đẩy nhanh tiến độ di dời, phá dỡ và xây dựng các chung cư cũ hư hỏng, nguy hiểm trong thời gian tới”, bà An chia sẻ.</w:t>
      </w:r>
      <w:r/>
    </w:p>
    <w:p w14:paraId="5345EFF8">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i/>
          <w:color w:val="000000"/>
          <w:sz w:val="24"/>
        </w:rPr>
        <w:t xml:space="preserve">(Nguồn: </w:t>
      </w:r>
      <w:hyperlink r:id="rId15" w:tooltip="https://vneconomy.vn/da-tang-gia-chung-cu-ha-noi-chung-lai-trong-quy-1-2025.htm" w:history="1">
        <w:r>
          <w:rPr>
            <w:rStyle w:val="846"/>
            <w:rFonts w:ascii="Times New Roman" w:hAnsi="Times New Roman" w:eastAsia="Times New Roman" w:cs="Times New Roman"/>
            <w:i/>
            <w:color w:val="000000"/>
            <w:sz w:val="24"/>
            <w:u w:val="none"/>
          </w:rPr>
          <w:t xml:space="preserve">https://vneconomy.vn/da-tang-gia-chung-cu-ha-noi-chung-lai-trong-quy-1-2025.htm</w:t>
        </w:r>
      </w:hyperlink>
      <w:r>
        <w:rPr>
          <w:rFonts w:ascii="Times New Roman" w:hAnsi="Times New Roman" w:eastAsia="Times New Roman" w:cs="Times New Roman"/>
          <w:i/>
          <w:color w:val="000000"/>
          <w:sz w:val="24"/>
        </w:rPr>
        <w:t xml:space="preserve">)</w:t>
      </w:r>
      <w:r/>
      <w:r>
        <w:rPr>
          <w:lang w:val="pt-BR"/>
        </w:rPr>
      </w:r>
      <w:r>
        <w:rPr>
          <w:i/>
          <w:iCs/>
          <w:lang w:val="pt-BR"/>
        </w:rPr>
      </w:r>
      <w:r/>
      <w:r>
        <w:rPr>
          <w:rFonts w:ascii="Times New Roman" w:hAnsi="Times New Roman" w:eastAsia="Times New Roman" w:cs="Times New Roman"/>
          <w:sz w:val="24"/>
        </w:rPr>
      </w:r>
    </w:p>
    <w:p w14:paraId="20BF0D54" w14:textId="312C63AB">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r>
            <w:r>
              <w:rPr>
                <w:rFonts w:ascii="Times New Roman" w:hAnsi="Times New Roman" w:eastAsia="Times New Roman" w:cs="Times New Roman"/>
                <w:b/>
                <w:color w:val="000000"/>
                <w:sz w:val="24"/>
              </w:rPr>
              <w:t xml:space="preserve">Quyền sử dụng đất tại thửa đất số: 477, tờ bản đồ số: 16, có địa chỉ: Thôn Phượng Vũ, xã Phượng Dực, huyện Phú Xuyên ( nay là xã Phượng Dực), thành phố Hà Nội theo Giấy chứng nhận quyền sử dụng đất, quyền sở hữu nhà ở và tài sản khác gắn liền với đất  số: </w:t>
            </w:r>
            <w:r>
              <w:rPr>
                <w:rFonts w:ascii="Times New Roman" w:hAnsi="Times New Roman" w:eastAsia="Times New Roman" w:cs="Times New Roman"/>
                <w:b/>
                <w:color w:val="000000"/>
                <w:sz w:val="24"/>
              </w:rPr>
              <w:t xml:space="preserve">DQ 253197, Số vào sổ cấp GCN: CN-02754 do Chi nhánh văn phòng đăng ký đất đai Hà Nội - Huyện Phú Xuyên cấp ngày 19/11/2024; chủ sử dụng đất là Ông Lã Văn Chiu</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477</w:t>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16</w:t>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Thôn Phượng Vũ, xã Phượng Dực, huyện Phú Xuyên ( nay là xã Phượng Dực), thành phố Hà Nội</w:t>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264.3</w:t>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 264.</w:t>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nông thôn</w:t>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14:paraId="321A7D60" w14:textId="4C03A97C">
            <w:pPr>
              <w:pBdr/>
              <w:spacing/>
              <w:ind/>
              <w:jc w:val="both"/>
              <w:rPr>
                <w:color w:val="000000"/>
              </w:rPr>
            </w:pPr>
            <w:r>
              <w:rPr>
                <w:color w:val="000000"/>
              </w:rPr>
              <w:t xml:space="preserve">Được tặng cho quyền sử dụng đất được công nhận QSDĐ như giao đất có thu tiền sử dụng đất</w:t>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14:paraId="0140E9A7" w14:textId="3E371A2A">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ngõ giao thông</w:t>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1.96</w:t>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1.96</w:t>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r>
            <w:r>
              <w:rPr>
                <w:rFonts w:ascii="Times New Roman" w:hAnsi="Times New Roman" w:eastAsia="Times New Roman" w:cs="Times New Roman"/>
                <w:color w:val="000000"/>
                <w:sz w:val="24"/>
              </w:rPr>
              <w:t xml:space="preserve">Cách đường 429 khoảng 600m, cách trường THPT Đồng Quan khoảng 500m</w:t>
            </w:r>
            <w:r>
              <w:rPr>
                <w:color w:val="000000" w:themeColor="text1"/>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 hướng tiếp giáp:</w:t>
            </w:r>
            <w:r>
              <w:rPr>
                <w:color w:val="000000"/>
              </w:rPr>
            </w:r>
          </w:p>
        </w:tc>
        <w:tc>
          <w:tcPr>
            <w:gridSpan w:val="3"/>
            <w:tcBorders/>
            <w:tcW w:w="6259" w:type="dxa"/>
            <w:vAlign w:val="center"/>
            <w:textDirection w:val="lrTb"/>
            <w:noWrap w:val="false"/>
          </w:tcPr>
          <w:p w14:paraId="3D4FCA9C" w14:textId="0B548AE7">
            <w:pPr>
              <w:pBdr/>
              <w:spacing/>
              <w:ind/>
              <w:rPr>
                <w:color w:val="000000" w:themeColor="text1"/>
              </w:rPr>
            </w:pPr>
            <w:r/>
            <w:bookmarkStart w:id="3" w:name="OLE_LINK1"/>
            <w:r>
              <w:rPr>
                <w:color w:val="000000" w:themeColor="text1"/>
              </w:rPr>
            </w:r>
            <w:bookmarkEnd w:id="3"/>
            <w:r/>
            <w:r>
              <w:rPr>
                <w:rFonts w:ascii="Times New Roman" w:hAnsi="Times New Roman" w:eastAsia="Times New Roman" w:cs="Times New Roman"/>
                <w:color w:val="000000"/>
                <w:sz w:val="24"/>
              </w:rPr>
              <w:t xml:space="preserve">Hướng Đông Bắctiếp giáp với ngõ giao thông;</w:t>
              <w:br/>
              <w:t xml:space="preserve"> Các hướng còn lại: tiếp giáp với thửa đất khác.</w:t>
            </w:r>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color w:val="000000"/>
              </w:rPr>
              <w:t xml:space="preserve">20.797833333333</w:t>
            </w:r>
            <w:r>
              <w:rPr>
                <w:color w:val="000000"/>
              </w:rPr>
              <w:t xml:space="preserve">, </w:t>
            </w:r>
            <w:r>
              <w:rPr>
                <w:color w:val="000000"/>
              </w:rPr>
              <w:t xml:space="preserve">105.8515</w:t>
            </w:r>
            <w:r>
              <w:rPr>
                <w:color w:val="000000"/>
              </w:rPr>
              <w:t xml:space="preserve">)</w:t>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w:r>
            <w:r>
              <mc:AlternateContent>
                <mc:Choice Requires="wpg">
                  <w:drawing>
                    <wp:inline xmlns:wp="http://schemas.openxmlformats.org/drawingml/2006/wordprocessingDrawing" distT="0" distB="0" distL="0" distR="0">
                      <wp:extent cx="5581650" cy="248602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791456" name=""/>
                              <pic:cNvPicPr>
                                <a:picLocks noChangeAspect="1"/>
                              </pic:cNvPicPr>
                              <pic:nvPr/>
                            </pic:nvPicPr>
                            <pic:blipFill rotWithShape="1">
                              <a:blip r:embed="rId16"/>
                              <a:stretch/>
                            </pic:blipFill>
                            <pic:spPr bwMode="auto">
                              <a:xfrm>
                                <a:off x="0" y="0"/>
                                <a:ext cx="5581649" cy="24860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9.50pt;height:195.75pt;mso-wrap-distance-left:0.00pt;mso-wrap-distance-top:0.00pt;mso-wrap-distance-right:0.00pt;mso-wrap-distance-bottom:0.00pt;z-index:1;" stroked="false">
                      <v:imagedata r:id="rId16"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264.3</w:t>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0</w:t>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1.96</w:t>
            </w:r>
            <w:r>
              <w:rPr>
                <w:color w:val="000000"/>
              </w:rP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26.8</w:t>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Đa giác khác</w:t>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Đông Bắc</w:t>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14:paraId="16BC0A31" w14:textId="70BF50FA">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Không có lợi thế kinh doanh</w:t>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Cao</w:t>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14:paraId="476DABE3" w14:textId="35CEE1D1">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khảo sát, dưới sự hướng dẫn của chủ tài sản, tổ thẩm định xác định trên đất có CTXD Nhà 03 tầng, có diện tích xây dựng khoảng 140m2, tổng diện tích sàn khoảng 420m2, công trình xây dựng có kết cấu bê tông cốt thép, tường xây gạch bao quanh, n</w:t>
            </w:r>
            <w:r>
              <w:rPr>
                <w:rFonts w:ascii="Times New Roman" w:hAnsi="Times New Roman" w:eastAsia="Times New Roman" w:cs="Times New Roman"/>
                <w:color w:val="000000"/>
                <w:sz w:val="24"/>
              </w:rPr>
              <w:t xml:space="preserve">goại quan khá, hiện đang sử dụng bình thường. Theo thông tin khách hàng cung cấp, công trình được xây dựng hoàn thiện năm 2019, chưa được công nhận trên GCN QSDĐ số: DQ 253197</w:t>
            </w:r>
            <w:r>
              <w:rPr>
                <w:color w:val="000000"/>
              </w:rPr>
            </w:r>
            <w:r>
              <w:rPr>
                <w:color w:val="000000"/>
              </w:rPr>
            </w:r>
          </w:p>
        </w:tc>
      </w:tr>
    </w:tbl>
    <w:p w14:paraId="4D2AC1E5" w14:textId="77777777">
      <w:pPr>
        <w:pBdr/>
        <w:spacing w:line="235" w:lineRule="auto"/>
        <w:ind w:left="0"/>
        <w:jc w:val="both"/>
        <w:rPr>
          <w:u w:val="single"/>
        </w:rPr>
      </w:pP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14:paraId="543CFAF5"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14:paraId="00E0973C"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p>
    <w:p w14:paraId="34C97D3D" w14:textId="2CA4AAB8">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14:paraId="0510382D" w14:textId="403859CE">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14:paraId="110EA7E9" w14:textId="2D24DC9A">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6957D0DE">
      <w:pPr>
        <w:pStyle w:val="856"/>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khảo sát, dưới sự hướng dẫn của chủ tài sản, tổ thẩm định xác định trên đất có CTXD Nhà 03 tầng, có diện tích xây dựng khoảng 140m2, tổng diện tích sàn khoảng 420m2, công trình xây dựng có kết cấu bê tông cốt thép, tường xây gạch bao quanh, n</w:t>
      </w:r>
      <w:r>
        <w:rPr>
          <w:rFonts w:ascii="Times New Roman" w:hAnsi="Times New Roman" w:eastAsia="Times New Roman" w:cs="Times New Roman"/>
          <w:color w:val="000000"/>
          <w:sz w:val="24"/>
        </w:rPr>
        <w:t xml:space="preserve">goại quan khá, hiện đang sử dụng bình thường. Theo thông tin khách hàng cung cấp, công trình được xây dựng hoàn thiện năm 2019, chưa được công nhận trên GCN QSDĐ số: DQ 253197. Đồng thời, tổ thẩm định cũng không nhận được bất kỳ giấy tờ pháp lý nào liên qu</w:t>
      </w:r>
      <w:r>
        <w:rPr>
          <w:rFonts w:ascii="Times New Roman" w:hAnsi="Times New Roman" w:eastAsia="Times New Roman" w:cs="Times New Roman"/>
          <w:color w:val="000000"/>
          <w:sz w:val="24"/>
        </w:rPr>
        <w:t xml:space="preserve">an đến CTXD này. Theo đề nghị của Quý khách hàng/ Ngân hàng, tổ thẩm định không xác định giá trị công trình nhưng vẫn coi đó là phần không thể tách rời của tài sản.</w:t>
      </w:r>
      <w:r>
        <w:rPr>
          <w:spacing w:val="-2"/>
          <w:highlight w:val="none"/>
          <w:lang w:val="pt-BR" w:bidi="pt-BR"/>
        </w:rPr>
      </w:r>
      <w:r>
        <w:rPr>
          <w:spacing w:val="-2"/>
          <w:highlight w:val="none"/>
          <w:lang w:val="pt-BR" w:bidi="pt-BR"/>
        </w:rPr>
      </w:r>
      <w:r>
        <w:rPr>
          <w:spacing w:val="-2"/>
          <w:highlight w:val="none"/>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14:paraId="7123F1C7" w14:textId="1C44C27C">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p>
    <w:p w14:paraId="39305B4E" w14:textId="0278DD02">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14:paraId="51511B7C" w14:textId="325D04B7">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14:paraId="6FFFA687" w14:textId="37201FA1">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14:paraId="0203C927" w14:textId="3E855EB4">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14:paraId="0F4B2E14" w14:textId="32D31459">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14:paraId="4762D94D" w14:textId="75C403B3">
      <w:pPr>
        <w:pStyle w:val="85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p>
    <w:p w14:paraId="770CC22B" w14:textId="787D51A9">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14:paraId="6B84B3C0" w14:textId="191EE9C0">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14:paraId="30D65849" w14:textId="38CC99F5">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p>
    <w:p w14:paraId="2A05C283" w14:textId="4A078C0D">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Thôn Phượng Vũ, xã Phượng Dực,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Phượng Dực, Huyện Phú Xuyên,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Phượng Dực, Huyện Phú Xuyên,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Phượng Dực, Huyện Phú Xuyên, Thành phố Hà Nội</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https://www.facebook.com/share/p/16adoB35JQ/</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https://www.facebook.com/share/p/1AznMfp9ZB/</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https://batdongsan.com.vn/ban-dat-xa-phuong-duc/ban-lo-80m2-hang-hiem-f0-hoang-long-phu-xuyen-ha-noi-pr44686256</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0336183988</w:t>
            </w:r>
            <w:r>
              <w:rPr>
                <w:sz w:val="22"/>
                <w:szCs w:val="22"/>
              </w:rPr>
              <w:t xml:space="preserve"> </w:t>
            </w:r>
            <w:r>
              <w:rPr>
                <w:sz w:val="22"/>
                <w:szCs w:val="22"/>
              </w:rPr>
              <w:br/>
              <w:t xml:space="preserve">(</w:t>
            </w:r>
            <w:r>
              <w:rPr>
                <w:sz w:val="22"/>
                <w:szCs w:val="22"/>
              </w:rPr>
              <w:t xml:space="preserve">Đặng Tấn</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0826461567</w:t>
            </w:r>
            <w:r>
              <w:rPr>
                <w:sz w:val="22"/>
                <w:szCs w:val="22"/>
              </w:rPr>
              <w:br/>
            </w:r>
            <w:r>
              <w:rPr>
                <w:sz w:val="22"/>
                <w:szCs w:val="22"/>
              </w:rPr>
              <w:t xml:space="preserve">(</w:t>
            </w:r>
            <w:r>
              <w:rPr>
                <w:sz w:val="22"/>
                <w:szCs w:val="22"/>
              </w:rPr>
              <w:t xml:space="preserve">Đinh Văn Chuyên</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0965194268</w:t>
            </w:r>
            <w:r>
              <w:rPr>
                <w:sz w:val="22"/>
                <w:szCs w:val="22"/>
              </w:rPr>
              <w:br/>
            </w:r>
            <w:r>
              <w:rPr>
                <w:sz w:val="22"/>
                <w:szCs w:val="22"/>
              </w:rPr>
              <w:t xml:space="preserve">(</w:t>
            </w:r>
            <w:r>
              <w:rPr>
                <w:sz w:val="22"/>
                <w:szCs w:val="22"/>
              </w:rPr>
              <w:t xml:space="preserve">Hoàng Ly</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tại: Thôn Phượng Vũ, xã Phượng Dực, thành phố Hà Nội, độ rộng đường trước mặt tài sản 1.96m, mặt tiền 1.96m, Cách DT429 khoàng 800m, Cách QL21C khoảng 4km, cách trường THPT Đông Quan khoảng  700m, 20.797833333333, 105.8515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tại: Xã Phượng Dực, Huyện Phú Xuyên, Thành phố Hà Nội, độ rộng đường trước mặt tài sản 2.2m, mặt tiền 5.6m, QL21C khoảng 2,4km Cách trường THPT Đông Quan khoảng 6.5KM, 20.74871976090956, 105.83514925384522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tại: Xã Phượng Dực, Huyện Phú Xuyên, Thành phố Hà Nội, độ rộng đường trước mặt tài sản 2.8m, mặt tiền 10.52m, Cách QL21C khoảng 2,4 Km, cách trường THPT Đông Quan khoảng 6.5 Km, 20.749810845429046, 105.83522972011566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tại: Xã Phượng Dực, Huyện Phú Xuyên, Thành phố Hà Nội, độ rộng đường trước mặt tài sản 2.2m, mặt tiền 6.56m, Cách QL21 khoảng 2km, cách trường THPT Đông Quan khoảng 5km, 20.767267126949477, 105.83496418142319</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1.96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264.3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81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140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80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1.96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10.52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6.56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26.8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14.46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13.31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12.2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Đa giác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View khu dân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View khu dân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View khu dân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View khu dân cư</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1.700.000.000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2.920.000.000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2.280.000.000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1.615.000.000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2.774.000.000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1.938.000.000</w:t>
            </w:r>
            <w:r>
              <w:rPr>
                <w:color w:val="000000"/>
                <w:sz w:val="22"/>
                <w:szCs w:val="22"/>
              </w:rPr>
            </w:r>
          </w:p>
        </w:tc>
      </w:tr>
      <w:tr>
        <w:trPr>
          <w:trHeight w:val="27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ind/>
              <w:jc w:val="center"/>
              <w:rPr>
                <w:color w:val="000000"/>
                <w:sz w:val="22"/>
                <w:szCs w:val="22"/>
              </w:rPr>
            </w:pPr>
            <w:r>
              <w:rPr>
                <w:color w:val="000000"/>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spacing/>
              <w:ind/>
              <w:rPr>
                <w:color w:val="000000"/>
                <w:sz w:val="22"/>
                <w:szCs w:val="22"/>
              </w:rPr>
            </w:pPr>
            <w:r>
              <w:rPr>
                <w:color w:val="000000"/>
                <w:sz w:val="22"/>
                <w:szCs w:val="22"/>
              </w:rPr>
              <w:t xml:space="preserve">Tài sản trên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ind/>
              <w:jc w:val="center"/>
              <w:rPr>
                <w:color w:val="000000"/>
                <w:sz w:val="22"/>
                <w:szCs w:val="22"/>
              </w:rPr>
            </w:pPr>
            <w:r>
              <w:rPr>
                <w:color w:val="000000" w:themeColor="text1"/>
                <w:sz w:val="22"/>
                <w:szCs w:val="22"/>
              </w:rPr>
              <w:t xml:space="preserve">Đất trống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FCE1B5D">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FCE1B5D">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23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1.700.000.000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2.920.000.000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2.280.000.000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24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1.615.000.000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2.774.000.000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1.938.000.000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1.615.000.000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2.774.000.000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1.938.000.000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19.938.272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19.814.286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24.225.000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14:paraId="7292FF3D" w14:textId="21AB7555">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17"/>
        <w:gridCol w:w="1765"/>
        <w:gridCol w:w="1030"/>
        <w:gridCol w:w="1522"/>
        <w:gridCol w:w="1522"/>
        <w:gridCol w:w="1522"/>
        <w:gridCol w:w="1522"/>
      </w:tblGrid>
      <w:tr>
        <w:trPr>
          <w:trHeight w:val="20"/>
          <w:tblHeader/>
        </w:trPr>
        <w:tc>
          <w:tcPr>
            <w:shd w:val="clear" w:color="000000" w:fill="ffffff"/>
            <w:tcBorders/>
            <w:tcW w:w="817"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817"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1.615.000.000</w:t>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2.774.000.000</w:t>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1.938.000.000</w:t>
            </w:r>
            <w:r>
              <w:rPr>
                <w:color w:val="000000"/>
                <w:sz w:val="20"/>
                <w:szCs w:val="20"/>
              </w:rPr>
            </w:r>
          </w:p>
        </w:tc>
      </w:tr>
      <w:tr>
        <w:trPr>
          <w:trHeight w:val="20"/>
        </w:trPr>
        <w:tc>
          <w:tcPr>
            <w:shd w:val="clear" w:color="000000" w:fill="ffffff"/>
            <w:tcBorders/>
            <w:tcW w:w="817"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19.938.272</w:t>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19.814.286</w:t>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24.225.000</w:t>
            </w:r>
            <w:r>
              <w:rPr>
                <w:color w:val="000000"/>
                <w:sz w:val="22"/>
                <w:szCs w:val="22"/>
              </w:rPr>
            </w:r>
          </w:p>
        </w:tc>
      </w:tr>
      <w:tr>
        <w:trPr>
          <w:trHeight w:val="20"/>
        </w:trPr>
        <w:tc>
          <w:tcPr>
            <w:shd w:val="clear" w:color="000000" w:fill="ffffff"/>
            <w:tcBorders/>
            <w:tcW w:w="817"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20.567.901</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20.440.000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24.225.000</w:t>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20.567.901</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20.440.000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24.225.000</w:t>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20.567.901</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20.440.000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24.225.000</w:t>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tại: Thôn Phượng Vũ, xã Phượng Dực, thành phố Hà Nội, độ rộng đường trước mặt tài sản 1.96m, mặt tiền 1.96m, Cách DT429 khoàng 800m, Cách QL21C khoảng 4km, cách trường THPT Đông Quan khoảng  700m, 20.797833333333, 105.8515</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Tài sản tại: Xã Phượng Dực, Huyện Phú Xuyên, Thành phố Hà Nội, độ rộng đường trước mặt tài sản 2.2m, mặt tiền 5.6m, QL21C khoảng 2,4km Cách trường THPT Đông Quan khoảng 6.5KM, 20.74871976090956, 105.83514925384522</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 tại: Xã Phượng Dực, Huyện Phú Xuyên, Thành phố Hà Nội, độ rộng đường trước mặt tài sản 2.8m, mặt tiền 10.52m, Cách QL21C khoảng 2,4 Km, cách trường THPT Đông Quan khoảng 6.5 Km, 20.749810845429046, 105.83522972011566</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tại: Xã Phượng Dực, Huyện Phú Xuyên, Thành phố Hà Nội, độ rộng đường trước mặt tài sản 2.2m, mặt tiền 6.56m, Cách QL21 khoảng 2km, cách trường THPT Đông Quan khoảng 5km, 20.767267126949477, 105.83496418142319</w:t>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12%</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12%</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2.392.593</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2.427.771</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1.211.250</w:t>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22.330.865</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22.659.200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25.436.250</w:t>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22.330.865</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22.659.200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25.436.250</w:t>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1.96</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2.2</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2.8</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2.2</w:t>
            </w:r>
            <w:r>
              <w:rPr>
                <w:b/>
                <w:bCs/>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22.330.865</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20.656.914</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25.436.250</w:t>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22.330.865</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20.656.914</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25.436.250</w:t>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264.3</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81</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140</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80</w:t>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-12%</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-8%</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-12%</w:t>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-2.392.593</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-1.585.143</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-2.907.000</w:t>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19.938.272</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19.071.771</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22.529.250</w:t>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1.96</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5.6</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10.52</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6.56</w:t>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-6%</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-7%</w:t>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-1.234.074</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-2.023.143</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-1.695.750</w:t>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18.704.198</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17.048.628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20.833.500</w:t>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26.8</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14.46</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13.31</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12.2</w:t>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-1.028.395</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-1.022.000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-1.211.250</w:t>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17.675.803</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16.026.628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19.622.250</w:t>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17.675.803</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16.026.628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19.622.250</w:t>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C.13</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-1.028.395</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-2.044.000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-2.422.500</w:t>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16.647.408</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13.982.628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17.199.750</w:t>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C.14</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Hướng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Đông Bắc</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16.647.408</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13.982.628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17.199.750</w:t>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Cảnh quan</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16.647.408</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13.982.628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17.199.750</w:t>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C.16</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16.647.408</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13.982.628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17.199.750</w:t>
            </w:r>
            <w:r>
              <w:rPr>
                <w:color w:val="000000"/>
                <w:sz w:val="22"/>
                <w:szCs w:val="22"/>
              </w:rPr>
            </w:r>
          </w:p>
        </w:tc>
      </w:tr>
      <w:tr>
        <w:trPr>
          <w:trHeight w:val="20"/>
        </w:trPr>
        <w:tc>
          <w:tcPr>
            <w:shd w:val="clear" w:color="000000" w:fill="ffffff"/>
            <w:tcBorders/>
            <w:tcW w:w="817"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16.647.408</w:t>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13.982.628</w:t>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17.199.750</w:t>
            </w:r>
            <w:r>
              <w:rPr>
                <w:b/>
                <w:bCs/>
                <w:color w:val="000000"/>
                <w:sz w:val="22"/>
                <w:szCs w:val="22"/>
              </w:rPr>
            </w:r>
          </w:p>
        </w:tc>
      </w:tr>
      <w:tr>
        <w:trPr>
          <w:trHeight w:val="20"/>
        </w:trPr>
        <w:tc>
          <w:tcPr>
            <w:shd w:val="clear" w:color="000000" w:fill="ffffff"/>
            <w:tcBorders/>
            <w:tcW w:w="817"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15.943.262</w:t>
            </w:r>
            <w:r>
              <w:rPr>
                <w:b/>
                <w:bCs/>
                <w:color w:val="000000"/>
                <w:sz w:val="22"/>
                <w:szCs w:val="22"/>
              </w:rPr>
            </w:r>
          </w:p>
        </w:tc>
      </w:tr>
      <w:tr>
        <w:trPr>
          <w:trHeight w:val="20"/>
        </w:trPr>
        <w:tc>
          <w:tcPr>
            <w:shd w:val="clear" w:color="000000" w:fill="ffffff"/>
            <w:tcBorders/>
            <w:tcW w:w="817"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4.42%</w:t>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-12.3%</w:t>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7.88%</w:t>
            </w:r>
            <w:r>
              <w:rPr>
                <w:color w:val="000000"/>
                <w:sz w:val="22"/>
                <w:szCs w:val="22"/>
              </w:rPr>
            </w:r>
          </w:p>
        </w:tc>
      </w:tr>
      <w:tr>
        <w:trPr>
          <w:trHeight w:val="20"/>
        </w:trPr>
        <w:tc>
          <w:tcPr>
            <w:shd w:val="clear" w:color="000000" w:fill="ffffff"/>
            <w:tcBorders/>
            <w:tcW w:w="817"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817"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8.076.050</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10.687.200</w:t>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9.447.750</w:t>
            </w:r>
            <w:r>
              <w:rPr>
                <w:b/>
                <w:bCs/>
                <w:color w:val="000000"/>
                <w:sz w:val="22"/>
                <w:szCs w:val="22"/>
              </w:rPr>
            </w:r>
          </w:p>
        </w:tc>
      </w:tr>
      <w:tr>
        <w:trPr>
          <w:trHeight w:val="20"/>
        </w:trPr>
        <w:tc>
          <w:tcPr>
            <w:shd w:val="clear" w:color="000000" w:fill="ffffff"/>
            <w:tcBorders/>
            <w:tcW w:w="817"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5</w:t>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6</w:t>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5</w:t>
            </w:r>
            <w:r>
              <w:rPr>
                <w:sz w:val="22"/>
                <w:szCs w:val="22"/>
              </w:rPr>
            </w:r>
          </w:p>
        </w:tc>
      </w:tr>
      <w:tr>
        <w:trPr>
          <w:trHeight w:val="20"/>
        </w:trPr>
        <w:tc>
          <w:tcPr>
            <w:shd w:val="clear" w:color="000000" w:fill="ffffff"/>
            <w:tcBorders/>
            <w:tcW w:w="817"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- 12%%</w:t>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- 12%%</w:t>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- 12%%</w:t>
            </w:r>
            <w:r>
              <w:rPr>
                <w:sz w:val="22"/>
                <w:szCs w:val="22"/>
              </w:rPr>
            </w:r>
          </w:p>
        </w:tc>
      </w:tr>
      <w:tr>
        <w:trPr>
          <w:trHeight w:val="20"/>
        </w:trPr>
        <w:tc>
          <w:tcPr>
            <w:shd w:val="clear" w:color="000000" w:fill="ffffff"/>
            <w:tcBorders/>
            <w:tcW w:w="817"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3.290.864</w:t>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5.831.658</w:t>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7.025.250</w:t>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-12.3</w:t>
      </w:r>
      <w:r>
        <w:t xml:space="preserve">% đến</w:t>
      </w:r>
      <w:r>
        <w:t xml:space="preserve"> </w:t>
      </w:r>
      <w:r>
        <w:t xml:space="preserve"> </w:t>
      </w:r>
      <w:r>
        <w:t xml:space="preserve">7.88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14:paraId="623D8DBC" w14:textId="3708BDEE">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16.647.408</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5.550.246</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13.982.628</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4.660.410</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17.199.750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5.732.677</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15.943.333</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16.000.000</w:t>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16.000.000</w:t>
      </w:r>
      <w:r>
        <w:rPr>
          <w:b/>
          <w:bCs/>
          <w:color w:val="000000" w:themeColor="text1"/>
        </w:rPr>
        <w:t xml:space="preserve"> </w:t>
      </w:r>
      <w:r>
        <w:rPr>
          <w:b/>
          <w:bCs/>
        </w:rPr>
        <w:t xml:space="preserve">đồng/m².</w:t>
      </w:r>
      <w:r>
        <w:rPr>
          <w:b/>
          <w:bCs/>
        </w:rPr>
      </w:r>
    </w:p>
    <w:p w14:paraId="4B506B03" w14:textId="49B8E0F8">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14:paraId="5FD09752" w14:textId="07A918B2">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r/>
      <w:r/>
      <w:r/>
      <w: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 sản</w:t>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 tích (m²)</w:t>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 giá (đồng/m²)</w:t>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3467" w:type="pct"/>
            <w:vAlign w:val="center"/>
            <w:textDirection w:val="lrTb"/>
            <w:noWrap w:val="false"/>
          </w:tcPr>
          <w:p w14:paraId="7BA966E1">
            <w:pPr>
              <w:pBdr/>
              <w:spacing/>
              <w:ind/>
              <w:rPr/>
            </w:pPr>
            <w:r/>
            <w:r>
              <w:rPr>
                <w:rFonts w:ascii="Times New Roman" w:hAnsi="Times New Roman" w:eastAsia="Times New Roman" w:cs="Times New Roman"/>
                <w:color w:val="000000"/>
                <w:sz w:val="24"/>
              </w:rPr>
              <w:t xml:space="preserve">Quyền sử dụng đất tại thửa đất số: 477, tờ bản đồ số: 16, có địa chỉ: Thôn Phượng Vũ, xã Phượng Dực, huyện Phú Xuyên ( nay là xã Phượng Dực), thành phố Hà Nội theo 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DQ 253197, Số vào sổ cấp GCN: CN-02754 do Chi nhánh văn phòng đăng ký đất đai Hà Nội - Huyện Phú Xuyên cấp ngày 19/11/2024; chủ sử dụng đất là Ông Lã Văn Chiu</w:t>
            </w:r>
            <w:r/>
            <w:r>
              <w:rPr>
                <w:rFonts w:ascii="Times New Roman" w:hAnsi="Times New Roman" w:eastAsia="Times New Roman" w:cs="Times New Roman"/>
                <w:sz w:val="24"/>
              </w:rPr>
            </w: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pPr>
            <w:r>
              <w:rPr>
                <w:b/>
                <w:bCs/>
              </w:rPr>
              <w:t xml:space="preserve">Đất ở nông thôn</w:t>
            </w: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264.3</w:t>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16.000.000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4.228.800.000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4.228.800.000</w:t>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4.229.000.000</w:t>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hai trăm hai mươi chín triệu đồng</w:t>
            </w:r>
            <w:r>
              <w:rPr>
                <w:b/>
                <w:bCs/>
                <w:i/>
                <w:iCs/>
                <w:color w:val="000000"/>
              </w:rPr>
              <w:t xml:space="preserve">./.)</w:t>
            </w:r>
            <w:r>
              <w:rPr>
                <w:b/>
                <w:bCs/>
                <w:i/>
                <w:iCs/>
                <w:color w:val="000000"/>
              </w:rPr>
            </w:r>
          </w:p>
        </w:tc>
      </w:tr>
    </w:tbl>
    <w:p w14:paraId="187E2E91" w14:textId="56B58432">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14:paraId="279C742C" w14:textId="6D8F76C7">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14:paraId="6D7840C7" w14:textId="686C8E50">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14:paraId="395A1305" w14:textId="2D455902">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14:paraId="4F98830D" w14:textId="3CD60F84">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14:paraId="28E87A91" w14:textId="55F858F1">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14:paraId="79B2D547" w14:textId="77777777">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14:paraId="5CAD055E" w14:textId="77777777">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14:paraId="74B3DBA9" w14:textId="77777777">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14:paraId="5CD83ABB" w14:textId="35D13C45">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14:paraId="74201DBE" w14:textId="5F084F54">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14:paraId="0F21F079" w14:textId="3DD55AEF">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14:paraId="0748D612" w14:textId="77777777">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14:paraId="10492A76" w14:textId="19C1B135">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14:paraId="4CDAC0E9" w14:textId="77777777">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14:paraId="4C573C67" w14:textId="77777777">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14:paraId="66FC14F5" w14:textId="77777777">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14:paraId="6FBCE7CC" w14:textId="77777777">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14:paraId="6B8BEE20" w14:textId="7336718B">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p>
    <w:p w14:paraId="29921AB7" w14:textId="3610F813">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14:paraId="5F9C87DF" w14:textId="660E13BF">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p>
    <w:p w14:paraId="667FB02E">
      <w:pPr>
        <w:pStyle w:val="856"/>
        <w:numPr>
          <w:ilvl w:val="0"/>
          <w:numId w:val="5"/>
        </w:numPr>
        <w:pBdr/>
        <w:tabs>
          <w:tab w:val="left" w:leader="none" w:pos="993"/>
        </w:tabs>
        <w:spacing w:after="120" w:before="120" w:line="288" w:lineRule="auto"/>
        <w:ind/>
        <w:jc w:val="both"/>
        <w:rPr>
          <w:spacing w:val="-2"/>
          <w:lang w:val="pt-BR"/>
        </w:rPr>
      </w:pPr>
      <w:r>
        <w:rPr>
          <w:bCs/>
          <w:spacing w:val="-2"/>
          <w:highlight w:val="none"/>
          <w:lang w:val="pt-BR" w:bidi="pt-BR"/>
        </w:rPr>
      </w:r>
      <w:r>
        <w:rPr>
          <w:rFonts w:ascii="Times New Roman" w:hAnsi="Times New Roman" w:eastAsia="Times New Roman" w:cs="Times New Roman"/>
          <w:color w:val="000000"/>
          <w:sz w:val="24"/>
        </w:rPr>
        <w:t xml:space="preserve">Tại thời điểm khảo sát, dưới sự hướng dẫn của chủ tài sản, tổ thẩm định xác định trên đất có CTXD Nhà 03 tầng, có diện tích xây dựng khoảng 140m2, tổng diện tích sàn khoảng 420m2, công trình xây dựng có kết cấu bê tông cốt thép, tường xây gạch bao quanh, n</w:t>
      </w:r>
      <w:r>
        <w:rPr>
          <w:rFonts w:ascii="Times New Roman" w:hAnsi="Times New Roman" w:eastAsia="Times New Roman" w:cs="Times New Roman"/>
          <w:color w:val="000000"/>
          <w:sz w:val="24"/>
        </w:rPr>
        <w:t xml:space="preserve">goại quan khá, hiện đang sử dụng bình thường. Theo thông tin khách hàng cung cấp, công trình được xây dựng hoàn thiện năm 2019, chưa được công nhận trên GCN QSDĐ số: DQ 253197. Đồng thời, tổ thẩm định cũng không nhận được bất kỳ giấy tờ pháp lý nào liên qu</w:t>
      </w:r>
      <w:r>
        <w:rPr>
          <w:rFonts w:ascii="Times New Roman" w:hAnsi="Times New Roman" w:eastAsia="Times New Roman" w:cs="Times New Roman"/>
          <w:color w:val="000000"/>
          <w:sz w:val="24"/>
        </w:rPr>
        <w:t xml:space="preserve">an đến CTXD này. Theo đề nghị của Quý khách hàng/ Ngân hàng, tổ thẩm định không xác định giá trị công trình nhưng vẫn coi đó là phần không thể tách rời của tài sản.</w:t>
      </w:r>
      <w:r>
        <w:rPr>
          <w:bCs/>
          <w:spacing w:val="-2"/>
          <w:highlight w:val="none"/>
          <w:lang w:val="pt-BR" w:bidi="pt-BR"/>
        </w:rPr>
      </w:r>
      <w:r>
        <w:rPr>
          <w:bCs/>
          <w:spacing w:val="-2"/>
          <w:highlight w:val="none"/>
          <w:lang w:val="pt-BR" w:bidi="pt-BR"/>
        </w:rPr>
      </w:r>
      <w:r>
        <w:rPr>
          <w:bCs/>
          <w:spacing w:val="-2"/>
          <w:highlight w:val="none"/>
          <w:lang w:val="pt-BR"/>
        </w:rPr>
      </w:r>
    </w:p>
    <w:p w14:paraId="0F9E384F" w14:textId="63102E36">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14:paraId="43E2DB6E" w14:textId="77777777">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14:paraId="7108F5A8" w14:textId="7D5BC9CC">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14:paraId="149D0CDD" w14:textId="77777777">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14:paraId="7B47CC14" w14:textId="77777777">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14:paraId="699F9D9D" w14:textId="4418D349">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275/2025/1731/VFI-CT.44.A</w:t>
      </w:r>
      <w:r>
        <w:rPr>
          <w:color w:val="ff0000"/>
          <w:lang w:val="vi-VN"/>
        </w:rPr>
        <w:t xml:space="preserve"> </w:t>
      </w:r>
      <w:r>
        <w:rPr>
          <w:color w:val="000000" w:themeColor="text1"/>
        </w:rPr>
        <w:t xml:space="preserve">ngày 9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r>
        <w:rPr>
          <w:lang w:val="vi-VN"/>
        </w:rPr>
      </w:r>
      <w:r>
        <w:rPr>
          <w:lang w:val="vi-VN"/>
        </w:rPr>
      </w:r>
      <w:r>
        <w:rPr>
          <w:lang w:val="pt-BR"/>
        </w:rPr>
      </w:r>
      <w:r>
        <w:rPr>
          <w:lang w:val="pt-BR"/>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94"/>
      </w:tblGrid>
      <w:tr>
        <w:trPr>
          <w:trHeight w:val="20"/>
        </w:trPr>
        <w:tc>
          <w:tcPr>
            <w:tcBorders/>
            <w:tcW w:w="4694" w:type="dxa"/>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r>
      <w:tr>
        <w:trPr>
          <w:trHeight w:val="1430"/>
        </w:trPr>
        <w:tc>
          <w:tcPr>
            <w:tcBorders/>
            <w:tcW w:w="4694" w:type="dxa"/>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p>
        </w:tc>
      </w:tr>
      <w:tr>
        <w:trPr>
          <w:trHeight w:val="20"/>
        </w:trPr>
        <w:tc>
          <w:tcPr>
            <w:tcBorders/>
            <w:tcW w:w="4694" w:type="dxa"/>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275/2025/1731/BC-VFI</w:t>
      </w:r>
      <w:r>
        <w:rPr>
          <w:i/>
          <w:lang w:val="pt-BR"/>
        </w:rPr>
        <w:t xml:space="preserve"> </w:t>
      </w:r>
      <w:r>
        <w:rPr>
          <w:i/>
          <w:lang w:val="pt-BR"/>
        </w:rPr>
        <w:t xml:space="preserve">9 tháng 12 năm 2025</w:t>
      </w:r>
      <w:r>
        <w:rPr>
          <w:i/>
          <w:lang w:val="pt-BR"/>
        </w:rPr>
        <w:t xml:space="preserve"> </w:t>
      </w:r>
      <w:r>
        <w:rPr>
          <w:i/>
          <w:lang w:val="pt-BR"/>
        </w:rPr>
        <w:t xml:space="preserve">của </w:t>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50pt;height:150.00pt;mso-wrap-distance-left:0.00pt;mso-wrap-distance-top:0.00pt;mso-wrap-distance-right:0.00pt;mso-wrap-distance-bottom:0.00pt;z-index:1;" stroked="false">
                      <v:imagedata r:id="rId17" o:title=""/>
                      <o:lock v:ext="edit" rotation="t"/>
                    </v:shape>
                  </w:pict>
                </mc:Fallback>
              </mc:AlternateContent>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85925" cy="22479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160018" name=""/>
                              <pic:cNvPicPr>
                                <a:picLocks noChangeAspect="1"/>
                              </pic:cNvPicPr>
                              <pic:nvPr/>
                            </pic:nvPicPr>
                            <pic:blipFill rotWithShape="1">
                              <a:blip r:embed="rId18"/>
                              <a:stretch/>
                            </pic:blipFill>
                            <pic:spPr bwMode="auto">
                              <a:xfrm>
                                <a:off x="0" y="0"/>
                                <a:ext cx="1685925" cy="2247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32.75pt;height:177.00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00375" cy="22479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45554" name=""/>
                              <pic:cNvPicPr>
                                <a:picLocks noChangeAspect="1"/>
                              </pic:cNvPicPr>
                              <pic:nvPr/>
                            </pic:nvPicPr>
                            <pic:blipFill rotWithShape="1">
                              <a:blip r:embed="rId19"/>
                              <a:stretch/>
                            </pic:blipFill>
                            <pic:spPr bwMode="auto">
                              <a:xfrm>
                                <a:off x="0" y="0"/>
                                <a:ext cx="3000375" cy="2247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6.25pt;height:177.0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00375" cy="22479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591576" name=""/>
                              <pic:cNvPicPr>
                                <a:picLocks noChangeAspect="1"/>
                              </pic:cNvPicPr>
                              <pic:nvPr/>
                            </pic:nvPicPr>
                            <pic:blipFill rotWithShape="1">
                              <a:blip r:embed="rId20"/>
                              <a:stretch/>
                            </pic:blipFill>
                            <pic:spPr bwMode="auto">
                              <a:xfrm>
                                <a:off x="0" y="0"/>
                                <a:ext cx="3000375" cy="2247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6.25pt;height:177.0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00375" cy="22479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5523" name=""/>
                              <pic:cNvPicPr>
                                <a:picLocks noChangeAspect="1"/>
                              </pic:cNvPicPr>
                              <pic:nvPr/>
                            </pic:nvPicPr>
                            <pic:blipFill rotWithShape="1">
                              <a:blip r:embed="rId21"/>
                              <a:stretch/>
                            </pic:blipFill>
                            <pic:spPr bwMode="auto">
                              <a:xfrm>
                                <a:off x="0" y="0"/>
                                <a:ext cx="3000375" cy="2247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6.25pt;height:177.0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81325" cy="22288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08766" name=""/>
                              <pic:cNvPicPr>
                                <a:picLocks noChangeAspect="1"/>
                              </pic:cNvPicPr>
                              <pic:nvPr/>
                            </pic:nvPicPr>
                            <pic:blipFill rotWithShape="1">
                              <a:blip r:embed="rId22"/>
                              <a:stretch/>
                            </pic:blipFill>
                            <pic:spPr bwMode="auto">
                              <a:xfrm>
                                <a:off x="0" y="0"/>
                                <a:ext cx="2981324" cy="22288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4.75pt;height:175.50pt;mso-wrap-distance-left:0.00pt;mso-wrap-distance-top:0.00pt;mso-wrap-distance-right:0.00pt;mso-wrap-distance-bottom:0.00pt;z-index:1;" stroked="false">
                      <v:imagedata r:id="rId22" o:title=""/>
                      <o:lock v:ext="edit" rotation="t"/>
                    </v:shape>
                  </w:pict>
                </mc:Fallback>
              </mc:AlternateContent>
            </w:r>
            <w:r>
              <w:rPr>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275/2025/1731/BC-VFI</w:t>
      </w:r>
      <w:r>
        <w:rPr>
          <w:i/>
          <w:lang w:val="pt-BR"/>
        </w:rPr>
        <w:t xml:space="preserve"> </w:t>
      </w:r>
      <w:r>
        <w:rPr>
          <w:i/>
          <w:lang w:val="pt-BR"/>
        </w:rPr>
        <w:t xml:space="preserve">9 tháng 12 năm 2025</w:t>
      </w:r>
      <w:r>
        <w:rPr>
          <w:i/>
          <w:lang w:val="pt-BR"/>
        </w:rPr>
        <w:t xml:space="preserve"> </w:t>
      </w:r>
      <w:r>
        <w:rPr>
          <w:i/>
          <w:lang w:val="pt-BR"/>
        </w:rPr>
        <w:t xml:space="preserve">của </w:t>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https://www.facebook.com/share/p/16adoB35JQ/</w:t>
            </w:r>
            <w:r>
              <w:rPr>
                <w:color w:val="000000" w:themeColor="text1"/>
                <w:sz w:val="22"/>
                <w:szCs w:val="22"/>
              </w:rPr>
              <w:br/>
              <w:t xml:space="preserve">0336183988</w:t>
            </w:r>
            <w:r>
              <w:rPr>
                <w:sz w:val="22"/>
                <w:szCs w:val="22"/>
              </w:rPr>
              <w:t xml:space="preserve"> </w:t>
            </w:r>
            <w:r>
              <w:rPr>
                <w:sz w:val="22"/>
                <w:szCs w:val="22"/>
              </w:rPr>
              <w:br/>
              <w:t xml:space="preserve">(Đặng Tấn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1.700.000.000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1.615.000.000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nông thôn (81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Xã Phượng Dực, Huyện Phú Xuyên, Thành phố Hà Nội, độ rộng đường trước mặt tài sản 2.2m, mặt tiền 5.6m, QL21C khoảng 2,4km Cách trường THPT Đông Quan khoảng 6.5KM, 20.74871976090956, 105.83514925384522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81</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5.6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t xml:space="preserve">Không có lợi thế kinh doanh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p>
          <w:p w14:paraId="01188A40"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349272" cy="2328953"/>
                      <wp:effectExtent l="0" t="0" r="0" b="0"/>
                      <wp:docPr id="12" name=""/>
                      <wp:cNvGraphicFramePr/>
                      <a:graphic xmlns:a="http://schemas.openxmlformats.org/drawingml/2006/main">
                        <a:graphicData uri="http://schemas.openxmlformats.org/drawingml/2006/picture">
                          <pic:pic xmlns:pic="http://schemas.openxmlformats.org/drawingml/2006/picture">
                            <pic:nvPicPr>
                              <pic:cNvPr id="167305494" name="" descr=""/>
                              <pic:cNvPicPr/>
                              <pic:nvPr/>
                            </pic:nvPicPr>
                            <pic:blipFill rotWithShape="1">
                              <a:blip r:embed="rId23"/>
                              <a:stretch/>
                            </pic:blipFill>
                            <pic:spPr bwMode="auto">
                              <a:xfrm flipH="0" flipV="0">
                                <a:off x="0" y="0"/>
                                <a:ext cx="5349271" cy="232895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21.20pt;height:183.38pt;mso-wrap-distance-left:0.00pt;mso-wrap-distance-top:0.00pt;mso-wrap-distance-right:0.00pt;mso-wrap-distance-bottom:0.00pt;z-index:1;" stroked="false">
                      <v:imagedata r:id="rId23" o:title=""/>
                      <o:lock v:ext="edit" rotation="t"/>
                    </v:shape>
                  </w:pict>
                </mc:Fallback>
              </mc:AlternateContent>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14:paraId="3123A226" w14:textId="73AF49F0">
      <w:pPr>
        <w:pBdr/>
        <w:spacing w:after="200" w:line="276" w:lineRule="auto"/>
        <w:ind/>
        <w:jc w:val="center"/>
        <w:rPr>
          <w:iCs/>
          <w:lang w:val="pt-BR"/>
        </w:rPr>
      </w:pPr>
      <w:r>
        <w:rPr>
          <w:b/>
          <w:bCs/>
          <w:iCs/>
          <w:lang w:val="pt-BR"/>
        </w:rPr>
        <w:t xml:space="preserve">TSSS2</w:t>
      </w:r>
      <w:r>
        <w:rPr>
          <w:iCs/>
          <w:lang w:val="pt-BR"/>
        </w:rPr>
      </w:r>
    </w:p>
    <w:tbl>
      <w:tblPr>
        <w:tblW w:w="9527" w:type="dxa"/>
        <w:tblBorders/>
        <w:tblLayout w:type="fixed"/>
        <w:tblLook w:val="04A0" w:firstRow="1" w:lastRow="0" w:firstColumn="1" w:lastColumn="0" w:noHBand="0" w:noVBand="1"/>
      </w:tblPr>
      <w:tblGrid>
        <w:gridCol w:w="632"/>
        <w:gridCol w:w="3510"/>
        <w:gridCol w:w="538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510"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386"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https://www.facebook.com/share/p/1AznMfp9ZB/</w:t>
            </w:r>
            <w:r>
              <w:rPr>
                <w:color w:val="000000" w:themeColor="text1"/>
                <w:sz w:val="22"/>
                <w:szCs w:val="22"/>
              </w:rPr>
              <w:br/>
              <w:t xml:space="preserve">0826461567</w:t>
            </w:r>
            <w:r>
              <w:rPr>
                <w:sz w:val="22"/>
                <w:szCs w:val="22"/>
              </w:rPr>
              <w:t xml:space="preserve"> </w:t>
            </w:r>
            <w:r>
              <w:rPr>
                <w:sz w:val="22"/>
                <w:szCs w:val="22"/>
              </w:rPr>
              <w:br/>
              <w:t xml:space="preserve">(Đinh Văn Chuyên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2.920.000.000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2.774.000.000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nông thôn (140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Xã Phượng Dực, Huyện Phú Xuyên, Thành phố Hà Nội, độ rộng đường trước mặt tài sản 2.8m, mặt tiền 10.52m, Cách QL21C khoảng 2,4 Km, cách trường THPT Đông Quan khoảng 6.5 Km, 20.749810845429046, 105.83522972011566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140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10.52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Không có lợi thế kinh doanh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86"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895" w:type="dxa"/>
            <w:vAlign w:val="center"/>
            <w:textDirection w:val="lrTb"/>
            <w:noWrap w:val="false"/>
          </w:tcPr>
          <w:p w14:paraId="0CF44AD9" w14:textId="0AC8C76C">
            <w:pPr>
              <w:pBdr/>
              <w:spacing w:line="276" w:lineRule="auto"/>
              <w:ind/>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5117950" cy="3116367"/>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888910" name=""/>
                              <pic:cNvPicPr>
                                <a:picLocks noChangeAspect="1"/>
                              </pic:cNvPicPr>
                              <pic:nvPr/>
                            </pic:nvPicPr>
                            <pic:blipFill rotWithShape="1">
                              <a:blip r:embed="rId24"/>
                              <a:stretch/>
                            </pic:blipFill>
                            <pic:spPr bwMode="auto">
                              <a:xfrm flipH="0" flipV="0">
                                <a:off x="0" y="0"/>
                                <a:ext cx="5117950" cy="31163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02.99pt;height:245.38pt;mso-wrap-distance-left:0.00pt;mso-wrap-distance-top:0.00pt;mso-wrap-distance-right:0.00pt;mso-wrap-distance-bottom:0.00pt;z-index:1;" stroked="false">
                      <v:imagedata r:id="rId24" o:title=""/>
                      <o:lock v:ext="edit" rotation="t"/>
                    </v:shape>
                  </w:pict>
                </mc:Fallback>
              </mc:AlternateContent>
            </w:r>
            <w:r>
              <w:rPr>
                <w:color w:val="000000"/>
                <w:sz w:val="22"/>
                <w:szCs w:val="22"/>
              </w:rPr>
            </w:r>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546DA933" w14:textId="65DE0C84">
      <w:pPr>
        <w:pBdr/>
        <w:spacing w:after="200" w:line="276" w:lineRule="auto"/>
        <w:ind/>
        <w:jc w:val="center"/>
        <w:rPr>
          <w:b/>
          <w:bCs/>
          <w:iCs/>
          <w:lang w:val="pt-BR"/>
        </w:rPr>
      </w:pPr>
      <w:r>
        <w:rPr>
          <w:b/>
          <w:bCs/>
          <w:iCs/>
          <w:lang w:val="pt-BR"/>
        </w:rPr>
        <w:t xml:space="preserve">TSSS 3</w:t>
      </w:r>
      <w:r>
        <w:rPr>
          <w:b/>
          <w:bCs/>
          <w:iCs/>
          <w:lang w:val="pt-BR"/>
        </w:rPr>
      </w:r>
    </w:p>
    <w:tbl>
      <w:tblPr>
        <w:tblW w:w="9386" w:type="dxa"/>
        <w:tblBorders/>
        <w:tblLayout w:type="fixed"/>
        <w:tblLook w:val="04A0" w:firstRow="1" w:lastRow="0" w:firstColumn="1" w:lastColumn="0" w:noHBand="0" w:noVBand="1"/>
      </w:tblPr>
      <w:tblGrid>
        <w:gridCol w:w="632"/>
        <w:gridCol w:w="2659"/>
        <w:gridCol w:w="60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2659"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0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https://batdongsan.com.vn/ban-dat-xa-phuong-duc/ban-lo-80m2-hang-hiem-f0-hoang-long-phu-xuyen-ha-noi-pr44686256</w:t>
            </w:r>
            <w:r>
              <w:rPr>
                <w:color w:val="000000" w:themeColor="text1"/>
                <w:sz w:val="22"/>
                <w:szCs w:val="22"/>
              </w:rPr>
              <w:br/>
            </w:r>
            <w:r>
              <w:rPr>
                <w:sz w:val="22"/>
                <w:szCs w:val="22"/>
              </w:rPr>
              <w:t xml:space="preserve">SĐT: </w:t>
            </w:r>
            <w:r>
              <w:rPr>
                <w:color w:val="000000" w:themeColor="text1"/>
                <w:sz w:val="22"/>
                <w:szCs w:val="22"/>
              </w:rPr>
              <w:t xml:space="preserve">0965194268</w:t>
            </w:r>
            <w:r>
              <w:rPr>
                <w:sz w:val="22"/>
                <w:szCs w:val="22"/>
              </w:rPr>
              <w:t xml:space="preserve"> </w:t>
            </w:r>
            <w:r>
              <w:rPr>
                <w:sz w:val="22"/>
                <w:szCs w:val="22"/>
              </w:rPr>
              <w:br/>
              <w:t xml:space="preserve">(Hoàng Ly</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2.280.000.000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1.938.000.000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nông thôn (80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Xã Phượng Dực, Huyện Phú Xuyên, Thành phố Hà Nội, độ rộng đường trước mặt tài sản 2.2m, mặt tiền 6.56m, Cách QL21 khoảng 2km, cách trường THPT Đông Quan khoảng 5km, 20.767267126949477, 105.83496418142319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80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6.56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Không có lợi thế kinh doanh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9"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754"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p>
          <w:p w14:paraId="1872AF4F"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85619"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508561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00.44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p>
        </w:tc>
        <w:tc>
          <w:tcPr>
            <w:tcBorders/>
            <w:tcW w:w="4776" w:type="dxa"/>
            <w:vAlign w:val="center"/>
            <w:textDirection w:val="lrTb"/>
            <w:noWrap/>
          </w:tcPr>
          <w:p w14:paraId="6BA10678" w14:textId="14D82232">
            <w:pPr>
              <w:pBdr/>
              <w:spacing/>
              <w:ind/>
              <w:jc w:val="center"/>
              <w:rPr/>
            </w:pPr>
            <w:r>
              <w:t xml:space="preserve">Lê Đình Duy</w:t>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p>
        </w:tc>
      </w:tr>
    </w:tbl>
    <w:p w14:paraId="73CB069D">
      <w:pPr>
        <w:pBdr/>
        <w:shd w:val="nil"/>
        <w:spacing/>
        <w:ind/>
        <w:rPr>
          <w:lang w:val="pt-BR"/>
        </w:rPr>
      </w:pPr>
      <w:r>
        <w:rPr>
          <w:iCs/>
          <w:lang w:val="pt-BR"/>
        </w:rPr>
        <w:br w:type="page" w:clear="all"/>
      </w:r>
      <w:r>
        <w:rPr>
          <w:iCs/>
          <w:lang w:val="pt-BR"/>
        </w:rPr>
      </w:r>
      <w:r>
        <w:rPr>
          <w:iCs/>
          <w:lang w:val="pt-BR"/>
        </w:rPr>
      </w:r>
    </w:p>
    <w:p w14:paraId="1EAD3878" w14:textId="77777777">
      <w:pPr>
        <w:pBdr/>
        <w:spacing w:after="200" w:line="276" w:lineRule="auto"/>
        <w:ind/>
        <w:jc w:val="center"/>
        <w:rPr>
          <w:iCs/>
          <w:highlight w:val="none"/>
          <w:lang w:val="pt-BR"/>
        </w:rPr>
      </w:pPr>
      <w:r>
        <w:rPr>
          <w:iCs/>
          <w:lang w:val="pt-BR"/>
        </w:rPr>
        <w:t xml:space="preserve">BIÊN BẢN KHẢO SÁT</w:t>
      </w:r>
      <w:r>
        <w:rPr>
          <w:iCs/>
          <w:lang w:val="pt-BR"/>
        </w:rPr>
      </w:r>
    </w:p>
    <w:p w14:paraId="70BA6658">
      <w:pPr>
        <w:pBdr/>
        <w:spacing w:after="200" w:line="276" w:lineRule="auto"/>
        <w:ind/>
        <w:jc w:val="center"/>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787975" name=""/>
                        <pic:cNvPicPr>
                          <a:picLocks noChangeAspect="1"/>
                        </pic:cNvPicPr>
                        <pic:nvPr/>
                      </pic:nvPicPr>
                      <pic:blipFill rotWithShape="1">
                        <a:blip r:embed="rId2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26" o:title=""/>
                <o:lock v:ext="edit" rotation="t"/>
              </v:shape>
            </w:pict>
          </mc:Fallback>
        </mc:AlternateContent>
      </w:r>
      <w:r>
        <w:rPr>
          <w:iCs/>
          <w:highlight w:val="none"/>
          <w:lang w:val="pt-BR" w:bidi="pt-BR"/>
        </w:rPr>
      </w:r>
      <w:r>
        <w:rPr>
          <w:iCs/>
          <w:highlight w:val="none"/>
          <w:lang w:val="pt-BR" w:bidi="pt-BR"/>
        </w:rPr>
      </w:r>
      <w:r>
        <w:rPr>
          <w:iCs/>
          <w:highlight w:val="non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14:paraId="63CB0AED" w14:textId="77777777">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https://vneconomy.vn/da-tang-gia-chung-cu-ha-noi-chung-lai-trong-quy-1-2025.htm" TargetMode="External"/><Relationship Id="rId16" Type="http://schemas.openxmlformats.org/officeDocument/2006/relationships/image" Target="media/image3.png"/><Relationship Id="rId17" Type="http://schemas.openxmlformats.org/officeDocument/2006/relationships/image" Target="media/image4.jp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jp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269</cp:revision>
  <dcterms:created xsi:type="dcterms:W3CDTF">2025-09-15T09:58:00Z</dcterms:created>
  <dcterms:modified xsi:type="dcterms:W3CDTF">2025-12-09T13:28:44Z</dcterms:modified>
</cp:coreProperties>
</file>