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736146" cy="501300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36146" cy="501300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275/2026/01115/VFI-CT.24.A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iCs/>
                                <w:color w:val="000000"/>
                              </w:rPr>
                            </w:r>
                            <w:r>
                              <w:rPr>
                                <w:iCs/>
                                <w:color w:val="000000"/>
                              </w:rPr>
                            </w:r>
                          </w:p>
                          <w:p>
                            <w:pPr>
                              <w:pBdr>
                                <w:top w:val="none" w:color="000000" w:sz="4" w:space="0"/>
                                <w:left w:val="none" w:color="000000" w:sz="4" w:space="0"/>
                                <w:bottom w:val="none" w:color="000000" w:sz="4" w:space="0"/>
                                <w:right w:val="none" w:color="000000" w:sz="4" w:space="0"/>
                              </w:pBdr>
                              <w:spacing w:after="120" w:line="288" w:lineRule="auto"/>
                              <w:ind w:right="0" w:firstLine="0" w:left="0"/>
                              <w:jc w:val="both"/>
                              <w:rPr/>
                            </w:pPr>
                            <w:r>
                              <w:rPr>
                                <w:rFonts w:ascii="Times New Roman" w:hAnsi="Times New Roman" w:eastAsia="Times New Roman" w:cs="Times New Roman"/>
                                <w:b/>
                                <w:i/>
                                <w:color w:val="000000"/>
                                <w:sz w:val="24"/>
                              </w:rPr>
                              <w:t xml:space="preserve">Tài sản 1:</w:t>
                            </w:r>
                            <w:r>
                              <w:rPr>
                                <w:rFonts w:ascii="Times New Roman" w:hAnsi="Times New Roman" w:eastAsia="Times New Roman" w:cs="Times New Roman"/>
                                <w:color w:val="000000"/>
                                <w:sz w:val="24"/>
                              </w:rPr>
                              <w:t xml:space="preserve"> Quyền sử dụng đất và công trình xây dựng trên đất tại thửa đất số 15, tờ bản đồ QH chia lô khu Ninh Chấp 7, có địa chỉ: Phường Thái Học, Thị xã Chí Linh, Tỉnh Hải Dương </w:t>
                            </w:r>
                            <w:r>
                              <w:rPr>
                                <w:rFonts w:ascii="Times New Roman" w:hAnsi="Times New Roman" w:eastAsia="Times New Roman" w:cs="Times New Roman"/>
                                <w:i/>
                                <w:color w:val="000000"/>
                                <w:sz w:val="24"/>
                              </w:rPr>
                              <w:t xml:space="preserve">(Nay là phường Chu Văn An, thành phố Hải Phòng</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CL 048924 số vào sổ cấp GCN CH 04203 do UBND thị xã Chị Linh cấp ngày 12/12/2017 cho ông Nguyễn Đình Minh và Bà Vũ Thị Huệ.</w:t>
                            </w:r>
                            <w:r/>
                          </w:p>
                          <w:p>
                            <w:pPr>
                              <w:pBdr/>
                              <w:spacing w:after="120" w:before="120" w:line="360" w:lineRule="auto"/>
                              <w:ind/>
                              <w:jc w:val="both"/>
                              <w:rPr>
                                <w:bCs/>
                                <w:i/>
                              </w:rPr>
                            </w:pPr>
                            <w:r>
                              <w:rPr>
                                <w:rFonts w:ascii="Times New Roman" w:hAnsi="Times New Roman" w:eastAsia="Times New Roman" w:cs="Times New Roman"/>
                                <w:b/>
                                <w:i/>
                                <w:color w:val="000000"/>
                                <w:sz w:val="24"/>
                              </w:rPr>
                              <w:t xml:space="preserve">Tài sản 2:</w:t>
                            </w:r>
                            <w:r>
                              <w:rPr>
                                <w:rFonts w:ascii="Times New Roman" w:hAnsi="Times New Roman" w:eastAsia="Times New Roman" w:cs="Times New Roman"/>
                                <w:color w:val="000000"/>
                                <w:sz w:val="24"/>
                              </w:rPr>
                              <w:t xml:space="preserve"> Quyền sử dụng đất và công trình xây dựng trên đất tại thửa đất số 16, tờ bản đồ QH chia lô khu Ninh Chấp 7, có địa chỉ: Phường Thái Học, Thị xã Chí Linh, Tỉnh Hải Dương </w:t>
                            </w:r>
                            <w:r>
                              <w:rPr>
                                <w:rFonts w:ascii="Times New Roman" w:hAnsi="Times New Roman" w:eastAsia="Times New Roman" w:cs="Times New Roman"/>
                                <w:i/>
                                <w:color w:val="000000"/>
                                <w:sz w:val="24"/>
                              </w:rPr>
                              <w:t xml:space="preserve">(Nay là phường Chu Văn An, thành phố Hải Phòng)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CL 017167 số vào sổ cấp GCN CH 04210 do UBND thị xã Chị Linh cấp ngày 12/12/2017 cho ông Nguyễn Đình Minh và Bà Vũ Thị Huệ.</w:t>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51.67pt;height:394.7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275/2026/01115/VFI-CT.24.A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Minh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iCs/>
                          <w:color w:val="000000"/>
                        </w:rPr>
                      </w:r>
                      <w:r>
                        <w:rPr>
                          <w:iCs/>
                          <w:color w:val="000000"/>
                        </w:rPr>
                      </w:r>
                    </w:p>
                    <w:p>
                      <w:pPr>
                        <w:pBdr>
                          <w:top w:val="none" w:color="000000" w:sz="4" w:space="0"/>
                          <w:left w:val="none" w:color="000000" w:sz="4" w:space="0"/>
                          <w:bottom w:val="none" w:color="000000" w:sz="4" w:space="0"/>
                          <w:right w:val="none" w:color="000000" w:sz="4" w:space="0"/>
                        </w:pBdr>
                        <w:spacing w:after="120" w:line="288" w:lineRule="auto"/>
                        <w:ind w:right="0" w:firstLine="0" w:left="0"/>
                        <w:jc w:val="both"/>
                        <w:rPr/>
                      </w:pPr>
                      <w:r>
                        <w:rPr>
                          <w:rFonts w:ascii="Times New Roman" w:hAnsi="Times New Roman" w:eastAsia="Times New Roman" w:cs="Times New Roman"/>
                          <w:b/>
                          <w:i/>
                          <w:color w:val="000000"/>
                          <w:sz w:val="24"/>
                        </w:rPr>
                        <w:t xml:space="preserve">Tài sản 1:</w:t>
                      </w:r>
                      <w:r>
                        <w:rPr>
                          <w:rFonts w:ascii="Times New Roman" w:hAnsi="Times New Roman" w:eastAsia="Times New Roman" w:cs="Times New Roman"/>
                          <w:color w:val="000000"/>
                          <w:sz w:val="24"/>
                        </w:rPr>
                        <w:t xml:space="preserve"> Quyền sử dụng đất và công trình xây dựng trên đất tại thửa đất số 15, tờ bản đồ QH chia lô khu Ninh Chấp 7, có địa chỉ: Phường Thái Học, Thị xã Chí Linh, Tỉnh Hải Dương </w:t>
                      </w:r>
                      <w:r>
                        <w:rPr>
                          <w:rFonts w:ascii="Times New Roman" w:hAnsi="Times New Roman" w:eastAsia="Times New Roman" w:cs="Times New Roman"/>
                          <w:i/>
                          <w:color w:val="000000"/>
                          <w:sz w:val="24"/>
                        </w:rPr>
                        <w:t xml:space="preserve">(Nay là phường Chu Văn An, thành phố Hải Phòng</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CL 048924 số vào sổ cấp GCN CH 04203 do UBND thị xã Chị Linh cấp ngày 12/12/2017 cho ông Nguyễn Đình Minh và Bà Vũ Thị Huệ.</w:t>
                      </w:r>
                      <w:r/>
                    </w:p>
                    <w:p>
                      <w:pPr>
                        <w:pBdr/>
                        <w:spacing w:after="120" w:before="120" w:line="360" w:lineRule="auto"/>
                        <w:ind/>
                        <w:jc w:val="both"/>
                        <w:rPr>
                          <w:bCs/>
                          <w:i/>
                        </w:rPr>
                      </w:pPr>
                      <w:r>
                        <w:rPr>
                          <w:rFonts w:ascii="Times New Roman" w:hAnsi="Times New Roman" w:eastAsia="Times New Roman" w:cs="Times New Roman"/>
                          <w:b/>
                          <w:i/>
                          <w:color w:val="000000"/>
                          <w:sz w:val="24"/>
                        </w:rPr>
                        <w:t xml:space="preserve">Tài sản 2:</w:t>
                      </w:r>
                      <w:r>
                        <w:rPr>
                          <w:rFonts w:ascii="Times New Roman" w:hAnsi="Times New Roman" w:eastAsia="Times New Roman" w:cs="Times New Roman"/>
                          <w:color w:val="000000"/>
                          <w:sz w:val="24"/>
                        </w:rPr>
                        <w:t xml:space="preserve"> Quyền sử dụng đất và công trình xây dựng trên đất tại thửa đất số 16, tờ bản đồ QH chia lô khu Ninh Chấp 7, có địa chỉ: Phường Thái Học, Thị xã Chí Linh, Tỉnh Hải Dương </w:t>
                      </w:r>
                      <w:r>
                        <w:rPr>
                          <w:rFonts w:ascii="Times New Roman" w:hAnsi="Times New Roman" w:eastAsia="Times New Roman" w:cs="Times New Roman"/>
                          <w:i/>
                          <w:color w:val="000000"/>
                          <w:sz w:val="24"/>
                        </w:rPr>
                        <w:t xml:space="preserve">(Nay là phường Chu Văn An, thành phố Hải Phòng)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CL 017167 số vào sổ cấp GCN CH 04210 do UBND thị xã Chị Linh cấp ngày 12/12/2017 cho ông Nguyễn Đình Minh và Bà Vũ Thị Huệ.</w:t>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right"/>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hd w:val="clear" w:color="ffffff" w:themeColor="background1" w:fill="ffffff" w:themeFill="background1"/>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hd w:val="clear" w:color="ffffff" w:themeColor="background1" w:fill="ffffff" w:themeFill="background1"/>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rPr>
            </w:pPr>
            <w:r>
              <w:rPr>
                <w:b/>
                <w:highlight w:val="white"/>
              </w:rPr>
            </w:r>
            <w:r>
              <w:rPr>
                <w:b/>
                <w:highlight w:val="white"/>
              </w:rPr>
            </w:r>
            <w:r>
              <w:rPr>
                <w:b/>
                <w:highlight w:val="white"/>
              </w:rPr>
            </w:r>
          </w:p>
        </w:tc>
      </w:tr>
      <w:tr>
        <w:trPr>
          <w:trHeight w:val="452"/>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highlight w:val="white"/>
              </w:rPr>
            </w:pPr>
            <w:r>
              <w:rPr>
                <w:b/>
                <w:color w:val="000000" w:themeColor="text1"/>
                <w:highlight w:val="white"/>
              </w:rPr>
              <w:t xml:space="preserve">4-22</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hd w:val="clear" w:color="ffffff" w:themeColor="background1" w:fill="ffffff" w:themeFill="background1"/>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shd w:val="clear" w:color="ffffff" w:themeColor="background1" w:fill="ffffff" w:themeFill="background1"/>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bCs/>
                <w:highlight w:val="white"/>
              </w:rPr>
            </w:pPr>
            <w:r>
              <w:rPr>
                <w:b/>
                <w:bCs/>
                <w:highlight w:val="white"/>
              </w:rPr>
              <w:t xml:space="preserve">23</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shd w:val="clear" w:color="ffffff" w:themeColor="background1" w:fill="ffffff" w:themeFill="background1"/>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hd w:val="clear" w:color="ffffff" w:themeColor="background1" w:fill="ffffff" w:themeFill="background1"/>
              <w:spacing w:after="120" w:before="100" w:beforeAutospacing="1"/>
              <w:ind/>
              <w:jc w:val="right"/>
              <w:rPr>
                <w:b/>
                <w:bCs/>
                <w:highlight w:val="white"/>
              </w:rPr>
            </w:pPr>
            <w:r>
              <w:rPr>
                <w:b/>
                <w:bCs/>
                <w:highlight w:val="white"/>
              </w:rPr>
              <w:t xml:space="preserve">27</w:t>
            </w:r>
            <w:r>
              <w:rPr>
                <w:b/>
                <w:bCs/>
                <w:highlight w:val="white"/>
              </w:rPr>
            </w:r>
            <w:r>
              <w:rPr>
                <w:b/>
                <w:bCs/>
                <w:highlight w:val="white"/>
              </w:rPr>
            </w:r>
          </w:p>
        </w:tc>
      </w:tr>
    </w:tbl>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30"/>
        <w:pBdr/>
        <w:shd w:val="clear" w:color="ffffff" w:themeColor="background1" w:fill="ffffff" w:themeFill="background1"/>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rPr>
      </w:r>
    </w:p>
    <w:tbl>
      <w:tblPr>
        <w:tblInd w:w="-284" w:type="dxa"/>
        <w:tblW w:w="9808" w:type="dxa"/>
        <w:tblBorders/>
        <w:tblLayout w:type="fixed"/>
        <w:tblLook w:val="04A0" w:firstRow="1" w:lastRow="0" w:firstColumn="1" w:lastColumn="0" w:noHBand="0" w:noVBand="1"/>
      </w:tblPr>
      <w:tblGrid>
        <w:gridCol w:w="29"/>
        <w:gridCol w:w="1559"/>
        <w:gridCol w:w="2409"/>
        <w:gridCol w:w="5811"/>
      </w:tblGrid>
      <w:tr>
        <w:trPr>
          <w:trHeight w:val="1152"/>
        </w:trPr>
        <w:tc>
          <w:tcPr>
            <w:gridSpan w:val="2"/>
            <w:tcBorders/>
            <w:tcW w:w="1588" w:type="dxa"/>
            <w:textDirection w:val="lrTb"/>
            <w:noWrap w:val="false"/>
          </w:tcPr>
          <w:p>
            <w:pPr>
              <w:pBdr/>
              <w:shd w:val="clear" w:color="ffffff" w:themeColor="background1" w:fill="ffffff" w:themeFill="background1"/>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rPr>
            </w:r>
          </w:p>
        </w:tc>
        <w:tc>
          <w:tcPr>
            <w:gridSpan w:val="2"/>
            <w:tcBorders/>
            <w:tcW w:w="8220" w:type="dxa"/>
            <w:textDirection w:val="lrTb"/>
            <w:noWrap w:val="false"/>
          </w:tcPr>
          <w:p>
            <w:pPr>
              <w:pBdr/>
              <w:shd w:val="clear" w:color="ffffff" w:themeColor="background1" w:fill="ffffff" w:themeFill="background1"/>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hd w:val="clear" w:color="ffffff" w:themeColor="background1" w:fill="ffffff" w:themeFill="background1"/>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rPr>
            </w:r>
          </w:p>
          <w:p>
            <w:pPr>
              <w:pBdr/>
              <w:shd w:val="clear" w:color="ffffff" w:themeColor="background1" w:fill="ffffff" w:themeFill="background1"/>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rPr>
            </w:r>
          </w:p>
          <w:p>
            <w:pPr>
              <w:pBdr/>
              <w:shd w:val="clear" w:color="ffffff" w:themeColor="background1" w:fill="ffffff" w:themeFill="background1"/>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1"/>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pPr>
              <w:pStyle w:val="1030"/>
              <w:pBdr/>
              <w:shd w:val="clear" w:color="ffffff" w:themeColor="background1" w:fill="ffffff" w:themeFill="background1"/>
              <w:spacing w:after="60"/>
              <w:ind/>
              <w:rPr>
                <w:color w:val="000000" w:themeColor="text1"/>
                <w:sz w:val="24"/>
                <w:szCs w:val="24"/>
                <w:highlight w:val="white"/>
              </w:rPr>
            </w:pPr>
            <w:r>
              <w:rPr>
                <w:rStyle w:val="1029"/>
                <w:rFonts w:ascii="Times New Roman" w:hAnsi="Times New Roman"/>
                <w:color w:val="000000" w:themeColor="text1"/>
                <w:highlight w:val="white"/>
                <w:lang w:val="pt-BR"/>
              </w:rPr>
              <w:t xml:space="preserve">Số: </w:t>
            </w:r>
            <w:r>
              <w:rPr>
                <w:rStyle w:val="1029"/>
                <w:rFonts w:ascii="Times New Roman" w:hAnsi="Times New Roman"/>
                <w:color w:val="000000" w:themeColor="text1"/>
                <w:highlight w:val="white"/>
                <w:lang w:val="pt-BR"/>
              </w:rPr>
              <w:t xml:space="preserve">275/2026/01115/VFI-CT.24.A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811" w:type="dxa"/>
            <w:textDirection w:val="lrTb"/>
            <w:noWrap w:val="false"/>
          </w:tcPr>
          <w:p>
            <w:pPr>
              <w:pStyle w:val="1030"/>
              <w:pBdr/>
              <w:shd w:val="clear" w:color="ffffff" w:themeColor="background1" w:fill="ffffff" w:themeFill="background1"/>
              <w:spacing w:after="60"/>
              <w:ind w:right="-56"/>
              <w:jc w:val="right"/>
              <w:rPr>
                <w:color w:val="000000" w:themeColor="text1"/>
                <w:sz w:val="24"/>
                <w:szCs w:val="24"/>
                <w:highlight w:val="white"/>
              </w:rPr>
            </w:pPr>
            <w:r>
              <w:rPr>
                <w:rStyle w:val="1029"/>
                <w:rFonts w:ascii="Times New Roman" w:hAnsi="Times New Roman"/>
                <w:i/>
                <w:color w:val="auto"/>
                <w:highlight w:val="white"/>
              </w:rPr>
              <w:t xml:space="preserve">TP. Hà Nội</w:t>
            </w:r>
            <w:r>
              <w:rPr>
                <w:rStyle w:val="1029"/>
                <w:rFonts w:ascii="Times New Roman" w:hAnsi="Times New Roman"/>
                <w:i/>
                <w:color w:val="auto"/>
                <w:highlight w:val="white"/>
                <w:lang w:val="vi-VN"/>
              </w:rPr>
              <w:t xml:space="preserve">, </w:t>
            </w:r>
            <w:r>
              <w:rPr>
                <w:rStyle w:val="1029"/>
                <w:rFonts w:ascii="Times New Roman" w:hAnsi="Times New Roman"/>
                <w:i/>
                <w:color w:val="000000" w:themeColor="text1"/>
                <w:highlight w:val="white"/>
                <w:lang w:val="vi-VN"/>
              </w:rPr>
              <w:t xml:space="preserve">ngày 16 tháng 5 năm 2026</w:t>
            </w:r>
            <w:r>
              <w:rPr>
                <w:color w:val="000000" w:themeColor="text1"/>
                <w:sz w:val="24"/>
                <w:szCs w:val="24"/>
                <w:highlight w:val="white"/>
                <w:lang w:val="vi-VN"/>
              </w:rPr>
            </w:r>
            <w:r>
              <w:rPr>
                <w:color w:val="000000" w:themeColor="text1"/>
                <w:sz w:val="24"/>
                <w:szCs w:val="24"/>
                <w:highlight w:val="white"/>
              </w:rPr>
            </w:r>
          </w:p>
        </w:tc>
      </w:tr>
    </w:tbl>
    <w:p>
      <w:pPr>
        <w:pStyle w:val="1030"/>
        <w:pBdr/>
        <w:shd w:val="clear" w:color="ffffff" w:themeColor="background1" w:fill="ffffff" w:themeFill="background1"/>
        <w:spacing w:after="120" w:before="200" w:line="288" w:lineRule="auto"/>
        <w:ind/>
        <w:jc w:val="center"/>
        <w:rPr>
          <w:rStyle w:val="1029"/>
          <w:rFonts w:ascii="Times New Roman" w:hAnsi="Times New Roman"/>
          <w:b/>
          <w:bCs/>
          <w:color w:val="auto"/>
          <w:sz w:val="30"/>
          <w:szCs w:val="30"/>
          <w:highlight w:val="white"/>
        </w:rPr>
      </w:pPr>
      <w:r>
        <w:rPr>
          <w:rStyle w:val="1029"/>
          <w:rFonts w:ascii="Times New Roman" w:hAnsi="Times New Roman"/>
          <w:b/>
          <w:bCs/>
          <w:color w:val="auto"/>
          <w:sz w:val="30"/>
          <w:szCs w:val="30"/>
          <w:highlight w:val="white"/>
          <w:lang w:val="vi-VN"/>
        </w:rPr>
        <w:t xml:space="preserve">CHỨNG THƯ THẨM ĐỊNH GIÁ</w:t>
      </w:r>
      <w:r>
        <w:rPr>
          <w:rStyle w:val="1029"/>
          <w:rFonts w:ascii="Times New Roman" w:hAnsi="Times New Roman"/>
          <w:b/>
          <w:bCs/>
          <w:color w:val="auto"/>
          <w:sz w:val="30"/>
          <w:szCs w:val="30"/>
          <w:highlight w:val="white"/>
          <w:lang w:val="vi-VN"/>
        </w:rPr>
      </w:r>
      <w:r>
        <w:rPr>
          <w:rStyle w:val="1029"/>
          <w:rFonts w:ascii="Times New Roman" w:hAnsi="Times New Roman"/>
          <w:b/>
          <w:bCs/>
          <w:color w:val="auto"/>
          <w:sz w:val="30"/>
          <w:szCs w:val="30"/>
          <w:highlight w:val="white"/>
        </w:rPr>
      </w:r>
    </w:p>
    <w:p>
      <w:pPr>
        <w:pBdr/>
        <w:shd w:val="clear" w:color="ffffff" w:themeColor="background1" w:fill="ffffff" w:themeFill="background1"/>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Nguyễn Đình Minh</w:t>
      </w:r>
      <w:r>
        <w:rPr>
          <w:rFonts w:ascii="Times New Roman Bold" w:hAnsi="Times New Roman Bold"/>
          <w:b/>
          <w:highlight w:val="white"/>
          <w:lang w:val="pt-BR"/>
        </w:rPr>
      </w:r>
      <w:r>
        <w:rPr>
          <w:rFonts w:ascii="Times New Roman Bold" w:hAnsi="Times New Roman Bold"/>
          <w:b/>
          <w:highlight w:val="white"/>
        </w:rPr>
      </w:r>
    </w:p>
    <w:p>
      <w:pPr>
        <w:pBdr/>
        <w:shd w:val="clear" w:color="ffffff" w:themeColor="background1" w:fill="ffffff" w:themeFill="background1"/>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275/2026/0072/VFI-HĐTĐ.24.A</w:t>
      </w:r>
      <w:r>
        <w:rPr>
          <w:spacing w:val="-4"/>
          <w:highlight w:val="white"/>
          <w:lang w:val="vi-VN"/>
        </w:rPr>
        <w:t xml:space="preserve"> ký ngày </w:t>
      </w:r>
      <w:r>
        <w:rPr>
          <w:color w:val="000000" w:themeColor="text1"/>
          <w:spacing w:val="-4"/>
          <w:highlight w:val="white"/>
        </w:rPr>
        <w:t xml:space="preserve">13 tháng 1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Nguyễn Đình Minh</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hd w:val="clear" w:color="ffffff" w:themeColor="background1" w:fill="ffffff" w:themeFill="background1"/>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275/2026/01116/VFI-BC.24.A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16 tháng 5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hd w:val="clear" w:color="ffffff" w:themeColor="background1" w:fill="ffffff" w:themeFill="background1"/>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r>
        <w:rPr>
          <w:highlight w:val="white"/>
        </w:rPr>
      </w:r>
    </w:p>
    <w:p>
      <w:pPr>
        <w:pBdr/>
        <w:shd w:val="clear" w:color="ffffff" w:themeColor="background1" w:fill="ffffff" w:themeFill="background1"/>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lang w:val="vi-VN"/>
        </w:rPr>
      </w:r>
      <w:r>
        <w:rPr>
          <w:b/>
          <w:bCs/>
          <w:highlight w:val="white"/>
        </w:rPr>
      </w:r>
    </w:p>
    <w:tbl>
      <w:tblPr>
        <w:tblStyle w:val="1035"/>
        <w:tblInd w:w="0" w:type="dxa"/>
        <w:tblW w:w="507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12"/>
        <w:gridCol w:w="283"/>
        <w:gridCol w:w="7370"/>
      </w:tblGrid>
      <w:tr>
        <w:trPr>
          <w:trHeight w:val="411"/>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highlight w:val="white"/>
              </w:rPr>
            </w:pPr>
            <w:r>
              <w:rPr>
                <w:rFonts w:ascii="Times New Roman" w:hAnsi="Times New Roman" w:eastAsia="Times New Roman" w:cs="Times New Roman"/>
                <w:color w:val="000000"/>
                <w:sz w:val="24"/>
                <w:highlight w:val="white"/>
              </w:rPr>
              <w:t xml:space="preserve">Tên khách hàng</w:t>
            </w:r>
            <w:r>
              <w:rPr>
                <w:highlight w:val="white"/>
              </w:rPr>
            </w:r>
            <w:r>
              <w:rPr>
                <w:highlight w:val="white"/>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108" w:type="dxa"/>
              <w:top w:w="0" w:type="dxa"/>
              <w:right w:w="108" w:type="dxa"/>
              <w:bottom w:w="0" w:type="dxa"/>
            </w:tcMar>
            <w:tcW w:w="7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highlight w:val="white"/>
              </w:rPr>
            </w:pPr>
            <w:r>
              <w:rPr>
                <w:rFonts w:ascii="Times New Roman" w:hAnsi="Times New Roman" w:eastAsia="Times New Roman" w:cs="Times New Roman"/>
                <w:b/>
                <w:color w:val="000000"/>
                <w:spacing w:val="-8"/>
                <w:sz w:val="24"/>
                <w:highlight w:val="white"/>
              </w:rPr>
              <w:t xml:space="preserve">Ông Nguyễn Đình Minh</w:t>
            </w:r>
            <w:r>
              <w:rPr>
                <w:highlight w:val="white"/>
              </w:rPr>
            </w:r>
            <w:r>
              <w:rPr>
                <w:highlight w:val="white"/>
              </w:rPr>
            </w:r>
          </w:p>
        </w:tc>
      </w:tr>
      <w:tr>
        <w:trPr>
          <w:trHeight w:val="411"/>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highlight w:val="white"/>
              </w:rPr>
            </w:pPr>
            <w:r>
              <w:rPr>
                <w:rFonts w:ascii="Times New Roman" w:hAnsi="Times New Roman" w:eastAsia="Times New Roman" w:cs="Times New Roman"/>
                <w:color w:val="000000"/>
                <w:sz w:val="24"/>
                <w:highlight w:val="white"/>
              </w:rPr>
              <w:t xml:space="preserve">CCCD</w:t>
            </w:r>
            <w:r>
              <w:rPr>
                <w:highlight w:val="white"/>
              </w:rPr>
            </w:r>
            <w:r>
              <w:rPr>
                <w:highlight w:val="white"/>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108" w:type="dxa"/>
              <w:top w:w="0" w:type="dxa"/>
              <w:right w:w="108" w:type="dxa"/>
              <w:bottom w:w="0" w:type="dxa"/>
            </w:tcMar>
            <w:tcW w:w="7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highlight w:val="white"/>
              </w:rPr>
            </w:pPr>
            <w:r>
              <w:rPr>
                <w:rFonts w:ascii="Times New Roman" w:hAnsi="Times New Roman" w:eastAsia="Times New Roman" w:cs="Times New Roman"/>
                <w:color w:val="000000"/>
                <w:sz w:val="24"/>
                <w:highlight w:val="white"/>
              </w:rPr>
              <w:t xml:space="preserve">030071005235</w:t>
            </w:r>
            <w:r>
              <w:rPr>
                <w:highlight w:val="white"/>
              </w:rPr>
            </w:r>
            <w:r>
              <w:rPr>
                <w:highlight w:val="white"/>
              </w:rPr>
            </w:r>
          </w:p>
        </w:tc>
      </w:tr>
      <w:tr>
        <w:trPr>
          <w:trHeight w:val="411"/>
        </w:trPr>
        <w:tc>
          <w:tcPr>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108" w:type="dxa"/>
              <w:top w:w="0" w:type="dxa"/>
              <w:right w:w="108" w:type="dxa"/>
              <w:bottom w:w="0" w:type="dxa"/>
            </w:tcMar>
            <w:tcW w:w="73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highlight w:val="white"/>
              </w:rPr>
            </w:pPr>
            <w:r>
              <w:rPr>
                <w:rFonts w:ascii="Times New Roman" w:hAnsi="Times New Roman" w:eastAsia="Times New Roman" w:cs="Times New Roman"/>
                <w:color w:val="000000"/>
                <w:sz w:val="24"/>
                <w:highlight w:val="white"/>
              </w:rPr>
              <w:t xml:space="preserve">Ninh Chấp 5, Thái Học, thành phố Chí Linh, tỉnh Hải Dương</w:t>
            </w:r>
            <w:r>
              <w:rPr>
                <w:highlight w:val="white"/>
              </w:rPr>
            </w:r>
            <w:r>
              <w:rPr>
                <w:highlight w:val="white"/>
              </w:rPr>
            </w:r>
          </w:p>
        </w:tc>
      </w:tr>
    </w:tbl>
    <w:p>
      <w:pPr>
        <w:pBdr/>
        <w:shd w:val="clear" w:color="ffffff" w:themeColor="background1" w:fill="ffffff" w:themeFill="background1"/>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983" w:type="dxa"/>
        <w:tblBorders/>
        <w:tblLayout w:type="fixed"/>
        <w:tblLook w:val="04A0" w:firstRow="1" w:lastRow="0" w:firstColumn="1" w:lastColumn="0" w:noHBand="0" w:noVBand="1"/>
      </w:tblPr>
      <w:tblGrid>
        <w:gridCol w:w="2046"/>
        <w:gridCol w:w="283"/>
        <w:gridCol w:w="7343"/>
        <w:gridCol w:w="310"/>
      </w:tblGrid>
      <w:tr>
        <w:trPr>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gridSpan w:val="2"/>
            <w:tcBorders/>
            <w:tcW w:w="7654" w:type="dxa"/>
            <w:vAlign w:val="center"/>
            <w:textDirection w:val="lrTb"/>
            <w:noWrap w:val="false"/>
          </w:tcPr>
          <w:p>
            <w:pPr>
              <w:pBdr/>
              <w:shd w:val="clear" w:color="ffffff" w:themeColor="background1" w:fill="ffffff" w:themeFill="background1"/>
              <w:spacing w:after="40" w:before="40" w:line="276" w:lineRule="auto"/>
              <w:ind/>
              <w:jc w:val="both"/>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rPr>
            </w:r>
          </w:p>
        </w:tc>
      </w:tr>
      <w:tr>
        <w:trPr>
          <w:gridAfter w:val="1"/>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343" w:type="dxa"/>
            <w:vAlign w:val="center"/>
            <w:textDirection w:val="lrTb"/>
            <w:noWrap w:val="false"/>
          </w:tcPr>
          <w:p>
            <w:pPr>
              <w:pBdr/>
              <w:shd w:val="clear" w:color="ffffff" w:themeColor="background1" w:fill="ffffff" w:themeFill="background1"/>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gridAfter w:val="1"/>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7343" w:type="dxa"/>
            <w:vAlign w:val="center"/>
            <w:textDirection w:val="lrTb"/>
            <w:noWrap w:val="false"/>
          </w:tcPr>
          <w:p>
            <w:pPr>
              <w:pBdr/>
              <w:shd w:val="clear" w:color="ffffff" w:themeColor="background1" w:fill="ffffff" w:themeFill="background1"/>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gridAfter w:val="1"/>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34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gridAfter w:val="1"/>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34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275/TĐG</w:t>
            </w:r>
            <w:r>
              <w:rPr>
                <w:bCs/>
                <w:highlight w:val="white"/>
              </w:rPr>
            </w:r>
            <w:r>
              <w:rPr>
                <w:bCs/>
                <w:highlight w:val="white"/>
              </w:rPr>
            </w:r>
          </w:p>
        </w:tc>
      </w:tr>
      <w:tr>
        <w:trPr>
          <w:gridAfter w:val="1"/>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343" w:type="dxa"/>
            <w:vAlign w:val="center"/>
            <w:textDirection w:val="lrTb"/>
            <w:noWrap w:val="false"/>
          </w:tcPr>
          <w:p>
            <w:pPr>
              <w:pBdr/>
              <w:shd w:val="clear" w:color="ffffff" w:themeColor="background1" w:fill="ffffff" w:themeFill="background1"/>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gridAfter w:val="1"/>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343" w:type="dxa"/>
            <w:vAlign w:val="center"/>
            <w:textDirection w:val="lrTb"/>
            <w:noWrap w:val="false"/>
          </w:tcPr>
          <w:p>
            <w:pPr>
              <w:pBdr/>
              <w:shd w:val="clear" w:color="ffffff" w:themeColor="background1" w:fill="ffffff" w:themeFill="background1"/>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gridAfter w:val="1"/>
          <w:trHeight w:val="20"/>
        </w:trPr>
        <w:tc>
          <w:tcPr>
            <w:tcBorders/>
            <w:tcW w:w="2046"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3" w:type="dxa"/>
            <w:vAlign w:val="center"/>
            <w:textDirection w:val="lrTb"/>
            <w:noWrap w:val="false"/>
          </w:tcPr>
          <w:p>
            <w:pPr>
              <w:pBdr/>
              <w:shd w:val="clear" w:color="ffffff" w:themeColor="background1" w:fill="ffffff" w:themeFill="background1"/>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343" w:type="dxa"/>
            <w:vAlign w:val="center"/>
            <w:textDirection w:val="lrTb"/>
            <w:noWrap w:val="false"/>
          </w:tcPr>
          <w:p>
            <w:pPr>
              <w:pBdr/>
              <w:shd w:val="clear" w:color="ffffff" w:themeColor="background1" w:fill="ffffff" w:themeFill="background1"/>
              <w:spacing w:after="40" w:before="40" w:line="276" w:lineRule="auto"/>
              <w:ind/>
              <w:rPr>
                <w:b/>
                <w:bCs/>
                <w:highlight w:val="white"/>
              </w:rPr>
            </w:pPr>
            <w:r>
              <w:rPr>
                <w:b/>
                <w:bCs/>
                <w:highlight w:val="white"/>
                <w:lang w:val="vi-VN"/>
              </w:rPr>
              <w:t xml:space="preserve">Ông </w:t>
            </w:r>
            <w:r>
              <w:rPr>
                <w:b/>
                <w:bCs/>
                <w:highlight w:val="white"/>
              </w:rPr>
              <w:t xml:space="preserve">Vũ Văn Quân </w:t>
            </w:r>
            <w:r>
              <w:rPr>
                <w:b/>
                <w:bCs/>
                <w:highlight w:val="white"/>
                <w:lang w:val="vi-VN"/>
              </w:rPr>
              <w:tab/>
            </w:r>
            <w:r>
              <w:rPr>
                <w:b/>
                <w:bCs/>
                <w:highlight w:val="white"/>
                <w:lang w:val="vi-VN"/>
              </w:rPr>
            </w:r>
            <w:r>
              <w:rPr>
                <w:b/>
                <w:bCs/>
                <w:highlight w:val="white"/>
              </w:rPr>
            </w:r>
          </w:p>
          <w:p>
            <w:pPr>
              <w:pBdr/>
              <w:shd w:val="clear" w:color="ffffff" w:themeColor="background1" w:fill="ffffff" w:themeFill="background1"/>
              <w:spacing w:after="40" w:before="40" w:line="276" w:lineRule="auto"/>
              <w:ind/>
              <w:rPr>
                <w:b/>
                <w:bCs/>
                <w:highlight w:val="white"/>
              </w:rPr>
            </w:pP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Bdr/>
        <w:shd w:val="clear" w:color="ffffff" w:themeColor="background1" w:fill="ffffff" w:themeFill="background1"/>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88"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i/>
          <w:color w:val="000000"/>
          <w:sz w:val="24"/>
          <w:highlight w:val="white"/>
        </w:rPr>
        <w:t xml:space="preserve">Tài sản 1:</w:t>
      </w:r>
      <w:r>
        <w:rPr>
          <w:rFonts w:ascii="Times New Roman" w:hAnsi="Times New Roman" w:eastAsia="Times New Roman" w:cs="Times New Roman"/>
          <w:color w:val="000000"/>
          <w:sz w:val="24"/>
          <w:highlight w:val="white"/>
        </w:rPr>
        <w:t xml:space="preserve"> Quyền sử dụng đất và công trình xây dựng trên đất tại thửa đất số 15, tờ bản đồ QH chia lô khu Ninh Chấp 7, có địa chỉ: Phường Thái Học, Thị xã Chí Linh, Tỉnh Hải Dương </w:t>
      </w:r>
      <w:r>
        <w:rPr>
          <w:rFonts w:ascii="Times New Roman" w:hAnsi="Times New Roman" w:eastAsia="Times New Roman" w:cs="Times New Roman"/>
          <w:i/>
          <w:color w:val="000000"/>
          <w:sz w:val="24"/>
          <w:highlight w:val="white"/>
        </w:rPr>
        <w:t xml:space="preserve">(Nay là phường Chu Văn An, thành phố Hải Phòng</w:t>
      </w:r>
      <w:r>
        <w:rPr>
          <w:rFonts w:ascii="Times New Roman" w:hAnsi="Times New Roman" w:eastAsia="Times New Roman" w:cs="Times New Roman"/>
          <w:i/>
          <w:color w:val="000000"/>
          <w:sz w:val="24"/>
          <w:highlight w:val="white"/>
        </w:rPr>
        <w:t xml:space="preserve">)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CL 048924 số vào sổ cấp GCN CH 04203 do UBND thị xã Chị Linh cấp ngày 12/12/2017 cho ông Nguyễn Đình Minh và Bà Vũ Thị Huệ.</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shd w:val="clear" w:color="ffffff" w:themeColor="background1" w:fill="ffffff" w:themeFill="background1"/>
        <w:spacing w:after="120" w:before="120" w:line="312" w:lineRule="auto"/>
        <w:ind/>
        <w:jc w:val="both"/>
        <w:rPr>
          <w:b/>
          <w:bCs/>
          <w:highlight w:val="white"/>
        </w:rPr>
      </w:pPr>
      <w:r>
        <w:rPr>
          <w:rFonts w:ascii="Times New Roman" w:hAnsi="Times New Roman" w:eastAsia="Times New Roman" w:cs="Times New Roman"/>
          <w:b/>
          <w:i/>
          <w:color w:val="000000"/>
          <w:sz w:val="24"/>
          <w:highlight w:val="white"/>
        </w:rPr>
        <w:t xml:space="preserve">Tài sản 2:</w:t>
      </w:r>
      <w:r>
        <w:rPr>
          <w:rFonts w:ascii="Times New Roman" w:hAnsi="Times New Roman" w:eastAsia="Times New Roman" w:cs="Times New Roman"/>
          <w:color w:val="000000"/>
          <w:sz w:val="24"/>
          <w:highlight w:val="white"/>
        </w:rPr>
        <w:t xml:space="preserve"> Quyền sử dụng đất và công trình xây dựng trên đất tại thửa đất số 16, tờ bản đồ QH chia lô khu Ninh Chấp 7, có địa chỉ: Phường Thái Học, Thị xã Chí Linh, Tỉnh Hải Dương </w:t>
      </w:r>
      <w:r>
        <w:rPr>
          <w:rFonts w:ascii="Times New Roman" w:hAnsi="Times New Roman" w:eastAsia="Times New Roman" w:cs="Times New Roman"/>
          <w:i/>
          <w:color w:val="000000"/>
          <w:sz w:val="24"/>
          <w:highlight w:val="white"/>
        </w:rPr>
        <w:t xml:space="preserve">(Nay là phường Chu Văn An, thành phố Hải Phòng)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CL 017167 số vào sổ cấp GCN CH 04210 do UBND thị xã Chị Linh cấp ngày 12/12/2017 cho ông Nguyễn Đình Minh và Bà Vũ Thị Huệ.</w:t>
      </w:r>
      <w:r>
        <w:rPr>
          <w:b/>
          <w:bCs/>
          <w:highlight w:val="white"/>
        </w:rPr>
      </w:r>
      <w:r>
        <w:rPr>
          <w:b/>
          <w:bCs/>
          <w:highlight w:val="white"/>
        </w:rPr>
      </w:r>
    </w:p>
    <w:p>
      <w:pPr>
        <w:pBdr/>
        <w:shd w:val="clear" w:color="ffffff" w:themeColor="background1" w:fill="ffffff" w:themeFill="background1"/>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01/2026</w:t>
      </w:r>
      <w:r>
        <w:rPr>
          <w:bCs/>
          <w:highlight w:val="white"/>
          <w:lang w:val="nl-NL"/>
        </w:rPr>
        <w:t xml:space="preserve">.</w:t>
      </w:r>
      <w:r>
        <w:rPr>
          <w:b/>
          <w:bCs/>
          <w:highlight w:val="white"/>
        </w:rPr>
      </w:r>
      <w:r>
        <w:rPr>
          <w:b/>
          <w:bCs/>
          <w:highlight w:val="white"/>
        </w:rPr>
      </w:r>
    </w:p>
    <w:p>
      <w:pPr>
        <w:pBdr/>
        <w:shd w:val="clear" w:color="ffffff" w:themeColor="background1" w:fill="ffffff" w:themeFill="background1"/>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shd w:val="clear" w:color="ffffff" w:themeColor="background1" w:fill="ffffff" w:themeFill="background1"/>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rPr>
      </w:r>
    </w:p>
    <w:p>
      <w:pPr>
        <w:pBdr/>
        <w:shd w:val="clear" w:color="ffffff" w:themeColor="background1" w:fill="ffffff" w:themeFill="background1"/>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rPr>
      </w:r>
    </w:p>
    <w:p>
      <w:pPr>
        <w:pBdr/>
        <w:shd w:val="clear" w:color="ffffff" w:themeColor="background1" w:fill="ffffff" w:themeFill="background1"/>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rPr>
      </w:r>
    </w:p>
    <w:p>
      <w:pPr>
        <w:pBdr/>
        <w:shd w:val="clear" w:color="ffffff" w:themeColor="background1" w:fill="ffffff" w:themeFill="background1"/>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rPr>
      </w:r>
    </w:p>
    <w:p>
      <w:pPr>
        <w:pBdr/>
        <w:shd w:val="clear" w:color="ffffff" w:themeColor="background1" w:fill="ffffff" w:themeFill="background1"/>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t xml:space="preserve"> </w:t>
      </w:r>
      <w:r>
        <w:rPr>
          <w:bCs/>
          <w:i/>
          <w:highlight w:val="white"/>
          <w:lang w:val="pt-BR"/>
        </w:rPr>
        <w:t xml:space="preserve">Chi tiết như Báo cáo kèm theo</w:t>
      </w:r>
      <w:r>
        <w:rPr>
          <w:b/>
          <w:bCs/>
          <w:highlight w:val="white"/>
          <w:lang w:val="pt-BR"/>
        </w:rPr>
      </w:r>
      <w:r>
        <w:rPr>
          <w:b/>
          <w:bCs/>
          <w:highlight w:val="white"/>
        </w:rPr>
      </w:r>
    </w:p>
    <w:p>
      <w:pPr>
        <w:pBdr/>
        <w:shd w:val="clear" w:color="ffffff" w:themeColor="background1" w:fill="ffffff" w:themeFill="background1"/>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rPr>
      </w:r>
    </w:p>
    <w:p>
      <w:pPr>
        <w:pBdr/>
        <w:shd w:val="clear" w:color="ffffff" w:themeColor="background1" w:fill="ffffff" w:themeFill="background1"/>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01/2026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Style w:val="1035"/>
        <w:tblInd w:w="-147"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9"/>
        <w:gridCol w:w="4103"/>
        <w:gridCol w:w="992"/>
        <w:gridCol w:w="1276"/>
        <w:gridCol w:w="850"/>
        <w:gridCol w:w="1702"/>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TT</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Tài sản</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Diện tích (m²)</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Đơn giá (đồng/m²)</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Hệ số/</w:t>
              <w:br/>
              <w:t xml:space="preserve"> CLCL (%)</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Thành tiền (đồng)</w:t>
            </w:r>
            <w:r>
              <w:rPr>
                <w:highlight w:val="white"/>
              </w:rPr>
            </w:r>
            <w:r>
              <w:rPr>
                <w:highlight w:val="white"/>
              </w:rPr>
            </w:r>
          </w:p>
        </w:tc>
      </w:tr>
      <w:tr>
        <w:trPr>
          <w:trHeight w:val="417"/>
        </w:trPr>
        <w:tc>
          <w:tcPr>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I</w:t>
            </w:r>
            <w:r>
              <w:rPr>
                <w:highlight w:val="white"/>
              </w:rPr>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7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rPr>
                <w:highlight w:val="white"/>
              </w:rPr>
            </w:pPr>
            <w:r>
              <w:rPr>
                <w:rFonts w:ascii="Times New Roman" w:hAnsi="Times New Roman" w:eastAsia="Times New Roman" w:cs="Times New Roman"/>
                <w:b/>
                <w:color w:val="000000"/>
                <w:sz w:val="22"/>
                <w:highlight w:val="white"/>
              </w:rPr>
              <w:t xml:space="preserve">Giá trị quyền sử dụng đất</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3.780.000.000</w:t>
            </w:r>
            <w:r>
              <w:rPr>
                <w:highlight w:val="white"/>
              </w:rPr>
            </w:r>
            <w:r>
              <w:rPr>
                <w:highlight w:val="white"/>
              </w:rPr>
            </w:r>
          </w:p>
        </w:tc>
      </w:tr>
      <w:tr>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color w:val="000000"/>
                <w:sz w:val="22"/>
                <w:highlight w:val="white"/>
              </w:rPr>
              <w:t xml:space="preserve">Thửa đất số 15, tờ bản đồ QH chia lô khu Ninh Chấp 7, có địa chỉ: Phường Thái Học, Thị xã Chí Linh, Tỉnh Hải Dương </w:t>
            </w:r>
            <w:r>
              <w:rPr>
                <w:rFonts w:ascii="Times New Roman" w:hAnsi="Times New Roman" w:eastAsia="Times New Roman" w:cs="Times New Roman"/>
                <w:i/>
                <w:iCs/>
                <w:color w:val="000000"/>
                <w:sz w:val="22"/>
                <w:highlight w:val="white"/>
              </w:rPr>
              <w:t xml:space="preserve">(Nay là phường Chu Văn An, thành phố Hải Phòng)</w:t>
            </w:r>
            <w:r>
              <w:rPr>
                <w:rFonts w:ascii="Times New Roman" w:hAnsi="Times New Roman" w:eastAsia="Times New Roman" w:cs="Times New Roman"/>
                <w:color w:val="000000"/>
                <w:sz w:val="22"/>
                <w:highlight w:val="white"/>
              </w:rPr>
              <w:t xml:space="preserve"> theo Giấy chứng nhận quyền sử dụng đất, quyền sở hữu nhà ở và tài sản khác gắn liền với đất số CL 04</w:t>
            </w:r>
            <w:r>
              <w:rPr>
                <w:rFonts w:ascii="Times New Roman" w:hAnsi="Times New Roman" w:eastAsia="Times New Roman" w:cs="Times New Roman"/>
                <w:color w:val="000000"/>
                <w:sz w:val="22"/>
                <w:highlight w:val="white"/>
              </w:rPr>
              <w:t xml:space="preserve">8924 số vào sổ cấp GCN CH 04203 do UBND thị xã Chị Linh cấp ngày 12/12/2017 cho ông Nguyễn Đình Minh và Bà Vũ Thị Huệ</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21.000.000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color w:val="000000"/>
                <w:sz w:val="22"/>
                <w:highlight w:val="white"/>
              </w:rPr>
              <w:t xml:space="preserve">1.890.000.000</w:t>
            </w:r>
            <w:r>
              <w:rPr>
                <w:highlight w:val="white"/>
              </w:rPr>
            </w:r>
            <w:r>
              <w:rPr>
                <w:highlight w:val="white"/>
              </w:rPr>
            </w:r>
          </w:p>
        </w:tc>
      </w:tr>
      <w:tr>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color w:val="000000"/>
                <w:sz w:val="22"/>
                <w:highlight w:val="white"/>
              </w:rPr>
              <w:t xml:space="preserve">Thửa đất số 16, tờ bản đồ QH chia lô khu Ninh Chấp 7, có địa chỉ: Phường Thái Học, Thị xã Chí Linh, Tỉnh Hải Dương </w:t>
            </w:r>
            <w:r>
              <w:rPr>
                <w:rFonts w:ascii="Times New Roman" w:hAnsi="Times New Roman" w:eastAsia="Times New Roman" w:cs="Times New Roman"/>
                <w:i/>
                <w:iCs/>
                <w:color w:val="000000"/>
                <w:sz w:val="22"/>
                <w:highlight w:val="white"/>
              </w:rPr>
              <w:t xml:space="preserve">(Nay là phường Chu Văn An, thành phố Hải Phòng)</w:t>
            </w:r>
            <w:r>
              <w:rPr>
                <w:rFonts w:ascii="Times New Roman" w:hAnsi="Times New Roman" w:eastAsia="Times New Roman" w:cs="Times New Roman"/>
                <w:color w:val="000000"/>
                <w:sz w:val="22"/>
                <w:highlight w:val="white"/>
              </w:rPr>
              <w:t xml:space="preserve"> theo Giấy chứng nhận quyền sử dụng đất, quyền sở hữu nhà ở và tài sản khác gắn liền với đất số CL 01</w:t>
            </w:r>
            <w:r>
              <w:rPr>
                <w:rFonts w:ascii="Times New Roman" w:hAnsi="Times New Roman" w:eastAsia="Times New Roman" w:cs="Times New Roman"/>
                <w:color w:val="000000"/>
                <w:sz w:val="22"/>
                <w:highlight w:val="white"/>
              </w:rPr>
              <w:t xml:space="preserve">7167 số vào sổ cấp GCN CH 04210 do UBND thị xã Chị Linh cấp ngày 12/12/2017 cho ông Nguyễn Đình Minh và Bà Vũ Thị Huệ</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21.000.000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color w:val="000000"/>
                <w:sz w:val="22"/>
                <w:highlight w:val="white"/>
              </w:rPr>
              <w:t xml:space="preserve">1.890.000.000</w:t>
            </w:r>
            <w:r>
              <w:rPr>
                <w:highlight w:val="white"/>
              </w:rPr>
            </w:r>
            <w:r>
              <w:rPr>
                <w:highlight w:val="white"/>
              </w:rPr>
            </w:r>
          </w:p>
        </w:tc>
      </w:tr>
      <w:tr>
        <w:trPr>
          <w:trHeight w:val="1417"/>
        </w:trPr>
        <w:tc>
          <w:tcPr>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II</w:t>
            </w:r>
            <w:r>
              <w:rPr>
                <w:highlight w:val="white"/>
              </w:rPr>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7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b/>
                <w:color w:val="000000"/>
                <w:sz w:val="22"/>
                <w:highlight w:val="white"/>
              </w:rPr>
              <w:t xml:space="preserve">Giá trị công trình xây dựng trên đất (xây liền khối trên 2 thửa đất 15, tờ bản đồ QH chia lô khu Ninh Chấp 7 theo GCN số CL 048924 số vào sổ cấp GCN CH 04203 và thửa đất số 16, tờ bản đồ QH chia lô khu Ninh Chấp 7 theo GCN CL 017167 số vào sổ cấp GCN CH 04</w:t>
            </w:r>
            <w:r>
              <w:rPr>
                <w:rFonts w:ascii="Times New Roman" w:hAnsi="Times New Roman" w:eastAsia="Times New Roman" w:cs="Times New Roman"/>
                <w:b/>
                <w:color w:val="000000"/>
                <w:sz w:val="22"/>
                <w:highlight w:val="white"/>
              </w:rPr>
              <w:t xml:space="preserve">210 do UBND thị xã Chị Linh cấp ngày 12/12/2017 cho ông Nguyễn Đình Minh và Bà Vũ Thị Huệ</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3.547.991.108</w:t>
            </w:r>
            <w:r>
              <w:rPr>
                <w:highlight w:val="white"/>
              </w:rPr>
            </w:r>
            <w:r>
              <w:rPr>
                <w:highlight w:val="white"/>
              </w:rPr>
            </w:r>
          </w:p>
        </w:tc>
      </w:tr>
      <w:tr>
        <w:trPr>
          <w:trHeight w:val="983"/>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shd w:val="clear" w:color="ffffff" w:themeColor="background1" w:fill="ffffff" w:themeFill="background1"/>
              <w:spacing w:after="0" w:before="0" w:line="240" w:lineRule="auto"/>
              <w:ind/>
              <w:rPr>
                <w:highlight w:val="white"/>
              </w:rPr>
            </w:pPr>
            <w:r>
              <w:rPr>
                <w:highlight w:val="white"/>
              </w:rPr>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color w:val="000000"/>
                <w:sz w:val="22"/>
                <w:highlight w:val="white"/>
              </w:rPr>
              <w:t xml:space="preserve">Nhà 3 tầng + 1 hầm (theo Giấy phép xây dựng số 343/GPXD-UBND ngày 10/4/2018 của UBND thị xã Chí Linh cấp)</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525,6</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7.500.404</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color w:val="000000"/>
                <w:sz w:val="22"/>
                <w:highlight w:val="white"/>
              </w:rPr>
              <w:t xml:space="preserve">3.547.991.108</w:t>
            </w:r>
            <w:r>
              <w:rPr>
                <w:highlight w:val="white"/>
              </w:rPr>
            </w:r>
            <w:r>
              <w:rPr>
                <w:highlight w:val="white"/>
              </w:rPr>
            </w:r>
          </w:p>
        </w:tc>
      </w:tr>
      <w:tr>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9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TỔNG CỘNG</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7.327.991.108</w:t>
            </w:r>
            <w:r>
              <w:rPr>
                <w:highlight w:val="white"/>
              </w:rPr>
            </w:r>
            <w:r>
              <w:rPr>
                <w:highlight w:val="white"/>
              </w:rPr>
            </w:r>
          </w:p>
        </w:tc>
      </w:tr>
      <w:tr>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9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LÀM TRÒN</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7.328.000.000</w:t>
            </w:r>
            <w:r>
              <w:rPr>
                <w:highlight w:val="white"/>
              </w:rPr>
            </w:r>
            <w:r>
              <w:rPr>
                <w:highlight w:val="white"/>
              </w:rPr>
            </w:r>
          </w:p>
        </w:tc>
      </w:tr>
      <w:tr>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i/>
                <w:color w:val="000000"/>
                <w:sz w:val="22"/>
                <w:highlight w:val="white"/>
              </w:rPr>
              <w:t xml:space="preserve">(Bằng chữ: Bảy tỷ, ba trăm hai mươi tám triệu đồng chẵn ./.)</w:t>
            </w:r>
            <w:r>
              <w:rPr>
                <w:highlight w:val="white"/>
              </w:rPr>
            </w:r>
            <w:r>
              <w:rPr>
                <w:highlight w:val="white"/>
              </w:rPr>
            </w:r>
          </w:p>
        </w:tc>
      </w:tr>
    </w:tbl>
    <w:p>
      <w:pPr>
        <w:pBdr/>
        <w:shd w:val="clear" w:color="ffffff" w:themeColor="background1" w:fill="ffffff" w:themeFill="background1"/>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hd w:val="clear" w:color="ffffff" w:themeColor="background1" w:fill="ffffff" w:themeFill="background1"/>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rPr>
      </w:r>
    </w:p>
    <w:p>
      <w:pPr>
        <w:pBdr/>
        <w:shd w:val="clear" w:color="ffffff" w:themeColor="background1" w:fill="ffffff" w:themeFill="background1"/>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hd w:val="clear" w:color="ffffff" w:themeColor="background1" w:fill="ffffff" w:themeFill="background1"/>
        <w:spacing w:after="120" w:before="120" w:line="312" w:lineRule="auto"/>
        <w:ind w:firstLine="360"/>
        <w:rPr>
          <w:rFonts w:eastAsia="Calibri"/>
          <w:b/>
          <w:spacing w:val="-4"/>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r>
      <w:r>
        <w:rPr>
          <w:rFonts w:eastAsia="Calibri"/>
          <w:b/>
          <w:spacing w:val="-4"/>
          <w:highlight w:val="white"/>
        </w:rPr>
      </w:r>
    </w:p>
    <w:p>
      <w:pPr>
        <w:pBdr/>
        <w:shd w:val="clear" w:color="ffffff" w:themeColor="background1" w:fill="ffffff" w:themeFill="background1"/>
        <w:spacing w:after="120" w:before="120" w:line="312" w:lineRule="auto"/>
        <w:ind/>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rPr>
      </w:r>
    </w:p>
    <w:p>
      <w:pPr>
        <w:pBdr/>
        <w:shd w:val="clear" w:color="ffffff" w:themeColor="background1" w:fill="ffffff" w:themeFill="background1"/>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rPr>
      </w:r>
    </w:p>
    <w:tbl>
      <w:tblPr>
        <w:tblW w:w="5148" w:type="pct"/>
        <w:tblBorders/>
        <w:tblLayout w:type="fixed"/>
        <w:tblLook w:val="01E0" w:firstRow="1" w:lastRow="1" w:firstColumn="1" w:lastColumn="1" w:noHBand="0" w:noVBand="0"/>
      </w:tblPr>
      <w:tblGrid>
        <w:gridCol w:w="4422"/>
        <w:gridCol w:w="5386"/>
      </w:tblGrid>
      <w:tr>
        <w:trPr>
          <w:trHeight w:val="20"/>
        </w:trPr>
        <w:tc>
          <w:tcPr>
            <w:tcBorders/>
            <w:tcW w:w="4422" w:type="dxa"/>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5386" w:type="dxa"/>
            <w:vAlign w:val="bottom"/>
            <w:textDirection w:val="lrTb"/>
            <w:noWrap w:val="false"/>
          </w:tcPr>
          <w:p>
            <w:pPr>
              <w:pBdr/>
              <w:shd w:val="clear" w:color="ffffff" w:themeColor="background1" w:fill="ffffff" w:themeFill="background1"/>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rPr>
            </w:r>
          </w:p>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54"/>
        </w:trPr>
        <w:tc>
          <w:tcPr>
            <w:tcBorders/>
            <w:tcW w:w="4422" w:type="dxa"/>
            <w:vAlign w:val="center"/>
            <w:textDirection w:val="lrTb"/>
            <w:noWrap w:val="false"/>
          </w:tcPr>
          <w:p>
            <w:pPr>
              <w:pBdr/>
              <w:shd w:val="clear" w:color="ffffff" w:themeColor="background1" w:fill="ffffff" w:themeFill="background1"/>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5386" w:type="dxa"/>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4422" w:type="dxa"/>
            <w:vAlign w:val="center"/>
            <w:textDirection w:val="lrTb"/>
            <w:noWrap w:val="false"/>
          </w:tcPr>
          <w:p>
            <w:pPr>
              <w:pBdr/>
              <w:shd w:val="clear" w:color="ffffff" w:themeColor="background1" w:fill="ffffff" w:themeFill="background1"/>
              <w:spacing w:line="240" w:lineRule="atLeast"/>
              <w:ind/>
              <w:jc w:val="center"/>
              <w:rPr>
                <w:rFonts w:eastAsia="Calibri"/>
                <w:b/>
                <w:bCs/>
                <w:highlight w:val="white"/>
              </w:rPr>
            </w:pPr>
            <w:r>
              <w:rPr>
                <w:rFonts w:eastAsia="Calibri"/>
                <w:b/>
                <w:bCs/>
                <w:color w:val="000000" w:themeColor="text1"/>
                <w:highlight w:val="white"/>
                <w:lang w:val="pt-BR"/>
              </w:rPr>
              <w:t xml:space="preserve">Đỗ Thanh Thảo</w:t>
            </w:r>
            <w:r>
              <w:rPr>
                <w:rFonts w:eastAsia="Calibri"/>
                <w:b/>
                <w:bCs/>
                <w:highlight w:val="white"/>
                <w:lang w:val="vi-VN"/>
              </w:rPr>
            </w:r>
            <w:r>
              <w:rPr>
                <w:rFonts w:eastAsia="Calibri"/>
                <w:b/>
                <w:bCs/>
                <w:highlight w:val="white"/>
              </w:rPr>
            </w:r>
          </w:p>
          <w:p>
            <w:pPr>
              <w:pBdr/>
              <w:shd w:val="clear" w:color="ffffff" w:themeColor="background1" w:fill="ffffff" w:themeFill="background1"/>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XV23.2485</w:t>
            </w:r>
            <w:r>
              <w:rPr>
                <w:rFonts w:eastAsia="Calibri"/>
                <w:bCs/>
                <w:highlight w:val="white"/>
                <w:lang w:val="pt-BR"/>
              </w:rPr>
            </w:r>
            <w:r>
              <w:rPr>
                <w:rFonts w:eastAsia="Calibri"/>
                <w:bCs/>
                <w:highlight w:val="white"/>
              </w:rPr>
            </w:r>
          </w:p>
        </w:tc>
        <w:tc>
          <w:tcPr>
            <w:tcBorders/>
            <w:tcW w:w="5386" w:type="dxa"/>
            <w:vAlign w:val="center"/>
            <w:textDirection w:val="lrTb"/>
            <w:noWrap w:val="false"/>
          </w:tcPr>
          <w:p>
            <w:pPr>
              <w:pBdr/>
              <w:shd w:val="clear" w:color="ffffff" w:themeColor="background1" w:fill="ffffff" w:themeFill="background1"/>
              <w:spacing w:line="240" w:lineRule="atLeast"/>
              <w:ind/>
              <w:jc w:val="center"/>
              <w:rPr>
                <w:rFonts w:eastAsia="Calibri"/>
                <w:b/>
                <w:highlight w:val="white"/>
              </w:rPr>
            </w:pPr>
            <w:r>
              <w:rPr>
                <w:rFonts w:eastAsia="Calibri"/>
                <w:b/>
                <w:highlight w:val="white"/>
              </w:rPr>
              <w:t xml:space="preserve">Vũ Văn Quân</w:t>
            </w:r>
            <w:r>
              <w:rPr>
                <w:rFonts w:eastAsia="Calibri"/>
                <w:b/>
                <w:highlight w:val="white"/>
                <w:lang w:val="vi-VN"/>
              </w:rPr>
            </w:r>
            <w:r>
              <w:rPr>
                <w:rFonts w:eastAsia="Calibri"/>
                <w:b/>
                <w:highlight w:val="white"/>
              </w:rPr>
            </w:r>
          </w:p>
          <w:p>
            <w:pPr>
              <w:pBdr/>
              <w:shd w:val="clear" w:color="ffffff" w:themeColor="background1" w:fill="ffffff" w:themeFill="background1"/>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w:t>
            </w:r>
            <w:r>
              <w:rPr>
                <w:rFonts w:eastAsia="Calibri"/>
                <w:highlight w:val="white"/>
                <w:lang w:val="pt-BR"/>
              </w:rPr>
              <w:t xml:space="preserve">XII17.1825</w:t>
            </w:r>
            <w:r>
              <w:rPr>
                <w:rFonts w:eastAsia="Calibri"/>
                <w:b/>
                <w:highlight w:val="white"/>
                <w:lang w:val="pt-BR"/>
              </w:rPr>
            </w:r>
            <w:r>
              <w:rPr>
                <w:rFonts w:eastAsia="Calibri"/>
                <w:b/>
                <w:highlight w:val="white"/>
              </w:rPr>
            </w:r>
          </w:p>
        </w:tc>
      </w:tr>
    </w:tbl>
    <w:p>
      <w:pPr>
        <w:pBdr/>
        <w:shd w:val="clear" w:color="ffffff" w:themeColor="background1" w:fill="ffffff" w:themeFill="background1"/>
        <w:spacing w:after="200" w:line="276" w:lineRule="auto"/>
        <w:ind/>
        <w:rPr>
          <w:highlight w:val="white"/>
        </w:rPr>
      </w:pPr>
      <w:r>
        <w:rPr>
          <w:highlight w:val="white"/>
        </w:rPr>
        <w:br w:type="page" w:clear="all"/>
      </w:r>
      <w:r>
        <w:rPr>
          <w:highlight w:val="white"/>
        </w:rPr>
      </w:r>
      <w:r>
        <w:rPr>
          <w:highlight w:val="white"/>
        </w:rPr>
      </w:r>
    </w:p>
    <w:tbl>
      <w:tblPr>
        <w:tblInd w:w="-284" w:type="dxa"/>
        <w:tblW w:w="9873" w:type="dxa"/>
        <w:tblBorders/>
        <w:tblLayout w:type="fixed"/>
        <w:tblLook w:val="04A0" w:firstRow="1" w:lastRow="0" w:firstColumn="1" w:lastColumn="0" w:noHBand="0" w:noVBand="1"/>
      </w:tblPr>
      <w:tblGrid>
        <w:gridCol w:w="244"/>
        <w:gridCol w:w="1202"/>
        <w:gridCol w:w="2705"/>
        <w:gridCol w:w="5412"/>
        <w:gridCol w:w="310"/>
      </w:tblGrid>
      <w:tr>
        <w:trPr>
          <w:trHeight w:val="1559"/>
        </w:trPr>
        <w:tc>
          <w:tcPr>
            <w:gridSpan w:val="2"/>
            <w:tcBorders/>
            <w:tcW w:w="1446" w:type="dxa"/>
            <w:textDirection w:val="lrTb"/>
            <w:noWrap w:val="false"/>
          </w:tcPr>
          <w:p>
            <w:pPr>
              <w:pBdr/>
              <w:shd w:val="clear" w:color="ffffff" w:themeColor="background1" w:fill="ffffff" w:themeFill="background1"/>
              <w:spacing w:line="360" w:lineRule="auto"/>
              <w:ind w:hanging="108"/>
              <w:rPr>
                <w:i/>
                <w:szCs w:val="26"/>
                <w:highlight w:val="white"/>
              </w:rPr>
            </w:pPr>
            <w:r>
              <w:rPr>
                <w:i/>
                <w:szCs w:val="26"/>
                <w:highlight w:val="white"/>
              </w:rPr>
            </w:r>
            <w:r>
              <w:rPr>
                <w:i/>
                <w:szCs w:val="26"/>
                <w:highlight w:val="white"/>
              </w:rPr>
              <mc:AlternateContent>
                <mc:Choice Requires="wpg">
                  <w:drawing>
                    <wp:inline xmlns:wp="http://schemas.openxmlformats.org/drawingml/2006/wordprocessingDrawing" distT="0" distB="0" distL="0" distR="0">
                      <wp:extent cx="784951" cy="90491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8642" name="Picture 3" descr="Logo, company name&#10;&#10;Description automatically generated"/>
                              <pic:cNvPicPr>
                                <a:picLocks noChangeAspect="1"/>
                              </pic:cNvPicPr>
                              <pic:nvPr/>
                            </pic:nvPicPr>
                            <pic:blipFill rotWithShape="1">
                              <a:blip r:embed="rId14"/>
                              <a:stretch/>
                            </pic:blipFill>
                            <pic:spPr bwMode="auto">
                              <a:xfrm flipH="0" flipV="0">
                                <a:off x="0" y="0"/>
                                <a:ext cx="784950" cy="90490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61.81pt;height:71.25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rPr>
            </w:r>
          </w:p>
        </w:tc>
        <w:tc>
          <w:tcPr>
            <w:gridSpan w:val="3"/>
            <w:tcBorders/>
            <w:tcW w:w="8427" w:type="dxa"/>
            <w:textDirection w:val="lrTb"/>
            <w:noWrap w:val="false"/>
          </w:tcPr>
          <w:p>
            <w:pPr>
              <w:pBdr/>
              <w:shd w:val="clear" w:color="ffffff" w:themeColor="background1" w:fill="ffffff" w:themeFill="background1"/>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hd w:val="clear" w:color="ffffff" w:themeColor="background1" w:fill="ffffff" w:themeFill="background1"/>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rPr>
            </w:r>
          </w:p>
          <w:p>
            <w:pPr>
              <w:pBdr/>
              <w:shd w:val="clear" w:color="ffffff" w:themeColor="background1" w:fill="ffffff" w:themeFill="background1"/>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rPr>
            </w:r>
          </w:p>
          <w:p>
            <w:pPr>
              <w:pBdr/>
              <w:shd w:val="clear" w:color="ffffff" w:themeColor="background1" w:fill="ffffff" w:themeFill="background1"/>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1"/>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hd w:val="clear" w:color="ffffff" w:themeColor="background1" w:fill="ffffff" w:themeFill="background1"/>
              <w:spacing w:after="60"/>
              <w:ind/>
              <w:rPr>
                <w:color w:val="000000" w:themeColor="text1"/>
                <w:sz w:val="24"/>
                <w:szCs w:val="24"/>
                <w:highlight w:val="white"/>
              </w:rPr>
            </w:pPr>
            <w:r>
              <w:rPr>
                <w:rStyle w:val="1029"/>
                <w:rFonts w:ascii="Times New Roman" w:hAnsi="Times New Roman"/>
                <w:color w:val="000000" w:themeColor="text1"/>
                <w:highlight w:val="white"/>
                <w:lang w:val="pt-BR"/>
              </w:rPr>
              <w:t xml:space="preserve">Số: </w:t>
            </w:r>
            <w:r>
              <w:rPr>
                <w:rStyle w:val="1029"/>
                <w:rFonts w:ascii="Times New Roman" w:hAnsi="Times New Roman"/>
                <w:color w:val="000000" w:themeColor="text1"/>
                <w:highlight w:val="white"/>
                <w:lang w:val="pt-BR"/>
              </w:rPr>
              <w:t xml:space="preserve">275/2026/01115/VFI-CT.24.A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30"/>
              <w:pBdr/>
              <w:shd w:val="clear" w:color="ffffff" w:themeColor="background1" w:fill="ffffff" w:themeFill="background1"/>
              <w:spacing w:after="60"/>
              <w:ind w:right="-56"/>
              <w:jc w:val="right"/>
              <w:rPr>
                <w:color w:val="000000" w:themeColor="text1"/>
                <w:sz w:val="24"/>
                <w:szCs w:val="24"/>
                <w:highlight w:val="white"/>
              </w:rPr>
            </w:pPr>
            <w:r>
              <w:rPr>
                <w:rStyle w:val="1029"/>
                <w:rFonts w:ascii="Times New Roman" w:hAnsi="Times New Roman"/>
                <w:i/>
                <w:color w:val="auto"/>
                <w:highlight w:val="white"/>
              </w:rPr>
              <w:t xml:space="preserve">TP. Hà Nội</w:t>
            </w:r>
            <w:r>
              <w:rPr>
                <w:rStyle w:val="1029"/>
                <w:rFonts w:ascii="Times New Roman" w:hAnsi="Times New Roman"/>
                <w:i/>
                <w:color w:val="auto"/>
                <w:highlight w:val="white"/>
                <w:lang w:val="vi-VN"/>
              </w:rPr>
              <w:t xml:space="preserve">, </w:t>
            </w:r>
            <w:r>
              <w:rPr>
                <w:rStyle w:val="1029"/>
                <w:rFonts w:ascii="Times New Roman" w:hAnsi="Times New Roman"/>
                <w:i/>
                <w:color w:val="000000" w:themeColor="text1"/>
                <w:highlight w:val="white"/>
                <w:lang w:val="vi-VN"/>
              </w:rPr>
              <w:t xml:space="preserve">ngày 16 tháng 5 năm 2026</w:t>
            </w:r>
            <w:r>
              <w:rPr>
                <w:color w:val="000000" w:themeColor="text1"/>
                <w:sz w:val="24"/>
                <w:szCs w:val="24"/>
                <w:highlight w:val="white"/>
                <w:lang w:val="vi-VN"/>
              </w:rPr>
            </w:r>
            <w:r>
              <w:rPr>
                <w:color w:val="000000" w:themeColor="text1"/>
                <w:sz w:val="24"/>
                <w:szCs w:val="24"/>
                <w:highlight w:val="white"/>
              </w:rPr>
            </w:r>
          </w:p>
        </w:tc>
      </w:tr>
    </w:tbl>
    <w:p>
      <w:pPr>
        <w:pStyle w:val="1030"/>
        <w:pBdr/>
        <w:shd w:val="clear" w:color="ffffff" w:themeColor="background1" w:fill="ffffff" w:themeFill="background1"/>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rPr>
      </w:r>
    </w:p>
    <w:p>
      <w:pPr>
        <w:pStyle w:val="1010"/>
        <w:pBdr/>
        <w:shd w:val="clear" w:color="ffffff" w:themeColor="background1" w:fill="ffffff" w:themeFill="background1"/>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275/2026/01115/VFI-CT.24.A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16 tháng 5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rPr>
      </w:r>
    </w:p>
    <w:p>
      <w:pPr>
        <w:pStyle w:val="1010"/>
        <w:pBdr/>
        <w:shd w:val="clear" w:color="ffffff" w:themeColor="background1" w:fill="ffffff" w:themeFill="background1"/>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rPr>
      </w:r>
    </w:p>
    <w:tbl>
      <w:tblPr>
        <w:tblInd w:w="-34" w:type="dxa"/>
        <w:tblW w:w="9983" w:type="dxa"/>
        <w:tblBorders/>
        <w:tblLayout w:type="fixed"/>
        <w:tblLook w:val="04A0" w:firstRow="1" w:lastRow="0" w:firstColumn="1" w:lastColumn="0" w:noHBand="0" w:noVBand="1"/>
      </w:tblPr>
      <w:tblGrid>
        <w:gridCol w:w="1905"/>
        <w:gridCol w:w="425"/>
        <w:gridCol w:w="7452"/>
        <w:gridCol w:w="202"/>
      </w:tblGrid>
      <w:tr>
        <w:trPr>
          <w:trHeight w:val="20"/>
        </w:trPr>
        <w:tc>
          <w:tcPr>
            <w:tcBorders/>
            <w:tcW w:w="1905" w:type="dxa"/>
            <w:vAlign w:val="center"/>
            <w:textDirection w:val="lrTb"/>
            <w:noWrap w:val="false"/>
          </w:tcPr>
          <w:p>
            <w:pPr>
              <w:pBdr/>
              <w:shd w:val="clear" w:color="ffffff" w:themeColor="background1" w:fill="ffffff" w:themeFill="background1"/>
              <w:spacing w:after="60" w:before="60" w:line="276" w:lineRule="auto"/>
              <w:ind/>
              <w:jc w:val="both"/>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42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gridSpan w:val="2"/>
            <w:tcBorders/>
            <w:tcW w:w="7654" w:type="dxa"/>
            <w:vAlign w:val="center"/>
            <w:textDirection w:val="lrTb"/>
            <w:noWrap w:val="false"/>
          </w:tcPr>
          <w:p>
            <w:pPr>
              <w:pBdr/>
              <w:shd w:val="clear" w:color="ffffff" w:themeColor="background1" w:fill="ffffff" w:themeFill="background1"/>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rPr>
            </w:r>
          </w:p>
        </w:tc>
      </w:tr>
      <w:tr>
        <w:trPr>
          <w:gridAfter w:val="1"/>
          <w:trHeight w:val="20"/>
        </w:trPr>
        <w:tc>
          <w:tcPr>
            <w:tcBorders/>
            <w:tcW w:w="190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42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452" w:type="dxa"/>
            <w:vAlign w:val="center"/>
            <w:textDirection w:val="lrTb"/>
            <w:noWrap w:val="false"/>
          </w:tcPr>
          <w:p>
            <w:pPr>
              <w:pBdr/>
              <w:shd w:val="clear" w:color="ffffff" w:themeColor="background1" w:fill="ffffff" w:themeFill="background1"/>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gridAfter w:val="1"/>
          <w:trHeight w:val="20"/>
        </w:trPr>
        <w:tc>
          <w:tcPr>
            <w:tcBorders/>
            <w:tcW w:w="190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42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7452" w:type="dxa"/>
            <w:vAlign w:val="center"/>
            <w:textDirection w:val="lrTb"/>
            <w:noWrap w:val="false"/>
          </w:tcPr>
          <w:p>
            <w:pPr>
              <w:pBdr/>
              <w:shd w:val="clear" w:color="ffffff" w:themeColor="background1" w:fill="ffffff" w:themeFill="background1"/>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gridAfter w:val="1"/>
          <w:trHeight w:val="20"/>
        </w:trPr>
        <w:tc>
          <w:tcPr>
            <w:tcBorders/>
            <w:tcW w:w="190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42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4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gridAfter w:val="1"/>
          <w:trHeight w:val="20"/>
        </w:trPr>
        <w:tc>
          <w:tcPr>
            <w:tcBorders/>
            <w:tcW w:w="1905" w:type="dxa"/>
            <w:vAlign w:val="center"/>
            <w:textDirection w:val="lrTb"/>
            <w:noWrap w:val="false"/>
          </w:tcPr>
          <w:p>
            <w:pPr>
              <w:pBdr/>
              <w:shd w:val="clear" w:color="ffffff" w:themeColor="background1" w:fill="ffffff" w:themeFill="background1"/>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42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452"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275/TĐG</w:t>
            </w:r>
            <w:r>
              <w:rPr>
                <w:bCs/>
                <w:highlight w:val="white"/>
              </w:rPr>
            </w:r>
            <w:r>
              <w:rPr>
                <w:bCs/>
                <w:highlight w:val="white"/>
              </w:rPr>
            </w:r>
          </w:p>
        </w:tc>
      </w:tr>
      <w:tr>
        <w:trPr>
          <w:gridAfter w:val="1"/>
          <w:trHeight w:val="20"/>
        </w:trPr>
        <w:tc>
          <w:tcPr>
            <w:tcBorders/>
            <w:tcW w:w="190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42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7452" w:type="dxa"/>
            <w:vAlign w:val="center"/>
            <w:textDirection w:val="lrTb"/>
            <w:noWrap w:val="false"/>
          </w:tcPr>
          <w:p>
            <w:pPr>
              <w:pBdr/>
              <w:shd w:val="clear" w:color="ffffff" w:themeColor="background1" w:fill="ffffff" w:themeFill="background1"/>
              <w:spacing w:after="60" w:before="60" w:line="276" w:lineRule="auto"/>
              <w:ind/>
              <w:rPr>
                <w:spacing w:val="-4"/>
                <w:highlight w:val="white"/>
              </w:rPr>
            </w:pPr>
            <w:r>
              <w:rPr>
                <w:spacing w:val="-4"/>
                <w:highlight w:val="white"/>
              </w:rPr>
              <w:t xml:space="preserve">1505112366666 tại Agribank Chi nhánh Hà Nội II</w:t>
            </w:r>
            <w:r>
              <w:rPr>
                <w:spacing w:val="-4"/>
                <w:highlight w:val="white"/>
              </w:rPr>
            </w:r>
            <w:r>
              <w:rPr>
                <w:spacing w:val="-4"/>
                <w:highlight w:val="white"/>
              </w:rPr>
            </w:r>
          </w:p>
        </w:tc>
      </w:tr>
      <w:tr>
        <w:trPr>
          <w:gridAfter w:val="1"/>
          <w:trHeight w:val="20"/>
        </w:trPr>
        <w:tc>
          <w:tcPr>
            <w:tcBorders/>
            <w:tcW w:w="190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425"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7452" w:type="dxa"/>
            <w:vAlign w:val="center"/>
            <w:textDirection w:val="lrTb"/>
            <w:noWrap w:val="false"/>
          </w:tcPr>
          <w:p>
            <w:pPr>
              <w:pBdr/>
              <w:shd w:val="clear" w:color="ffffff" w:themeColor="background1" w:fill="ffffff" w:themeFill="background1"/>
              <w:spacing w:after="60" w:before="60" w:line="276" w:lineRule="auto"/>
              <w:ind/>
              <w:rPr>
                <w:b/>
                <w:bCs/>
                <w:highlight w:val="white"/>
              </w:rPr>
            </w:pPr>
            <w:r>
              <w:rPr>
                <w:b/>
                <w:bCs/>
                <w:highlight w:val="white"/>
                <w:lang w:val="vi-VN"/>
              </w:rPr>
              <w:t xml:space="preserve">Ông </w:t>
            </w:r>
            <w:r>
              <w:rPr>
                <w:b/>
                <w:bCs/>
                <w:highlight w:val="white"/>
              </w:rPr>
              <w:t xml:space="preserve">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Style w:val="1031"/>
        <w:pBdr/>
        <w:shd w:val="clear" w:color="ffffff" w:themeColor="background1" w:fill="ffffff" w:themeFill="background1"/>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rPr>
      </w:r>
    </w:p>
    <w:p>
      <w:pPr>
        <w:pBdr/>
        <w:shd w:val="clear" w:color="ffffff" w:themeColor="background1" w:fill="ffffff" w:themeFill="background1"/>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rPr>
                <w:highlight w:val="white"/>
              </w:rPr>
            </w:pPr>
            <w:r>
              <w:rPr>
                <w:rFonts w:ascii="Times New Roman" w:hAnsi="Times New Roman" w:eastAsia="Times New Roman" w:cs="Times New Roman"/>
                <w:color w:val="000000"/>
                <w:sz w:val="24"/>
                <w:highlight w:val="white"/>
              </w:rPr>
              <w:t xml:space="preserve">Tên khách hàng</w:t>
            </w:r>
            <w:r>
              <w:rPr>
                <w:highlight w:val="white"/>
              </w:rPr>
            </w:r>
            <w:r>
              <w:rPr>
                <w:highlight w:val="white"/>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color w:val="000000"/>
                <w:spacing w:val="-8"/>
                <w:sz w:val="24"/>
                <w:highlight w:val="white"/>
              </w:rPr>
              <w:t xml:space="preserve">Ông Nguyễn Đình Minh</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rPr>
                <w:highlight w:val="white"/>
              </w:rPr>
            </w:pPr>
            <w:r>
              <w:rPr>
                <w:rFonts w:ascii="Times New Roman" w:hAnsi="Times New Roman" w:eastAsia="Times New Roman" w:cs="Times New Roman"/>
                <w:color w:val="000000"/>
                <w:sz w:val="24"/>
                <w:highlight w:val="white"/>
              </w:rPr>
              <w:t xml:space="preserve">CCCD</w:t>
            </w:r>
            <w:r>
              <w:rPr>
                <w:highlight w:val="white"/>
              </w:rPr>
            </w:r>
            <w:r>
              <w:rPr>
                <w:highlight w:val="white"/>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030071005235</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Ninh Chấp 5, Thái Học, thành phố Chí Linh, tỉnh Hải Dương</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line="264" w:lineRule="auto"/>
              <w:ind w:right="0" w:firstLine="0" w:left="0"/>
              <w:jc w:val="both"/>
              <w:rPr>
                <w:rFonts w:ascii="Times New Roman" w:hAnsi="Times New Roman" w:eastAsia="Times New Roman" w:cs="Times New Roman"/>
                <w:bCs/>
                <w:i/>
                <w:sz w:val="24"/>
                <w:szCs w:val="24"/>
                <w:highlight w:val="white"/>
              </w:rPr>
            </w:pPr>
            <w:r>
              <w:rPr>
                <w:rFonts w:ascii="Times New Roman" w:hAnsi="Times New Roman" w:eastAsia="Times New Roman" w:cs="Times New Roman"/>
                <w:i/>
                <w:iCs/>
                <w:color w:val="000000"/>
                <w:sz w:val="24"/>
                <w:highlight w:val="white"/>
              </w:rPr>
              <w:t xml:space="preserve">(Nay là phường Chu Văn An, thành phố Hải Phòng)</w:t>
            </w:r>
            <w:r>
              <w:rPr>
                <w:rFonts w:ascii="Times New Roman" w:hAnsi="Times New Roman" w:eastAsia="Times New Roman" w:cs="Times New Roman"/>
                <w:bCs/>
                <w:i/>
                <w:sz w:val="24"/>
                <w:szCs w:val="24"/>
                <w:highlight w:val="white"/>
              </w:rPr>
            </w:r>
            <w:r>
              <w:rPr>
                <w:rFonts w:ascii="Times New Roman" w:hAnsi="Times New Roman" w:eastAsia="Times New Roman" w:cs="Times New Roman"/>
                <w:bCs/>
                <w:i/>
                <w:sz w:val="24"/>
                <w:szCs w:val="24"/>
                <w:highlight w:val="white"/>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rPr>
                <w:highlight w:val="white"/>
              </w:rPr>
            </w:pPr>
            <w:r>
              <w:rPr>
                <w:rFonts w:ascii="Times New Roman" w:hAnsi="Times New Roman" w:eastAsia="Times New Roman" w:cs="Times New Roman"/>
                <w:color w:val="000000"/>
                <w:sz w:val="24"/>
                <w:highlight w:val="white"/>
              </w:rPr>
              <w:t xml:space="preserve">Hợp đồng số</w:t>
            </w:r>
            <w:r>
              <w:rPr>
                <w:highlight w:val="white"/>
              </w:rPr>
            </w:r>
            <w:r>
              <w:rPr>
                <w:highlight w:val="white"/>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60" w:before="60"/>
              <w:ind w:right="0" w:firstLine="0" w:left="0"/>
              <w:jc w:val="both"/>
              <w:rPr>
                <w:highlight w:val="white"/>
              </w:rPr>
            </w:pPr>
            <w:r>
              <w:rPr>
                <w:rFonts w:ascii="Times New Roman" w:hAnsi="Times New Roman" w:eastAsia="Times New Roman" w:cs="Times New Roman"/>
                <w:color w:val="000000"/>
                <w:spacing w:val="-2"/>
                <w:sz w:val="24"/>
                <w:highlight w:val="white"/>
              </w:rPr>
            </w:r>
            <w:r>
              <w:rPr>
                <w:spacing w:val="-4"/>
                <w:highlight w:val="white"/>
                <w:lang w:val="vi-VN"/>
              </w:rPr>
              <w:t xml:space="preserve"> </w:t>
            </w:r>
            <w:r>
              <w:rPr>
                <w:color w:val="000000" w:themeColor="text1"/>
                <w:spacing w:val="-4"/>
                <w:highlight w:val="white"/>
                <w:lang w:val="vi-VN"/>
              </w:rPr>
              <w:t xml:space="preserve">275/2026/0072/VFI-HĐTĐ.24.A</w:t>
            </w:r>
            <w:r>
              <w:rPr>
                <w:highlight w:val="white"/>
              </w:rPr>
            </w:r>
            <w:r>
              <w:rPr>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rPr>
            </w:r>
          </w:p>
        </w:tc>
        <w:tc>
          <w:tcPr>
            <w:tcBorders/>
            <w:tcW w:w="284" w:type="dxa"/>
            <w:vAlign w:val="center"/>
            <w:textDirection w:val="lrTb"/>
            <w:noWrap w:val="false"/>
          </w:tcPr>
          <w:p>
            <w:pPr>
              <w:pStyle w:val="1031"/>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line="288"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i/>
                <w:color w:val="000000"/>
                <w:sz w:val="24"/>
                <w:highlight w:val="white"/>
              </w:rPr>
              <w:t xml:space="preserve">Tài sản 1:</w:t>
            </w:r>
            <w:r>
              <w:rPr>
                <w:rFonts w:ascii="Times New Roman" w:hAnsi="Times New Roman" w:eastAsia="Times New Roman" w:cs="Times New Roman"/>
                <w:color w:val="000000"/>
                <w:sz w:val="24"/>
                <w:highlight w:val="white"/>
              </w:rPr>
              <w:t xml:space="preserve"> Quyền sử dụng đất và công trình xây dựng trên đất tại thửa đất số 15, tờ bản đồ QH chia lô khu Ninh Chấp 7, có địa chỉ: Phường Thái Học, Thị xã Chí Linh, Tỉnh Hải Dương </w:t>
            </w:r>
            <w:r>
              <w:rPr>
                <w:rFonts w:ascii="Times New Roman" w:hAnsi="Times New Roman" w:eastAsia="Times New Roman" w:cs="Times New Roman"/>
                <w:i/>
                <w:color w:val="000000"/>
                <w:sz w:val="24"/>
                <w:highlight w:val="white"/>
              </w:rPr>
              <w:t xml:space="preserve">(Nay là phường Chu Văn An, thành phố Hải Phòng</w:t>
            </w:r>
            <w:r>
              <w:rPr>
                <w:rFonts w:ascii="Times New Roman" w:hAnsi="Times New Roman" w:eastAsia="Times New Roman" w:cs="Times New Roman"/>
                <w:i/>
                <w:color w:val="000000"/>
                <w:sz w:val="24"/>
                <w:highlight w:val="white"/>
              </w:rPr>
              <w:t xml:space="preserve">)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CL 048924 số vào sổ cấp GCN CH 04203 do UBND thị xã Chị Linh cấp ngày 12/12/2017 cho ông Nguyễn Đình Minh và Bà Vũ Thị Huệ.</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shd w:val="clear" w:color="ffffff" w:themeColor="background1" w:fill="ffffff" w:themeFill="background1"/>
              <w:spacing/>
              <w:ind/>
              <w:rPr>
                <w:highlight w:val="white"/>
              </w:rPr>
            </w:pPr>
            <w:r>
              <w:rPr>
                <w:rFonts w:ascii="Times New Roman" w:hAnsi="Times New Roman" w:eastAsia="Times New Roman" w:cs="Times New Roman"/>
                <w:b/>
                <w:i/>
                <w:color w:val="000000"/>
                <w:sz w:val="24"/>
                <w:highlight w:val="white"/>
              </w:rPr>
              <w:t xml:space="preserve">Tài sản 2:</w:t>
            </w:r>
            <w:r>
              <w:rPr>
                <w:rFonts w:ascii="Times New Roman" w:hAnsi="Times New Roman" w:eastAsia="Times New Roman" w:cs="Times New Roman"/>
                <w:color w:val="000000"/>
                <w:sz w:val="24"/>
                <w:highlight w:val="white"/>
              </w:rPr>
              <w:t xml:space="preserve"> Quyền sử dụng đất và công trình xây dựng trên đất tại thửa đất số 16, tờ bản đồ QH chia lô khu Ninh Chấp 7, có địa chỉ: Phường Thái Học, Thị xã Chí Linh, Tỉnh Hải Dương </w:t>
            </w:r>
            <w:r>
              <w:rPr>
                <w:rFonts w:ascii="Times New Roman" w:hAnsi="Times New Roman" w:eastAsia="Times New Roman" w:cs="Times New Roman"/>
                <w:i/>
                <w:color w:val="000000"/>
                <w:sz w:val="24"/>
                <w:highlight w:val="white"/>
              </w:rPr>
              <w:t xml:space="preserve">(Nay là phường Chu Văn An, thành phố Hải Phòng) </w:t>
            </w:r>
            <w:r>
              <w:rPr>
                <w:rFonts w:ascii="Times New Roman" w:hAnsi="Times New Roman" w:eastAsia="Times New Roman" w:cs="Times New Roman"/>
                <w:color w:val="000000"/>
                <w:sz w:val="24"/>
                <w:highlight w:val="white"/>
              </w:rPr>
              <w:t xml:space="preserve">theo Giấy chứng nhận quyền sử dụng đất, quyền sở hữu nhà ở và tài sản khác gắn liền với đất số CL 017167 số vào sổ cấp GCN CH 04210 do UBND thị xã Chị Linh cấp ngày 12/12/2017 cho ông Nguyễn Đình Minh và Bà Vũ Thị Huệ</w:t>
            </w:r>
            <w:r>
              <w:rPr>
                <w:highlight w:val="white"/>
              </w:rPr>
            </w:r>
            <w:r>
              <w:rPr>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rPr>
            </w:r>
          </w:p>
        </w:tc>
        <w:tc>
          <w:tcPr>
            <w:tcBorders/>
            <w:tcW w:w="284" w:type="dxa"/>
            <w:vAlign w:val="center"/>
            <w:textDirection w:val="lrTb"/>
            <w:noWrap w:val="false"/>
          </w:tcPr>
          <w:p>
            <w:pPr>
              <w:pStyle w:val="1031"/>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hd w:val="clear" w:color="ffffff" w:themeColor="background1" w:fill="ffffff" w:themeFill="background1"/>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rPr>
            </w:r>
          </w:p>
        </w:tc>
        <w:tc>
          <w:tcPr>
            <w:tcBorders/>
            <w:tcW w:w="284" w:type="dxa"/>
            <w:vAlign w:val="center"/>
            <w:textDirection w:val="lrTb"/>
            <w:noWrap w:val="false"/>
          </w:tcPr>
          <w:p>
            <w:pPr>
              <w:pStyle w:val="1031"/>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hd w:val="clear" w:color="ffffff" w:themeColor="background1" w:fill="ffffff" w:themeFill="background1"/>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pPr>
              <w:pStyle w:val="1031"/>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hd w:val="clear" w:color="ffffff" w:themeColor="background1" w:fill="ffffff" w:themeFill="background1"/>
              <w:spacing w:after="60" w:before="60" w:line="276" w:lineRule="auto"/>
              <w:ind/>
              <w:jc w:val="both"/>
              <w:rPr>
                <w:bCs/>
                <w:spacing w:val="-4"/>
                <w:highlight w:val="white"/>
              </w:rPr>
            </w:pPr>
            <w:r>
              <w:rPr>
                <w:color w:val="000000" w:themeColor="text1"/>
                <w:highlight w:val="white"/>
                <w:lang w:val="pt-BR"/>
              </w:rPr>
              <w:t xml:space="preserve">Tháng 01/2026</w:t>
            </w:r>
            <w:r>
              <w:rPr>
                <w:highlight w:val="white"/>
                <w:lang w:val="pt-BR"/>
              </w:rPr>
              <w:t xml:space="preserve">.</w:t>
            </w:r>
            <w:r>
              <w:rPr>
                <w:bCs/>
                <w:spacing w:val="-4"/>
                <w:highlight w:val="white"/>
                <w:lang w:val="pt-BR"/>
              </w:rPr>
            </w:r>
            <w:r>
              <w:rPr>
                <w:bCs/>
                <w:spacing w:val="-4"/>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pPr>
              <w:pStyle w:val="1031"/>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hd w:val="clear" w:color="ffffff" w:themeColor="background1" w:fill="ffffff" w:themeFill="background1"/>
              <w:spacing w:after="60" w:before="60" w:line="276" w:lineRule="auto"/>
              <w:ind/>
              <w:jc w:val="both"/>
              <w:rPr>
                <w:color w:val="ee0000"/>
                <w:highlight w:val="white"/>
              </w:rPr>
            </w:pPr>
            <w:r>
              <w:rPr>
                <w:color w:val="000000" w:themeColor="text1"/>
                <w:highlight w:val="white"/>
                <w:lang w:val="pt-BR"/>
              </w:rPr>
              <w:t xml:space="preserve">phường Chu Văn An, thành phố Hải Phòng </w:t>
            </w:r>
            <w:r>
              <w:rPr>
                <w:color w:val="ee0000"/>
                <w:highlight w:val="white"/>
                <w:lang w:val="pt-BR"/>
              </w:rPr>
            </w:r>
            <w:r>
              <w:rPr>
                <w:color w:val="ee0000"/>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rPr>
            </w:r>
          </w:p>
        </w:tc>
        <w:tc>
          <w:tcPr>
            <w:tcBorders/>
            <w:tcW w:w="284" w:type="dxa"/>
            <w:vAlign w:val="center"/>
            <w:textDirection w:val="lrTb"/>
            <w:noWrap w:val="false"/>
          </w:tcPr>
          <w:p>
            <w:pPr>
              <w:pStyle w:val="1031"/>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Style w:val="1011"/>
              <w:pBdr/>
              <w:shd w:val="clear" w:color="ffffff" w:themeColor="background1" w:fill="ffffff" w:themeFill="background1"/>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(21.087, 106.39030555556)</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hd w:val="clear" w:color="ffffff" w:themeColor="background1" w:fill="ffffff" w:themeFill="background1"/>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rPr>
            </w:r>
          </w:p>
        </w:tc>
        <w:tc>
          <w:tcPr>
            <w:tcBorders/>
            <w:tcW w:w="284" w:type="dxa"/>
            <w:vAlign w:val="center"/>
            <w:textDirection w:val="lrTb"/>
            <w:noWrap w:val="false"/>
          </w:tcPr>
          <w:p>
            <w:pPr>
              <w:pStyle w:val="1031"/>
              <w:pBdr/>
              <w:shd w:val="clear" w:color="ffffff" w:themeColor="background1" w:fill="ffffff" w:themeFill="background1"/>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hd w:val="clear" w:color="ffffff" w:themeColor="background1" w:fill="ffffff" w:themeFill="background1"/>
              <w:spacing w:after="60" w:before="60" w:line="276" w:lineRule="auto"/>
              <w:ind/>
              <w:jc w:val="both"/>
              <w:rPr>
                <w:highlight w:val="white"/>
              </w:rPr>
            </w:pPr>
            <w:r>
              <w:rPr>
                <w:highlight w:val="white"/>
                <w:lang w:val="pt-BR"/>
              </w:rPr>
              <w:t xml:space="preserve">Tháng 01/2026</w:t>
            </w:r>
            <w:r>
              <w:rPr>
                <w:highlight w:val="white"/>
                <w:lang w:val="pt-BR"/>
              </w:rPr>
              <w:t xml:space="preserve">.</w:t>
            </w:r>
            <w:r>
              <w:rPr>
                <w:highlight w:val="white"/>
                <w:lang w:val="pt-BR"/>
              </w:rPr>
            </w:r>
            <w:r>
              <w:rPr>
                <w:highlight w:val="white"/>
              </w:rPr>
            </w:r>
          </w:p>
        </w:tc>
      </w:tr>
    </w:tbl>
    <w:p>
      <w:pPr>
        <w:pBdr/>
        <w:shd w:val="clear" w:color="ffffff" w:themeColor="background1" w:fill="ffffff" w:themeFill="background1"/>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rPr>
      </w:r>
    </w:p>
    <w:p>
      <w:pPr>
        <w:pStyle w:val="1031"/>
        <w:pBdr/>
        <w:shd w:val="clear" w:color="ffffff" w:themeColor="background1" w:fill="ffffff" w:themeFill="background1"/>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rPr>
      </w:r>
    </w:p>
    <w:p>
      <w:pPr>
        <w:pStyle w:val="1031"/>
        <w:pBdr/>
        <w:shd w:val="clear" w:color="ffffff" w:themeColor="background1" w:fill="ffffff" w:themeFill="background1"/>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rPr>
      </w:r>
    </w:p>
    <w:p>
      <w:pPr>
        <w:pStyle w:val="1031"/>
        <w:pBdr/>
        <w:shd w:val="clear" w:color="ffffff" w:themeColor="background1" w:fill="ffffff" w:themeFill="background1"/>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rPr>
      </w:r>
    </w:p>
    <w:p>
      <w:pPr>
        <w:pStyle w:val="1031"/>
        <w:numPr>
          <w:ilvl w:val="0"/>
          <w:numId w:val="1"/>
        </w:numPr>
        <w:pBdr/>
        <w:shd w:val="clear" w:color="ffffff" w:themeColor="background1" w:fill="ffffff" w:themeFill="background1"/>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rPr>
      </w:r>
    </w:p>
    <w:p>
      <w:pPr>
        <w:pStyle w:val="1031"/>
        <w:numPr>
          <w:ilvl w:val="0"/>
          <w:numId w:val="1"/>
        </w:numPr>
        <w:pBdr/>
        <w:shd w:val="clear" w:color="ffffff" w:themeColor="background1" w:fill="ffffff" w:themeFill="background1"/>
        <w:spacing w:after="120" w:before="120" w:line="276" w:lineRule="auto"/>
        <w:ind/>
        <w:jc w:val="both"/>
        <w:rPr>
          <w:bCs/>
          <w:spacing w:val="-4"/>
          <w:highlight w:val="white"/>
        </w:rPr>
      </w:pPr>
      <w:r>
        <w:rPr>
          <w:bCs/>
          <w:spacing w:val="-4"/>
          <w:highlight w:val="white"/>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highlight w:val="white"/>
          <w:lang w:val="pt-BR"/>
        </w:rPr>
      </w:r>
      <w:r>
        <w:rPr>
          <w:bCs/>
          <w:spacing w:val="-4"/>
          <w:highlight w:val="white"/>
        </w:rPr>
      </w:r>
    </w:p>
    <w:p>
      <w:pPr>
        <w:pStyle w:val="1031"/>
        <w:numPr>
          <w:ilvl w:val="0"/>
          <w:numId w:val="1"/>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rPr>
      </w:r>
    </w:p>
    <w:p>
      <w:pPr>
        <w:pStyle w:val="1031"/>
        <w:numPr>
          <w:ilvl w:val="0"/>
          <w:numId w:val="9"/>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rPr>
      </w:r>
    </w:p>
    <w:p>
      <w:pPr>
        <w:pStyle w:val="1031"/>
        <w:pBdr/>
        <w:shd w:val="clear" w:color="ffffff" w:themeColor="background1" w:fill="ffffff" w:themeFill="background1"/>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rPr>
      </w:r>
    </w:p>
    <w:p>
      <w:pPr>
        <w:pStyle w:val="1031"/>
        <w:pBdr/>
        <w:shd w:val="clear" w:color="ffffff" w:themeColor="background1" w:fill="ffffff" w:themeFill="background1"/>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rPr>
      </w:r>
    </w:p>
    <w:p>
      <w:pPr>
        <w:pStyle w:val="1031"/>
        <w:numPr>
          <w:ilvl w:val="0"/>
          <w:numId w:val="2"/>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76" w:lineRule="auto"/>
        <w:ind/>
        <w:jc w:val="both"/>
        <w:rPr>
          <w:rFonts w:ascii="Times New Roman" w:hAnsi="Times New Roman" w:eastAsia="Times New Roman" w:cs="Times New Roman"/>
          <w:sz w:val="24"/>
          <w:highlight w:val="white"/>
        </w:rPr>
      </w:pPr>
      <w:r>
        <w:rPr>
          <w:rFonts w:ascii="Times New Roman" w:hAnsi="Times New Roman" w:eastAsia="Times New Roman" w:cs="Times New Roman"/>
          <w:b/>
          <w:i/>
          <w:color w:val="000000"/>
          <w:sz w:val="24"/>
          <w:highlight w:val="white"/>
        </w:rPr>
      </w:r>
      <w:r>
        <w:rPr>
          <w:rFonts w:ascii="Times New Roman" w:hAnsi="Times New Roman" w:eastAsia="Times New Roman" w:cs="Times New Roman"/>
          <w:color w:val="000000"/>
          <w:sz w:val="24"/>
          <w:highlight w:val="white"/>
        </w:rPr>
        <w:t xml:space="preserve">Giấy chứng nhận quyền sử dụng đất, quyền sở hữu nhà ở và tài sản khác gắn liền với đất số CL 048924 số vào sổ cấp GCN CH 04203 </w:t>
      </w:r>
      <w:r>
        <w:rPr>
          <w:rFonts w:ascii="Times New Roman" w:hAnsi="Times New Roman" w:eastAsia="Times New Roman" w:cs="Times New Roman"/>
          <w:color w:val="000000"/>
          <w:sz w:val="24"/>
          <w:highlight w:val="white"/>
        </w:rPr>
        <w:t xml:space="preserve">tại thửa đất số 15, tờ bản đồ QH chia lô </w:t>
      </w:r>
      <w:r>
        <w:rPr>
          <w:rFonts w:ascii="Times New Roman" w:hAnsi="Times New Roman" w:eastAsia="Times New Roman" w:cs="Times New Roman"/>
          <w:i/>
          <w:iCs/>
          <w:color w:val="000000"/>
          <w:sz w:val="24"/>
          <w:szCs w:val="24"/>
          <w:highlight w:val="white"/>
        </w:rPr>
        <w:t xml:space="preserve">khu </w:t>
      </w:r>
      <w:r>
        <w:rPr>
          <w:rFonts w:ascii="Times New Roman" w:hAnsi="Times New Roman" w:eastAsia="Times New Roman" w:cs="Times New Roman"/>
          <w:color w:val="000000"/>
          <w:sz w:val="24"/>
          <w:highlight w:val="white"/>
        </w:rPr>
        <w:t xml:space="preserve">Ninh Chấp 7, có địa chỉ: Phường Thái Học, Thị xã Chí Linh, Tỉnh Hải Dương</w:t>
      </w:r>
      <w:r>
        <w:rPr>
          <w:rFonts w:ascii="Times New Roman" w:hAnsi="Times New Roman" w:eastAsia="Times New Roman" w:cs="Times New Roman"/>
          <w:color w:val="000000"/>
          <w:sz w:val="24"/>
          <w:highlight w:val="white"/>
        </w:rPr>
        <w:t xml:space="preserve"> do UBND thị xã Chị Linh cấp ngày 12/12/2017 cho ông Nguyễn Đình Minh và Bà Vũ Thị Huệ.</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Style w:val="1031"/>
        <w:numPr>
          <w:ilvl w:val="0"/>
          <w:numId w:val="2"/>
        </w:numPr>
        <w:pBdr/>
        <w:shd w:val="clear" w:color="ffffff" w:themeColor="background1" w:fill="ffffff" w:themeFill="background1"/>
        <w:tabs>
          <w:tab w:val="left" w:leader="none" w:pos="993"/>
        </w:tabs>
        <w:spacing w:after="120" w:before="120" w:line="276" w:lineRule="auto"/>
        <w:ind/>
        <w:jc w:val="both"/>
        <w:rPr>
          <w:bCs/>
          <w:i/>
          <w:highlight w:val="white"/>
        </w:rPr>
      </w:pPr>
      <w:r>
        <w:rPr>
          <w:rFonts w:ascii="Times New Roman" w:hAnsi="Times New Roman" w:eastAsia="Times New Roman" w:cs="Times New Roman"/>
          <w:b/>
          <w:i/>
          <w:color w:val="000000"/>
          <w:sz w:val="24"/>
          <w:highlight w:val="white"/>
        </w:rPr>
      </w:r>
      <w:r>
        <w:rPr>
          <w:rFonts w:ascii="Times New Roman" w:hAnsi="Times New Roman" w:eastAsia="Times New Roman" w:cs="Times New Roman"/>
          <w:color w:val="000000"/>
          <w:sz w:val="24"/>
          <w:highlight w:val="white"/>
        </w:rPr>
        <w:t xml:space="preserve">Giấy chứng nhận quyền sử dụng đất, quyền sở hữu nhà ở và tài sản khác gắn liền với đất số CL 017167 số vào sổ cấp GCN CH 04210 </w:t>
      </w:r>
      <w:r>
        <w:rPr>
          <w:rFonts w:ascii="Times New Roman" w:hAnsi="Times New Roman" w:eastAsia="Times New Roman" w:cs="Times New Roman"/>
          <w:color w:val="000000"/>
          <w:sz w:val="24"/>
          <w:highlight w:val="white"/>
        </w:rPr>
        <w:t xml:space="preserve">tại thửa đất số 16, tờ bản đồ QH chia lô khu Ninh Chấp 7, có địa chỉ: Phường Thái Học, Thị xã Chí Linh, Tỉnh Hải Dương</w:t>
      </w:r>
      <w:r>
        <w:rPr>
          <w:rFonts w:ascii="Times New Roman" w:hAnsi="Times New Roman" w:eastAsia="Times New Roman" w:cs="Times New Roman"/>
          <w:color w:val="000000"/>
          <w:sz w:val="24"/>
          <w:highlight w:val="white"/>
        </w:rPr>
        <w:t xml:space="preserve"> do UBND thị xã Chị Linh cấp ngày 12/12/2017 cho ông Nguyễn Đình Minh và Bà Vũ Thị Huệ</w:t>
      </w:r>
      <w:r>
        <w:rPr>
          <w:bCs/>
          <w:i/>
          <w:highlight w:val="white"/>
          <w:lang w:val="pt-BR"/>
        </w:rPr>
      </w:r>
      <w:r>
        <w:rPr>
          <w:bCs/>
          <w:i/>
          <w:highlight w:val="white"/>
        </w:rPr>
      </w:r>
    </w:p>
    <w:p>
      <w:pPr>
        <w:pBdr/>
        <w:shd w:val="clear" w:color="ffffff" w:themeColor="background1" w:fill="ffffff" w:themeFill="background1"/>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1"/>
        <w:numPr>
          <w:ilvl w:val="0"/>
          <w:numId w:val="2"/>
        </w:numPr>
        <w:pBdr/>
        <w:shd w:val="clear" w:color="ffffff" w:themeColor="background1" w:fill="ffffff" w:themeFill="background1"/>
        <w:tabs>
          <w:tab w:val="left" w:leader="none" w:pos="993"/>
        </w:tabs>
        <w:spacing w:after="120" w:before="120" w:line="276" w:lineRule="auto"/>
        <w:ind/>
        <w:jc w:val="both"/>
        <w:rPr>
          <w:b/>
          <w:highlight w:val="white"/>
        </w:rPr>
      </w:pPr>
      <w:r>
        <w:rPr>
          <w:color w:val="000000" w:themeColor="text1"/>
          <w:highlight w:val="white"/>
          <w:lang w:val="pt-BR"/>
        </w:rPr>
        <w:t xml:space="preserve">Hợp đồng thẩm định giá số 275/2026/0072/VFI-HĐTĐ.24.A ngày 13/01/2026 giữa Nguyễn Đình Minh với Công ty Cổ phần Thẩm định và Đầu tư Tài chính Hoa Sen.</w:t>
      </w:r>
      <w:r>
        <w:rPr>
          <w:b/>
          <w:highlight w:val="white"/>
          <w:lang w:val="pt-BR"/>
        </w:rPr>
      </w:r>
      <w:r>
        <w:rPr>
          <w:b/>
          <w:highlight w:val="white"/>
        </w:rPr>
      </w:r>
    </w:p>
    <w:p>
      <w:pPr>
        <w:pStyle w:val="1031"/>
        <w:numPr>
          <w:ilvl w:val="0"/>
          <w:numId w:val="2"/>
        </w:numPr>
        <w:pBdr/>
        <w:shd w:val="clear" w:color="ffffff" w:themeColor="background1" w:fill="ffffff" w:themeFill="background1"/>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rPr>
      </w:r>
    </w:p>
    <w:p>
      <w:pPr>
        <w:pBdr/>
        <w:shd w:val="clear" w:color="ffffff" w:themeColor="background1" w:fill="ffffff" w:themeFill="background1"/>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rPr>
      </w:r>
    </w:p>
    <w:p>
      <w:pPr>
        <w:pStyle w:val="1031"/>
        <w:numPr>
          <w:ilvl w:val="0"/>
          <w:numId w:val="2"/>
        </w:numPr>
        <w:pBdr/>
        <w:shd w:val="clear" w:color="ffffff" w:themeColor="background1" w:fill="ffffff" w:themeFill="background1"/>
        <w:tabs>
          <w:tab w:val="left" w:leader="none" w:pos="993"/>
        </w:tabs>
        <w:spacing w:after="120" w:before="120" w:line="276" w:lineRule="auto"/>
        <w:ind/>
        <w:jc w:val="both"/>
        <w:rPr>
          <w:rFonts w:ascii="Times New Roman" w:hAnsi="Times New Roman" w:cs="Times New Roman"/>
          <w:b w:val="0"/>
          <w:bCs w:val="0"/>
          <w:i/>
          <w:iCs/>
          <w:sz w:val="24"/>
          <w:szCs w:val="24"/>
          <w:highlight w:val="white"/>
        </w:rPr>
      </w:pPr>
      <w:r>
        <w:rPr>
          <w:rFonts w:ascii="Times New Roman" w:hAnsi="Times New Roman" w:eastAsia="Times New Roman" w:cs="Times New Roman"/>
          <w:sz w:val="24"/>
          <w:szCs w:val="24"/>
          <w:highlight w:val="white"/>
          <w:shd w:val="clear" w:color="auto" w:fill="ffffff"/>
        </w:rPr>
      </w:r>
      <w:r>
        <w:rPr>
          <w:rFonts w:ascii="Times New Roman" w:hAnsi="Times New Roman" w:eastAsia="Times New Roman" w:cs="Times New Roman"/>
          <w:b w:val="0"/>
          <w:bCs w:val="0"/>
          <w:color w:val="000000"/>
          <w:sz w:val="24"/>
          <w:szCs w:val="24"/>
          <w:highlight w:val="white"/>
        </w:rPr>
        <w:t xml:space="preserve">H</w:t>
      </w:r>
      <w:r>
        <w:rPr>
          <w:rFonts w:ascii="Times New Roman" w:hAnsi="Times New Roman" w:eastAsia="Times New Roman" w:cs="Times New Roman"/>
          <w:b w:val="0"/>
          <w:bCs w:val="0"/>
          <w:color w:val="000000"/>
          <w:sz w:val="24"/>
          <w:szCs w:val="24"/>
          <w:highlight w:val="white"/>
        </w:rPr>
        <w:t xml:space="preserve">ải Phò</w:t>
      </w:r>
      <w:r>
        <w:rPr>
          <w:rFonts w:ascii="Times New Roman" w:hAnsi="Times New Roman" w:eastAsia="Times New Roman" w:cs="Times New Roman"/>
          <w:b w:val="0"/>
          <w:bCs w:val="0"/>
          <w:color w:val="000000"/>
          <w:sz w:val="24"/>
          <w:szCs w:val="24"/>
          <w:highlight w:val="white"/>
        </w:rPr>
        <w:t xml:space="preserve">ng nói chung và bất </w:t>
      </w:r>
      <w:r>
        <w:rPr>
          <w:rFonts w:ascii="Times New Roman" w:hAnsi="Times New Roman" w:eastAsia="Times New Roman" w:cs="Times New Roman"/>
          <w:b w:val="0"/>
          <w:bCs w:val="0"/>
          <w:color w:val="000000" w:themeColor="text1"/>
          <w:sz w:val="24"/>
          <w:szCs w:val="24"/>
          <w:highlight w:val="white"/>
          <w:lang w:val="pt-BR"/>
        </w:rPr>
        <w:t xml:space="preserve">động </w:t>
      </w:r>
      <w:r>
        <w:rPr>
          <w:rFonts w:ascii="Times New Roman" w:hAnsi="Times New Roman" w:eastAsia="Times New Roman" w:cs="Times New Roman"/>
          <w:b w:val="0"/>
          <w:bCs w:val="0"/>
          <w:color w:val="000000"/>
          <w:sz w:val="24"/>
          <w:szCs w:val="24"/>
          <w:highlight w:val="white"/>
        </w:rPr>
        <w:t xml:space="preserve">sản Hải Phòng nói riêng đang sở hữu những điều kiện lý tưởng để bứt phá, từ nền tảng tăng trưởng kinh tế bền vững, hệ thống hạ tầng đồng bộ đến các động lực mới sau sáp nhập</w:t>
      </w:r>
      <w:r>
        <w:rPr>
          <w:rFonts w:ascii="Times New Roman" w:hAnsi="Times New Roman" w:eastAsia="Times New Roman" w:cs="Times New Roman"/>
          <w:b w:val="0"/>
          <w:bCs w:val="0"/>
          <w:i/>
          <w:iCs/>
          <w:sz w:val="24"/>
          <w:szCs w:val="24"/>
          <w:highlight w:val="white"/>
          <w:lang w:val="pt-BR"/>
        </w:rPr>
        <w:t xml:space="preserve">;</w:t>
      </w:r>
      <w:r>
        <w:rPr>
          <w:rFonts w:ascii="Times New Roman" w:hAnsi="Times New Roman" w:cs="Times New Roman"/>
          <w:b w:val="0"/>
          <w:bCs w:val="0"/>
          <w:i/>
          <w:iCs/>
          <w:sz w:val="24"/>
          <w:szCs w:val="24"/>
          <w:highlight w:val="white"/>
        </w:rPr>
      </w:r>
      <w:r>
        <w:rPr>
          <w:rFonts w:ascii="Times New Roman" w:hAnsi="Times New Roman" w:cs="Times New Roman"/>
          <w:b w:val="0"/>
          <w:bCs w:val="0"/>
          <w:i/>
          <w:iCs/>
          <w:sz w:val="24"/>
          <w:szCs w:val="24"/>
          <w:highlight w:val="white"/>
        </w:rPr>
      </w:r>
    </w:p>
    <w:p>
      <w:pPr>
        <w:pStyle w:val="1031"/>
        <w:numPr>
          <w:ilvl w:val="0"/>
          <w:numId w:val="2"/>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76" w:lineRule="auto"/>
        <w:ind/>
        <w:jc w:val="both"/>
        <w:rPr>
          <w:rFonts w:ascii="Times New Roman" w:hAnsi="Times New Roman" w:eastAsia="Times New Roman" w:cs="Times New Roman"/>
          <w:b w:val="0"/>
          <w:bCs w:val="0"/>
          <w:i w:val="0"/>
          <w:highlight w:val="white"/>
          <w14:ligatures w14:val="none"/>
        </w:rPr>
      </w:pPr>
      <w:r>
        <w:rPr>
          <w:rFonts w:ascii="Times New Roman" w:hAnsi="Times New Roman" w:eastAsia="Times New Roman" w:cs="Times New Roman"/>
          <w:b w:val="0"/>
          <w:bCs w:val="0"/>
          <w:i w:val="0"/>
          <w:iCs w:val="0"/>
          <w:highlight w:val="white"/>
          <w:lang w:val="pt-BR"/>
        </w:rPr>
        <w:t xml:space="preserve">Sau hợp nhất đơn vị hành chính, quy mô GRDP của TP Hải Phòng ước đạt khoảng 658.000 tỷ đồng, đứng thứ 3 cả nước; quy mô dân số sau hợp nhất khoảng 4,6 triệu người, thuộc nhóm đông nhất cả nước. FDI liên tục ở mức cao với hơn 1.761 dự án FDI còn hiệu lực, t</w:t>
      </w:r>
      <w:r>
        <w:rPr>
          <w:rFonts w:ascii="Times New Roman" w:hAnsi="Times New Roman" w:eastAsia="Times New Roman" w:cs="Times New Roman"/>
          <w:b w:val="0"/>
          <w:bCs w:val="0"/>
          <w:i w:val="0"/>
          <w:iCs w:val="0"/>
          <w:highlight w:val="white"/>
          <w:lang w:val="pt-BR"/>
        </w:rPr>
        <w:t xml:space="preserve">ổng vốn đầu tư 50,64 tỷ USD, và riêng 10 tháng đầu năm 2025, thành phố thu hút thêm 165 dự án FDI với tổng vốn đăng ký hơn 1,2 tỷ USD.</w:t>
      </w:r>
      <w:r>
        <w:rPr>
          <w:rFonts w:ascii="Times New Roman" w:hAnsi="Times New Roman" w:eastAsia="Times New Roman" w:cs="Times New Roman"/>
          <w:b w:val="0"/>
          <w:bCs w:val="0"/>
          <w:i w:val="0"/>
          <w:highlight w:val="white"/>
          <w14:ligatures w14:val="none"/>
        </w:rPr>
      </w:r>
      <w:r>
        <w:rPr>
          <w:rFonts w:ascii="Times New Roman" w:hAnsi="Times New Roman" w:eastAsia="Times New Roman" w:cs="Times New Roman"/>
          <w:b w:val="0"/>
          <w:bCs w:val="0"/>
          <w:i w:val="0"/>
          <w:highlight w:val="white"/>
          <w14:ligatures w14:val="none"/>
        </w:rPr>
      </w:r>
    </w:p>
    <w:p>
      <w:pPr>
        <w:pStyle w:val="1031"/>
        <w:numPr>
          <w:ilvl w:val="0"/>
          <w:numId w:val="2"/>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76" w:lineRule="auto"/>
        <w:ind/>
        <w:jc w:val="both"/>
        <w:rPr>
          <w:rFonts w:ascii="Times New Roman" w:hAnsi="Times New Roman" w:eastAsia="Times New Roman" w:cs="Times New Roman"/>
          <w:b w:val="0"/>
          <w:bCs w:val="0"/>
          <w:i w:val="0"/>
          <w:highlight w:val="white"/>
          <w14:ligatures w14:val="none"/>
        </w:rPr>
      </w:pPr>
      <w:r>
        <w:rPr>
          <w:rFonts w:ascii="Times New Roman" w:hAnsi="Times New Roman" w:eastAsia="Times New Roman" w:cs="Times New Roman"/>
          <w:b w:val="0"/>
          <w:bCs w:val="0"/>
          <w:i w:val="0"/>
          <w:iCs w:val="0"/>
          <w:highlight w:val="white"/>
          <w:lang w:val="pt-BR"/>
        </w:rPr>
        <w:t xml:space="preserve">Tổng thu nhập bình quân mỗi năm của lao động tại các Khu công nghiệp Hải Phòng rơi vào khoảng 120 - 150 triệu đồng/năm, cho thấy sức hấp dẫn của thị trường lao động không hề thua kém Hà Nội hay các vùng công nghiệp vệ tinh.</w:t>
      </w:r>
      <w:r>
        <w:rPr>
          <w:rFonts w:ascii="Times New Roman" w:hAnsi="Times New Roman" w:eastAsia="Times New Roman" w:cs="Times New Roman"/>
          <w:b w:val="0"/>
          <w:bCs w:val="0"/>
          <w:i w:val="0"/>
          <w:highlight w:val="white"/>
          <w14:ligatures w14:val="none"/>
        </w:rPr>
      </w:r>
      <w:r>
        <w:rPr>
          <w:rFonts w:ascii="Times New Roman" w:hAnsi="Times New Roman" w:eastAsia="Times New Roman" w:cs="Times New Roman"/>
          <w:b w:val="0"/>
          <w:bCs w:val="0"/>
          <w:i w:val="0"/>
          <w:highlight w:val="white"/>
          <w14:ligatures w14:val="none"/>
        </w:rPr>
      </w:r>
    </w:p>
    <w:p>
      <w:pPr>
        <w:pStyle w:val="1031"/>
        <w:numPr>
          <w:ilvl w:val="0"/>
          <w:numId w:val="2"/>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76" w:lineRule="auto"/>
        <w:ind/>
        <w:jc w:val="both"/>
        <w:rPr>
          <w:rFonts w:ascii="Times New Roman" w:hAnsi="Times New Roman" w:eastAsia="Times New Roman" w:cs="Times New Roman"/>
          <w:b w:val="0"/>
          <w:bCs w:val="0"/>
          <w:i w:val="0"/>
          <w:highlight w:val="white"/>
          <w14:ligatures w14:val="none"/>
        </w:rPr>
      </w:pPr>
      <w:r>
        <w:rPr>
          <w:rFonts w:ascii="Times New Roman" w:hAnsi="Times New Roman" w:eastAsia="Times New Roman" w:cs="Times New Roman"/>
          <w:b w:val="0"/>
          <w:bCs w:val="0"/>
          <w:i w:val="0"/>
          <w:iCs w:val="0"/>
          <w:highlight w:val="white"/>
          <w:lang w:val="pt-BR"/>
        </w:rPr>
        <w:t xml:space="preserve">Theo TS. Nguyễn Văn Đính – Phó Chủ tịch Hiệp hội Bất động sản Việt Nam (VNREA), Chủ tịch Hội Môi giới bất động sản Việt Nam (VARS), với tỷ lệ công nghiệp – xây dựng chiếm trên 50%, thương mại – dịch vụ gần 40%, đây là những ngành mà giới bất động sản đặc b</w:t>
      </w:r>
      <w:r>
        <w:rPr>
          <w:rFonts w:ascii="Times New Roman" w:hAnsi="Times New Roman" w:eastAsia="Times New Roman" w:cs="Times New Roman"/>
          <w:b w:val="0"/>
          <w:bCs w:val="0"/>
          <w:i w:val="0"/>
          <w:iCs w:val="0"/>
          <w:highlight w:val="white"/>
          <w:lang w:val="pt-BR"/>
        </w:rPr>
        <w:t xml:space="preserve">iệt quan tâm vì tạo ra động lực tăng trưởng rất mạnh.</w:t>
      </w:r>
      <w:r>
        <w:rPr>
          <w:rFonts w:ascii="Times New Roman" w:hAnsi="Times New Roman" w:eastAsia="Times New Roman" w:cs="Times New Roman"/>
          <w:b w:val="0"/>
          <w:bCs w:val="0"/>
          <w:i w:val="0"/>
          <w:highlight w:val="white"/>
          <w14:ligatures w14:val="none"/>
        </w:rPr>
      </w:r>
      <w:r>
        <w:rPr>
          <w:rFonts w:ascii="Times New Roman" w:hAnsi="Times New Roman" w:eastAsia="Times New Roman" w:cs="Times New Roman"/>
          <w:b w:val="0"/>
          <w:bCs w:val="0"/>
          <w:i w:val="0"/>
          <w:highlight w:val="white"/>
          <w14:ligatures w14:val="none"/>
        </w:rPr>
      </w:r>
    </w:p>
    <w:p>
      <w:pPr>
        <w:pStyle w:val="1031"/>
        <w:numPr>
          <w:ilvl w:val="0"/>
          <w:numId w:val="2"/>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76" w:lineRule="auto"/>
        <w:ind/>
        <w:jc w:val="both"/>
        <w:rPr>
          <w:rFonts w:ascii="Times New Roman" w:hAnsi="Times New Roman" w:eastAsia="Times New Roman" w:cs="Times New Roman"/>
          <w:b w:val="0"/>
          <w:bCs w:val="0"/>
          <w:i w:val="0"/>
          <w:highlight w:val="white"/>
          <w14:ligatures w14:val="none"/>
        </w:rPr>
      </w:pPr>
      <w:r>
        <w:rPr>
          <w:rFonts w:ascii="Times New Roman" w:hAnsi="Times New Roman" w:eastAsia="Times New Roman" w:cs="Times New Roman"/>
          <w:b w:val="0"/>
          <w:bCs w:val="0"/>
          <w:i w:val="0"/>
          <w:iCs w:val="0"/>
          <w:highlight w:val="white"/>
          <w:lang w:val="pt-BR"/>
        </w:rPr>
        <w:t xml:space="preserve">PGS TS. Trần Đình Thiên cho rằng, bất động sản có thể là nguồn thu lớn, tạo việc làm và đòn bẩy đầu tư, nhưng nếu để phát triển theo cơ chế thị trường tự phát, thiếu cảnh báo về giá ảo và đầu cơ, hệ quả là bong bóng, phân bổ sai vốn và mất ổn định xã hội. </w:t>
      </w:r>
      <w:r>
        <w:rPr>
          <w:rFonts w:ascii="Times New Roman" w:hAnsi="Times New Roman" w:eastAsia="Times New Roman" w:cs="Times New Roman"/>
          <w:b w:val="0"/>
          <w:bCs w:val="0"/>
          <w:i w:val="0"/>
          <w:iCs w:val="0"/>
          <w:highlight w:val="white"/>
          <w:lang w:val="pt-BR"/>
        </w:rPr>
        <w:t xml:space="preserve">Do đó, cần có kỷ luật quy hoạch, minh bạch trong giải phóng mặt bằng và cách thức thu hút đầu tư nhằm tránh lợi ích nhóm và chi phí tái cơ cấu về sau.</w:t>
      </w:r>
      <w:r>
        <w:rPr>
          <w:rFonts w:ascii="Times New Roman" w:hAnsi="Times New Roman" w:eastAsia="Times New Roman" w:cs="Times New Roman"/>
          <w:b w:val="0"/>
          <w:bCs w:val="0"/>
          <w:i w:val="0"/>
          <w:highlight w:val="white"/>
          <w14:ligatures w14:val="none"/>
        </w:rPr>
      </w:r>
      <w:r>
        <w:rPr>
          <w:rFonts w:ascii="Times New Roman" w:hAnsi="Times New Roman" w:eastAsia="Times New Roman" w:cs="Times New Roman"/>
          <w:b w:val="0"/>
          <w:bCs w:val="0"/>
          <w:i w:val="0"/>
          <w:highlight w:val="white"/>
          <w14:ligatures w14:val="none"/>
        </w:rPr>
      </w:r>
    </w:p>
    <w:p>
      <w:pPr>
        <w:pStyle w:val="1031"/>
        <w:numPr>
          <w:ilvl w:val="0"/>
          <w:numId w:val="2"/>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76" w:lineRule="auto"/>
        <w:ind/>
        <w:jc w:val="both"/>
        <w:rPr>
          <w:rFonts w:ascii="Times New Roman" w:hAnsi="Times New Roman" w:eastAsia="Times New Roman" w:cs="Times New Roman"/>
          <w:b w:val="0"/>
          <w:bCs w:val="0"/>
          <w:i w:val="0"/>
          <w:highlight w:val="white"/>
          <w14:ligatures w14:val="none"/>
        </w:rPr>
      </w:pPr>
      <w:r>
        <w:rPr>
          <w:rFonts w:ascii="Times New Roman" w:hAnsi="Times New Roman" w:eastAsia="Times New Roman" w:cs="Times New Roman"/>
          <w:b w:val="0"/>
          <w:bCs w:val="0"/>
          <w:i w:val="0"/>
          <w:iCs w:val="0"/>
          <w:highlight w:val="white"/>
          <w:lang w:val="pt-BR"/>
        </w:rPr>
        <w:t xml:space="preserve">Ngoài ra, Hải Phòng cũng cần tiếp tục tập trung phát triển các phân khúc nhà ở xã hội, nhà ở cho công nhân để đáp ứng nhu cầu của người dân. Nâng cao chất lượng các dự án bất động sản để thu hút khách hàng và đầu tư.</w:t>
      </w:r>
      <w:r>
        <w:rPr>
          <w:rFonts w:ascii="Times New Roman" w:hAnsi="Times New Roman" w:eastAsia="Times New Roman" w:cs="Times New Roman"/>
          <w:b w:val="0"/>
          <w:bCs w:val="0"/>
          <w:i w:val="0"/>
          <w:highlight w:val="white"/>
          <w14:ligatures w14:val="none"/>
        </w:rPr>
      </w:r>
      <w:r>
        <w:rPr>
          <w:rFonts w:ascii="Times New Roman" w:hAnsi="Times New Roman" w:eastAsia="Times New Roman" w:cs="Times New Roman"/>
          <w:b w:val="0"/>
          <w:bCs w:val="0"/>
          <w:i w:val="0"/>
          <w:highlight w:val="white"/>
          <w14:ligatures w14:val="none"/>
        </w:rPr>
      </w:r>
    </w:p>
    <w:p>
      <w:pPr>
        <w:pBdr/>
        <w:shd w:val="clear" w:color="ffffff" w:themeColor="background1" w:fill="ffffff" w:themeFill="background1"/>
        <w:tabs>
          <w:tab w:val="left" w:leader="none" w:pos="993"/>
        </w:tabs>
        <w:spacing w:after="120" w:before="120" w:line="276" w:lineRule="auto"/>
        <w:ind w:firstLine="0" w:left="0"/>
        <w:jc w:val="both"/>
        <w:rPr>
          <w:rFonts w:ascii="Times New Roman" w:hAnsi="Times New Roman" w:cs="Times New Roman"/>
          <w:b w:val="0"/>
          <w:bCs/>
          <w:i/>
          <w:highlight w:val="white"/>
        </w:rPr>
      </w:pPr>
      <w:r>
        <w:rPr>
          <w:rFonts w:ascii="Times New Roman" w:hAnsi="Times New Roman" w:eastAsia="Times New Roman" w:cs="Times New Roman"/>
          <w:b w:val="0"/>
          <w:bCs w:val="0"/>
          <w:i/>
          <w:iCs/>
          <w:highlight w:val="white"/>
          <w:lang w:val="pt-BR"/>
        </w:rPr>
      </w:r>
      <w:r>
        <w:rPr>
          <w:rFonts w:ascii="Times New Roman" w:hAnsi="Times New Roman" w:eastAsia="Times New Roman" w:cs="Times New Roman"/>
          <w:b w:val="0"/>
          <w:bCs w:val="0"/>
          <w:i/>
          <w:iCs/>
          <w:highlight w:val="white"/>
          <w:lang w:val="pt-BR"/>
        </w:rPr>
        <w:t xml:space="preserve">Nguồn:</w:t>
      </w:r>
      <w:r>
        <w:rPr>
          <w:rFonts w:ascii="Times New Roman" w:hAnsi="Times New Roman" w:eastAsia="Times New Roman" w:cs="Times New Roman"/>
          <w:b w:val="0"/>
          <w:bCs w:val="0"/>
          <w:i/>
          <w:iCs/>
          <w:highlight w:val="white"/>
          <w:lang w:val="pt-BR"/>
        </w:rPr>
        <w:t xml:space="preserve">https://thoibaotaichinhvietnam.vn/bat-dong-san-hai-phong-vao-song-tang-truong-187718.html</w:t>
      </w:r>
      <w:r>
        <w:rPr>
          <w:rFonts w:ascii="Times New Roman" w:hAnsi="Times New Roman" w:cs="Times New Roman"/>
          <w:b w:val="0"/>
          <w:bCs/>
          <w:i/>
          <w:highlight w:val="white"/>
        </w:rPr>
      </w:r>
      <w:r>
        <w:rPr>
          <w:rFonts w:ascii="Times New Roman" w:hAnsi="Times New Roman" w:cs="Times New Roman"/>
          <w:b w:val="0"/>
          <w:bCs/>
          <w:i/>
          <w:highlight w:val="white"/>
        </w:rPr>
      </w:r>
    </w:p>
    <w:p>
      <w:pPr>
        <w:pStyle w:val="1031"/>
        <w:pBdr/>
        <w:shd w:val="clear" w:color="ffffff" w:themeColor="background1" w:fill="ffffff" w:themeFill="background1"/>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rPr>
      </w:r>
    </w:p>
    <w:tbl>
      <w:tblPr>
        <w:tblStyle w:val="1035"/>
        <w:tblInd w:w="0" w:type="dxa"/>
        <w:tblW w:w="0" w:type="auto"/>
        <w:tblCellMar>
          <w:left w:w="108" w:type="dxa"/>
          <w:top w:w="0" w:type="dxa"/>
          <w:right w:w="108" w:type="dxa"/>
          <w:bottom w:w="0" w:type="dxa"/>
        </w:tblCellMa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Look w:val="04A0" w:firstRow="1" w:lastRow="0" w:firstColumn="1" w:lastColumn="0" w:noHBand="0" w:noVBand="1"/>
      </w:tblPr>
      <w:tblGrid>
        <w:gridCol w:w="730"/>
        <w:gridCol w:w="2475"/>
        <w:gridCol w:w="2089"/>
        <w:gridCol w:w="1364"/>
        <w:gridCol w:w="729"/>
        <w:gridCol w:w="1963"/>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I</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Thửa đất theo Giấy chứng nhận quyền sử dụng đất, quyền sở hữu nhà ở và tài sản khác gắn liền với đất số CL 048924 số vào sổ cấp GCN CH 04203 do UBND thị xã Chị Linh cấp ngày 12/12/2017 cho ông Nguyễn Đình Minh và Bà Vũ Thị Huệ</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Thửa đất số:</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15</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QH chia lô khu Ninh Chấp 7</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Phường Thái Học, Thị xã Chí Linh, Tỉnh Hải Dương</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i/>
                <w:color w:val="000000"/>
                <w:sz w:val="24"/>
                <w:highlight w:val="white"/>
              </w:rPr>
              <w:t xml:space="preserve">(Nay là phường Chu Văn An, tỉnh Hải Dương)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Diện tích (m²):</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90</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Sử dụng riêng: 90 m</w:t>
            </w:r>
            <w:r>
              <w:rPr>
                <w:rFonts w:ascii="Times New Roman" w:hAnsi="Times New Roman" w:eastAsia="Times New Roman" w:cs="Times New Roman"/>
                <w:color w:val="000000"/>
                <w:sz w:val="20"/>
                <w:highlight w:val="white"/>
                <w:vertAlign w:val="superscript"/>
              </w:rPr>
              <w:t xml:space="preserve">2</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Sử dụng chung: Không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Đất ở tại đô thị: 90m</w:t>
            </w:r>
            <w:r>
              <w:rPr>
                <w:rFonts w:ascii="Times New Roman" w:hAnsi="Times New Roman" w:eastAsia="Times New Roman" w:cs="Times New Roman"/>
                <w:color w:val="000000"/>
                <w:sz w:val="20"/>
                <w:highlight w:val="white"/>
                <w:vertAlign w:val="superscript"/>
              </w:rPr>
              <w:t xml:space="preserve">2</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Đất LNK: Không</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Lâu dài</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Nhà nước giao đất có thu tiền sử dụng đất</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Nhận chuyển nhượng quyền sử dụng đất của ông Nguyễn Văn Chu</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Thông tin quy hoạch:</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Tại thời điểm thẩm định giá, tổ thẩm không thu thập được thông tin quy hoạch liên quan đến thửa đất</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90</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Mặt tiền (m):</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4,5</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20</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Hình chữ nhật</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Hướng: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Đông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II</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Thửa đất theo Giấy chứng nhận quyền sử dụng đất, quyền sở hữu nhà ở và tài sản khác gắn liền với đất số CL 017167 số vào sổ cấp GCN CH 04210 do UBND thị xã Chị Linh cấp ngày 12/12/2017 cho ông Nguyễn Đình Minh và Bà Vũ Thị Huệ</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Thửa đất số:</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16</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QH chia lô khu Ninh Chấp 7</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Phường Thái Học, Thị xã Chí Linh, Tỉnh Hải Dương</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i/>
                <w:color w:val="000000"/>
                <w:sz w:val="24"/>
                <w:highlight w:val="white"/>
              </w:rPr>
              <w:t xml:space="preserve">(Nay là phường Chu Văn An, tỉnh Hải Dương)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Diện tích (m²):</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90</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6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Sử dụng riêng: 90 m</w:t>
            </w:r>
            <w:r>
              <w:rPr>
                <w:rFonts w:ascii="Times New Roman" w:hAnsi="Times New Roman" w:eastAsia="Times New Roman" w:cs="Times New Roman"/>
                <w:color w:val="000000"/>
                <w:sz w:val="20"/>
                <w:highlight w:val="white"/>
                <w:vertAlign w:val="superscript"/>
              </w:rPr>
              <w:t xml:space="preserve">2</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Sử dụng chung: Không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Đất ở tại đô thị: 90m</w:t>
            </w:r>
            <w:r>
              <w:rPr>
                <w:rFonts w:ascii="Times New Roman" w:hAnsi="Times New Roman" w:eastAsia="Times New Roman" w:cs="Times New Roman"/>
                <w:color w:val="000000"/>
                <w:sz w:val="20"/>
                <w:highlight w:val="white"/>
                <w:vertAlign w:val="superscript"/>
              </w:rPr>
              <w:t xml:space="preserve">2</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Lâu dài</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Nhà nước giao đất có thu tiền sử dụng đất</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Nhận chuyển nhượng QSDĐ của ông Đào Bá Long và bà Đặng Thị Nhàn</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Thông tin quy hoạch:</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Tại thời điểm thẩm định giá, tổ thẩm không thu thập được thông tin quy hoạch liên quan đến thửa đất</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90</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Mặt tiền (m):</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4,5</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20</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Hình chữ nhật</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Hướng: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Đông</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III</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Vị trí giao thông, hạ tầng của TSTĐ</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Quốc lộ 37</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Số mặt tiền:</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Tiếp giáp 1 mặt tiền</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 (m):</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20</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 (m):</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20</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Khoảng cách đến trục đường chính (m):</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 Tiếp giáp đường Quốc lộ 37</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Các hướng tiếp giáp: </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 Hướng Đông tiếp giáp đường quốc lộ 37</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 Các hướng còn lại tiếp giáp BĐS khác liền kề</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Vị trí trên bản đồ vệ tinh: (21.087, 106.39030555556)</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highlight w:val="white"/>
              </w:rPr>
              <mc:AlternateContent>
                <mc:Choice Requires="wpg">
                  <w:drawing>
                    <wp:inline xmlns:wp="http://schemas.openxmlformats.org/drawingml/2006/wordprocessingDrawing" distT="0" distB="0" distL="0" distR="0">
                      <wp:extent cx="5153025" cy="32480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45283" name=""/>
                              <pic:cNvPicPr>
                                <a:picLocks noChangeAspect="1"/>
                              </pic:cNvPicPr>
                              <pic:nvPr/>
                            </pic:nvPicPr>
                            <pic:blipFill rotWithShape="1">
                              <a:blip r:embed="rId17"/>
                              <a:stretch/>
                            </pic:blipFill>
                            <pic:spPr bwMode="auto">
                              <a:xfrm>
                                <a:off x="0" y="0"/>
                                <a:ext cx="5153024" cy="3248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5.75pt;height:255.75pt;mso-wrap-distance-left:0.00pt;mso-wrap-distance-top:0.00pt;mso-wrap-distance-right:0.00pt;mso-wrap-distance-bottom:0.00pt;z-index:1;" stroked="false">
                      <v:imagedata r:id="rId17" o:title=""/>
                      <o:lock v:ext="edit" rotation="t"/>
                    </v:shape>
                  </w:pict>
                </mc:Fallback>
              </mc:AlternateConten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2.3.</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Hạ tầng nội bộ:</w:t>
            </w:r>
            <w:r>
              <w:rPr>
                <w:highlight w:val="white"/>
              </w:rPr>
            </w:r>
            <w:r>
              <w:rPr>
                <w:highlight w:val="white"/>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Hạ tầng cấp nước: Nước máy, Hạ tầng thoát nước: Rãnh có nắp, Hạ tầng cấp điện: Điện lưới, Hạ tầng thông tin liên lạc: Điện thoại, Mạng internet, Truyền hình cáp</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Mật độ dân cư:</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Cao/đông đúc</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Khá</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Tốt</w:t>
            </w:r>
            <w:r>
              <w:rPr>
                <w:highlight w:val="white"/>
              </w:rPr>
            </w:r>
            <w:r>
              <w:rPr>
                <w:highlight w:val="white"/>
              </w:rPr>
            </w:r>
          </w:p>
        </w:tc>
        <w:tc>
          <w:tcPr>
            <w:gridSpan w:val="2"/>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color w:val="000000"/>
                <w:sz w:val="24"/>
                <w:highlight w:val="white"/>
              </w:rPr>
              <w:t xml:space="preserve"> Tốt</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IV</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rPr>
                <w:highlight w:val="white"/>
              </w:rPr>
            </w:pPr>
            <w:r>
              <w:rPr>
                <w:rFonts w:ascii="Times New Roman" w:hAnsi="Times New Roman" w:eastAsia="Times New Roman" w:cs="Times New Roman"/>
                <w:b/>
                <w:color w:val="000000"/>
                <w:sz w:val="24"/>
                <w:highlight w:val="white"/>
              </w:rPr>
              <w:t xml:space="preserve">Tài sản gắn liền với đất</w:t>
            </w:r>
            <w:r>
              <w:rPr>
                <w:highlight w:val="white"/>
              </w:rPr>
            </w:r>
            <w:r>
              <w:rPr>
                <w:highlight w:val="white"/>
              </w:rPr>
            </w:r>
          </w:p>
        </w:tc>
      </w:tr>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5"/>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 Công trình xây dựng theo hiện trạng khải sát là nhà 05 tầng nổi + 1 tầng hầm. Theo thực tế công trình xây dựng khác so với công trình được cấp phép theo Giấy phép xây dựng số 343/GPXD-UBND được UBND thị xã Chí Linh cấp ngày 20/4/2018. </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 Do đó, theo yêu cầu của khách hàng tổ thẩm định xác định giá trị công trình xây dựng căn cứ theo Giấy phép xây dựng số 343/GPXD-UBND là: Nhà 03 tầng + tum được xây dựng liền khối trên hai thủa đất là số 16 và thửa đất số 15, diện tích sàn xây dựng 525,6m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kết cấu mái bằng BTCT tường xây gạch. Công trình hoàn thiện năm 2020 đang sử dụng bình thường, hiện trạng ngoại quan còn mới chưa có dấu hiệu xuống cấp.</w:t>
            </w:r>
            <w:r>
              <w:rPr>
                <w:highlight w:val="white"/>
              </w:rPr>
            </w:r>
            <w:r>
              <w:rPr>
                <w:highlight w:val="white"/>
              </w:rPr>
            </w:r>
          </w:p>
        </w:tc>
      </w:tr>
    </w:tbl>
    <w:p>
      <w:pPr>
        <w:pBdr/>
        <w:shd w:val="clear" w:color="ffffff" w:themeColor="background1" w:fill="ffffff" w:themeFill="background1"/>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669"/>
        <w:gridCol w:w="1417"/>
        <w:gridCol w:w="1702"/>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Đất/Tài sản bám biển</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Bám đầm, ao lớn thuộc sở hữu nhà nước (ao lớn - S=0.5ha)&lt;5ha</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bl>
    <w:p>
      <w:pPr>
        <w:pBdr/>
        <w:shd w:val="clear" w:color="ffffff" w:themeColor="background1" w:fill="ffffff" w:themeFill="background1"/>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hd w:val="clear" w:color="ffffff" w:themeColor="background1" w:fill="ffffff" w:themeFill="background1"/>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669"/>
        <w:gridCol w:w="1417"/>
        <w:gridCol w:w="1702"/>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10</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11</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12</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13</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14</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16</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17</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18</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19</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20</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21</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22</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23</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gần đường sắt&lt;=50m</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24</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25</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Đất nằm dưới chân cầu, đường dốc cao (Thế bị xung</w:t>
            </w:r>
            <w:r>
              <w:rPr>
                <w:highlight w:val="white"/>
                <w:lang w:eastAsia="ko-KR"/>
              </w:rPr>
              <w:t xml:space="preserve"> :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hd w:val="clear" w:color="ffffff" w:themeColor="background1" w:fill="ffffff" w:themeFill="background1"/>
              <w:spacing w:line="235" w:lineRule="auto"/>
              <w:ind/>
              <w:jc w:val="center"/>
              <w:rPr>
                <w:highlight w:val="white"/>
              </w:rPr>
            </w:pPr>
            <w:r>
              <w:rPr>
                <w:highlight w:val="white"/>
                <w:lang w:eastAsia="ko-KR"/>
              </w:rPr>
              <w:t xml:space="preserve">26</w:t>
            </w:r>
            <w:r>
              <w:rPr>
                <w:highlight w:val="white"/>
                <w:lang w:eastAsia="ko-KR"/>
              </w:rPr>
            </w:r>
            <w:r>
              <w:rPr>
                <w:highlight w:val="white"/>
              </w:rPr>
            </w:r>
          </w:p>
        </w:tc>
        <w:tc>
          <w:tcPr>
            <w:tcBorders/>
            <w:tcMar>
              <w:left w:w="45" w:type="dxa"/>
              <w:top w:w="0" w:type="dxa"/>
              <w:right w:w="45" w:type="dxa"/>
              <w:bottom w:w="0" w:type="dxa"/>
            </w:tcMar>
            <w:tcW w:w="5669" w:type="dxa"/>
            <w:vAlign w:val="center"/>
            <w:textDirection w:val="lrTb"/>
            <w:noWrap w:val="false"/>
          </w:tcPr>
          <w:p>
            <w:pPr>
              <w:widowControl w:val="false"/>
              <w:pBdr/>
              <w:shd w:val="clear" w:color="ffffff" w:themeColor="background1" w:fill="ffffff" w:themeFill="background1"/>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rPr>
            </w:r>
          </w:p>
        </w:tc>
        <w:tc>
          <w:tcPr>
            <w:tcBorders/>
            <w:tcW w:w="1417" w:type="dxa"/>
            <w:vAlign w:val="center"/>
            <w:textDirection w:val="lrTb"/>
            <w:noWrap w:val="false"/>
          </w:tcPr>
          <w:p>
            <w:pPr>
              <w:widowControl w:val="false"/>
              <w:pBdr/>
              <w:shd w:val="clear" w:color="ffffff" w:themeColor="background1" w:fill="ffffff" w:themeFill="background1"/>
              <w:spacing w:line="235" w:lineRule="auto"/>
              <w:ind w:left="144"/>
              <w:jc w:val="center"/>
              <w:rPr>
                <w:highlight w:val="white"/>
              </w:rPr>
            </w:pPr>
            <w:r>
              <w:rPr>
                <w:highlight w:val="white"/>
              </w:rPr>
              <w:t xml:space="preserve">Không</w:t>
            </w:r>
            <w:r>
              <w:rPr>
                <w:highlight w:val="white"/>
              </w:rPr>
            </w:r>
            <w:r>
              <w:rPr>
                <w:highlight w:val="white"/>
              </w:rPr>
            </w:r>
          </w:p>
        </w:tc>
        <w:tc>
          <w:tcPr>
            <w:tcBorders/>
            <w:tcW w:w="1702" w:type="dxa"/>
            <w:vAlign w:val="center"/>
            <w:textDirection w:val="lrTb"/>
            <w:noWrap w:val="false"/>
          </w:tcPr>
          <w:p>
            <w:pPr>
              <w:widowControl w:val="false"/>
              <w:pBdr/>
              <w:shd w:val="clear" w:color="ffffff" w:themeColor="background1" w:fill="ffffff" w:themeFill="background1"/>
              <w:spacing w:line="235" w:lineRule="auto"/>
              <w:ind w:left="144"/>
              <w:rPr>
                <w:highlight w:val="white"/>
              </w:rPr>
            </w:pPr>
            <w:r>
              <w:rPr>
                <w:highlight w:val="white"/>
                <w:lang w:eastAsia="ko-KR"/>
              </w:rPr>
            </w:r>
            <w:r>
              <w:rPr>
                <w:highlight w:val="white"/>
                <w:lang w:eastAsia="ko-KR"/>
              </w:rPr>
            </w:r>
            <w:r>
              <w:rPr>
                <w:highlight w:val="white"/>
              </w:rPr>
            </w:r>
          </w:p>
        </w:tc>
      </w:tr>
    </w:tbl>
    <w:p>
      <w:pPr>
        <w:pStyle w:val="1031"/>
        <w:pBdr/>
        <w:shd w:val="clear" w:color="ffffff" w:themeColor="background1" w:fill="ffffff" w:themeFill="background1"/>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rPr>
      </w:r>
    </w:p>
    <w:p>
      <w:pPr>
        <w:pStyle w:val="1031"/>
        <w:numPr>
          <w:ilvl w:val="0"/>
          <w:numId w:val="3"/>
        </w:numPr>
        <w:pBdr/>
        <w:shd w:val="clear" w:color="ffffff" w:themeColor="background1" w:fill="ffffff" w:themeFill="background1"/>
        <w:tabs>
          <w:tab w:val="left" w:leader="none" w:pos="993"/>
        </w:tabs>
        <w:spacing w:after="120" w:before="120" w:line="264" w:lineRule="auto"/>
        <w:ind/>
        <w:jc w:val="both"/>
        <w:rPr>
          <w:highlight w:val="white"/>
        </w:rPr>
      </w:pPr>
      <w:r>
        <w:rPr>
          <w:spacing w:val="-2"/>
          <w:highlight w:val="white"/>
          <w:lang w:val="pt-BR"/>
        </w:rPr>
        <w:t xml:space="preserve">- Công trình xây dựng theo hiện trạng khải sát là nhà 05 tầng nổi + 1 tầng hầm. Theo thực tế công trình xây dựng khác so với công trình được cấp phép theo Giấy phép xây dựng số 343/GPXD-UBND được UBND thị xã Chí Linh cấp ngày 20/4/2018. </w:t>
      </w:r>
      <w:r>
        <w:rPr>
          <w:spacing w:val="-2"/>
          <w:highlight w:val="white"/>
          <w:lang w:val="pt-BR"/>
        </w:rPr>
        <w:t xml:space="preserve">Do đó, theo yêu cầu của khách hàng tổ thẩm định xác định giá trị công trình xây dựng căn cứ theo Giấy phép xây dựng số 343/GPXD-UBND là: Nhà 03 tầng + tum được xây dựng liền khối trên hai thủa đất là số 16 và thửa đất số 15, diện tích sàn xây dựng 525,6m2</w:t>
      </w:r>
      <w:r>
        <w:rPr>
          <w:spacing w:val="-2"/>
          <w:highlight w:val="white"/>
          <w:lang w:val="pt-BR"/>
        </w:rPr>
        <w:t xml:space="preserve">, kết cấu mái bằng BTCT tường xây gạch. Công trình hoàn thiện năm 2020 đang sử dụng bình thường, hiện trạng ngoại quan còn mới chưa có dấu hiệu xuống cấp.</w:t>
      </w:r>
      <w:r>
        <w:rPr>
          <w:highlight w:val="white"/>
        </w:rPr>
      </w:r>
      <w:r>
        <w:rPr>
          <w:highlight w:val="white"/>
        </w:rPr>
      </w:r>
      <w:r>
        <w:rPr>
          <w:highlight w:val="none"/>
        </w:rPr>
      </w:r>
      <w:r>
        <w:rPr>
          <w:highlight w:val="none"/>
        </w:rPr>
      </w:r>
      <w:r>
        <w:rPr>
          <w:highlight w:val="none"/>
        </w:rPr>
      </w:r>
      <w:r>
        <w:rPr>
          <w:highlight w:val="white"/>
        </w:rPr>
      </w:r>
    </w:p>
    <w:p>
      <w:pPr>
        <w:pStyle w:val="1031"/>
        <w:numPr>
          <w:ilvl w:val="0"/>
          <w:numId w:val="3"/>
        </w:numPr>
        <w:pBdr/>
        <w:shd w:val="clear" w:color="ffffff" w:themeColor="background1" w:fill="ffffff" w:themeFill="background1"/>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rPr>
      </w:r>
    </w:p>
    <w:p>
      <w:pPr>
        <w:pStyle w:val="1031"/>
        <w:numPr>
          <w:ilvl w:val="0"/>
          <w:numId w:val="3"/>
        </w:numPr>
        <w:pBdr/>
        <w:shd w:val="clear" w:color="ffffff" w:themeColor="background1" w:fill="ffffff" w:themeFill="background1"/>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rPr>
      </w:r>
    </w:p>
    <w:p>
      <w:pPr>
        <w:pBdr/>
        <w:shd w:val="clear" w:color="ffffff" w:themeColor="background1" w:fill="ffffff" w:themeFill="background1"/>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rPr>
      </w:r>
    </w:p>
    <w:p>
      <w:pPr>
        <w:pStyle w:val="1031"/>
        <w:numPr>
          <w:ilvl w:val="0"/>
          <w:numId w:val="3"/>
        </w:numPr>
        <w:pBdr/>
        <w:shd w:val="clear" w:color="ffffff" w:themeColor="background1" w:fill="ffffff" w:themeFill="background1"/>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rPr>
      </w:r>
    </w:p>
    <w:p>
      <w:pPr>
        <w:pBdr/>
        <w:shd w:val="clear" w:color="ffffff" w:themeColor="background1" w:fill="ffffff" w:themeFill="background1"/>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rPr>
      </w:r>
    </w:p>
    <w:p>
      <w:pPr>
        <w:pStyle w:val="1031"/>
        <w:numPr>
          <w:ilvl w:val="0"/>
          <w:numId w:val="24"/>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rPr>
      </w:r>
    </w:p>
    <w:p>
      <w:pPr>
        <w:pStyle w:val="1031"/>
        <w:numPr>
          <w:ilvl w:val="0"/>
          <w:numId w:val="3"/>
        </w:numPr>
        <w:pBdr/>
        <w:shd w:val="clear" w:color="ffffff" w:themeColor="background1" w:fill="ffffff" w:themeFill="background1"/>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rPr>
      </w:r>
    </w:p>
    <w:p>
      <w:pPr>
        <w:pStyle w:val="1031"/>
        <w:numPr>
          <w:ilvl w:val="0"/>
          <w:numId w:val="3"/>
        </w:numPr>
        <w:pBdr/>
        <w:shd w:val="clear" w:color="ffffff" w:themeColor="background1" w:fill="ffffff" w:themeFill="background1"/>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rPr>
      </w:r>
    </w:p>
    <w:p>
      <w:pPr>
        <w:pStyle w:val="1031"/>
        <w:numPr>
          <w:ilvl w:val="0"/>
          <w:numId w:val="3"/>
        </w:numPr>
        <w:pBdr/>
        <w:shd w:val="clear" w:color="ffffff" w:themeColor="background1" w:fill="ffffff" w:themeFill="background1"/>
        <w:spacing w:after="60" w:before="60" w:line="276" w:lineRule="auto"/>
        <w:ind/>
        <w:jc w:val="both"/>
        <w:rPr>
          <w:highlight w:val="white"/>
        </w:rPr>
      </w:pPr>
      <w:r>
        <w:rPr>
          <w:i/>
          <w:iCs/>
          <w:highlight w:val="white"/>
          <w:lang w:val="vi-VN"/>
        </w:rPr>
        <w:t xml:space="preserve">Cách tiếp cận từ chi phí</w:t>
      </w:r>
      <w:r>
        <w:rPr>
          <w:i/>
          <w:iCs/>
          <w:highlight w:val="white"/>
        </w:rPr>
        <w:t xml:space="preserve">:</w:t>
      </w:r>
      <w:r>
        <w:rPr>
          <w:i/>
          <w:iCs/>
          <w:highlight w:val="white"/>
          <w:lang w:val="vi-VN"/>
        </w:rPr>
        <w:t xml:space="preserve"> </w:t>
      </w:r>
      <w:r>
        <w:rPr>
          <w:highlight w:val="white"/>
        </w:rPr>
        <w:t xml:space="preserve">L</w:t>
      </w:r>
      <w:r>
        <w:rPr>
          <w:highlight w:val="whit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white"/>
          <w:lang w:val="pt-BR"/>
        </w:rPr>
        <w:t xml:space="preserve">.</w:t>
      </w:r>
      <w:r>
        <w:rPr>
          <w:highlight w:val="white"/>
          <w:lang w:val="pt-BR"/>
        </w:rPr>
      </w:r>
      <w:r>
        <w:rPr>
          <w:highlight w:val="white"/>
        </w:rPr>
      </w:r>
    </w:p>
    <w:p>
      <w:pPr>
        <w:pStyle w:val="1031"/>
        <w:numPr>
          <w:ilvl w:val="0"/>
          <w:numId w:val="3"/>
        </w:numPr>
        <w:pBdr/>
        <w:shd w:val="clear" w:color="ffffff" w:themeColor="background1" w:fill="ffffff" w:themeFill="background1"/>
        <w:tabs>
          <w:tab w:val="left" w:leader="none" w:pos="993"/>
        </w:tabs>
        <w:spacing w:after="120" w:before="120" w:line="264" w:lineRule="auto"/>
        <w:ind/>
        <w:jc w:val="both"/>
        <w:rPr>
          <w:spacing w:val="-2"/>
          <w:highlight w:val="white"/>
        </w:rPr>
      </w:pPr>
      <w:r>
        <w:rPr>
          <w:i/>
          <w:iCs/>
          <w:highlight w:val="white"/>
          <w:lang w:val="vi-VN"/>
        </w:rPr>
        <w:t xml:space="preserve">Phương pháp chi phí thay thế</w:t>
      </w:r>
      <w:r>
        <w:rPr>
          <w:i/>
          <w:iCs/>
          <w:highlight w:val="white"/>
        </w:rPr>
        <w:t xml:space="preserve">:</w:t>
      </w:r>
      <w:r>
        <w:rPr>
          <w:highlight w:val="white"/>
          <w:lang w:val="vi-VN"/>
        </w:rPr>
        <w:t xml:space="preserve"> </w:t>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white"/>
          <w:lang w:val="pt-BR"/>
        </w:rPr>
        <w:t xml:space="preserve">.</w:t>
      </w:r>
      <w:r>
        <w:rPr>
          <w:spacing w:val="-2"/>
          <w:highlight w:val="white"/>
          <w:lang w:val="pt-BR"/>
        </w:rPr>
      </w:r>
      <w:r>
        <w:rPr>
          <w:spacing w:val="-2"/>
          <w:highlight w:val="white"/>
        </w:rPr>
      </w:r>
    </w:p>
    <w:p>
      <w:pPr>
        <w:pStyle w:val="1031"/>
        <w:numPr>
          <w:ilvl w:val="0"/>
          <w:numId w:val="24"/>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rPr>
      </w:r>
    </w:p>
    <w:p>
      <w:pPr>
        <w:pStyle w:val="1031"/>
        <w:numPr>
          <w:ilvl w:val="0"/>
          <w:numId w:val="3"/>
        </w:numPr>
        <w:pBdr/>
        <w:shd w:val="clear" w:color="ffffff" w:themeColor="background1" w:fill="ffffff" w:themeFill="background1"/>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rPr>
      </w:r>
    </w:p>
    <w:p>
      <w:pPr>
        <w:pStyle w:val="1031"/>
        <w:numPr>
          <w:ilvl w:val="0"/>
          <w:numId w:val="3"/>
        </w:numPr>
        <w:pBdr/>
        <w:shd w:val="clear" w:color="ffffff" w:themeColor="background1" w:fill="ffffff" w:themeFill="background1"/>
        <w:spacing w:after="120" w:before="120" w:line="276" w:lineRule="auto"/>
        <w:ind/>
        <w:jc w:val="both"/>
        <w:rPr>
          <w:highlight w:val="white"/>
        </w:rPr>
      </w:pPr>
      <w:r>
        <w:rPr>
          <w:spacing w:val="-4"/>
          <w:highlight w:val="white"/>
          <w:lang w:val="pt-BR"/>
        </w:rPr>
        <w:t xml:space="preserve">Đối với công trình xây dựng gắn liền trên đất, tại thời điểm thẩm định giá, qua thu thập thông tin từ thị trường, Tổ thẩm định nh</w:t>
      </w:r>
      <w:r>
        <w:rPr>
          <w:spacing w:val="-4"/>
          <w:highlight w:val="whit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highlight w:val="whit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highlight w:val="white"/>
          <w:lang w:val="pt-BR"/>
        </w:rPr>
        <w:t xml:space="preserve">tài sản so sánh và </w:t>
      </w:r>
      <w:r>
        <w:rPr>
          <w:spacing w:val="-4"/>
          <w:highlight w:val="white"/>
          <w:lang w:val="pt-BR"/>
        </w:rPr>
        <w:t xml:space="preserve">tài sản thẩm định</w:t>
      </w:r>
      <w:r>
        <w:rPr>
          <w:spacing w:val="-2"/>
          <w:highlight w:val="white"/>
          <w:lang w:val="pt-BR"/>
        </w:rPr>
        <w:t xml:space="preserve">.</w:t>
      </w:r>
      <w:r>
        <w:rPr>
          <w:highlight w:val="white"/>
          <w:lang w:val="de-DE"/>
        </w:rPr>
      </w:r>
      <w:r>
        <w:rPr>
          <w:highlight w:val="white"/>
        </w:rPr>
      </w:r>
    </w:p>
    <w:p>
      <w:pPr>
        <w:pStyle w:val="1031"/>
        <w:pBdr/>
        <w:shd w:val="clear" w:color="ffffff" w:themeColor="background1" w:fill="ffffff" w:themeFill="background1"/>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rPr>
      </w:r>
    </w:p>
    <w:p>
      <w:pPr>
        <w:pStyle w:val="1031"/>
        <w:numPr>
          <w:ilvl w:val="0"/>
          <w:numId w:val="26"/>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rPr>
      </w:r>
    </w:p>
    <w:p>
      <w:pPr>
        <w:pStyle w:val="1031"/>
        <w:pBdr/>
        <w:shd w:val="clear" w:color="ffffff" w:themeColor="background1" w:fill="ffffff" w:themeFill="background1"/>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highlight w:val="white"/>
          <w:lang w:val="pt-BR"/>
        </w:rPr>
      </w:r>
      <w:r>
        <w:rPr>
          <w:bCs/>
          <w:highlight w:val="white"/>
        </w:rPr>
      </w:r>
    </w:p>
    <w:p>
      <w:pPr>
        <w:pStyle w:val="1031"/>
        <w:numPr>
          <w:ilvl w:val="0"/>
          <w:numId w:val="6"/>
        </w:numPr>
        <w:pBdr/>
        <w:shd w:val="clear" w:color="ffffff" w:themeColor="background1" w:fill="ffffff" w:themeFill="background1"/>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92"/>
        <w:gridCol w:w="1843"/>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hd w:val="clear" w:color="ffffff" w:themeColor="background1" w:fill="ffffff" w:themeFill="background1"/>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7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Phường Chu Văn An,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Phường Chu Văn An,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Phường Chu Văn An, thành phố Hải Phòng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Phường Chu Văn An, thành phố Hải Phòng</w:t>
            </w:r>
            <w:r>
              <w:rPr>
                <w:sz w:val="22"/>
                <w:szCs w:val="22"/>
                <w:highlight w:val="white"/>
              </w:rPr>
            </w:r>
            <w:r>
              <w:rPr>
                <w:sz w:val="22"/>
                <w:szCs w:val="22"/>
                <w:highlight w:val="white"/>
              </w:rPr>
            </w:r>
          </w:p>
        </w:tc>
      </w:tr>
      <w:tr>
        <w:trPr>
          <w:trHeight w:val="48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098240727</w:t>
            </w:r>
            <w:r>
              <w:rPr>
                <w:sz w:val="22"/>
                <w:szCs w:val="22"/>
                <w:highlight w:val="white"/>
              </w:rPr>
              <w:br/>
              <w:t xml:space="preserve">(</w:t>
            </w:r>
            <w:r>
              <w:rPr>
                <w:sz w:val="22"/>
                <w:szCs w:val="22"/>
                <w:highlight w:val="white"/>
              </w:rPr>
              <w:t xml:space="preserve">Sale</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0982407272</w:t>
            </w:r>
            <w:r>
              <w:rPr>
                <w:sz w:val="22"/>
                <w:szCs w:val="22"/>
                <w:highlight w:val="white"/>
              </w:rPr>
              <w:t xml:space="preserve"> (</w:t>
            </w:r>
            <w:r>
              <w:rPr>
                <w:sz w:val="22"/>
                <w:szCs w:val="22"/>
                <w:highlight w:val="white"/>
              </w:rPr>
              <w:t xml:space="preserve">Sale</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sz w:val="22"/>
                <w:szCs w:val="22"/>
                <w:highlight w:val="white"/>
              </w:rPr>
            </w:pPr>
            <w:r>
              <w:rPr>
                <w:sz w:val="22"/>
                <w:szCs w:val="22"/>
                <w:highlight w:val="white"/>
              </w:rPr>
              <w:t xml:space="preserve">SĐT: </w:t>
            </w:r>
            <w:r>
              <w:rPr>
                <w:color w:val="000000" w:themeColor="text1"/>
                <w:sz w:val="22"/>
                <w:szCs w:val="22"/>
                <w:highlight w:val="white"/>
              </w:rPr>
              <w:t xml:space="preserve">0979329681</w:t>
            </w:r>
            <w:r>
              <w:rPr>
                <w:sz w:val="22"/>
                <w:szCs w:val="22"/>
                <w:highlight w:val="white"/>
              </w:rPr>
              <w:t xml:space="preserve"> (</w:t>
            </w:r>
            <w:r>
              <w:rPr>
                <w:sz w:val="22"/>
                <w:szCs w:val="22"/>
                <w:highlight w:val="white"/>
              </w:rPr>
              <w:t xml:space="preserve">Sale</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tại: Phường Chu Văn An, thành phố Hải Phòng, đường QL 37, độ rộng đường trước mặt tài sản 20m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tại: Phường Chu Văn An, thành phố Hải Phòng, đường QL 37, độ rộng đường trước mặt tài sản 20m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tại: Phường Chu Văn An, thành phố Hải Phòng, đường QL 37, độ rộng đường trước mặt tài sản 20m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Tài sản tại: Phường Chu Văn An, thành phố Hải Phòng, cách đường QL37 khoảng 200m, độ rộng đường trước mặt tài sản 10,5m.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Tốt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Tốt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Tốt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123,5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123,5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120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5,25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5,25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val="0"/>
                <w:bCs w:val="0"/>
                <w:color w:val="000000"/>
                <w:sz w:val="22"/>
                <w:szCs w:val="22"/>
                <w:highlight w:val="white"/>
              </w:rPr>
            </w:pPr>
            <w:r>
              <w:rPr>
                <w:b w:val="0"/>
                <w:bCs w:val="0"/>
                <w:color w:val="000000" w:themeColor="text1"/>
                <w:sz w:val="22"/>
                <w:szCs w:val="22"/>
                <w:highlight w:val="white"/>
              </w:rPr>
              <w:t xml:space="preserve">2.800.000.000</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b w:val="0"/>
                <w:bCs w:val="0"/>
                <w:color w:val="000000"/>
                <w:sz w:val="22"/>
                <w:szCs w:val="22"/>
                <w:highlight w:val="white"/>
              </w:rPr>
            </w:pPr>
            <w:r>
              <w:rPr>
                <w:b w:val="0"/>
                <w:bCs w:val="0"/>
                <w:color w:val="000000" w:themeColor="text1"/>
                <w:sz w:val="22"/>
                <w:szCs w:val="22"/>
                <w:highlight w:val="white"/>
              </w:rPr>
              <w:t xml:space="preserve">2.800.000.000</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b w:val="0"/>
                <w:bCs w:val="0"/>
                <w:color w:val="000000"/>
                <w:sz w:val="22"/>
                <w:szCs w:val="22"/>
                <w:highlight w:val="white"/>
              </w:rPr>
            </w:pPr>
            <w:r>
              <w:rPr>
                <w:b w:val="0"/>
                <w:bCs w:val="0"/>
                <w:color w:val="000000" w:themeColor="text1"/>
                <w:sz w:val="22"/>
                <w:szCs w:val="22"/>
                <w:highlight w:val="white"/>
              </w:rPr>
              <w:t xml:space="preserve">1.800.000.000</w:t>
            </w:r>
            <w:r>
              <w:rPr>
                <w:b w:val="0"/>
                <w:bCs w:val="0"/>
                <w:color w:val="000000"/>
                <w:sz w:val="22"/>
                <w:szCs w:val="22"/>
                <w:highlight w:val="white"/>
              </w:rPr>
            </w:r>
            <w:r>
              <w:rPr>
                <w:b w:val="0"/>
                <w:bCs w:val="0"/>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b w:val="0"/>
                <w:bCs w:val="0"/>
                <w:color w:val="000000"/>
                <w:sz w:val="22"/>
                <w:szCs w:val="22"/>
                <w:highlight w:val="white"/>
              </w:rPr>
            </w:pPr>
            <w:r>
              <w:rPr>
                <w:b w:val="0"/>
                <w:bCs w:val="0"/>
                <w:color w:val="000000" w:themeColor="text1"/>
                <w:sz w:val="22"/>
                <w:szCs w:val="22"/>
                <w:highlight w:val="white"/>
              </w:rPr>
              <w:t xml:space="preserve">2.520.000.000</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ind/>
              <w:jc w:val="center"/>
              <w:rPr>
                <w:b w:val="0"/>
                <w:bCs w:val="0"/>
                <w:color w:val="000000"/>
                <w:sz w:val="22"/>
                <w:szCs w:val="22"/>
                <w:highlight w:val="white"/>
              </w:rPr>
            </w:pPr>
            <w:r>
              <w:rPr>
                <w:b w:val="0"/>
                <w:bCs w:val="0"/>
                <w:color w:val="000000" w:themeColor="text1"/>
                <w:sz w:val="22"/>
                <w:szCs w:val="22"/>
                <w:highlight w:val="white"/>
              </w:rPr>
              <w:t xml:space="preserve">2.520.000.000</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ind/>
              <w:jc w:val="center"/>
              <w:rPr>
                <w:b w:val="0"/>
                <w:bCs w:val="0"/>
                <w:color w:val="000000"/>
                <w:sz w:val="22"/>
                <w:szCs w:val="22"/>
                <w:highlight w:val="white"/>
              </w:rPr>
            </w:pPr>
            <w:r>
              <w:rPr>
                <w:b w:val="0"/>
                <w:bCs w:val="0"/>
                <w:color w:val="000000" w:themeColor="text1"/>
                <w:sz w:val="22"/>
                <w:szCs w:val="22"/>
                <w:highlight w:val="white"/>
              </w:rPr>
              <w:t xml:space="preserve">1.620.000.000</w:t>
            </w:r>
            <w:r>
              <w:rPr>
                <w:b w:val="0"/>
                <w:bCs w:val="0"/>
                <w:color w:val="000000"/>
                <w:sz w:val="22"/>
                <w:szCs w:val="22"/>
                <w:highlight w:val="white"/>
              </w:rPr>
            </w:r>
            <w:r>
              <w:rPr>
                <w:b w:val="0"/>
                <w:bCs w:val="0"/>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2.520.000.000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2.520.000.000</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1.620.000.000</w:t>
            </w:r>
            <w:r>
              <w:rPr>
                <w:b/>
                <w:bCs/>
                <w:color w:val="000000"/>
                <w:sz w:val="22"/>
                <w:szCs w:val="22"/>
                <w:highlight w:val="white"/>
              </w:rPr>
            </w:r>
            <w:r>
              <w:rPr>
                <w:b/>
                <w:bCs/>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20.404.858</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20.404.858</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13.500.000</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clear" w:color="ffffff" w:themeColor="background1" w:fill="ffffff" w:themeFill="background1"/>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clear" w:color="ffffff" w:themeColor="background1" w:fill="ffffff" w:themeFill="background1"/>
              <w:spacing/>
              <w:ind/>
              <w:jc w:val="center"/>
              <w:rPr>
                <w:color w:val="000000" w:themeColor="text1"/>
                <w:sz w:val="22"/>
                <w:szCs w:val="22"/>
                <w:highlight w:val="white"/>
              </w:rPr>
            </w:pPr>
            <w:r>
              <w:rPr>
                <w:color w:val="000000" w:themeColor="text1"/>
                <w:sz w:val="22"/>
                <w:szCs w:val="22"/>
                <w:highlight w:val="white"/>
              </w:rPr>
              <w:t xml:space="preserve">12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clear" w:color="ffffff" w:themeColor="background1" w:fill="ffffff" w:themeFill="background1"/>
              <w:spacing w:line="264" w:lineRule="auto"/>
              <w:ind/>
              <w:rPr>
                <w:color w:val="000000" w:themeColor="text1"/>
                <w:sz w:val="22"/>
                <w:szCs w:val="22"/>
                <w:highlight w:val="white"/>
              </w:rPr>
            </w:pPr>
            <w:r>
              <w:rPr>
                <w:color w:val="000000" w:themeColor="text1"/>
                <w:sz w:val="22"/>
                <w:szCs w:val="22"/>
                <w:highlight w:val="white"/>
              </w:rPr>
              <w:t xml:space="preserve">Lợi thế kinh doanh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hd w:val="clear" w:color="ffffff" w:themeColor="background1" w:fill="ffffff" w:themeFill="background1"/>
              <w:spacing w:line="264"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Kém lợi thế hớn</w:t>
            </w:r>
            <w:r>
              <w:rPr>
                <w:color w:val="000000"/>
                <w:sz w:val="22"/>
                <w:szCs w:val="22"/>
                <w:highlight w:val="white"/>
              </w:rPr>
            </w:r>
            <w:r>
              <w:rPr>
                <w:color w:val="000000"/>
                <w:sz w:val="22"/>
                <w:szCs w:val="22"/>
                <w:highlight w:val="white"/>
              </w:rPr>
            </w:r>
          </w:p>
        </w:tc>
      </w:tr>
    </w:tbl>
    <w:p>
      <w:pPr>
        <w:pBdr/>
        <w:shd w:val="clear" w:color="ffffff" w:themeColor="background1" w:fill="ffffff" w:themeFill="background1"/>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dựa trên ba tài sản so sánh tương đồng với tài sản thẩm định giá, Tổ thẩm định phân tích các </w:t>
      </w:r>
      <w:r>
        <w:rPr>
          <w:highlight w:val="white"/>
          <w:lang w:val="it-IT"/>
        </w:rPr>
        <w:t xml:space="preserve">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rPr>
      </w:r>
    </w:p>
    <w:p>
      <w:pPr>
        <w:pBdr/>
        <w:shd w:val="clear" w:color="ffffff" w:themeColor="background1" w:fill="ffffff" w:themeFill="background1"/>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rPr>
      </w:r>
    </w:p>
    <w:p>
      <w:pPr>
        <w:pStyle w:val="1031"/>
        <w:numPr>
          <w:ilvl w:val="0"/>
          <w:numId w:val="6"/>
        </w:numPr>
        <w:pBdr/>
        <w:shd w:val="clear" w:color="ffffff" w:themeColor="background1" w:fill="ffffff" w:themeFill="background1"/>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rPr>
      </w:r>
    </w:p>
    <w:tbl>
      <w:tblPr>
        <w:tblInd w:w="-16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W w:w="738"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8"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0"/>
                <w:szCs w:val="20"/>
                <w:highlight w:val="white"/>
              </w:rPr>
            </w:pPr>
            <w:r>
              <w:rPr>
                <w:color w:val="000000" w:themeColor="text1"/>
                <w:sz w:val="22"/>
                <w:szCs w:val="22"/>
                <w:highlight w:val="white"/>
              </w:rPr>
              <w:t xml:space="preserve">2.520.000.000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0"/>
                <w:szCs w:val="20"/>
                <w:highlight w:val="white"/>
              </w:rPr>
            </w:pPr>
            <w:r>
              <w:rPr>
                <w:color w:val="000000" w:themeColor="text1"/>
                <w:sz w:val="22"/>
                <w:szCs w:val="22"/>
                <w:highlight w:val="white"/>
              </w:rPr>
              <w:t xml:space="preserve">2.520.000.000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0"/>
                <w:szCs w:val="20"/>
                <w:highlight w:val="white"/>
              </w:rPr>
            </w:pPr>
            <w:r>
              <w:rPr>
                <w:color w:val="000000" w:themeColor="text1"/>
                <w:sz w:val="22"/>
                <w:szCs w:val="22"/>
                <w:highlight w:val="white"/>
              </w:rPr>
              <w:t xml:space="preserve">1.620.000.000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738"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13.500.000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13.500.000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13.500.000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Lâu dài</w:t>
            </w:r>
            <w:r>
              <w:rPr>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Lâu dài</w:t>
            </w:r>
            <w:r>
              <w:rPr>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ind/>
              <w:jc w:val="center"/>
              <w:rPr>
                <w:highlight w:val="white"/>
              </w:rPr>
            </w:pPr>
            <w:r>
              <w:rPr>
                <w:color w:val="000000" w:themeColor="text1"/>
                <w:sz w:val="22"/>
                <w:szCs w:val="22"/>
                <w:highlight w:val="white"/>
              </w:rPr>
              <w:t xml:space="preserve">Lâu dài</w:t>
            </w:r>
            <w:r>
              <w:rPr>
                <w:highlight w:val="white"/>
              </w:rPr>
            </w:r>
            <w:r>
              <w:rPr>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13.500.000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Tài sản tại: Phường Chu Văn An, thành phố Hải Phòng, đường QL 37, độ rộng đường trước mặt tài sản 20m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Tài sản tại: Phường Chu Văn An, thành phố Hải Phòng, đường QL 37, độ rộng đường trước mặt tài sản 20m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Tài sản tại: Phường Chu Văn An, thành phố Hải Phòng, đường QL 37, độ rộng đường trước mặt tài sản 20m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Tài sản tại: Phường Chu Văn An, thành phố Hải Phòng, cách đường QL37 khoảng 200m, độ rộng đường trước mặt tài sản 10,5m.</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1.350.000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14.850.000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2.025.000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16.875.000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10.5</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1.350.000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18.225.000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Cơ sở hạ tầng kỹ thuật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highlight w:val="white"/>
              </w:rPr>
            </w:pPr>
            <w:r>
              <w:rPr>
                <w:color w:val="000000" w:themeColor="text1"/>
                <w:sz w:val="22"/>
                <w:szCs w:val="22"/>
                <w:highlight w:val="white"/>
              </w:rPr>
              <w:t xml:space="preserve">Hạ tầng khu dân cư thông thường</w:t>
            </w:r>
            <w:r>
              <w:rPr>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highlight w:val="white"/>
              </w:rPr>
            </w:pPr>
            <w:r>
              <w:rPr>
                <w:color w:val="000000" w:themeColor="text1"/>
                <w:sz w:val="22"/>
                <w:szCs w:val="22"/>
                <w:highlight w:val="white"/>
              </w:rPr>
              <w:t xml:space="preserve">Hạ tầng khu dân cư thông thường</w:t>
            </w:r>
            <w:r>
              <w:rPr>
                <w:highlight w:val="white"/>
              </w:rPr>
            </w:r>
            <w:r>
              <w:rPr>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highlight w:val="white"/>
              </w:rPr>
            </w:pPr>
            <w:r>
              <w:rPr>
                <w:color w:val="000000" w:themeColor="text1"/>
                <w:sz w:val="22"/>
                <w:szCs w:val="22"/>
                <w:highlight w:val="white"/>
              </w:rPr>
              <w:t xml:space="preserve">Hạ tầng khu dân cư thông thường</w:t>
            </w:r>
            <w:r>
              <w:rPr>
                <w:highlight w:val="white"/>
              </w:rPr>
            </w:r>
            <w:r>
              <w:rPr>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20.404.858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18.225.000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90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123,5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123,5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120</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1.020.243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1.020.243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675.000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18.900.000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5,25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5,25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b/>
                <w:bCs/>
                <w:color w:val="000000"/>
                <w:sz w:val="22"/>
                <w:szCs w:val="22"/>
                <w:highlight w:val="white"/>
              </w:rPr>
            </w:pPr>
            <w:r>
              <w:rPr>
                <w:color w:val="000000" w:themeColor="text1"/>
                <w:sz w:val="22"/>
                <w:szCs w:val="22"/>
                <w:highlight w:val="white"/>
              </w:rPr>
              <w:t xml:space="preserve">6</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-675.000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4"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4"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4" w:lineRule="auto"/>
              <w:ind/>
              <w:jc w:val="center"/>
              <w:rPr>
                <w:color w:val="000000"/>
                <w:sz w:val="22"/>
                <w:szCs w:val="22"/>
                <w:highlight w:val="white"/>
              </w:rPr>
            </w:pPr>
            <w:r>
              <w:rPr>
                <w:color w:val="000000" w:themeColor="text1"/>
                <w:sz w:val="22"/>
                <w:szCs w:val="22"/>
                <w:highlight w:val="white"/>
              </w:rPr>
              <w:t xml:space="preserve">18.225.000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18.225.000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18.225.000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8" w:type="dxa"/>
            <w:vAlign w:val="center"/>
            <w:vMerge w:val="restart"/>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C.12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b/>
                <w:bCs/>
                <w:color w:val="000000"/>
                <w:sz w:val="22"/>
                <w:szCs w:val="22"/>
                <w:highlight w:val="white"/>
              </w:rPr>
            </w:pPr>
            <w:r>
              <w:rPr>
                <w:b/>
                <w:bCs/>
                <w:color w:val="000000" w:themeColor="text1"/>
                <w:sz w:val="22"/>
                <w:szCs w:val="22"/>
                <w:highlight w:val="white"/>
              </w:rPr>
              <w:t xml:space="preserve">Lợi thế kinh doanh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val="0"/>
                <w:bCs w:val="0"/>
                <w:color w:val="000000"/>
                <w:sz w:val="22"/>
                <w:szCs w:val="22"/>
                <w:highlight w:val="white"/>
              </w:rPr>
            </w:pPr>
            <w:r>
              <w:rPr>
                <w:b w:val="0"/>
                <w:bCs w:val="0"/>
                <w:color w:val="000000"/>
                <w:sz w:val="22"/>
                <w:szCs w:val="22"/>
                <w:highlight w:val="white"/>
              </w:rPr>
              <w:t xml:space="preserve">Tốt</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Khá</w:t>
            </w:r>
            <w:r>
              <w:rPr>
                <w:b/>
                <w:bCs/>
                <w:color w:val="000000"/>
                <w:sz w:val="22"/>
                <w:szCs w:val="22"/>
                <w:highlight w:val="white"/>
              </w:rPr>
            </w:r>
            <w:r>
              <w:rPr>
                <w:b/>
                <w:bCs/>
                <w:color w:val="000000"/>
                <w:sz w:val="22"/>
                <w:szCs w:val="22"/>
                <w:highlight w:val="whit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66" w:lineRule="auto"/>
              <w:ind/>
              <w:jc w:val="center"/>
              <w:rPr>
                <w:color w:val="000000" w:themeColor="text1"/>
                <w:sz w:val="22"/>
                <w:szCs w:val="22"/>
                <w:highlight w:val="white"/>
                <w14:ligatures w14:val="none"/>
              </w:rPr>
            </w:pPr>
            <w:r>
              <w:rPr>
                <w:color w:val="000000" w:themeColor="text1"/>
                <w:sz w:val="22"/>
                <w:szCs w:val="22"/>
                <w:highlight w:val="white"/>
              </w:rPr>
              <w:t xml:space="preserve">10%</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themeColor="text1"/>
                <w:sz w:val="22"/>
                <w:szCs w:val="22"/>
                <w:highlight w:val="white"/>
                <w14:ligatures w14:val="none"/>
              </w:rPr>
            </w:pPr>
            <w:r>
              <w:rPr>
                <w:color w:val="000000" w:themeColor="text1"/>
                <w:sz w:val="22"/>
                <w:szCs w:val="22"/>
                <w:highlight w:val="white"/>
              </w:rPr>
              <w:t xml:space="preserve"> </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themeColor="text1"/>
                <w:sz w:val="22"/>
                <w:szCs w:val="22"/>
                <w:highlight w:val="white"/>
              </w:rPr>
              <w:t xml:space="preserve">21.425.101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66" w:lineRule="auto"/>
              <w:ind/>
              <w:jc w:val="center"/>
              <w:rPr>
                <w:color w:val="000000" w:themeColor="text1"/>
                <w:sz w:val="22"/>
                <w:szCs w:val="22"/>
                <w:highlight w:val="white"/>
                <w14:ligatures w14:val="none"/>
              </w:rPr>
            </w:pPr>
            <w:r>
              <w:rPr>
                <w:color w:val="000000" w:themeColor="text1"/>
                <w:sz w:val="22"/>
                <w:szCs w:val="22"/>
                <w:highlight w:val="white"/>
              </w:rPr>
              <w:t xml:space="preserve">1.350.000</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hd w:val="clear" w:color="ffffff" w:themeColor="background1" w:fill="ffffff" w:themeFill="background1"/>
              <w:spacing w:line="266" w:lineRule="auto"/>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themeColor="text1"/>
                <w:sz w:val="22"/>
                <w:szCs w:val="22"/>
                <w:highlight w:val="white"/>
              </w:rPr>
              <w:t xml:space="preserve">21.425.101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themeColor="text1"/>
                <w:sz w:val="22"/>
                <w:szCs w:val="22"/>
                <w:highlight w:val="white"/>
              </w:rPr>
              <w:t xml:space="preserve">21.425.101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66" w:lineRule="auto"/>
              <w:ind/>
              <w:jc w:val="center"/>
              <w:rPr>
                <w:b/>
                <w:bCs/>
                <w:color w:val="000000" w:themeColor="text1"/>
                <w:sz w:val="22"/>
                <w:szCs w:val="22"/>
                <w:highlight w:val="white"/>
                <w14:ligatures w14:val="none"/>
              </w:rPr>
            </w:pPr>
            <w:r>
              <w:rPr>
                <w:b/>
                <w:bCs/>
                <w:color w:val="000000" w:themeColor="text1"/>
                <w:sz w:val="22"/>
                <w:szCs w:val="22"/>
                <w:highlight w:val="white"/>
              </w:rPr>
              <w:t xml:space="preserve">19.575.000</w:t>
            </w:r>
            <w:r>
              <w:rPr>
                <w:b/>
                <w:bCs/>
                <w:color w:val="000000" w:themeColor="text1"/>
                <w:sz w:val="22"/>
                <w:szCs w:val="22"/>
                <w:highlight w:val="white"/>
                <w14:ligatures w14:val="none"/>
              </w:rPr>
            </w:r>
            <w:r>
              <w:rPr>
                <w:b/>
                <w:bCs/>
                <w:color w:val="000000" w:themeColor="text1"/>
                <w:sz w:val="22"/>
                <w:szCs w:val="22"/>
                <w:highlight w:val="white"/>
                <w14:ligatures w14:val="none"/>
              </w:rPr>
            </w:r>
          </w:p>
        </w:tc>
      </w:tr>
      <w:tr>
        <w:trPr>
          <w:trHeight w:val="187"/>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themeColor="text1"/>
                <w:sz w:val="22"/>
                <w:szCs w:val="22"/>
                <w:highlight w:val="white"/>
              </w:rPr>
              <w:t xml:space="preserve">20.358.401</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line="266" w:lineRule="auto"/>
              <w:ind/>
              <w:jc w:val="center"/>
              <w:rPr>
                <w:color w:val="000000" w:themeColor="text1"/>
                <w:sz w:val="22"/>
                <w:szCs w:val="22"/>
                <w:highlight w:val="white"/>
                <w14:ligatures w14:val="none"/>
              </w:rPr>
            </w:pPr>
            <w:r>
              <w:rPr>
                <w:color w:val="000000" w:themeColor="text1"/>
                <w:sz w:val="22"/>
                <w:szCs w:val="22"/>
                <w:highlight w:val="white"/>
              </w:rPr>
              <w:t xml:space="preserve">2,96%</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line="266" w:lineRule="auto"/>
              <w:ind/>
              <w:jc w:val="center"/>
              <w:rPr>
                <w:color w:val="000000" w:themeColor="text1"/>
                <w:sz w:val="22"/>
                <w:szCs w:val="22"/>
                <w:highlight w:val="white"/>
                <w14:ligatures w14:val="none"/>
              </w:rPr>
            </w:pPr>
            <w:r>
              <w:rPr>
                <w:color w:val="000000" w:themeColor="text1"/>
                <w:sz w:val="22"/>
                <w:szCs w:val="22"/>
                <w:highlight w:val="white"/>
              </w:rPr>
              <w:t xml:space="preserve">2,96%</w:t>
            </w:r>
            <w:r>
              <w:rPr>
                <w:color w:val="000000" w:themeColor="text1"/>
                <w:sz w:val="22"/>
                <w:szCs w:val="22"/>
                <w:highlight w:val="white"/>
                <w14:ligatures w14:val="none"/>
              </w:rPr>
            </w:r>
            <w:r>
              <w:rPr>
                <w:color w:val="000000" w:themeColor="text1"/>
                <w:sz w:val="22"/>
                <w:szCs w:val="22"/>
                <w:highlight w:val="white"/>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themeColor="background1" w:fill="ffffff" w:themeFill="background1"/>
              <w:spacing w:line="266" w:lineRule="auto"/>
              <w:ind/>
              <w:jc w:val="center"/>
              <w:rPr>
                <w:color w:val="000000" w:themeColor="text1"/>
                <w:sz w:val="22"/>
                <w:szCs w:val="22"/>
                <w:highlight w:val="white"/>
                <w14:ligatures w14:val="none"/>
              </w:rPr>
            </w:pPr>
            <w:r>
              <w:rPr>
                <w:color w:val="000000" w:themeColor="text1"/>
                <w:sz w:val="22"/>
                <w:szCs w:val="22"/>
                <w:highlight w:val="white"/>
              </w:rPr>
              <w:t xml:space="preserve">-5,93%</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0"/>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gridSpan w:val="4"/>
            <w:shd w:val="clear" w:color="000000" w:fill="ffffff"/>
            <w:tcBorders/>
            <w:tcW w:w="5839" w:type="dxa"/>
            <w:vAlign w:val="center"/>
            <w:textDirection w:val="lrTb"/>
            <w:noWrap w:val="false"/>
          </w:tcPr>
          <w:p>
            <w:pPr>
              <w:pBdr/>
              <w:shd w:val="clear" w:color="ffffff" w:themeColor="background1" w:fill="ffffff" w:themeFill="background1"/>
              <w:spacing w:line="266" w:lineRule="auto"/>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1.020.243</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1.020.243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b/>
                <w:bCs/>
                <w:color w:val="000000"/>
                <w:sz w:val="22"/>
                <w:szCs w:val="22"/>
                <w:highlight w:val="white"/>
              </w:rPr>
            </w:pPr>
            <w:r>
              <w:rPr>
                <w:color w:val="000000" w:themeColor="text1"/>
                <w:sz w:val="22"/>
                <w:szCs w:val="22"/>
                <w:highlight w:val="white"/>
              </w:rPr>
              <w:t xml:space="preserve">6.075.000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0"/>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0% - 5%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0% - 15%</w:t>
            </w:r>
            <w:r>
              <w:rPr>
                <w:sz w:val="22"/>
                <w:szCs w:val="22"/>
                <w:highlight w:val="white"/>
              </w:rPr>
            </w:r>
            <w:r>
              <w:rPr>
                <w:sz w:val="22"/>
                <w:szCs w:val="22"/>
                <w:highlight w:val="white"/>
              </w:rPr>
            </w:r>
          </w:p>
        </w:tc>
      </w:tr>
      <w:tr>
        <w:trPr>
          <w:trHeight w:val="20"/>
        </w:trPr>
        <w:tc>
          <w:tcPr>
            <w:shd w:val="clear" w:color="000000" w:fill="ffffff"/>
            <w:tcBorders/>
            <w:tcW w:w="738"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hd w:val="clear" w:color="ffffff" w:themeColor="background1" w:fill="ffffff" w:themeFill="background1"/>
              <w:spacing w:line="266" w:lineRule="auto"/>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1.020.243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1.020.243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hd w:val="clear" w:color="ffffff" w:themeColor="background1" w:fill="ffffff" w:themeFill="background1"/>
              <w:spacing w:line="266" w:lineRule="auto"/>
              <w:ind/>
              <w:jc w:val="center"/>
              <w:rPr>
                <w:sz w:val="22"/>
                <w:szCs w:val="22"/>
                <w:highlight w:val="white"/>
              </w:rPr>
            </w:pPr>
            <w:r>
              <w:rPr>
                <w:color w:val="000000" w:themeColor="text1"/>
                <w:sz w:val="22"/>
                <w:szCs w:val="22"/>
                <w:highlight w:val="white"/>
              </w:rPr>
              <w:t xml:space="preserve">4.725.000</w:t>
            </w:r>
            <w:r>
              <w:rPr>
                <w:sz w:val="22"/>
                <w:szCs w:val="22"/>
                <w:highlight w:val="white"/>
              </w:rPr>
            </w:r>
            <w:r>
              <w:rPr>
                <w:sz w:val="22"/>
                <w:szCs w:val="22"/>
                <w:highlight w:val="white"/>
              </w:rPr>
            </w:r>
          </w:p>
        </w:tc>
      </w:tr>
    </w:tbl>
    <w:p>
      <w:pPr>
        <w:pBdr/>
        <w:shd w:val="clear" w:color="ffffff" w:themeColor="background1" w:fill="ffffff" w:themeFill="background1"/>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hd w:val="clear" w:color="ffffff" w:themeColor="background1" w:fill="ffffff" w:themeFill="background1"/>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từ </w:t>
      </w:r>
      <w:r>
        <w:rPr>
          <w:highlight w:val="white"/>
        </w:rPr>
        <w:t xml:space="preserve"> </w:t>
      </w:r>
      <w:r>
        <w:rPr>
          <w:highlight w:val="white"/>
        </w:rPr>
        <w:t xml:space="preserve">-5,93</w:t>
      </w:r>
      <w:r>
        <w:rPr>
          <w:highlight w:val="white"/>
        </w:rPr>
        <w:t xml:space="preserve">% đến 2,96</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hd w:val="clear" w:color="ffffff" w:themeColor="background1" w:fill="ffffff" w:themeFill="background1"/>
        <w:spacing w:after="120" w:before="120" w:line="276" w:lineRule="auto"/>
        <w:ind/>
        <w:jc w:val="both"/>
        <w:rPr>
          <w:b/>
          <w:bCs/>
          <w:highlight w:val="white"/>
          <w:u w:val="single"/>
        </w:rPr>
      </w:pPr>
      <w:r>
        <w:rPr>
          <w:b/>
          <w:bCs/>
          <w:highlight w:val="white"/>
          <w:u w:val="single"/>
        </w:rPr>
      </w:r>
      <w:r>
        <w:rPr>
          <w:b/>
          <w:bCs/>
          <w:highlight w:val="white"/>
          <w:u w:val="single"/>
        </w:rPr>
      </w:r>
      <w:r>
        <w:rPr>
          <w:b/>
          <w:bCs/>
          <w:highlight w:val="white"/>
          <w:u w:val="single"/>
        </w:rPr>
      </w:r>
    </w:p>
    <w:p>
      <w:pPr>
        <w:pBdr/>
        <w:shd w:val="clear" w:color="ffffff" w:themeColor="background1" w:fill="ffffff" w:themeFill="background1"/>
        <w:spacing w:after="120" w:before="120" w:line="276" w:lineRule="auto"/>
        <w:ind/>
        <w:jc w:val="both"/>
        <w:rPr>
          <w:b/>
          <w:bCs/>
          <w:highlight w:val="white"/>
          <w:u w:val="single"/>
        </w:rPr>
      </w:pPr>
      <w:r>
        <w:rPr>
          <w:b/>
          <w:bCs/>
          <w:highlight w:val="white"/>
          <w:u w:val="single"/>
        </w:rPr>
      </w:r>
      <w:r>
        <w:rPr>
          <w:b/>
          <w:bCs/>
          <w:highlight w:val="white"/>
          <w:u w:val="single"/>
        </w:rPr>
      </w:r>
      <w:r>
        <w:rPr>
          <w:b/>
          <w:bCs/>
          <w:highlight w:val="white"/>
          <w:u w:val="single"/>
        </w:rPr>
      </w:r>
    </w:p>
    <w:p>
      <w:pPr>
        <w:pBdr/>
        <w:shd w:val="clear" w:color="ffffff" w:themeColor="background1" w:fill="ffffff" w:themeFill="background1"/>
        <w:spacing w:after="120" w:before="120" w:line="276" w:lineRule="auto"/>
        <w:ind/>
        <w:jc w:val="both"/>
        <w:rPr>
          <w:b/>
          <w:bCs/>
          <w:highlight w:val="white"/>
          <w:u w:val="single"/>
        </w:rPr>
      </w:pPr>
      <w:r>
        <w:rPr>
          <w:b/>
          <w:bCs/>
          <w:highlight w:val="white"/>
          <w:u w:val="single"/>
        </w:rPr>
      </w:r>
      <w:r>
        <w:rPr>
          <w:b/>
          <w:bCs/>
          <w:highlight w:val="white"/>
          <w:u w:val="single"/>
        </w:rPr>
      </w:r>
      <w:r>
        <w:rPr>
          <w:b/>
          <w:bCs/>
          <w:highlight w:val="white"/>
          <w:u w:val="single"/>
        </w:rPr>
      </w:r>
    </w:p>
    <w:p>
      <w:pPr>
        <w:pBdr/>
        <w:shd w:val="clear" w:color="ffffff" w:themeColor="background1" w:fill="ffffff" w:themeFill="background1"/>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hd w:val="clear" w:color="ffffff" w:themeColor="background1" w:fill="ffffff" w:themeFill="background1"/>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21.425.101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40</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jc w:val="center"/>
              <w:rPr>
                <w:color w:val="000000"/>
                <w:highlight w:val="white"/>
                <w14:ligatures w14:val="none"/>
              </w:rPr>
            </w:pPr>
            <w:r>
              <w:rPr>
                <w:color w:val="000000"/>
                <w:highlight w:val="white"/>
              </w:rPr>
              <w:t xml:space="preserve">8.570.040</w:t>
            </w:r>
            <w:r>
              <w:rPr>
                <w:color w:val="000000"/>
                <w:highlight w:val="white"/>
                <w14:ligatures w14:val="none"/>
              </w:rPr>
            </w:r>
            <w:r>
              <w:rPr>
                <w:color w:val="000000"/>
                <w:highlight w:val="white"/>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21.425.101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40</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jc w:val="center"/>
              <w:rPr>
                <w:color w:val="000000"/>
                <w:highlight w:val="white"/>
                <w14:ligatures w14:val="none"/>
              </w:rPr>
            </w:pPr>
            <w:r>
              <w:rPr>
                <w:color w:val="000000"/>
                <w:highlight w:val="white"/>
              </w:rPr>
              <w:t xml:space="preserve">8.570.040</w:t>
            </w:r>
            <w:r>
              <w:rPr>
                <w:color w:val="000000"/>
                <w:highlight w:val="white"/>
                <w14:ligatures w14:val="none"/>
              </w:rPr>
            </w:r>
            <w:r>
              <w:rPr>
                <w:color w:val="000000"/>
                <w:highlight w:val="white"/>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hd w:val="clear" w:color="ffffff" w:themeColor="background1" w:fill="ffffff" w:themeFill="background1"/>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18.225.000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20</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jc w:val="center"/>
              <w:rPr>
                <w:color w:val="000000"/>
                <w:highlight w:val="white"/>
                <w14:ligatures w14:val="none"/>
              </w:rPr>
            </w:pPr>
            <w:r>
              <w:rPr>
                <w:color w:val="000000"/>
                <w:highlight w:val="white"/>
              </w:rPr>
              <w:t xml:space="preserve">3.915.000</w:t>
            </w:r>
            <w:r>
              <w:rPr>
                <w:color w:val="000000"/>
                <w:highlight w:val="white"/>
                <w14:ligatures w14:val="none"/>
              </w:rPr>
            </w:r>
            <w:r>
              <w:rPr>
                <w:color w:val="000000"/>
                <w:highlight w:val="white"/>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jc w:val="center"/>
              <w:rPr>
                <w:b/>
                <w:bCs/>
                <w:color w:val="000000"/>
                <w:highlight w:val="white"/>
                <w14:ligatures w14:val="none"/>
              </w:rPr>
            </w:pPr>
            <w:r>
              <w:rPr>
                <w:b/>
                <w:bCs/>
                <w:color w:val="000000"/>
                <w:highlight w:val="white"/>
              </w:rPr>
              <w:t xml:space="preserve">21.055.081</w:t>
            </w:r>
            <w:r>
              <w:rPr>
                <w:b/>
                <w:bCs/>
                <w:color w:val="000000"/>
                <w:highlight w:val="white"/>
                <w14:ligatures w14:val="none"/>
              </w:rPr>
            </w:r>
            <w:r>
              <w:rPr>
                <w:b/>
                <w:bCs/>
                <w:color w:val="000000"/>
                <w:highlight w:val="white"/>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hd w:val="clear" w:color="ffffff" w:themeColor="background1" w:fill="ffffff" w:themeFill="background1"/>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jc w:val="center"/>
              <w:rPr>
                <w:b/>
                <w:bCs/>
                <w:color w:val="000000"/>
                <w:highlight w:val="white"/>
                <w14:ligatures w14:val="none"/>
              </w:rPr>
            </w:pPr>
            <w:r>
              <w:rPr>
                <w:b/>
                <w:bCs/>
                <w:color w:val="000000"/>
                <w:highlight w:val="white"/>
              </w:rPr>
              <w:t xml:space="preserve">21.000.000</w:t>
            </w:r>
            <w:r>
              <w:rPr>
                <w:b/>
                <w:bCs/>
                <w:color w:val="000000"/>
                <w:highlight w:val="white"/>
                <w14:ligatures w14:val="none"/>
              </w:rPr>
            </w:r>
            <w:r>
              <w:rPr>
                <w:b/>
                <w:bCs/>
                <w:color w:val="000000"/>
                <w:highlight w:val="white"/>
                <w14:ligatures w14:val="none"/>
              </w:rPr>
            </w:r>
          </w:p>
        </w:tc>
      </w:tr>
    </w:tbl>
    <w:p>
      <w:pPr>
        <w:pBdr/>
        <w:shd w:val="clear" w:color="ffffff" w:themeColor="background1" w:fill="ffffff" w:themeFill="background1"/>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21.000.000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1"/>
        <w:numPr>
          <w:ilvl w:val="0"/>
          <w:numId w:val="26"/>
        </w:numPr>
        <w:pBdr/>
        <w:shd w:val="clear" w:color="ffffff" w:themeColor="background1" w:fill="ffffff" w:themeFill="background1"/>
        <w:spacing w:after="120" w:before="120" w:line="276" w:lineRule="auto"/>
        <w:ind w:hanging="357" w:left="357"/>
        <w:jc w:val="both"/>
        <w:rPr>
          <w:b/>
          <w:bCs/>
          <w:highlight w:val="white"/>
        </w:rPr>
      </w:pPr>
      <w:r>
        <w:rPr>
          <w:b/>
          <w:bCs/>
          <w:highlight w:val="white"/>
        </w:rPr>
        <w:t xml:space="preserve">Xác định giá trị tài sản gắn liền với đất</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rPr>
          <w:highlight w:val="white"/>
        </w:rPr>
      </w:pPr>
      <w:r>
        <w:rPr>
          <w:rFonts w:ascii="Times New Roman" w:hAnsi="Times New Roman" w:eastAsia="Times New Roman" w:cs="Times New Roman"/>
          <w:b/>
          <w:color w:val="000000"/>
          <w:sz w:val="24"/>
          <w:highlight w:val="white"/>
        </w:rPr>
        <w:t xml:space="preserve">2.1. Xác định đơn giá của công trình xây dựng</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64" w:lineRule="auto"/>
        <w:ind w:right="0" w:firstLine="284" w:left="0"/>
        <w:jc w:val="both"/>
        <w:rPr>
          <w:highlight w:val="white"/>
        </w:rPr>
      </w:pPr>
      <w:r>
        <w:rPr>
          <w:rFonts w:ascii="Times New Roman" w:hAnsi="Times New Roman" w:eastAsia="Times New Roman" w:cs="Times New Roman"/>
          <w:color w:val="000000"/>
          <w:sz w:val="24"/>
          <w:highlight w:val="white"/>
        </w:rPr>
        <w:t xml:space="preserve">Theo phương pháp chi phí thay thế đã được đề cập ở trên, giá trị tài sản được tính theo công thức:</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64" w:lineRule="auto"/>
        <w:ind w:right="0" w:firstLine="284" w:left="0"/>
        <w:jc w:val="center"/>
        <w:rPr>
          <w:highlight w:val="white"/>
        </w:rPr>
      </w:pPr>
      <w:r>
        <w:rPr>
          <w:rFonts w:ascii="Times New Roman" w:hAnsi="Times New Roman" w:eastAsia="Times New Roman" w:cs="Times New Roman"/>
          <w:b/>
          <w:i/>
          <w:color w:val="000000"/>
          <w:sz w:val="24"/>
          <w:highlight w:val="white"/>
        </w:rPr>
        <w:t xml:space="preserve">Giá trị tài sản = Chi phí thay thế - tổng giá trị hao mòn = Chi phí thay thế – tỷ lệ hao mòn x Chi phí thay thế = Chi phí thay thế x Tỷ lệ chất lượng còn lại</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64" w:lineRule="auto"/>
        <w:ind/>
        <w:jc w:val="both"/>
        <w:rPr>
          <w:highlight w:val="white"/>
        </w:rPr>
      </w:pPr>
      <w:r>
        <w:rPr>
          <w:rFonts w:ascii="Times New Roman" w:hAnsi="Times New Roman" w:eastAsia="Times New Roman" w:cs="Times New Roman"/>
          <w:b/>
          <w:i/>
          <w:color w:val="000000"/>
          <w:spacing w:val="-2"/>
          <w:sz w:val="24"/>
          <w:highlight w:val="white"/>
        </w:rPr>
        <w:t xml:space="preserve">Về chi phí thay thế của các hạng mục công trình xây dựng:</w:t>
      </w:r>
      <w:r>
        <w:rPr>
          <w:rFonts w:ascii="Times New Roman" w:hAnsi="Times New Roman" w:eastAsia="Times New Roman" w:cs="Times New Roman"/>
          <w:color w:val="000000"/>
          <w:spacing w:val="-2"/>
          <w:sz w:val="24"/>
          <w:highlight w:val="white"/>
        </w:rPr>
        <w:t xml:space="preserve"> </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64" w:lineRule="auto"/>
        <w:ind w:right="0" w:firstLine="0" w:left="720"/>
        <w:jc w:val="both"/>
        <w:rPr>
          <w:highlight w:val="white"/>
        </w:rPr>
      </w:pPr>
      <w:r>
        <w:rPr>
          <w:rFonts w:ascii="Times New Roman" w:hAnsi="Times New Roman" w:eastAsia="Times New Roman" w:cs="Times New Roman"/>
          <w:b/>
          <w:i/>
          <w:color w:val="000000"/>
          <w:spacing w:val="-2"/>
          <w:sz w:val="24"/>
          <w:highlight w:val="white"/>
        </w:rPr>
        <w:t xml:space="preserve">Chi phí thay thế = chi phí xây dựng tính trên 1 đơn vị diện tích x diện tích.</w:t>
      </w:r>
      <w:r>
        <w:rPr>
          <w:highlight w:val="white"/>
        </w:rPr>
      </w:r>
      <w:r>
        <w:rPr>
          <w:highlight w:val="white"/>
        </w:rPr>
      </w:r>
    </w:p>
    <w:p>
      <w:pPr>
        <w:numPr>
          <w:ilvl w:val="0"/>
          <w:numId w:val="39"/>
        </w:num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264" w:lineRule="auto"/>
        <w:ind/>
        <w:jc w:val="both"/>
        <w:rPr>
          <w:highlight w:val="white"/>
        </w:rPr>
      </w:pPr>
      <w:r>
        <w:rPr>
          <w:rFonts w:ascii="Times New Roman" w:hAnsi="Times New Roman" w:eastAsia="Times New Roman" w:cs="Times New Roman"/>
          <w:color w:val="000000"/>
          <w:spacing w:val="-2"/>
          <w:sz w:val="24"/>
          <w:highlight w:val="white"/>
        </w:rPr>
        <w:t xml:space="preserve">Qua khảo sát thị trường và kiểm tra hồ sơ pháp lý dự án, Tổ Thẩm định nhận thấy các hạng mục công trình xây dựng mang tính đặc thù cho mỗi ngành sản xuất khác nhau (</w:t>
      </w:r>
      <w:r>
        <w:rPr>
          <w:rFonts w:ascii="Times New Roman" w:hAnsi="Times New Roman" w:eastAsia="Times New Roman" w:cs="Times New Roman"/>
          <w:i/>
          <w:color w:val="000000"/>
          <w:spacing w:val="-2"/>
          <w:sz w:val="24"/>
          <w:highlight w:val="white"/>
        </w:rPr>
        <w:t xml:space="preserve">mỗi ngành sản xuất, công trình cụ thể sẽ được thiết kế, xây dựng, lắp đặt,... khác nhau</w:t>
      </w:r>
      <w:r>
        <w:rPr>
          <w:rFonts w:ascii="Times New Roman" w:hAnsi="Times New Roman" w:eastAsia="Times New Roman" w:cs="Times New Roman"/>
          <w:color w:val="000000"/>
          <w:spacing w:val="-2"/>
          <w:sz w:val="24"/>
          <w:highlight w:val="white"/>
        </w:rPr>
        <w:t xml:space="preserve">). Do đó, khó khăn trong công tác xác định giá trị theo phương pháp so sánh. Tổ thẩm định đề xuất tham khảo Quyết định số 409/QĐ-BXD</w:t>
      </w:r>
      <w:r>
        <w:rPr>
          <w:rFonts w:ascii="Times New Roman" w:hAnsi="Times New Roman" w:eastAsia="Times New Roman" w:cs="Times New Roman"/>
          <w:color w:val="000000"/>
          <w:spacing w:val="-2"/>
          <w:sz w:val="24"/>
          <w:highlight w:val="white"/>
        </w:rPr>
        <w:t xml:space="preserve"> để xác định Chi phí thay thế của tài sản thẩm định, cụ thể như sau:</w:t>
      </w:r>
      <w:r>
        <w:rPr>
          <w:highlight w:val="white"/>
        </w:rPr>
      </w:r>
      <w:r>
        <w:rPr>
          <w:highlight w:val="white"/>
        </w:rPr>
      </w:r>
    </w:p>
    <w:tbl>
      <w:tblPr>
        <w:tblStyle w:val="1035"/>
        <w:tblInd w:w="25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6"/>
        <w:gridCol w:w="400"/>
        <w:gridCol w:w="6431"/>
      </w:tblGrid>
      <w:tr>
        <w:trPr/>
        <w:tc>
          <w:tcPr>
            <w:tcBorders/>
            <w:tcMar>
              <w:left w:w="108" w:type="dxa"/>
              <w:top w:w="0" w:type="dxa"/>
              <w:right w:w="108" w:type="dxa"/>
              <w:bottom w:w="0" w:type="dxa"/>
            </w:tcMar>
            <w:tcW w:w="173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64" w:lineRule="auto"/>
              <w:ind w:right="0" w:firstLine="0" w:left="0"/>
              <w:jc w:val="center"/>
              <w:rPr>
                <w:highlight w:val="white"/>
              </w:rPr>
            </w:pPr>
            <w:r>
              <w:rPr>
                <w:rFonts w:ascii="Times New Roman" w:hAnsi="Times New Roman" w:eastAsia="Times New Roman" w:cs="Times New Roman"/>
                <w:b/>
                <w:i/>
                <w:color w:val="000000"/>
                <w:spacing w:val="-4"/>
                <w:sz w:val="22"/>
                <w:highlight w:val="white"/>
              </w:rPr>
              <w:t xml:space="preserve">Đơn giá xây dựng công trình (Chưa bao gồm VAT)</w:t>
            </w:r>
            <w:r>
              <w:rPr>
                <w:highlight w:val="white"/>
              </w:rPr>
            </w:r>
            <w:r>
              <w:rPr>
                <w:highlight w:val="white"/>
              </w:rPr>
            </w:r>
          </w:p>
        </w:tc>
        <w:tc>
          <w:tcPr>
            <w:tcBorders/>
            <w:tcMar>
              <w:left w:w="108" w:type="dxa"/>
              <w:top w:w="0" w:type="dxa"/>
              <w:right w:w="108" w:type="dxa"/>
              <w:bottom w:w="0" w:type="dxa"/>
            </w:tcMar>
            <w:tcW w:w="4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64" w:lineRule="auto"/>
              <w:ind w:right="0" w:firstLine="0" w:left="0"/>
              <w:jc w:val="center"/>
              <w:rPr>
                <w:highlight w:val="white"/>
              </w:rPr>
            </w:pPr>
            <w:r>
              <w:rPr>
                <w:rFonts w:ascii="Times New Roman" w:hAnsi="Times New Roman" w:eastAsia="Times New Roman" w:cs="Times New Roman"/>
                <w:b/>
                <w:i/>
                <w:color w:val="000000"/>
                <w:sz w:val="22"/>
                <w:highlight w:val="white"/>
              </w:rPr>
              <w:t xml:space="preserve">=</w:t>
            </w:r>
            <w:r>
              <w:rPr>
                <w:highlight w:val="white"/>
              </w:rPr>
            </w:r>
            <w:r>
              <w:rPr>
                <w:highlight w:val="white"/>
              </w:rPr>
            </w:r>
          </w:p>
        </w:tc>
        <w:tc>
          <w:tcPr>
            <w:tcBorders>
              <w:bottom w:val="single" w:color="000000" w:sz="8" w:space="0"/>
            </w:tcBorders>
            <w:tcMar>
              <w:left w:w="108" w:type="dxa"/>
              <w:top w:w="0" w:type="dxa"/>
              <w:right w:w="108" w:type="dxa"/>
              <w:bottom w:w="0" w:type="dxa"/>
            </w:tcMar>
            <w:tcW w:w="64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64" w:lineRule="auto"/>
              <w:ind w:right="0" w:firstLine="0" w:left="0"/>
              <w:jc w:val="center"/>
              <w:rPr>
                <w:highlight w:val="white"/>
              </w:rPr>
            </w:pPr>
            <w:r>
              <w:rPr>
                <w:rFonts w:ascii="Times New Roman" w:hAnsi="Times New Roman" w:eastAsia="Times New Roman" w:cs="Times New Roman"/>
                <w:b/>
                <w:i/>
                <w:color w:val="000000"/>
                <w:spacing w:val="-4"/>
                <w:sz w:val="22"/>
                <w:highlight w:val="white"/>
              </w:rPr>
              <w:t xml:space="preserve">Đơn giá xây dựng theo Suất vốn XD theo QĐ số 409/QĐ-BXD * Hệ số vùng</w:t>
            </w:r>
            <w:r>
              <w:rPr>
                <w:highlight w:val="white"/>
              </w:rPr>
            </w:r>
            <w:r>
              <w:rPr>
                <w:highlight w:val="white"/>
              </w:rP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tcBorders/>
            <w:tcMar>
              <w:left w:w="108" w:type="dxa"/>
              <w:top w:w="0" w:type="dxa"/>
              <w:right w:w="108" w:type="dxa"/>
              <w:bottom w:w="0" w:type="dxa"/>
            </w:tcMar>
            <w:tcW w:w="64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64" w:lineRule="auto"/>
              <w:ind w:right="0" w:firstLine="0" w:left="0"/>
              <w:jc w:val="center"/>
              <w:rPr>
                <w:highlight w:val="white"/>
              </w:rPr>
            </w:pPr>
            <w:r>
              <w:rPr>
                <w:rFonts w:ascii="Times New Roman" w:hAnsi="Times New Roman" w:eastAsia="Times New Roman" w:cs="Times New Roman"/>
                <w:b/>
                <w:i/>
                <w:color w:val="000000"/>
                <w:sz w:val="22"/>
                <w:highlight w:val="white"/>
              </w:rPr>
              <w:t xml:space="preserve">1,1</w:t>
            </w:r>
            <w:r>
              <w:rPr>
                <w:highlight w:val="white"/>
              </w:rPr>
            </w:r>
            <w:r>
              <w:rPr>
                <w:highlight w:val="white"/>
              </w:rPr>
            </w:r>
          </w:p>
        </w:tc>
      </w:tr>
    </w:tbl>
    <w:p>
      <w:pPr>
        <w:numPr>
          <w:ilvl w:val="0"/>
          <w:numId w:val="40"/>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64" w:lineRule="auto"/>
        <w:ind/>
        <w:jc w:val="both"/>
        <w:rPr>
          <w:highlight w:val="white"/>
        </w:rPr>
      </w:pPr>
      <w:r>
        <w:rPr>
          <w:rFonts w:ascii="Times New Roman" w:hAnsi="Times New Roman" w:eastAsia="Times New Roman" w:cs="Times New Roman"/>
          <w:color w:val="000000"/>
          <w:spacing w:val="-2"/>
          <w:sz w:val="24"/>
          <w:highlight w:val="white"/>
        </w:rPr>
        <w:t xml:space="preserve">Hệ số vùng</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pacing w:val="-2"/>
          <w:sz w:val="24"/>
          <w:highlight w:val="white"/>
        </w:rPr>
        <w:t xml:space="preserve">cho Suất vốn xây dựng tỉnh Hải Dương (trước sáp nhập)- Vùng 2 đối với công trình ở là: </w:t>
      </w:r>
      <w:r>
        <w:rPr>
          <w:rFonts w:ascii="Times New Roman" w:hAnsi="Times New Roman" w:eastAsia="Times New Roman" w:cs="Times New Roman"/>
          <w:b/>
          <w:i/>
          <w:color w:val="000000"/>
          <w:spacing w:val="-2"/>
          <w:sz w:val="24"/>
          <w:highlight w:val="white"/>
        </w:rPr>
        <w:t xml:space="preserve">0,948;</w:t>
      </w:r>
      <w:r>
        <w:rPr>
          <w:highlight w:val="white"/>
        </w:rPr>
      </w:r>
      <w:r>
        <w:rPr>
          <w:highlight w:val="white"/>
        </w:rPr>
      </w:r>
    </w:p>
    <w:p>
      <w:pPr>
        <w:numPr>
          <w:ilvl w:val="0"/>
          <w:numId w:val="40"/>
        </w:numPr>
        <w:pBdr>
          <w:top w:val="none" w:color="000000" w:sz="4" w:space="0"/>
          <w:left w:val="none" w:color="000000" w:sz="4" w:space="0"/>
          <w:bottom w:val="none" w:color="000000" w:sz="4" w:space="0"/>
          <w:right w:val="none" w:color="000000" w:sz="4" w:space="0"/>
        </w:pBdr>
        <w:shd w:val="clear" w:color="ffffff" w:themeColor="background1" w:fill="ffffff" w:themeFill="background1"/>
        <w:tabs>
          <w:tab w:val="left" w:leader="none" w:pos="993"/>
        </w:tabs>
        <w:spacing w:after="120" w:before="120" w:line="264" w:lineRule="auto"/>
        <w:ind/>
        <w:jc w:val="both"/>
        <w:rPr>
          <w:highlight w:val="white"/>
        </w:rPr>
      </w:pPr>
      <w:r>
        <w:rPr>
          <w:rFonts w:ascii="Times New Roman" w:hAnsi="Times New Roman" w:eastAsia="Times New Roman" w:cs="Times New Roman"/>
          <w:color w:val="000000"/>
          <w:spacing w:val="2"/>
          <w:sz w:val="24"/>
          <w:highlight w:val="white"/>
        </w:rPr>
        <w:t xml:space="preserve">Đối với công trình xây dựng: Vận dụng </w:t>
      </w:r>
      <w:r>
        <w:rPr>
          <w:rFonts w:ascii="Times New Roman" w:hAnsi="Times New Roman" w:eastAsia="Times New Roman" w:cs="Times New Roman"/>
          <w:color w:val="000000"/>
          <w:spacing w:val="-2"/>
          <w:sz w:val="24"/>
          <w:highlight w:val="white"/>
        </w:rPr>
        <w:t xml:space="preserve">Quyết định số 409/QĐ-BXD </w:t>
      </w:r>
      <w:r>
        <w:rPr>
          <w:rFonts w:ascii="Times New Roman" w:hAnsi="Times New Roman" w:eastAsia="Times New Roman" w:cs="Times New Roman"/>
          <w:color w:val="000000"/>
          <w:spacing w:val="2"/>
          <w:sz w:val="24"/>
          <w:highlight w:val="white"/>
        </w:rPr>
        <w:t xml:space="preserve">suất vốn đầu tư xây dựng “</w:t>
      </w:r>
      <w:r>
        <w:rPr>
          <w:rFonts w:ascii="Times New Roman" w:hAnsi="Times New Roman" w:eastAsia="Times New Roman" w:cs="Times New Roman"/>
          <w:i/>
          <w:color w:val="000000"/>
          <w:spacing w:val="2"/>
          <w:sz w:val="24"/>
          <w:highlight w:val="white"/>
        </w:rPr>
        <w:t xml:space="preserve">11120.06:</w:t>
      </w:r>
      <w:r>
        <w:rPr>
          <w:rFonts w:ascii="Times New Roman" w:hAnsi="Times New Roman" w:eastAsia="Times New Roman" w:cs="Times New Roman"/>
          <w:i/>
          <w:iCs/>
          <w:color w:val="000000"/>
          <w:spacing w:val="2"/>
          <w:sz w:val="24"/>
          <w:szCs w:val="24"/>
          <w:highlight w:val="white"/>
        </w:rPr>
        <w:t xml:space="preserve"> </w:t>
      </w:r>
      <w:r>
        <w:rPr>
          <w:rFonts w:ascii="Times New Roman" w:hAnsi="Times New Roman" w:eastAsia="Times New Roman" w:cs="Times New Roman"/>
          <w:i/>
          <w:iCs/>
          <w:color w:val="000000"/>
          <w:spacing w:val="2"/>
          <w:sz w:val="24"/>
          <w:szCs w:val="24"/>
          <w:highlight w:val="white"/>
        </w:rPr>
        <w:t xml:space="preserve">Nhà từ 4 đến 5 tầng, kết cấu khung chịu lực BTCT; tường bao xây gạch; sàn, mái BTCT đổ tại chỗ có 1 tầng hầm – Diện tích xây dựng từ 90m2 – dưới 140m2</w:t>
      </w:r>
      <w:r>
        <w:rPr>
          <w:rFonts w:ascii="Times New Roman" w:hAnsi="Times New Roman" w:eastAsia="Times New Roman" w:cs="Times New Roman"/>
          <w:i/>
          <w:color w:val="000000"/>
          <w:spacing w:val="2"/>
          <w:sz w:val="24"/>
          <w:highlight w:val="white"/>
        </w:rPr>
        <w:t xml:space="preserve">”</w:t>
      </w:r>
      <w:r>
        <w:rPr>
          <w:rFonts w:ascii="Times New Roman" w:hAnsi="Times New Roman" w:eastAsia="Times New Roman" w:cs="Times New Roman"/>
          <w:color w:val="000000"/>
          <w:spacing w:val="2"/>
          <w:sz w:val="24"/>
          <w:highlight w:val="white"/>
        </w:rPr>
        <w:t xml:space="preserve"> có kết cấu tương tự với tài sản thẩm định</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pacing w:val="2"/>
          <w:sz w:val="24"/>
          <w:highlight w:val="white"/>
        </w:rPr>
        <w:t xml:space="preserve">đơn giá là: 5.363.000 đồng/m</w:t>
      </w:r>
      <w:r>
        <w:rPr>
          <w:rFonts w:ascii="Times New Roman" w:hAnsi="Times New Roman" w:eastAsia="Times New Roman" w:cs="Times New Roman"/>
          <w:color w:val="000000"/>
          <w:spacing w:val="2"/>
          <w:sz w:val="20"/>
          <w:highlight w:val="white"/>
          <w:vertAlign w:val="superscript"/>
        </w:rPr>
        <w:t xml:space="preserve">2</w:t>
      </w:r>
      <w:r>
        <w:rPr>
          <w:rFonts w:ascii="Times New Roman" w:hAnsi="Times New Roman" w:eastAsia="Times New Roman" w:cs="Times New Roman"/>
          <w:i/>
          <w:color w:val="000000"/>
          <w:spacing w:val="2"/>
          <w:sz w:val="24"/>
          <w:highlight w:val="white"/>
        </w:rPr>
        <w:t xml:space="preserve">. </w:t>
      </w:r>
      <w:r>
        <w:rPr>
          <w:rFonts w:ascii="Times New Roman" w:hAnsi="Times New Roman" w:eastAsia="Times New Roman" w:cs="Times New Roman"/>
          <w:color w:val="000000"/>
          <w:spacing w:val="-2"/>
          <w:sz w:val="24"/>
          <w:highlight w:val="white"/>
        </w:rPr>
        <w:t xml:space="preserve">Đơn giá xây mới thay thế ước tính  = </w:t>
      </w:r>
      <w:r>
        <w:rPr>
          <w:rFonts w:ascii="Times New Roman" w:hAnsi="Times New Roman" w:eastAsia="Times New Roman" w:cs="Times New Roman"/>
          <w:i/>
          <w:color w:val="000000"/>
          <w:spacing w:val="-2"/>
          <w:sz w:val="24"/>
          <w:highlight w:val="white"/>
        </w:rPr>
        <w:t xml:space="preserve">8.703.000 đồng/m</w:t>
      </w:r>
      <w:r>
        <w:rPr>
          <w:rFonts w:ascii="Times New Roman" w:hAnsi="Times New Roman" w:eastAsia="Times New Roman" w:cs="Times New Roman"/>
          <w:i/>
          <w:color w:val="000000"/>
          <w:spacing w:val="-2"/>
          <w:sz w:val="20"/>
          <w:highlight w:val="white"/>
          <w:vertAlign w:val="superscript"/>
        </w:rPr>
        <w:t xml:space="preserve">2</w:t>
      </w:r>
      <w:r>
        <w:rPr>
          <w:rFonts w:ascii="Times New Roman" w:hAnsi="Times New Roman" w:eastAsia="Times New Roman" w:cs="Times New Roman"/>
          <w:i/>
          <w:color w:val="000000"/>
          <w:spacing w:val="-2"/>
          <w:sz w:val="24"/>
          <w:highlight w:val="white"/>
        </w:rPr>
        <w:t xml:space="preserve"> * 0,948/1,1 =</w:t>
      </w:r>
      <w:r>
        <w:rPr>
          <w:rFonts w:ascii="Times New Roman" w:hAnsi="Times New Roman" w:eastAsia="Times New Roman" w:cs="Times New Roman"/>
          <w:b/>
          <w:i/>
          <w:color w:val="000000"/>
          <w:spacing w:val="-2"/>
          <w:sz w:val="24"/>
          <w:highlight w:val="white"/>
        </w:rPr>
        <w:t xml:space="preserve"> 7.500.404 đồng/m</w:t>
      </w:r>
      <w:r>
        <w:rPr>
          <w:rFonts w:ascii="Times New Roman" w:hAnsi="Times New Roman" w:eastAsia="Times New Roman" w:cs="Times New Roman"/>
          <w:b/>
          <w:i/>
          <w:color w:val="000000"/>
          <w:spacing w:val="-2"/>
          <w:sz w:val="20"/>
          <w:highlight w:val="white"/>
          <w:vertAlign w:val="superscript"/>
        </w:rPr>
        <w:t xml:space="preserve">2</w:t>
      </w:r>
      <w:r>
        <w:rPr>
          <w:rFonts w:ascii="Times New Roman" w:hAnsi="Times New Roman" w:eastAsia="Times New Roman" w:cs="Times New Roman"/>
          <w:b/>
          <w:i/>
          <w:color w:val="000000"/>
          <w:spacing w:val="-2"/>
          <w:sz w:val="24"/>
          <w:highlight w:val="white"/>
        </w:rPr>
        <w:t xml:space="preserve">.</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rPr>
          <w:highlight w:val="white"/>
        </w:rPr>
      </w:pPr>
      <w:r>
        <w:rPr>
          <w:rFonts w:ascii="Times New Roman" w:hAnsi="Times New Roman" w:eastAsia="Times New Roman" w:cs="Times New Roman"/>
          <w:b/>
          <w:color w:val="000000"/>
          <w:sz w:val="24"/>
          <w:highlight w:val="white"/>
        </w:rPr>
        <w:t xml:space="preserve">2.2. Đánh giá </w:t>
      </w:r>
      <w:r>
        <w:rPr>
          <w:rFonts w:ascii="Times New Roman" w:hAnsi="Times New Roman" w:eastAsia="Times New Roman" w:cs="Times New Roman"/>
          <w:b/>
          <w:color w:val="000000"/>
          <w:sz w:val="24"/>
          <w:highlight w:val="white"/>
        </w:rPr>
        <w:t xml:space="preserve">chất </w:t>
      </w:r>
      <w:r>
        <w:rPr>
          <w:rFonts w:ascii="Times New Roman" w:hAnsi="Times New Roman" w:eastAsia="Times New Roman" w:cs="Times New Roman"/>
          <w:b/>
          <w:color w:val="000000"/>
          <w:spacing w:val="-2"/>
          <w:sz w:val="24"/>
          <w:highlight w:val="white"/>
        </w:rPr>
        <w:t xml:space="preserve">lượng</w:t>
      </w:r>
      <w:r>
        <w:rPr>
          <w:rFonts w:ascii="Times New Roman" w:hAnsi="Times New Roman" w:eastAsia="Times New Roman" w:cs="Times New Roman"/>
          <w:b/>
          <w:color w:val="000000"/>
          <w:sz w:val="24"/>
          <w:highlight w:val="white"/>
        </w:rPr>
        <w:t xml:space="preserve"> còn lại của các hạng mục công trình xây dựng</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312" w:lineRule="auto"/>
        <w:ind w:right="0" w:firstLine="0" w:left="0"/>
        <w:jc w:val="both"/>
        <w:rPr>
          <w:highlight w:val="white"/>
        </w:rPr>
      </w:pPr>
      <w:r>
        <w:rPr>
          <w:rFonts w:ascii="Times New Roman" w:hAnsi="Times New Roman" w:eastAsia="Times New Roman" w:cs="Times New Roman"/>
          <w:color w:val="000000"/>
          <w:sz w:val="24"/>
          <w:highlight w:val="white"/>
        </w:rPr>
        <w:t xml:space="preserve">Tài sản thẩm định đã hoàn thiện đưa vào sử dụng tháng 12/2020. </w:t>
      </w:r>
      <w:r>
        <w:rPr>
          <w:rFonts w:ascii="Times New Roman" w:hAnsi="Times New Roman" w:eastAsia="Times New Roman" w:cs="Times New Roman"/>
          <w:color w:val="000000"/>
          <w:sz w:val="24"/>
          <w:highlight w:val="white"/>
        </w:rPr>
        <w:t xml:space="preserve"> Do đó, tổ thẩm định xác định tỷ lệ CLCL của công trình xây dựng theo phương pháp tuổi đời, cụ thể như sau:  </w:t>
      </w:r>
      <w:r>
        <w:rPr>
          <w:highlight w:val="white"/>
        </w:rPr>
      </w:r>
      <w:r>
        <w:rPr>
          <w:highlight w:val="white"/>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605"/>
        <w:gridCol w:w="1754"/>
        <w:gridCol w:w="1487"/>
        <w:gridCol w:w="992"/>
        <w:gridCol w:w="1134"/>
        <w:gridCol w:w="992"/>
        <w:gridCol w:w="1276"/>
      </w:tblGrid>
      <w:tr>
        <w:trPr>
          <w:trHeight w:val="850"/>
        </w:trPr>
        <w:tc>
          <w:tcPr>
            <w:shd w:val="clear" w:color="ffffff" w:fill="ffffff"/>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7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Thời điểm đưa vào sử dụng</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Thời điểm thẩm định</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Tuổi đời kinh tế</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Tuổi đời hiệu quả</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Tỷ lệ hao mòn</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5" w:type="dxa"/>
              <w:top w:w="15" w:type="dxa"/>
              <w:right w:w="15"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Tỷ lệ CLCL</w:t>
            </w:r>
            <w:r>
              <w:rPr>
                <w:highlight w:val="white"/>
              </w:rPr>
            </w:r>
            <w:r>
              <w:rPr>
                <w:highlight w:val="white"/>
              </w:rPr>
            </w:r>
          </w:p>
        </w:tc>
      </w:tr>
      <w:tr>
        <w:trPr>
          <w:trHeight w:val="674"/>
        </w:trPr>
        <w:tc>
          <w:tcPr>
            <w:tcBorders>
              <w:left w:val="single" w:color="000000" w:sz="8" w:space="0"/>
              <w:bottom w:val="single" w:color="000000" w:sz="8" w:space="0"/>
              <w:right w:val="single" w:color="000000" w:sz="8" w:space="0"/>
            </w:tcBorders>
            <w:tcMar>
              <w:left w:w="15" w:type="dxa"/>
              <w:top w:w="15" w:type="dxa"/>
              <w:right w:w="15"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line="276" w:lineRule="auto"/>
              <w:ind w:right="0" w:firstLine="0" w:left="0"/>
              <w:jc w:val="center"/>
              <w:rPr>
                <w:highlight w:val="white"/>
              </w:rPr>
            </w:pPr>
            <w:r>
              <w:rPr>
                <w:highlight w:val="white"/>
              </w:rPr>
              <w:t xml:space="preserve">Công trình xây dựng</w:t>
            </w:r>
            <w:r>
              <w:rPr>
                <w:highlight w:val="white"/>
              </w:rPr>
            </w:r>
            <w:r>
              <w:rPr>
                <w:highlight w:val="white"/>
              </w:rPr>
            </w:r>
          </w:p>
        </w:tc>
        <w:tc>
          <w:tcPr>
            <w:shd w:val="clear" w:color="ffffff" w:fill="ffffff"/>
            <w:tcBorders>
              <w:bottom w:val="single" w:color="000000" w:sz="8" w:space="0"/>
              <w:right w:val="single" w:color="000000" w:sz="8" w:space="0"/>
            </w:tcBorders>
            <w:tcMar>
              <w:left w:w="15" w:type="dxa"/>
              <w:top w:w="15" w:type="dxa"/>
              <w:right w:w="15" w:type="dxa"/>
              <w:bottom w:w="0" w:type="dxa"/>
            </w:tcMar>
            <w:tcW w:w="1754"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01/12/2020</w:t>
            </w:r>
            <w:r>
              <w:rPr>
                <w:highlight w:val="white"/>
              </w:rPr>
            </w:r>
            <w:r>
              <w:rPr>
                <w:highlight w:val="white"/>
              </w:rPr>
            </w:r>
          </w:p>
        </w:tc>
        <w:tc>
          <w:tcPr>
            <w:shd w:val="clear" w:color="ffffff" w:fill="ffffff"/>
            <w:tcBorders>
              <w:bottom w:val="single" w:color="000000" w:sz="8" w:space="0"/>
              <w:right w:val="single" w:color="000000" w:sz="8" w:space="0"/>
            </w:tcBorders>
            <w:tcMar>
              <w:left w:w="15" w:type="dxa"/>
              <w:top w:w="15" w:type="dxa"/>
              <w:right w:w="15" w:type="dxa"/>
              <w:bottom w:w="0" w:type="dxa"/>
            </w:tcMar>
            <w:tcW w:w="1487"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01/06/2026</w:t>
            </w:r>
            <w:r>
              <w:rPr>
                <w:highlight w:val="white"/>
              </w:rPr>
            </w:r>
            <w:r>
              <w:rPr>
                <w:highlight w:val="white"/>
              </w:rPr>
            </w:r>
          </w:p>
        </w:tc>
        <w:tc>
          <w:tcPr>
            <w:tcBorders>
              <w:bottom w:val="single" w:color="000000" w:sz="8" w:space="0"/>
              <w:right w:val="single" w:color="000000" w:sz="8" w:space="0"/>
            </w:tcBorders>
            <w:tcMar>
              <w:left w:w="15" w:type="dxa"/>
              <w:top w:w="15" w:type="dxa"/>
              <w:right w:w="15" w:type="dxa"/>
              <w:bottom w:w="0" w:type="dxa"/>
            </w:tcMar>
            <w:tcW w:w="99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50</w:t>
            </w:r>
            <w:r>
              <w:rPr>
                <w:highlight w:val="white"/>
              </w:rPr>
            </w:r>
            <w:r>
              <w:rPr>
                <w:highlight w:val="white"/>
              </w:rP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5,50</w:t>
            </w:r>
            <w:r>
              <w:rPr>
                <w:highlight w:val="white"/>
              </w:rPr>
            </w:r>
            <w:r>
              <w:rPr>
                <w:highlight w:val="white"/>
              </w:rPr>
            </w:r>
          </w:p>
        </w:tc>
        <w:tc>
          <w:tcPr>
            <w:tcBorders>
              <w:bottom w:val="single" w:color="000000" w:sz="8" w:space="0"/>
              <w:right w:val="single" w:color="000000" w:sz="8" w:space="0"/>
            </w:tcBorders>
            <w:tcMar>
              <w:left w:w="15" w:type="dxa"/>
              <w:top w:w="15" w:type="dxa"/>
              <w:right w:w="15" w:type="dxa"/>
              <w:bottom w:w="0" w:type="dxa"/>
            </w:tcMar>
            <w:tcW w:w="992"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10%</w:t>
            </w:r>
            <w:r>
              <w:rPr>
                <w:highlight w:val="white"/>
              </w:rPr>
            </w:r>
            <w:r>
              <w:rPr>
                <w:highlight w:val="white"/>
              </w:rPr>
            </w:r>
          </w:p>
        </w:tc>
        <w:tc>
          <w:tcPr>
            <w:tcBorders>
              <w:bottom w:val="single" w:color="000000" w:sz="8" w:space="0"/>
              <w:right w:val="single" w:color="000000" w:sz="8" w:space="0"/>
            </w:tcBorders>
            <w:tcMar>
              <w:left w:w="15" w:type="dxa"/>
              <w:top w:w="15" w:type="dxa"/>
              <w:right w:w="15" w:type="dxa"/>
              <w:bottom w:w="0" w:type="dxa"/>
            </w:tcMar>
            <w:tcW w:w="1276" w:type="dxa"/>
            <w:vAlign w:val="center"/>
            <w:textDirection w:val="lrTb"/>
            <w:noWrap w:val="false"/>
          </w:tcPr>
          <w:p>
            <w:pPr>
              <w:pBdr/>
              <w:shd w:val="clear" w:color="ffffff" w:themeColor="background1" w:fill="ffffff" w:themeFill="background1"/>
              <w:spacing w:after="0" w:before="0" w:line="276" w:lineRule="auto"/>
              <w:ind/>
              <w:jc w:val="center"/>
              <w:rPr>
                <w:highlight w:val="white"/>
              </w:rPr>
            </w:pPr>
            <w:r>
              <w:rPr>
                <w:rFonts w:ascii="Times New Roman" w:hAnsi="Times New Roman" w:eastAsia="Times New Roman" w:cs="Times New Roman"/>
                <w:color w:val="000000"/>
                <w:sz w:val="24"/>
                <w:highlight w:val="white"/>
              </w:rPr>
              <w:t xml:space="preserve">90%</w:t>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120" w:before="120" w:line="300" w:lineRule="auto"/>
        <w:ind w:right="0" w:firstLine="0" w:left="0"/>
        <w:jc w:val="both"/>
        <w:rPr>
          <w:highlight w:val="white"/>
        </w:rPr>
      </w:pPr>
      <w:r>
        <w:rPr>
          <w:rFonts w:ascii="Times New Roman" w:hAnsi="Times New Roman" w:eastAsia="Times New Roman" w:cs="Times New Roman"/>
          <w:color w:val="000000"/>
          <w:sz w:val="24"/>
          <w:highlight w:val="white"/>
        </w:rPr>
        <w:t xml:space="preserve">Tổ thẩm định xác tỷ lệ chất lượng còn lại của tài sản là: </w:t>
      </w:r>
      <w:r>
        <w:rPr>
          <w:rFonts w:ascii="Times New Roman" w:hAnsi="Times New Roman" w:eastAsia="Times New Roman" w:cs="Times New Roman"/>
          <w:b/>
          <w:color w:val="000000"/>
          <w:sz w:val="24"/>
          <w:highlight w:val="white"/>
        </w:rPr>
        <w:t xml:space="preserve">90%</w:t>
      </w:r>
      <w:r>
        <w:rPr>
          <w:rFonts w:ascii="Times New Roman" w:hAnsi="Times New Roman" w:eastAsia="Times New Roman" w:cs="Times New Roman"/>
          <w:b/>
          <w:color w:val="000000"/>
          <w:sz w:val="24"/>
          <w:highlight w:val="white"/>
        </w:rPr>
        <w:t xml:space="preserve">.</w:t>
      </w:r>
      <w:r>
        <w:rPr>
          <w:rFonts w:ascii="Times New Roman" w:hAnsi="Times New Roman" w:eastAsia="Times New Roman" w:cs="Times New Roman"/>
          <w:color w:val="000000"/>
          <w:sz w:val="22"/>
          <w:highlight w:val="white"/>
        </w:rPr>
        <w:t xml:space="preserve">  </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72" w:afterAutospacing="0" w:before="72" w:beforeAutospacing="0" w:line="276" w:lineRule="auto"/>
        <w:ind w:right="0" w:firstLine="0" w:left="0"/>
        <w:rPr>
          <w:highlight w:val="white"/>
        </w:rPr>
      </w:pPr>
      <w:r>
        <w:rPr>
          <w:rFonts w:ascii="Times New Roman" w:hAnsi="Times New Roman" w:eastAsia="Times New Roman" w:cs="Times New Roman"/>
          <w:b/>
          <w:color w:val="000000"/>
          <w:sz w:val="24"/>
          <w:highlight w:val="white"/>
        </w:rPr>
        <w:t xml:space="preserve">2.3. Xác định giá trị công trình xây dựng</w:t>
      </w:r>
      <w:r>
        <w:rPr>
          <w:highlight w:val="white"/>
        </w:rPr>
      </w:r>
      <w:r>
        <w:rPr>
          <w:highlight w:val="whit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126"/>
        <w:gridCol w:w="1134"/>
        <w:gridCol w:w="1276"/>
        <w:gridCol w:w="1559"/>
        <w:gridCol w:w="1134"/>
        <w:gridCol w:w="1843"/>
      </w:tblGrid>
      <w:tr>
        <w:trPr>
          <w:trHeight w:val="88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Diện tích sàn xây dựng(m²)</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Chi phí thay thế</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hd w:val="clear" w:color="ffffff" w:themeColor="background1" w:fill="ffffff" w:themeFill="background1"/>
              <w:spacing w:after="0" w:before="0" w:line="240" w:lineRule="auto"/>
              <w:ind/>
              <w:jc w:val="center"/>
              <w:rPr>
                <w:highlight w:val="none"/>
              </w:rPr>
            </w:pPr>
            <w:r>
              <w:rPr>
                <w:rFonts w:ascii="Times New Roman" w:hAnsi="Times New Roman" w:eastAsia="Times New Roman" w:cs="Times New Roman"/>
                <w:b/>
                <w:color w:val="000000"/>
                <w:sz w:val="24"/>
                <w:highlight w:val="none"/>
              </w:rPr>
            </w:r>
            <w:commentRangeStart w:id="0"/>
            <w:r>
              <w:rPr>
                <w:rFonts w:ascii="Times New Roman" w:hAnsi="Times New Roman" w:eastAsia="Times New Roman" w:cs="Times New Roman"/>
                <w:b/>
                <w:color w:val="000000"/>
                <w:sz w:val="24"/>
                <w:highlight w:val="none"/>
              </w:rPr>
              <w:t xml:space="preserve">Tỷ lệ CLCL (%)</w:t>
            </w:r>
            <w:commentRangeEnd w:id="0"/>
            <w:r>
              <w:commentReference w:id="0"/>
            </w:r>
            <w:r>
              <w:rPr>
                <w:highlight w:val="none"/>
              </w:rPr>
            </w:r>
            <w:r>
              <w:rPr>
                <w:highlight w:val="non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Giá trị còn lại của CTXD (đồng)</w:t>
            </w:r>
            <w:r>
              <w:rPr>
                <w:highlight w:val="white"/>
              </w:rPr>
            </w:r>
            <w:r>
              <w:rPr>
                <w:highlight w:val="white"/>
              </w:rP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hd w:val="clear" w:color="ffffff" w:themeColor="background1" w:fill="ffffff" w:themeFill="background1"/>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i/>
                <w:color w:val="000000"/>
                <w:sz w:val="24"/>
                <w:highlight w:val="white"/>
              </w:rPr>
              <w:t xml:space="preserve"> (a) </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i/>
                <w:color w:val="000000"/>
                <w:sz w:val="24"/>
                <w:highlight w:val="white"/>
              </w:rPr>
              <w:t xml:space="preserve"> (b) </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i/>
                <w:color w:val="000000"/>
                <w:sz w:val="24"/>
                <w:highlight w:val="white"/>
              </w:rPr>
              <w:t xml:space="preserve"> (c) = (a)*(b)  </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i/>
                <w:color w:val="000000"/>
                <w:sz w:val="24"/>
                <w:highlight w:val="white"/>
              </w:rPr>
              <w:t xml:space="preserve">(d)</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i/>
                <w:color w:val="000000"/>
                <w:sz w:val="24"/>
                <w:highlight w:val="white"/>
              </w:rPr>
              <w:t xml:space="preserve">(e)= (d)*(c) </w:t>
            </w:r>
            <w:r>
              <w:rPr>
                <w:highlight w:val="white"/>
              </w:rPr>
            </w:r>
            <w:r>
              <w:rPr>
                <w:highlight w:val="white"/>
              </w:rPr>
            </w:r>
          </w:p>
        </w:tc>
      </w:tr>
      <w:tr>
        <w:trPr>
          <w:trHeight w:val="64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1 </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hd w:val="clear" w:color="ffffff" w:themeColor="background1" w:fill="ffffff" w:themeFill="background1"/>
              <w:spacing w:after="0" w:before="0" w:line="240" w:lineRule="auto"/>
              <w:ind w:right="146" w:firstLine="0" w:left="90"/>
              <w:rPr>
                <w:highlight w:val="white"/>
              </w:rPr>
            </w:pPr>
            <w:r>
              <w:rPr>
                <w:rFonts w:ascii="Times New Roman" w:hAnsi="Times New Roman" w:eastAsia="Times New Roman" w:cs="Times New Roman"/>
                <w:color w:val="000000"/>
                <w:sz w:val="24"/>
                <w:highlight w:val="white"/>
              </w:rPr>
              <w:t xml:space="preserve">Giá trị công trình xây dựng</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525,6</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4.621.931</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hd w:val="clear" w:color="ffffff" w:themeColor="background1" w:fill="ffffff" w:themeFill="background1"/>
              <w:spacing w:after="0" w:before="0" w:line="240" w:lineRule="auto"/>
              <w:ind/>
              <w:jc w:val="right"/>
              <w:rPr>
                <w:highlight w:val="white"/>
              </w:rPr>
            </w:pPr>
            <w:r>
              <w:rPr>
                <w:rFonts w:ascii="Times New Roman" w:hAnsi="Times New Roman" w:eastAsia="Times New Roman" w:cs="Times New Roman"/>
                <w:color w:val="000000"/>
                <w:sz w:val="24"/>
                <w:highlight w:val="white"/>
              </w:rPr>
              <w:t xml:space="preserve">3.942.212.342</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90%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hd w:val="clear" w:color="ffffff" w:themeColor="background1" w:fill="ffffff" w:themeFill="background1"/>
              <w:spacing w:after="0" w:before="0" w:line="240" w:lineRule="auto"/>
              <w:ind w:right="133" w:firstLine="0" w:left="0"/>
              <w:jc w:val="right"/>
              <w:rPr>
                <w:highlight w:val="white"/>
              </w:rPr>
            </w:pPr>
            <w:r>
              <w:rPr>
                <w:rFonts w:ascii="Times New Roman" w:hAnsi="Times New Roman" w:eastAsia="Times New Roman" w:cs="Times New Roman"/>
                <w:color w:val="000000"/>
                <w:sz w:val="24"/>
                <w:highlight w:val="white"/>
              </w:rPr>
              <w:t xml:space="preserve">3.547.991.108</w:t>
            </w:r>
            <w:r>
              <w:rPr>
                <w:highlight w:val="white"/>
              </w:rPr>
            </w:r>
            <w:r>
              <w:rPr>
                <w:highlight w:val="white"/>
              </w:rPr>
            </w:r>
          </w:p>
        </w:tc>
      </w:tr>
      <w:tr>
        <w:trPr>
          <w:trHeight w:val="660"/>
        </w:trPr>
        <w:tc>
          <w:tcPr>
            <w:gridSpan w:val="6"/>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965" w:type="dxa"/>
            <w:vAlign w:val="center"/>
            <w:textDirection w:val="lrTb"/>
            <w:noWrap w:val="false"/>
          </w:tcPr>
          <w:p>
            <w:pPr>
              <w:pBdr/>
              <w:shd w:val="clear" w:color="ffffff" w:themeColor="background1" w:fill="ffffff" w:themeFill="background1"/>
              <w:spacing w:after="0" w:before="0" w:line="240" w:lineRule="auto"/>
              <w:ind/>
              <w:jc w:val="center"/>
              <w:rPr>
                <w:b/>
                <w:bCs/>
                <w:highlight w:val="white"/>
              </w:rPr>
            </w:pPr>
            <w:r>
              <w:rPr>
                <w:rFonts w:ascii="Times New Roman" w:hAnsi="Times New Roman" w:eastAsia="Times New Roman" w:cs="Times New Roman"/>
                <w:b/>
                <w:bCs/>
                <w:color w:val="000000"/>
                <w:sz w:val="24"/>
                <w:highlight w:val="white"/>
              </w:rPr>
              <w:t xml:space="preserve">Tổng cộng</w:t>
            </w:r>
            <w:r>
              <w:rPr>
                <w:b/>
                <w:bCs/>
                <w:highlight w:val="white"/>
              </w:rPr>
            </w:r>
            <w:r>
              <w:rPr>
                <w:b/>
                <w:bCs/>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hd w:val="clear" w:color="ffffff" w:themeColor="background1" w:fill="ffffff" w:themeFill="background1"/>
              <w:spacing w:after="0" w:before="0" w:line="240" w:lineRule="auto"/>
              <w:ind w:right="133" w:firstLine="0" w:left="0"/>
              <w:jc w:val="right"/>
              <w:rPr>
                <w:b/>
                <w:bCs/>
                <w:highlight w:val="white"/>
              </w:rPr>
            </w:pPr>
            <w:r>
              <w:rPr>
                <w:rFonts w:ascii="Times New Roman" w:hAnsi="Times New Roman" w:eastAsia="Times New Roman" w:cs="Times New Roman"/>
                <w:b/>
                <w:bCs/>
                <w:color w:val="000000"/>
                <w:sz w:val="24"/>
                <w:highlight w:val="white"/>
              </w:rPr>
              <w:t xml:space="preserve">3.547.991.108</w:t>
            </w:r>
            <w:r>
              <w:rPr>
                <w:b/>
                <w:bCs/>
                <w:highlight w:val="white"/>
              </w:rPr>
            </w:r>
            <w:r>
              <w:rPr>
                <w:b/>
                <w:bCs/>
                <w:highlight w:val="white"/>
              </w:rPr>
            </w:r>
          </w:p>
        </w:tc>
      </w:tr>
    </w:tbl>
    <w:p>
      <w:pPr>
        <w:pStyle w:val="1031"/>
        <w:numPr>
          <w:ilvl w:val="0"/>
          <w:numId w:val="26"/>
        </w:numPr>
        <w:pBdr/>
        <w:shd w:val="clear" w:color="ffffff" w:themeColor="background1" w:fill="ffffff" w:themeFill="background1"/>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rPr>
      </w:r>
    </w:p>
    <w:p>
      <w:pPr>
        <w:pStyle w:val="1031"/>
        <w:pBdr/>
        <w:shd w:val="clear" w:color="ffffff" w:themeColor="background1" w:fill="ffffff" w:themeFill="background1"/>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color w:val="000000" w:themeColor="text1"/>
          <w:highlight w:val="white"/>
          <w:lang w:val="pt-BR"/>
        </w:rPr>
        <w:t xml:space="preserve">Tháng 01/2026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Style w:val="1035"/>
        <w:tblInd w:w="-147"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9"/>
        <w:gridCol w:w="4103"/>
        <w:gridCol w:w="992"/>
        <w:gridCol w:w="1276"/>
        <w:gridCol w:w="850"/>
        <w:gridCol w:w="1702"/>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TT</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Tài sản</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Diện tích (m²)</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Đơn giá (đồng/m²)</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Hệ số/</w:t>
              <w:br/>
              <w:t xml:space="preserve"> CLCL (%)</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ight="0" w:firstLine="0" w:left="0"/>
              <w:jc w:val="center"/>
              <w:rPr>
                <w:highlight w:val="white"/>
              </w:rPr>
            </w:pPr>
            <w:r>
              <w:rPr>
                <w:rFonts w:ascii="Times New Roman" w:hAnsi="Times New Roman" w:eastAsia="Times New Roman" w:cs="Times New Roman"/>
                <w:b/>
                <w:color w:val="000000"/>
                <w:sz w:val="22"/>
                <w:highlight w:val="white"/>
              </w:rPr>
              <w:t xml:space="preserve">Thành tiền (đồng)</w:t>
            </w:r>
            <w:r>
              <w:rPr>
                <w:highlight w:val="white"/>
              </w:rPr>
            </w:r>
            <w:r>
              <w:rPr>
                <w:highlight w:val="white"/>
              </w:rPr>
            </w:r>
          </w:p>
        </w:tc>
      </w:tr>
      <w:tr>
        <w:trPr>
          <w:trHeight w:val="417"/>
        </w:trPr>
        <w:tc>
          <w:tcPr>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I</w:t>
            </w:r>
            <w:r>
              <w:rPr>
                <w:highlight w:val="white"/>
              </w:rPr>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7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rPr>
                <w:highlight w:val="white"/>
              </w:rPr>
            </w:pPr>
            <w:r>
              <w:rPr>
                <w:rFonts w:ascii="Times New Roman" w:hAnsi="Times New Roman" w:eastAsia="Times New Roman" w:cs="Times New Roman"/>
                <w:b/>
                <w:color w:val="000000"/>
                <w:sz w:val="22"/>
                <w:highlight w:val="white"/>
              </w:rPr>
              <w:t xml:space="preserve">Giá trị quyền sử dụng đất</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3.780.000.000</w:t>
            </w:r>
            <w:r>
              <w:rPr>
                <w:highlight w:val="white"/>
              </w:rPr>
            </w:r>
            <w:r>
              <w:rPr>
                <w:highlight w:val="white"/>
              </w:rPr>
            </w:r>
          </w:p>
        </w:tc>
      </w:tr>
      <w:tr>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color w:val="000000"/>
                <w:sz w:val="22"/>
                <w:highlight w:val="white"/>
              </w:rPr>
              <w:t xml:space="preserve">Thửa đất số 15, tờ bản đồ QH chia lô khu Ninh Chấp 7, có địa chỉ: Phường Thái Học, Thị xã Chí Linh, Tỉnh Hải Dương </w:t>
            </w:r>
            <w:r>
              <w:rPr>
                <w:rFonts w:ascii="Times New Roman" w:hAnsi="Times New Roman" w:eastAsia="Times New Roman" w:cs="Times New Roman"/>
                <w:i/>
                <w:iCs/>
                <w:color w:val="000000"/>
                <w:sz w:val="22"/>
                <w:highlight w:val="white"/>
              </w:rPr>
              <w:t xml:space="preserve">(Nay là phường Chu Văn An, thành phố Hải Phòng)</w:t>
            </w:r>
            <w:r>
              <w:rPr>
                <w:rFonts w:ascii="Times New Roman" w:hAnsi="Times New Roman" w:eastAsia="Times New Roman" w:cs="Times New Roman"/>
                <w:color w:val="000000"/>
                <w:sz w:val="22"/>
                <w:highlight w:val="white"/>
              </w:rPr>
              <w:t xml:space="preserve"> theo Giấy chứng nhận quyền sử dụng đất, quyền sở hữu nhà ở và tài sản khác gắn liền với đất số CL 04</w:t>
            </w:r>
            <w:r>
              <w:rPr>
                <w:rFonts w:ascii="Times New Roman" w:hAnsi="Times New Roman" w:eastAsia="Times New Roman" w:cs="Times New Roman"/>
                <w:color w:val="000000"/>
                <w:sz w:val="22"/>
                <w:highlight w:val="white"/>
              </w:rPr>
              <w:t xml:space="preserve">8924 số vào sổ cấp GCN CH 04203 do UBND thị xã Chị Linh cấp ngày 12/12/2017 cho ông Nguyễn Đình Minh và Bà Vũ Thị Huệ</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21.000.000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color w:val="000000"/>
                <w:sz w:val="22"/>
                <w:highlight w:val="white"/>
              </w:rPr>
              <w:t xml:space="preserve">1.890.000.000</w:t>
            </w:r>
            <w:r>
              <w:rPr>
                <w:highlight w:val="white"/>
              </w:rPr>
            </w:r>
            <w:r>
              <w:rPr>
                <w:highlight w:val="white"/>
              </w:rPr>
            </w:r>
          </w:p>
        </w:tc>
      </w:tr>
      <w:tr>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color w:val="000000"/>
                <w:sz w:val="22"/>
                <w:highlight w:val="white"/>
              </w:rPr>
              <w:t xml:space="preserve">Thửa đất số 16, tờ bản đồ QH chia lô khu Ninh Chấp 7, có địa chỉ: Phường Thái Học, Thị xã Chí Linh, Tỉnh Hải Dương </w:t>
            </w:r>
            <w:r>
              <w:rPr>
                <w:rFonts w:ascii="Times New Roman" w:hAnsi="Times New Roman" w:eastAsia="Times New Roman" w:cs="Times New Roman"/>
                <w:i/>
                <w:iCs/>
                <w:color w:val="000000"/>
                <w:sz w:val="22"/>
                <w:highlight w:val="white"/>
              </w:rPr>
              <w:t xml:space="preserve">(Nay là phường Chu Văn An, thành phố Hải Phòng)</w:t>
            </w:r>
            <w:r>
              <w:rPr>
                <w:rFonts w:ascii="Times New Roman" w:hAnsi="Times New Roman" w:eastAsia="Times New Roman" w:cs="Times New Roman"/>
                <w:color w:val="000000"/>
                <w:sz w:val="22"/>
                <w:highlight w:val="white"/>
              </w:rPr>
              <w:t xml:space="preserve"> theo Giấy chứng nhận quyền sử dụng đất, quyền sở hữu nhà ở và tài sản khác gắn liền với đất số CL 01</w:t>
            </w:r>
            <w:r>
              <w:rPr>
                <w:rFonts w:ascii="Times New Roman" w:hAnsi="Times New Roman" w:eastAsia="Times New Roman" w:cs="Times New Roman"/>
                <w:color w:val="000000"/>
                <w:sz w:val="22"/>
                <w:highlight w:val="white"/>
              </w:rPr>
              <w:t xml:space="preserve">7167 số vào sổ cấp GCN CH 04210 do UBND thị xã Chị Linh cấp ngày 12/12/2017 cho ông Nguyễn Đình Minh và Bà Vũ Thị Huệ</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21.000.000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color w:val="000000"/>
                <w:sz w:val="22"/>
                <w:highlight w:val="white"/>
              </w:rPr>
              <w:t xml:space="preserve">1.890.000.000</w:t>
            </w:r>
            <w:r>
              <w:rPr>
                <w:highlight w:val="white"/>
              </w:rPr>
            </w:r>
            <w:r>
              <w:rPr>
                <w:highlight w:val="white"/>
              </w:rPr>
            </w:r>
          </w:p>
        </w:tc>
      </w:tr>
      <w:tr>
        <w:trPr>
          <w:trHeight w:val="1417"/>
        </w:trPr>
        <w:tc>
          <w:tcPr>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II</w:t>
            </w:r>
            <w:r>
              <w:rPr>
                <w:highlight w:val="white"/>
              </w:rPr>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7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b/>
                <w:color w:val="000000"/>
                <w:sz w:val="22"/>
                <w:highlight w:val="white"/>
              </w:rPr>
              <w:t xml:space="preserve">Giá trị công trình xây dựng trên đất (xây liền khối trên 2 thửa đất 15, tờ bản đồ QH chia lô khu Ninh Chấp 7 theo GCN số CL 048924 số vào sổ cấp GCN CH 04203 và thửa đất số 16, tờ bản đồ QH chia lô khu Ninh Chấp 7 theo GCN CL 017167 số vào sổ cấp GCN CH 04</w:t>
            </w:r>
            <w:r>
              <w:rPr>
                <w:rFonts w:ascii="Times New Roman" w:hAnsi="Times New Roman" w:eastAsia="Times New Roman" w:cs="Times New Roman"/>
                <w:b/>
                <w:color w:val="000000"/>
                <w:sz w:val="22"/>
                <w:highlight w:val="white"/>
              </w:rPr>
              <w:t xml:space="preserve">210 do UBND thị xã Chị Linh cấp ngày 12/12/2017 cho ông Nguyễn Đình Minh và Bà Vũ Thị Huệ</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3.547.991.108</w:t>
            </w:r>
            <w:r>
              <w:rPr>
                <w:highlight w:val="white"/>
              </w:rPr>
            </w:r>
            <w:r>
              <w:rPr>
                <w:highlight w:val="white"/>
              </w:rPr>
            </w:r>
          </w:p>
        </w:tc>
      </w:tr>
      <w:tr>
        <w:trPr>
          <w:trHeight w:val="983"/>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49" w:type="dxa"/>
            <w:vAlign w:val="center"/>
            <w:textDirection w:val="lrTb"/>
            <w:noWrap w:val="false"/>
          </w:tcPr>
          <w:p>
            <w:pPr>
              <w:pBdr/>
              <w:shd w:val="clear" w:color="ffffff" w:themeColor="background1" w:fill="ffffff" w:themeFill="background1"/>
              <w:spacing w:after="0" w:before="0" w:line="240" w:lineRule="auto"/>
              <w:ind/>
              <w:rPr>
                <w:highlight w:val="white"/>
              </w:rPr>
            </w:pPr>
            <w:r>
              <w:rPr>
                <w:highlight w:val="white"/>
              </w:rPr>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41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both"/>
              <w:rPr>
                <w:highlight w:val="white"/>
              </w:rPr>
            </w:pPr>
            <w:r>
              <w:rPr>
                <w:rFonts w:ascii="Times New Roman" w:hAnsi="Times New Roman" w:eastAsia="Times New Roman" w:cs="Times New Roman"/>
                <w:color w:val="000000"/>
                <w:sz w:val="22"/>
                <w:highlight w:val="white"/>
              </w:rPr>
              <w:t xml:space="preserve">Nhà 3 tầng + 1 hầm (theo Giấy phép xây dựng số 343/GPXD-UBND ngày 10/4/2018 của UBND thị xã Chí Linh cấp)</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525,6</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7.500.404</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color w:val="000000"/>
                <w:sz w:val="22"/>
                <w:highlight w:val="white"/>
              </w:rPr>
              <w:t xml:space="preserve">3.547.991.108</w:t>
            </w:r>
            <w:r>
              <w:rPr>
                <w:highlight w:val="white"/>
              </w:rPr>
            </w:r>
            <w:r>
              <w:rPr>
                <w:highlight w:val="white"/>
              </w:rPr>
            </w:r>
          </w:p>
        </w:tc>
      </w:tr>
      <w:tr>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9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TỔNG CỘNG</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7.327.991.108</w:t>
            </w:r>
            <w:r>
              <w:rPr>
                <w:highlight w:val="white"/>
              </w:rPr>
            </w:r>
            <w:r>
              <w:rPr>
                <w:highlight w:val="white"/>
              </w:rPr>
            </w:r>
          </w:p>
        </w:tc>
      </w:tr>
      <w:tr>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9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color w:val="000000"/>
                <w:sz w:val="22"/>
                <w:highlight w:val="white"/>
              </w:rPr>
              <w:t xml:space="preserve">LÀM TRÒN</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right"/>
              <w:rPr>
                <w:highlight w:val="white"/>
              </w:rPr>
            </w:pPr>
            <w:r>
              <w:rPr>
                <w:rFonts w:ascii="Times New Roman" w:hAnsi="Times New Roman" w:eastAsia="Times New Roman" w:cs="Times New Roman"/>
                <w:b/>
                <w:color w:val="000000"/>
                <w:sz w:val="22"/>
                <w:highlight w:val="white"/>
              </w:rPr>
              <w:t xml:space="preserve">7.328.000.000</w:t>
            </w:r>
            <w:r>
              <w:rPr>
                <w:highlight w:val="white"/>
              </w:rPr>
            </w:r>
            <w:r>
              <w:rPr>
                <w:highlight w:val="white"/>
              </w:rPr>
            </w:r>
          </w:p>
        </w:tc>
      </w:tr>
      <w:tr>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0" w:before="0"/>
              <w:ind w:right="144" w:firstLine="0" w:left="86"/>
              <w:jc w:val="center"/>
              <w:rPr>
                <w:highlight w:val="white"/>
              </w:rPr>
            </w:pPr>
            <w:r>
              <w:rPr>
                <w:rFonts w:ascii="Times New Roman" w:hAnsi="Times New Roman" w:eastAsia="Times New Roman" w:cs="Times New Roman"/>
                <w:b/>
                <w:i/>
                <w:color w:val="000000"/>
                <w:sz w:val="22"/>
                <w:highlight w:val="white"/>
              </w:rPr>
              <w:t xml:space="preserve">(Bằng chữ: Bảy tỷ, ba trăm hai mươi tám triệu đồng chẵn ./.)</w:t>
            </w:r>
            <w:r>
              <w:rPr>
                <w:highlight w:val="white"/>
              </w:rPr>
            </w:r>
            <w:r>
              <w:rPr>
                <w:highlight w:val="white"/>
              </w:rPr>
            </w:r>
          </w:p>
        </w:tc>
      </w:tr>
    </w:tbl>
    <w:p>
      <w:pPr>
        <w:pStyle w:val="1031"/>
        <w:pBdr/>
        <w:shd w:val="clear" w:color="ffffff" w:themeColor="background1" w:fill="ffffff" w:themeFill="background1"/>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rPr>
      </w:r>
    </w:p>
    <w:p>
      <w:pPr>
        <w:pStyle w:val="1031"/>
        <w:numPr>
          <w:ilvl w:val="0"/>
          <w:numId w:val="4"/>
        </w:numPr>
        <w:pBdr/>
        <w:shd w:val="clear" w:color="ffffff" w:themeColor="background1" w:fill="ffffff" w:themeFill="background1"/>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rPr>
      </w:r>
    </w:p>
    <w:p>
      <w:pPr>
        <w:pStyle w:val="1031"/>
        <w:pBdr/>
        <w:shd w:val="clear" w:color="ffffff" w:themeColor="background1" w:fill="ffffff" w:themeFill="background1"/>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Thẩm định giá không phải là</w:t>
      </w:r>
      <w:r>
        <w:rPr>
          <w:highlight w:val="white"/>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highlight w:val="white"/>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rPr>
      </w:r>
    </w:p>
    <w:p>
      <w:pPr>
        <w:pStyle w:val="1031"/>
        <w:numPr>
          <w:ilvl w:val="0"/>
          <w:numId w:val="10"/>
        </w:numPr>
        <w:pBdr/>
        <w:shd w:val="clear" w:color="ffffff" w:themeColor="background1" w:fill="ffffff" w:themeFill="background1"/>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rPr>
      </w:r>
    </w:p>
    <w:p>
      <w:pPr>
        <w:pStyle w:val="1031"/>
        <w:numPr>
          <w:ilvl w:val="0"/>
          <w:numId w:val="10"/>
        </w:numPr>
        <w:pBdr/>
        <w:shd w:val="clear" w:color="ffffff" w:themeColor="background1" w:fill="ffffff" w:themeFill="background1"/>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rPr>
      </w:r>
    </w:p>
    <w:p>
      <w:pPr>
        <w:pStyle w:val="1031"/>
        <w:numPr>
          <w:ilvl w:val="0"/>
          <w:numId w:val="10"/>
        </w:numPr>
        <w:pBdr/>
        <w:shd w:val="clear" w:color="ffffff" w:themeColor="background1" w:fill="ffffff" w:themeFill="background1"/>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rPr>
      </w:r>
    </w:p>
    <w:p>
      <w:pPr>
        <w:pStyle w:val="1031"/>
        <w:pBdr/>
        <w:shd w:val="clear" w:color="ffffff" w:themeColor="background1" w:fill="ffffff" w:themeFill="background1"/>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rPr>
      </w:r>
    </w:p>
    <w:p>
      <w:pPr>
        <w:pStyle w:val="1031"/>
        <w:numPr>
          <w:ilvl w:val="0"/>
          <w:numId w:val="5"/>
        </w:numPr>
        <w:pBdr/>
        <w:shd w:val="clear" w:color="ffffff" w:themeColor="background1" w:fill="ffffff" w:themeFill="background1"/>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đất  đã cung cấp cho chúng tôi.</w:t>
      </w:r>
      <w:r>
        <w:rPr>
          <w:highlight w:val="white"/>
          <w:shd w:val="clear" w:color="auto" w:fill="ffffff"/>
          <w:lang w:val="pt-BR"/>
        </w:rPr>
      </w:r>
      <w:r>
        <w:rPr>
          <w:highlight w:val="white"/>
          <w:shd w:val="clear" w:color="auto" w:fill="ffffff"/>
        </w:rPr>
      </w:r>
    </w:p>
    <w:p>
      <w:pPr>
        <w:pStyle w:val="1031"/>
        <w:numPr>
          <w:ilvl w:val="0"/>
          <w:numId w:val="5"/>
        </w:numPr>
        <w:pBdr/>
        <w:shd w:val="clear" w:color="ffffff" w:themeColor="background1" w:fill="ffffff" w:themeFill="background1"/>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jc w:val="both"/>
        <w:rPr>
          <w:bCs/>
          <w:spacing w:val="-2"/>
          <w:highlight w:val="white"/>
        </w:rPr>
      </w:pPr>
      <w:r>
        <w:rPr>
          <w:bCs/>
          <w:spacing w:val="-2"/>
          <w:highlight w:val="white"/>
          <w:lang w:val="pt-BR"/>
        </w:rPr>
        <w:t xml:space="preserve">Tại ngày phát hành chứng thư thẩm định giá, Chúng tôi không nhận được bất kỳ văn bản đánh giá hiện trạng công trình tài sản th</w:t>
      </w:r>
      <w:r>
        <w:rPr>
          <w:bCs/>
          <w:spacing w:val="-2"/>
          <w:highlight w:val="white"/>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highlight w:val="white"/>
          <w:lang w:val="pt-BR"/>
        </w:rPr>
        <w:t xml:space="preserve">vậy, chất lượng còn lại của tài sản được trình bày trên báo cáo này ch</w:t>
      </w:r>
      <w:r>
        <w:rPr>
          <w:bCs/>
          <w:spacing w:val="-2"/>
          <w:highlight w:val="white"/>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highlight w:val="white"/>
          <w:lang w:val="pt-BR"/>
        </w:rPr>
      </w:r>
      <w:r>
        <w:rPr>
          <w:bCs/>
          <w:spacing w:val="-2"/>
          <w:highlight w:val="white"/>
        </w:rPr>
      </w:r>
    </w:p>
    <w:p>
      <w:pPr>
        <w:pStyle w:val="1031"/>
        <w:numPr>
          <w:ilvl w:val="0"/>
          <w:numId w:val="3"/>
        </w:numPr>
        <w:pBdr/>
        <w:shd w:val="clear" w:color="ffffff" w:themeColor="background1" w:fill="ffffff" w:themeFill="background1"/>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rPr>
      </w:r>
    </w:p>
    <w:p>
      <w:pPr>
        <w:pStyle w:val="1031"/>
        <w:numPr>
          <w:ilvl w:val="0"/>
          <w:numId w:val="5"/>
        </w:numPr>
        <w:pBdr/>
        <w:shd w:val="clear" w:color="ffffff" w:themeColor="background1" w:fill="ffffff" w:themeFill="background1"/>
        <w:tabs>
          <w:tab w:val="left" w:leader="none" w:pos="993"/>
        </w:tabs>
        <w:spacing w:after="120" w:before="120" w:line="288" w:lineRule="auto"/>
        <w:ind w:hanging="357" w:left="357"/>
        <w:jc w:val="both"/>
        <w:rPr>
          <w:highlight w:val="white"/>
        </w:rPr>
      </w:pPr>
      <w:r>
        <w:rPr>
          <w:highlight w:val="white"/>
        </w:rPr>
      </w:r>
      <w:bookmarkStart w:id="3"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highlight w:val="white"/>
          <w:lang w:val="pt-BR"/>
        </w:rPr>
      </w:r>
      <w:r>
        <w:rPr>
          <w:highlight w:val="white"/>
        </w:rPr>
      </w:r>
    </w:p>
    <w:p>
      <w:pPr>
        <w:pBdr/>
        <w:shd w:val="clear" w:color="ffffff" w:themeColor="background1" w:fill="ffffff" w:themeFill="background1"/>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rPr>
      </w:r>
    </w:p>
    <w:p>
      <w:pPr>
        <w:pStyle w:val="1031"/>
        <w:pBdr/>
        <w:shd w:val="clear" w:color="ffffff" w:themeColor="background1" w:fill="ffffff" w:themeFill="background1"/>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rPr>
      </w:r>
    </w:p>
    <w:p>
      <w:pPr>
        <w:pStyle w:val="1031"/>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rPr>
      </w:r>
    </w:p>
    <w:p>
      <w:pPr>
        <w:pStyle w:val="1031"/>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pt-BR" w:bidi="pt-BR"/>
        </w:rPr>
      </w:r>
      <w:r>
        <w:rPr>
          <w:highlight w:val="white"/>
          <w:lang w:val="pt-BR"/>
        </w:rPr>
      </w:r>
      <w:r>
        <w:rPr>
          <w:highlight w:val="white"/>
        </w:rPr>
      </w:r>
    </w:p>
    <w:p>
      <w:pPr>
        <w:pStyle w:val="1031"/>
        <w:pBdr/>
        <w:shd w:val="clear" w:color="ffffff" w:themeColor="background1" w:fill="ffffff" w:themeFill="background1"/>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275/2026/01116/VFI-CT.24.A</w:t>
      </w:r>
      <w:r>
        <w:rPr>
          <w:color w:val="ff0000"/>
          <w:highlight w:val="white"/>
          <w:lang w:val="vi-VN"/>
        </w:rPr>
        <w:t xml:space="preserve"> </w:t>
      </w:r>
      <w:r>
        <w:rPr>
          <w:color w:val="000000" w:themeColor="text1"/>
          <w:highlight w:val="white"/>
        </w:rPr>
        <w:t xml:space="preserve">ngày 16 tháng 5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pt-BR"/>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rPr>
            </w:r>
          </w:p>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hd w:val="clear" w:color="ffffff" w:themeColor="background1" w:fill="ffffff" w:themeFill="background1"/>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hd w:val="clear" w:color="ffffff" w:themeColor="background1" w:fill="ffffff" w:themeFill="background1"/>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Đỗ Thanh Thảo</w:t>
            </w:r>
            <w:r>
              <w:rPr>
                <w:rFonts w:eastAsia="Calibri"/>
                <w:b/>
                <w:color w:val="000000" w:themeColor="text1"/>
                <w:highlight w:val="white"/>
                <w:lang w:val="pt-BR"/>
              </w:rPr>
            </w:r>
            <w:r>
              <w:rPr>
                <w:rFonts w:eastAsia="Calibri"/>
                <w:b/>
                <w:color w:val="000000" w:themeColor="text1"/>
                <w:highlight w:val="white"/>
              </w:rPr>
            </w:r>
          </w:p>
          <w:p>
            <w:pPr>
              <w:pBdr/>
              <w:shd w:val="clear" w:color="ffffff" w:themeColor="background1" w:fill="ffffff" w:themeFill="background1"/>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XV23.2485</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hd w:val="clear" w:color="ffffff" w:themeColor="background1" w:fill="ffffff" w:themeFill="background1"/>
              <w:spacing w:line="240" w:lineRule="atLeast"/>
              <w:ind/>
              <w:jc w:val="center"/>
              <w:rPr>
                <w:rFonts w:eastAsia="Calibri"/>
                <w:b/>
                <w:highlight w:val="white"/>
              </w:rPr>
            </w:pPr>
            <w:r>
              <w:rPr>
                <w:rFonts w:eastAsia="Calibri"/>
                <w:b/>
                <w:highlight w:val="white"/>
              </w:rPr>
              <w:t xml:space="preserve">Vũ Văn Quân</w:t>
            </w:r>
            <w:r>
              <w:rPr>
                <w:rFonts w:eastAsia="Calibri"/>
                <w:b/>
                <w:highlight w:val="white"/>
                <w:lang w:val="vi-VN"/>
              </w:rPr>
            </w:r>
            <w:r>
              <w:rPr>
                <w:rFonts w:eastAsia="Calibri"/>
                <w:b/>
                <w:highlight w:val="white"/>
              </w:rPr>
            </w:r>
          </w:p>
          <w:p>
            <w:pPr>
              <w:pBdr/>
              <w:shd w:val="clear" w:color="ffffff" w:themeColor="background1" w:fill="ffffff" w:themeFill="background1"/>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rPr>
            </w:r>
          </w:p>
        </w:tc>
      </w:tr>
    </w:tbl>
    <w:p>
      <w:pPr>
        <w:pBdr/>
        <w:shd w:val="clear" w:color="ffffff" w:themeColor="background1" w:fill="ffffff" w:themeFill="background1"/>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hd w:val="clear" w:color="ffffff" w:themeColor="background1" w:fill="ffffff" w:themeFill="background1"/>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hd w:val="clear" w:color="ffffff" w:themeColor="background1" w:fill="ffffff" w:themeFill="background1"/>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hd w:val="clear" w:color="ffffff" w:themeColor="background1" w:fill="ffffff" w:themeFill="background1"/>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Thị Quỳnh Anh</w:t>
            </w:r>
            <w:r>
              <w:rPr>
                <w:rFonts w:eastAsia="Calibri"/>
                <w:b/>
                <w:color w:val="000000" w:themeColor="text1"/>
                <w:highlight w:val="white"/>
                <w:lang w:val="pt-BR"/>
              </w:rPr>
            </w:r>
            <w:r>
              <w:rPr>
                <w:rFonts w:eastAsia="Calibri"/>
                <w:b/>
                <w:color w:val="000000" w:themeColor="text1"/>
                <w:highlight w:val="white"/>
              </w:rPr>
            </w:r>
          </w:p>
          <w:p>
            <w:pPr>
              <w:pBdr/>
              <w:shd w:val="clear" w:color="ffffff" w:themeColor="background1" w:fill="ffffff" w:themeFill="background1"/>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hd w:val="clear" w:color="ffffff" w:themeColor="background1" w:fill="ffffff" w:themeFill="background1"/>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hd w:val="clear" w:color="ffffff" w:themeColor="background1" w:fill="ffffff" w:themeFill="background1"/>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rPr>
            </w:r>
          </w:p>
        </w:tc>
      </w:tr>
    </w:tbl>
    <w:p>
      <w:pPr>
        <w:pBdr/>
        <w:shd w:val="clear" w:color="ffffff" w:themeColor="background1" w:fill="ffffff" w:themeFill="background1"/>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rPr>
      </w:r>
    </w:p>
    <w:p>
      <w:pPr>
        <w:pBdr/>
        <w:shd w:val="clear" w:color="ffffff" w:themeColor="background1" w:fill="ffffff" w:themeFill="background1"/>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rPr>
      </w:r>
    </w:p>
    <w:p>
      <w:pPr>
        <w:pBdr/>
        <w:shd w:val="clear" w:color="ffffff" w:themeColor="background1" w:fill="ffffff" w:themeFill="background1"/>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275/2026/01116/VFI-BC.24.A</w:t>
      </w:r>
      <w:r>
        <w:rPr>
          <w:i/>
          <w:highlight w:val="white"/>
        </w:rPr>
        <w:t xml:space="preserve"> ngày</w:t>
      </w:r>
      <w:r>
        <w:rPr>
          <w:i/>
          <w:highlight w:val="white"/>
          <w:lang w:val="pt-BR"/>
        </w:rPr>
        <w:t xml:space="preserve"> </w:t>
      </w:r>
      <w:r>
        <w:rPr>
          <w:i/>
          <w:highlight w:val="white"/>
          <w:lang w:val="pt-BR"/>
        </w:rPr>
        <w:t xml:space="preserve">16 tháng 5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hd w:val="clear" w:color="ffffff" w:themeColor="background1" w:fill="ffffff" w:themeFill="background1"/>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lang w:val="pt-BR"/>
              </w:rPr>
            </w:r>
            <w:r>
              <w:rPr>
                <w:b/>
                <w:bCs/>
                <w:i/>
                <w:highlight w:val="white"/>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70780" cy="306262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75453" name=""/>
                              <pic:cNvPicPr>
                                <a:picLocks noChangeAspect="1"/>
                              </pic:cNvPicPr>
                              <pic:nvPr/>
                            </pic:nvPicPr>
                            <pic:blipFill rotWithShape="1">
                              <a:blip r:embed="rId18"/>
                              <a:stretch/>
                            </pic:blipFill>
                            <pic:spPr bwMode="auto">
                              <a:xfrm flipH="0" flipV="0">
                                <a:off x="0" y="0"/>
                                <a:ext cx="1870778" cy="30626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7.31pt;height:241.15pt;mso-wrap-distance-left:0.00pt;mso-wrap-distance-top:0.00pt;mso-wrap-distance-right:0.00pt;mso-wrap-distance-bottom:0.00pt;z-index:1;" stroked="false">
                      <v:imagedata r:id="rId18" o:title=""/>
                      <o:lock v:ext="edit" rotation="t"/>
                    </v:shape>
                  </w:pict>
                </mc:Fallback>
              </mc:AlternateContent>
            </w:r>
            <w:r>
              <w:rPr>
                <w:b/>
                <w:bCs/>
                <w:i/>
                <w:highlight w:val="white"/>
                <w:lang w:val="pt-BR"/>
              </w:rPr>
            </w:r>
            <w:r>
              <w:rPr>
                <w:b/>
                <w:bCs/>
                <w:i/>
                <w:highlight w:val="white"/>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mc:AlternateContent>
                <mc:Choice Requires="wpg">
                  <w:drawing>
                    <wp:inline xmlns:wp="http://schemas.openxmlformats.org/drawingml/2006/wordprocessingDrawing" distT="0" distB="0" distL="0" distR="0">
                      <wp:extent cx="2944542" cy="22060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85590" name=""/>
                              <pic:cNvPicPr>
                                <a:picLocks noChangeAspect="1"/>
                              </pic:cNvPicPr>
                              <pic:nvPr/>
                            </pic:nvPicPr>
                            <pic:blipFill rotWithShape="1">
                              <a:blip r:embed="rId19"/>
                              <a:stretch/>
                            </pic:blipFill>
                            <pic:spPr bwMode="auto">
                              <a:xfrm flipH="0" flipV="0">
                                <a:off x="0" y="0"/>
                                <a:ext cx="2944541" cy="2206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85pt;height:173.71pt;mso-wrap-distance-left:0.00pt;mso-wrap-distance-top:0.00pt;mso-wrap-distance-right:0.00pt;mso-wrap-distance-bottom:0.00pt;z-index:1;" stroked="false">
                      <v:imagedata r:id="rId19" o:title=""/>
                      <o:lock v:ext="edit" rotation="t"/>
                    </v:shape>
                  </w:pict>
                </mc:Fallback>
              </mc:AlternateContent>
            </w:r>
            <w:r>
              <w:rPr>
                <w:b/>
                <w:bCs/>
                <w:i/>
                <w:highlight w:val="white"/>
                <w:lang w:val="pt-BR"/>
              </w:rPr>
            </w:r>
            <w:r>
              <w:rPr>
                <w:b/>
                <w:bCs/>
                <w:i/>
                <w:highlight w:val="white"/>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Người khảo sát</w:t>
            </w:r>
            <w:r>
              <w:rPr>
                <w:b/>
                <w:bCs/>
                <w:i/>
                <w:highlight w:val="white"/>
                <w:lang w:val="pt-BR"/>
              </w:rPr>
            </w:r>
            <w:r>
              <w:rPr>
                <w:b/>
                <w:bCs/>
                <w:i/>
                <w:highlight w:val="white"/>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highlight w:val="white"/>
                <w:lang w:val="pt-BR"/>
              </w:rPr>
            </w:r>
            <w:r>
              <w:rPr>
                <w:b/>
                <w:bCs/>
                <w:i/>
                <w:highlight w:val="white"/>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highlight w:val="white"/>
                <w:lang w:val="pt-BR"/>
              </w:rPr>
            </w:r>
            <w:r>
              <w:rPr>
                <w:b/>
                <w:bCs/>
                <w:i/>
                <w:highlight w:val="white"/>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b/>
                <w:bCs/>
                <w:i/>
                <w:highlight w:val="white"/>
                <w:lang w:val="pt-BR"/>
              </w:rPr>
              <w:t xml:space="preserve">Hiện trạng tài sản</w:t>
            </w:r>
            <w:r>
              <w:rPr>
                <w:b/>
                <w:bCs/>
                <w:i/>
                <w:highlight w:val="white"/>
                <w:lang w:val="pt-BR"/>
              </w:rPr>
            </w:r>
            <w:r>
              <w:rPr>
                <w:b/>
                <w:bCs/>
                <w:i/>
                <w:highlight w:val="white"/>
              </w:rPr>
            </w:r>
          </w:p>
        </w:tc>
      </w:tr>
      <w:tr>
        <w:trPr/>
        <w:tc>
          <w:tcPr>
            <w:tcBorders/>
            <w:tcW w:w="4758"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highlight w:val="white"/>
                <w:lang w:val="pt-BR"/>
              </w:rPr>
            </w:r>
            <w:r>
              <w:rPr>
                <w:b/>
                <w:bCs/>
                <w:i/>
                <w:highlight w:val="white"/>
              </w:rPr>
            </w:r>
          </w:p>
        </w:tc>
        <w:tc>
          <w:tcPr>
            <w:tcBorders/>
            <w:tcW w:w="4757" w:type="dxa"/>
            <w:vAlign w:val="center"/>
            <w:textDirection w:val="lrTb"/>
            <w:noWrap w:val="false"/>
          </w:tcPr>
          <w:p>
            <w:pPr>
              <w:pBdr/>
              <w:shd w:val="clear" w:color="ffffff" w:themeColor="background1" w:fill="ffffff" w:themeFill="background1"/>
              <w:spacing w:after="120"/>
              <w:ind/>
              <w:jc w:val="center"/>
              <w:rPr>
                <w:b/>
                <w:bCs/>
                <w:i/>
                <w:highlight w:val="white"/>
              </w:rPr>
            </w:pPr>
            <w:r>
              <w:rPr>
                <w:i/>
                <w:highlight w:val="white"/>
                <w:lang w:val="pt-BR"/>
              </w:rPr>
            </w:r>
            <w:r>
              <w:rPr>
                <w:i/>
                <w:highlight w:val="white"/>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1593305932" name="" descr=""/>
                              <pic:cNvPicPr/>
                              <pic:nvPr/>
                            </pic:nvPicPr>
                            <pic:blipFill rotWithShape="1">
                              <a:blip r:embed="rId23"/>
                              <a:stretch/>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rotation:0;z-index:1;" stroked="false">
                      <v:imagedata r:id="rId23" o:title=""/>
                      <o:lock v:ext="edit" rotation="t"/>
                    </v:shape>
                  </w:pict>
                </mc:Fallback>
              </mc:AlternateContent>
            </w:r>
            <w:r>
              <w:rPr>
                <w:b/>
                <w:bCs/>
                <w:i/>
                <w:highlight w:val="white"/>
                <w:lang w:val="pt-BR"/>
              </w:rPr>
            </w:r>
            <w:r>
              <w:rPr>
                <w:b/>
                <w:bCs/>
                <w:i/>
                <w:highlight w:val="white"/>
              </w:rPr>
            </w:r>
          </w:p>
        </w:tc>
      </w:tr>
    </w:tbl>
    <w:p>
      <w:pPr>
        <w:pBdr/>
        <w:shd w:val="clear" w:color="ffffff" w:themeColor="background1" w:fill="ffffff" w:themeFill="background1"/>
        <w:spacing/>
        <w:ind/>
        <w:rPr>
          <w:highlight w:val="white"/>
        </w:rPr>
      </w:pPr>
      <w:r>
        <w:rPr>
          <w:highlight w:val="white"/>
        </w:rPr>
      </w:r>
      <w:r>
        <w:rPr>
          <w:highlight w:val="white"/>
        </w:rPr>
      </w:r>
      <w:r>
        <w:rPr>
          <w:highlight w:val="white"/>
        </w:rPr>
      </w:r>
    </w:p>
    <w:p>
      <w:pPr>
        <w:pBdr/>
        <w:shd w:val="clear" w:color="ffffff" w:themeColor="background1" w:fill="ffffff" w:themeFill="background1"/>
        <w:spacing w:after="200" w:line="276" w:lineRule="auto"/>
        <w:ind/>
        <w:rPr>
          <w:highlight w:val="white"/>
        </w:rPr>
      </w:pPr>
      <w:r>
        <w:rPr>
          <w:highlight w:val="white"/>
        </w:rPr>
        <w:br w:type="page" w:clear="all"/>
      </w:r>
      <w:r>
        <w:rPr>
          <w:highlight w:val="white"/>
        </w:rPr>
      </w:r>
      <w:r>
        <w:rPr>
          <w:highlight w:val="white"/>
        </w:rPr>
      </w:r>
    </w:p>
    <w:p>
      <w:pPr>
        <w:pBdr/>
        <w:shd w:val="clear" w:color="ffffff" w:themeColor="background1" w:fill="ffffff" w:themeFill="background1"/>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lang w:val="pt-BR"/>
        </w:rPr>
      </w:r>
      <w:r>
        <w:rPr>
          <w:i/>
          <w:highlight w:val="white"/>
        </w:rPr>
      </w:r>
    </w:p>
    <w:p>
      <w:pPr>
        <w:pBdr/>
        <w:shd w:val="clear" w:color="ffffff" w:themeColor="background1" w:fill="ffffff" w:themeFill="background1"/>
        <w:spacing/>
        <w:ind/>
        <w:jc w:val="center"/>
        <w:rPr>
          <w:i/>
          <w:highlight w:val="white"/>
        </w:rPr>
      </w:pPr>
      <w:r>
        <w:rPr>
          <w:i/>
          <w:highlight w:val="white"/>
          <w:lang w:val="pt-BR"/>
        </w:rPr>
        <w:t xml:space="preserve">(Kèm theo Báo cáo thẩm định số </w:t>
      </w:r>
      <w:r>
        <w:rPr>
          <w:i/>
          <w:highlight w:val="white"/>
        </w:rPr>
        <w:t xml:space="preserve">275/2026/01116/VFI-BC.24.A</w:t>
      </w:r>
      <w:r>
        <w:rPr>
          <w:i/>
          <w:highlight w:val="white"/>
        </w:rPr>
        <w:t xml:space="preserve"> ngày</w:t>
      </w:r>
      <w:r>
        <w:rPr>
          <w:i/>
          <w:highlight w:val="white"/>
          <w:lang w:val="pt-BR"/>
        </w:rPr>
        <w:t xml:space="preserve"> </w:t>
      </w:r>
      <w:r>
        <w:rPr>
          <w:i/>
          <w:highlight w:val="white"/>
          <w:lang w:val="pt-BR"/>
        </w:rPr>
        <w:t xml:space="preserve">16 tháng 5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hd w:val="clear" w:color="ffffff" w:themeColor="background1" w:fill="ffffff" w:themeFill="background1"/>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p>
      <w:pPr>
        <w:pBdr/>
        <w:shd w:val="clear" w:color="ffffff" w:themeColor="background1" w:fill="ffffff" w:themeFill="background1"/>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t xml:space="preserve">: 0982407272</w:t>
            </w:r>
            <w:r>
              <w:rPr>
                <w:sz w:val="22"/>
                <w:szCs w:val="22"/>
                <w:highlight w:val="white"/>
              </w:rPr>
              <w:t xml:space="preserve"> </w:t>
            </w:r>
            <w:r>
              <w:rPr>
                <w:sz w:val="22"/>
                <w:szCs w:val="22"/>
                <w:highlight w:val="white"/>
              </w:rPr>
              <w:t xml:space="preserve">(Sale</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2.800.000.000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2.520.000.000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Đất ở tại đô thị (123.5m²)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Tài sản tại: Phường Chu Văn An, thành phố Hải Phòng, đường Giáp đường QL37, độ rộng đường trước mặt tài sản 20m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123,5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5,25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Các</w:t>
            </w:r>
            <w:r>
              <w:rPr>
                <w:color w:val="000000"/>
                <w:sz w:val="22"/>
                <w:szCs w:val="22"/>
                <w:highlight w:val="white"/>
              </w:rPr>
              <w:t xml:space="preserve"> 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t xml:space="preserve">Hạ tầng khu dân cư thông thường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b/>
                <w:bCs/>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5030935" cy="2197517"/>
                      <wp:effectExtent l="0" t="0" r="0" b="0"/>
                      <wp:docPr id="12" name=""/>
                      <wp:cNvGraphicFramePr/>
                      <a:graphic xmlns:a="http://schemas.openxmlformats.org/drawingml/2006/main">
                        <a:graphicData uri="http://schemas.openxmlformats.org/drawingml/2006/picture">
                          <pic:pic xmlns:pic="http://schemas.openxmlformats.org/drawingml/2006/picture">
                            <pic:nvPicPr>
                              <pic:cNvPr id="240039567" name="" descr=""/>
                              <pic:cNvPicPr/>
                              <pic:nvPr/>
                            </pic:nvPicPr>
                            <pic:blipFill rotWithShape="1">
                              <a:blip r:embed="rId24"/>
                              <a:stretch/>
                            </pic:blipFill>
                            <pic:spPr bwMode="auto">
                              <a:xfrm flipH="0" flipV="0">
                                <a:off x="0" y="0"/>
                                <a:ext cx="5030934" cy="21975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96.14pt;height:173.03pt;mso-wrap-distance-left:0.00pt;mso-wrap-distance-top:0.00pt;mso-wrap-distance-right:0.00pt;mso-wrap-distance-bottom:0.00pt;z-index:1;" stroked="false">
                      <v:imagedata r:id="rId2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676" w:type="dxa"/>
            <w:vAlign w:val="center"/>
            <w:textDirection w:val="lrTb"/>
            <w:noWrap/>
          </w:tcPr>
          <w:p>
            <w:pPr>
              <w:pBdr/>
              <w:shd w:val="clear" w:color="ffffff" w:themeColor="background1" w:fill="ffffff" w:themeFill="background1"/>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jc w:val="center"/>
          <w:trHeight w:val="293"/>
        </w:trPr>
        <w:tc>
          <w:tcPr>
            <w:tcBorders/>
            <w:tcW w:w="3812"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676" w:type="dxa"/>
            <w:vAlign w:val="center"/>
            <w:textDirection w:val="lrTb"/>
            <w:noWrap/>
          </w:tcPr>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t xml:space="preserve">Lê Thị Quỳnh Anh</w:t>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tc>
      </w:tr>
    </w:tbl>
    <w:p>
      <w:pPr>
        <w:pBdr/>
        <w:shd w:val="clear" w:color="ffffff" w:themeColor="background1" w:fill="ffffff" w:themeFill="background1"/>
        <w:spacing/>
        <w:ind/>
        <w:rPr>
          <w:highlight w:val="white"/>
        </w:rPr>
      </w:pPr>
      <w:r>
        <w:rPr>
          <w:highlight w:val="white"/>
        </w:rPr>
        <w:br w:type="page" w:clear="all"/>
      </w:r>
      <w:r>
        <w:rPr>
          <w:highlight w:val="white"/>
        </w:rPr>
      </w:r>
      <w:r>
        <w:rPr>
          <w:highlight w:val="white"/>
        </w:rPr>
      </w:r>
    </w:p>
    <w:p>
      <w:pPr>
        <w:pBdr/>
        <w:shd w:val="clear" w:color="ffffff" w:themeColor="background1" w:fill="ffffff" w:themeFill="background1"/>
        <w:spacing w:after="200" w:line="276" w:lineRule="auto"/>
        <w:ind/>
        <w:jc w:val="center"/>
        <w:rPr>
          <w:b/>
          <w:bCs/>
          <w:iCs/>
          <w:highlight w:val="white"/>
        </w:rPr>
      </w:pPr>
      <w:r>
        <w:rPr>
          <w:b/>
          <w:bCs/>
          <w:iCs/>
          <w:highlight w:val="white"/>
          <w:lang w:val="pt-BR"/>
        </w:rPr>
        <w:t xml:space="preserve">TSSS2</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0982407272</w:t>
            </w:r>
            <w:r>
              <w:rPr>
                <w:sz w:val="22"/>
                <w:szCs w:val="22"/>
                <w:highlight w:val="white"/>
              </w:rPr>
              <w:t xml:space="preserve"> </w:t>
            </w:r>
            <w:r>
              <w:rPr>
                <w:sz w:val="22"/>
                <w:szCs w:val="22"/>
                <w:highlight w:val="white"/>
              </w:rPr>
              <w:t xml:space="preserve">(Sale</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2.800.000.000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2.520.000.000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Đất ở tại đô thị</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Tài sản tại: Phường Chu Văn An, thành phố Hải Phòng, đường Đường QL37, độ rộng đường trước mặt tài sản 20m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123,5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5,25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t xml:space="preserve">Hạ tầng khu đô thị, khu phân lô/tái định cư</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5030935" cy="235695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030934" cy="23569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6.14pt;height:185.59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hd w:val="clear" w:color="ffffff" w:themeColor="background1" w:fill="ffffff" w:themeFill="background1"/>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08"/>
        </w:trPr>
        <w:tc>
          <w:tcPr>
            <w:tcBorders/>
            <w:tcW w:w="4358"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t xml:space="preserve"> </w:t>
            </w:r>
            <w:r>
              <w:rPr>
                <w:highlight w:val="white"/>
              </w:rPr>
            </w:r>
            <w:r>
              <w:rPr>
                <w:highlight w:val="white"/>
              </w:rPr>
            </w:r>
          </w:p>
        </w:tc>
      </w:tr>
      <w:tr>
        <w:trPr>
          <w:trHeight w:val="298"/>
        </w:trPr>
        <w:tc>
          <w:tcPr>
            <w:tcBorders/>
            <w:tcW w:w="4358" w:type="dxa"/>
            <w:vAlign w:val="bottom"/>
            <w:textDirection w:val="lrTb"/>
            <w:noWrap w:val="false"/>
          </w:tcPr>
          <w:p>
            <w:pPr>
              <w:pBdr/>
              <w:shd w:val="clear" w:color="ffffff" w:themeColor="background1" w:fill="ffffff" w:themeFill="background1"/>
              <w:spacing/>
              <w:ind/>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hd w:val="clear" w:color="ffffff" w:themeColor="background1" w:fill="ffffff" w:themeFill="background1"/>
              <w:spacing/>
              <w:ind/>
              <w:jc w:val="center"/>
              <w:rPr>
                <w:highlight w:val="white"/>
              </w:rPr>
            </w:pPr>
            <w:r>
              <w:rPr>
                <w:highlight w:val="white"/>
              </w:rPr>
              <w:t xml:space="preserve">L</w:t>
            </w:r>
            <w:r>
              <w:rPr>
                <w:highlight w:val="white"/>
              </w:rPr>
              <w:t xml:space="preserve">ê Thị Quỳnh Anh</w:t>
            </w:r>
            <w:r>
              <w:rPr>
                <w:highlight w:val="white"/>
              </w:rPr>
            </w:r>
            <w:r>
              <w:rPr>
                <w:highlight w:val="white"/>
              </w:rPr>
            </w:r>
          </w:p>
        </w:tc>
      </w:tr>
    </w:tbl>
    <w:p>
      <w:pPr>
        <w:pBdr/>
        <w:shd w:val="clear" w:color="ffffff" w:themeColor="background1" w:fill="ffffff" w:themeFill="background1"/>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0979329681</w:t>
            </w:r>
            <w:r>
              <w:rPr>
                <w:sz w:val="22"/>
                <w:szCs w:val="22"/>
                <w:highlight w:val="white"/>
              </w:rPr>
              <w:t xml:space="preserve"> </w:t>
            </w:r>
            <w:r>
              <w:rPr>
                <w:sz w:val="22"/>
                <w:szCs w:val="22"/>
                <w:highlight w:val="white"/>
              </w:rPr>
              <w:t xml:space="preserve">(Sale</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1.620.000.000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Đất ở tại đô thị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Tài sản tại: Phường Chu Văn An, thành phố Hải Phòng, cách đường QL37 khoảng 200m, độ rộng đường trước mặt tài sản 10,5m,6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120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t xml:space="preserve">Hạ tầng khu đô thị, khu phân lô/tái định cư</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hd w:val="clear" w:color="ffffff" w:themeColor="background1" w:fill="ffffff" w:themeFill="background1"/>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hd w:val="clear" w:color="ffffff" w:themeColor="background1" w:fill="ffffff" w:themeFill="background1"/>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hd w:val="clear" w:color="ffffff" w:themeColor="background1" w:fill="ffffff" w:themeFill="background1"/>
              <w:spacing w:line="276" w:lineRule="auto"/>
              <w:ind/>
              <w:rPr>
                <w:b/>
                <w:bCs/>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70812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7081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70.7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hd w:val="clear" w:color="ffffff" w:themeColor="background1" w:fill="ffffff" w:themeFill="background1"/>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5679535" cy="481682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5283214" name="" descr=""/>
                              <pic:cNvPicPr/>
                              <pic:nvPr/>
                            </pic:nvPicPr>
                            <pic:blipFill rotWithShape="1">
                              <a:blip r:embed="rId27"/>
                              <a:stretch/>
                            </pic:blipFill>
                            <pic:spPr bwMode="auto">
                              <a:xfrm rot="16199969" flipH="0" flipV="0">
                                <a:off x="0" y="0"/>
                                <a:ext cx="5679534" cy="48168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7.21pt;height:379.28pt;mso-wrap-distance-left:0.00pt;mso-wrap-distance-top:0.00pt;mso-wrap-distance-right:0.00pt;mso-wrap-distance-bottom:0.00pt;rotation:269;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hd w:val="clear" w:color="ffffff" w:themeColor="background1" w:fill="ffffff" w:themeFill="background1"/>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hd w:val="clear" w:color="ffffff" w:themeColor="background1" w:fill="ffffff" w:themeFill="background1"/>
        <w:spacing w:after="200" w:line="276" w:lineRule="auto"/>
        <w:ind/>
        <w:jc w:val="center"/>
        <w:rPr>
          <w:iCs/>
          <w:highlight w:val="white"/>
        </w:rPr>
      </w:pPr>
      <w:r>
        <w:rPr>
          <w:iCs/>
          <w:highlight w:val="white"/>
          <w:lang w:val="pt-BR"/>
        </w:rPr>
      </w:r>
      <w:r>
        <w:rPr>
          <w:iCs/>
          <w:highlight w:val="white"/>
          <w:lang w:val="pt-BR"/>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hd w:val="clear" w:color="ffffff" w:themeColor="background1" w:fill="ffffff" w:themeFill="background1"/>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1358"/>
        </w:trPr>
        <w:tc>
          <w:tcPr>
            <w:tcBorders/>
            <w:tcW w:w="4427" w:type="dxa"/>
            <w:vAlign w:val="center"/>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r>
            <w:r>
              <w:rPr>
                <w:highlight w:val="white"/>
              </w:rPr>
            </w:r>
            <w:r>
              <w:rPr>
                <w:highlight w:val="white"/>
              </w:rPr>
            </w:r>
          </w:p>
          <w:p>
            <w:pPr>
              <w:pBdr/>
              <w:shd w:val="clear" w:color="ffffff" w:themeColor="background1" w:fill="ffffff" w:themeFill="background1"/>
              <w:spacing/>
              <w:ind/>
              <w:jc w:val="center"/>
              <w:rPr>
                <w:highlight w:val="white"/>
              </w:rPr>
            </w:pPr>
            <w:r>
              <w:rPr>
                <w:highlight w:val="white"/>
              </w:rPr>
              <w:t xml:space="preserve"> </w:t>
            </w:r>
            <w:r>
              <w:rPr>
                <w:highlight w:val="white"/>
              </w:rPr>
            </w:r>
            <w:r>
              <w:rPr>
                <w:highlight w:val="white"/>
              </w:rPr>
            </w:r>
          </w:p>
        </w:tc>
      </w:tr>
      <w:tr>
        <w:trPr>
          <w:trHeight w:val="312"/>
        </w:trPr>
        <w:tc>
          <w:tcPr>
            <w:tcBorders/>
            <w:tcW w:w="4427" w:type="dxa"/>
            <w:vAlign w:val="bottom"/>
            <w:textDirection w:val="lrTb"/>
            <w:noWrap w:val="false"/>
          </w:tcPr>
          <w:p>
            <w:pPr>
              <w:pBdr/>
              <w:shd w:val="clear" w:color="ffffff" w:themeColor="background1" w:fill="ffffff" w:themeFill="background1"/>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hd w:val="clear" w:color="ffffff" w:themeColor="background1" w:fill="ffffff" w:themeFill="background1"/>
              <w:spacing/>
              <w:ind/>
              <w:jc w:val="center"/>
              <w:rPr>
                <w:highlight w:val="white"/>
              </w:rPr>
            </w:pPr>
            <w:r>
              <w:rPr>
                <w:highlight w:val="white"/>
              </w:rPr>
              <w:t xml:space="preserve">Lê Thị Quỳnh Anh</w:t>
            </w:r>
            <w:r>
              <w:rPr>
                <w:highlight w:val="white"/>
              </w:rPr>
            </w:r>
            <w:r>
              <w:rPr>
                <w:highlight w:val="white"/>
              </w:rPr>
            </w:r>
          </w:p>
        </w:tc>
      </w:tr>
    </w:tbl>
    <w:p>
      <w:pPr>
        <w:pBdr/>
        <w:shd w:val="clear" w:color="ffffff" w:themeColor="background1" w:fill="ffffff" w:themeFill="background1"/>
        <w:spacing w:after="200" w:line="276" w:lineRule="auto"/>
        <w:ind/>
        <w:rPr>
          <w:iCs/>
          <w:highlight w:val="white"/>
        </w:rPr>
      </w:pPr>
      <w:r>
        <w:rPr>
          <w:iCs/>
          <w:highlight w:val="white"/>
          <w:lang w:val="pt-BR"/>
        </w:rPr>
      </w:r>
      <w:r>
        <w:rPr>
          <w:iCs/>
          <w:highlight w:val="white"/>
          <w:lang w:val="pt-BR"/>
        </w:rPr>
      </w:r>
      <w:r>
        <w:rPr>
          <w:iCs/>
          <w:highlight w:val="whit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Đỗ Thanh Thảo" w:date="2026-05-29T08:45:41Z" w:initials="ĐTT">
    <w:p w14:paraId="00000001" w14:textId="00000001">
      <w:pPr>
        <w:spacing w:line="240" w:after="0" w:lineRule="auto" w:before="0"/>
        <w:ind w:firstLine="0" w:left="0" w:right="0"/>
        <w:jc w:val="left"/>
      </w:pPr>
      <w:r>
        <w:rPr>
          <w:rFonts w:eastAsia="Arial" w:ascii="Arial" w:hAnsi="Arial" w:cs="Arial"/>
          <w:sz w:val="22"/>
        </w:rPr>
        <w:t xml:space="preserve">thêm cột Giá trị hao mòn sau cột này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96BCF15" w16cex:dateUtc="2026-05-29T01:45:4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96BCF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483A4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59BA89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97FE97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Đỗ Thanh Thảo">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comments" Target="comments.xml" /><Relationship Id="rId29" Type="http://schemas.microsoft.com/office/2011/relationships/commentsExtended" Target="commentsExtended.xml" /><Relationship Id="rId30" Type="http://schemas.microsoft.com/office/2018/08/relationships/commentsExtensible" Target="commentsExtensible.xml" /><Relationship Id="rId31" Type="http://schemas.microsoft.com/office/2016/09/relationships/commentsIds" Target="commentsIds.xml" /><Relationship Id="rId3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519</cp:revision>
  <dcterms:created xsi:type="dcterms:W3CDTF">2025-09-15T02:01:00Z</dcterms:created>
  <dcterms:modified xsi:type="dcterms:W3CDTF">2026-05-29T03:28:26Z</dcterms:modified>
</cp:coreProperties>
</file>