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val="0"/>
          <w:bCs w:val="0"/>
          <w:sz w:val="28"/>
        </w:rPr>
      </w:pPr>
      <w:r>
        <w:rPr>
          <w:b w:val="0"/>
          <w:bCs w:val="0"/>
          <w:sz w:val="28"/>
          <w:lang w:val="vi-VN"/>
        </w:rPr>
      </w:r>
      <w:r>
        <w:rPr>
          <w:b w:val="0"/>
          <w:bCs w:val="0"/>
          <w:sz w:val="28"/>
        </w:rPr>
      </w:r>
      <w:r>
        <w:rPr>
          <w:b w:val="0"/>
          <w:bCs w:val="0"/>
          <w:sz w:val="28"/>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4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5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275/2025/1562/VFI-CT.57.A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TRỊNH BÁ THÀNH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58, tờ bản đồ số: 57 có địa chỉ: Khu 4, Thị Trấn Cao Phong, huyện Cao Phong, tỉnh Hòa Bình (Nay là xã Cao Phong, Tỉnh Phú Thọ)</w:t>
                            </w:r>
                            <w:r>
                              <w:rPr>
                                <w:color w:val="000000"/>
                              </w:rPr>
                              <w:t xml:space="preserve"> theo Giấy chứng nhận quyền sử dụng đất, quyền sở hữu tài sản gắn liền với đất số: AA 01552446, Số vào sổ cấp GCN: CN 00524 do Chi Nhánh Văn Phòng Đăng Ký Đất Đai Huyện Cao Phong cấp ngày 23/05/2025; chủ sử dụng đất là Ông Trịnh Bá Thành và Bà Vũ Thị Kiều.</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275/2025/1562/VFI-CT.57.A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TRỊNH BÁ THÀNH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58, tờ bản đồ số: 57 có địa chỉ: Khu 4, Thị Trấn Cao Phong, huyện Cao Phong, tỉnh Hòa Bình (Nay là xã Cao Phong, Tỉnh Phú Thọ)</w:t>
                      </w:r>
                      <w:r>
                        <w:rPr>
                          <w:color w:val="000000"/>
                        </w:rPr>
                        <w:t xml:space="preserve"> theo Giấy chứng nhận quyền sử dụng đất, quyền sở hữu tài sản gắn liền với đất số: AA 01552446, Số vào sổ cấp GCN: CN 00524 do Chi Nhánh Văn Phòng Đăng Ký Đất Đai Huyện Cao Phong cấp ngày 23/05/2025; chủ sử dụng đất là Ông Trịnh Bá Thành và Bà Vũ Thị Kiều.</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olor w:val="auto"/>
                <w:highlight w:val="white"/>
              </w:rPr>
            </w:pPr>
            <w:r>
              <w:rPr>
                <w:rFonts w:ascii="Times New Roman" w:hAnsi="Times New Roman"/>
                <w:color w:val="auto"/>
                <w:highlight w:val="white"/>
                <w:lang w:val="pt-BR"/>
              </w:rPr>
            </w:r>
            <w:r>
              <w:rPr>
                <w:rStyle w:val="1033"/>
                <w:rFonts w:ascii="Times New Roman" w:hAnsi="Times New Roman"/>
                <w:color w:val="auto"/>
                <w:highlight w:val="white"/>
              </w:rPr>
            </w:r>
            <w:r>
              <w:rPr>
                <w:rStyle w:val="1033"/>
                <w:rFonts w:ascii="Times New Roman" w:hAnsi="Times New Roman"/>
                <w:color w:val="auto"/>
                <w:highlight w:val="white"/>
              </w:rPr>
            </w:r>
          </w:p>
          <w:p w14:paraId="189019A0" w14:textId="50D2DFCA">
            <w:pPr>
              <w:pStyle w:val="1034"/>
              <w:pBdr/>
              <w:spacing w:after="60" w:before="200"/>
              <w:ind/>
              <w:rPr>
                <w:sz w:val="24"/>
                <w:szCs w:val="24"/>
                <w:highlight w:val="white"/>
              </w:rPr>
            </w:pPr>
            <w:r>
              <w:rPr>
                <w:rStyle w:val="1033"/>
                <w:rFonts w:ascii="Times New Roman" w:hAnsi="Times New Roman"/>
                <w:color w:val="auto"/>
                <w:highlight w:val="white"/>
                <w:lang w:val="pt-BR"/>
              </w:rPr>
              <w:t xml:space="preserve">Số:</w:t>
            </w:r>
            <w:r>
              <w:rPr>
                <w:rStyle w:val="1033"/>
                <w:rFonts w:ascii="Times New Roman" w:hAnsi="Times New Roman"/>
                <w:color w:val="auto"/>
                <w:highlight w:val="white"/>
                <w:lang w:val="pt-BR"/>
              </w:rPr>
              <w:t xml:space="preserve"> </w:t>
            </w:r>
            <w:r>
              <w:rPr>
                <w:rStyle w:val="1033"/>
                <w:rFonts w:ascii="Times New Roman" w:hAnsi="Times New Roman"/>
                <w:color w:val="000000" w:themeColor="text1"/>
                <w:highlight w:val="white"/>
                <w:lang w:val="pt-BR"/>
              </w:rPr>
              <w:t xml:space="preserve">275/2025/1562/VFI-CT.57.A</w:t>
            </w:r>
            <w:r>
              <w:rPr>
                <w:sz w:val="24"/>
                <w:szCs w:val="24"/>
                <w:highlight w:val="white"/>
              </w:rPr>
            </w:r>
            <w:r>
              <w:rPr>
                <w:sz w:val="24"/>
                <w:szCs w:val="24"/>
                <w:highlight w:val="white"/>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i/>
                <w:color w:val="auto"/>
                <w:highlight w:val="white"/>
              </w:rPr>
            </w:pPr>
            <w:r>
              <w:rPr>
                <w:rFonts w:ascii="Times New Roman" w:hAnsi="Times New Roman"/>
                <w:i/>
                <w:color w:val="auto"/>
                <w:highlight w:val="white"/>
              </w:rPr>
            </w:r>
            <w:r>
              <w:rPr>
                <w:rStyle w:val="1033"/>
                <w:rFonts w:ascii="Times New Roman" w:hAnsi="Times New Roman"/>
                <w:i/>
                <w:color w:val="auto"/>
                <w:highlight w:val="white"/>
              </w:rPr>
            </w:r>
            <w:r>
              <w:rPr>
                <w:rStyle w:val="1033"/>
                <w:rFonts w:ascii="Times New Roman" w:hAnsi="Times New Roman"/>
                <w:i/>
                <w:color w:val="auto"/>
                <w:highlight w:val="white"/>
              </w:rPr>
            </w:r>
          </w:p>
          <w:p w14:paraId="6B33CD77" w14:textId="29BAA06D">
            <w:pPr>
              <w:pStyle w:val="1034"/>
              <w:pBdr/>
              <w:spacing w:after="60" w:before="200"/>
              <w:ind w:right="-56"/>
              <w:jc w:val="right"/>
              <w:rPr>
                <w:sz w:val="24"/>
                <w:szCs w:val="24"/>
                <w:highlight w:val="white"/>
              </w:rPr>
            </w:pPr>
            <w:r>
              <w:rPr>
                <w:rStyle w:val="1033"/>
                <w:rFonts w:ascii="Times New Roman" w:hAnsi="Times New Roman"/>
                <w:i/>
                <w:color w:val="auto"/>
                <w:highlight w:val="white"/>
              </w:rPr>
              <w:t xml:space="preserve">TP. </w:t>
            </w:r>
            <w:r>
              <w:rPr>
                <w:rStyle w:val="1033"/>
                <w:rFonts w:ascii="Times New Roman" w:hAnsi="Times New Roman"/>
                <w:i/>
                <w:color w:val="auto"/>
                <w:highlight w:val="white"/>
              </w:rPr>
              <w:t xml:space="preserve">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w:t>
            </w:r>
            <w:r>
              <w:rPr>
                <w:rStyle w:val="1033"/>
                <w:rFonts w:ascii="Times New Roman" w:hAnsi="Times New Roman"/>
                <w:i/>
                <w:color w:val="000000" w:themeColor="text1"/>
                <w:highlight w:val="white"/>
                <w:lang w:val="vi-VN"/>
              </w:rPr>
              <w:t xml:space="preserve">y 07 tháng 11 năm 2</w:t>
            </w:r>
            <w:r>
              <w:rPr>
                <w:rStyle w:val="1033"/>
                <w:rFonts w:ascii="Times New Roman" w:hAnsi="Times New Roman"/>
                <w:i/>
                <w:color w:val="000000" w:themeColor="text1"/>
                <w:highlight w:val="white"/>
                <w:lang w:val="vi-VN"/>
              </w:rPr>
              <w:t xml:space="preserve">025</w:t>
            </w:r>
            <w:r>
              <w:rPr>
                <w:rStyle w:val="1033"/>
                <w:rFonts w:ascii="Times New Roman" w:hAnsi="Times New Roman"/>
                <w:i/>
                <w:color w:val="auto"/>
                <w:highlight w:val="white"/>
                <w:lang w:val="vi-VN"/>
              </w:rPr>
              <w:t xml:space="preserve">   </w:t>
            </w:r>
            <w:r>
              <w:rPr>
                <w:rStyle w:val="1033"/>
                <w:rFonts w:ascii="Times New Roman" w:hAnsi="Times New Roman"/>
                <w:i/>
                <w:color w:val="auto"/>
                <w:highlight w:val="white"/>
                <w:lang w:val="vi-VN"/>
              </w:rPr>
              <w:t xml:space="preserve">  </w:t>
            </w:r>
            <w:r>
              <w:rPr>
                <w:sz w:val="24"/>
                <w:szCs w:val="24"/>
                <w:highlight w:val="white"/>
              </w:rPr>
            </w:r>
            <w:r>
              <w:rPr>
                <w:sz w:val="24"/>
                <w:szCs w:val="24"/>
                <w:highlight w:val="white"/>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highlight w:val="white"/>
        </w:rPr>
      </w:pP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highlight w:val="white"/>
          <w:lang w:val="vi-VN"/>
        </w:rPr>
        <w:t xml:space="preserve">CHỨNG THƯ THẨM ĐỊNH GIÁ</w:t>
      </w:r>
      <w:r>
        <w:rPr>
          <w:rStyle w:val="1033"/>
          <w:rFonts w:ascii="Times New Roman" w:hAnsi="Times New Roman"/>
          <w:b/>
          <w:bCs/>
          <w:color w:val="auto"/>
          <w:sz w:val="30"/>
          <w:szCs w:val="30"/>
          <w:highlight w:val="white"/>
        </w:rPr>
      </w:r>
      <w:r>
        <w:rPr>
          <w:rStyle w:val="1033"/>
          <w:rFonts w:ascii="Times New Roman" w:hAnsi="Times New Roman"/>
          <w:b/>
          <w:bCs/>
          <w:color w:val="auto"/>
          <w:sz w:val="30"/>
          <w:szCs w:val="30"/>
          <w:highlight w:val="white"/>
        </w:rPr>
      </w:r>
    </w:p>
    <w:p w14:paraId="5BCBE7A1" w14:textId="447525E1">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TRỊNH BÁ THÀNH</w:t>
      </w:r>
      <w:r>
        <w:rPr>
          <w:rFonts w:ascii="Times New Roman Bold" w:hAnsi="Times New Roman Bold"/>
          <w:b/>
          <w:highlight w:val="white"/>
        </w:rPr>
      </w:r>
      <w:r>
        <w:rPr>
          <w:rFonts w:ascii="Times New Roman Bold" w:hAnsi="Times New Roman Bold"/>
          <w:b/>
          <w:highlight w:val="white"/>
        </w:rPr>
      </w:r>
    </w:p>
    <w:p w14:paraId="38828AD2" w14:textId="1C5F84EE">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275/2025/1562/VFI-HĐTĐ.57.A</w:t>
      </w:r>
      <w:r>
        <w:rPr>
          <w:spacing w:val="-4"/>
          <w:highlight w:val="white"/>
          <w:lang w:val="vi-VN"/>
        </w:rPr>
        <w:t xml:space="preserve"> ký ngày </w:t>
      </w:r>
      <w:r>
        <w:rPr>
          <w:color w:val="000000" w:themeColor="text1"/>
          <w:spacing w:val="-4"/>
          <w:highlight w:val="white"/>
        </w:rPr>
        <w:t xml:space="preserve">27 tháng 10 năm 2025</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TRỊNH BÁ THÀNH</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14:paraId="03146B37" w14:textId="25380331">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275/2025/1562/VFI-BC.57.A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07 tháng 11 năm 2025</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76"/>
        <w:gridCol w:w="311"/>
        <w:gridCol w:w="6768"/>
      </w:tblGrid>
      <w:tr>
        <w:trPr>
          <w:trHeight w:val="20"/>
        </w:trPr>
        <w:tc>
          <w:tcPr>
            <w:tcBorders/>
            <w:tcMar>
              <w:left w:w="108" w:type="dxa"/>
              <w:top w:w="0" w:type="dxa"/>
              <w:right w:w="108" w:type="dxa"/>
              <w:bottom w:w="0" w:type="dxa"/>
            </w:tcMar>
            <w:tcW w:w="2276" w:type="dxa"/>
            <w:vAlign w:val="center"/>
            <w:textDirection w:val="lrTb"/>
            <w:noWrap w:val="false"/>
          </w:tcPr>
          <w:p w14:paraId="4F23470C">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11" w:type="dxa"/>
            <w:vAlign w:val="center"/>
            <w:textDirection w:val="lrTb"/>
            <w:noWrap w:val="false"/>
          </w:tcPr>
          <w:p w14:paraId="1A0739B8">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18683D26">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ÔNG TRỊNH BÁ THÀNH</w:t>
            </w:r>
            <w:r/>
          </w:p>
        </w:tc>
      </w:tr>
      <w:tr>
        <w:trPr>
          <w:trHeight w:val="20"/>
        </w:trPr>
        <w:tc>
          <w:tcPr>
            <w:tcBorders/>
            <w:tcMar>
              <w:left w:w="108" w:type="dxa"/>
              <w:top w:w="0" w:type="dxa"/>
              <w:right w:w="108" w:type="dxa"/>
              <w:bottom w:w="0" w:type="dxa"/>
            </w:tcMar>
            <w:tcW w:w="2276" w:type="dxa"/>
            <w:vAlign w:val="center"/>
            <w:textDirection w:val="lrTb"/>
            <w:noWrap w:val="false"/>
          </w:tcPr>
          <w:p w14:paraId="22CE31D7">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CCCD số</w:t>
            </w:r>
            <w:r/>
          </w:p>
        </w:tc>
        <w:tc>
          <w:tcPr>
            <w:tcBorders/>
            <w:tcMar>
              <w:left w:w="108" w:type="dxa"/>
              <w:top w:w="0" w:type="dxa"/>
              <w:right w:w="108" w:type="dxa"/>
              <w:bottom w:w="0" w:type="dxa"/>
            </w:tcMar>
            <w:tcW w:w="311" w:type="dxa"/>
            <w:vAlign w:val="center"/>
            <w:textDirection w:val="lrTb"/>
            <w:noWrap w:val="false"/>
          </w:tcPr>
          <w:p w14:paraId="3B1DAFDD">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7876B07E">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001087055128</w:t>
            </w:r>
            <w:r/>
          </w:p>
        </w:tc>
      </w:tr>
      <w:tr>
        <w:trPr>
          <w:trHeight w:val="149"/>
        </w:trPr>
        <w:tc>
          <w:tcPr>
            <w:tcBorders/>
            <w:tcMar>
              <w:left w:w="108" w:type="dxa"/>
              <w:top w:w="0" w:type="dxa"/>
              <w:right w:w="108" w:type="dxa"/>
              <w:bottom w:w="0" w:type="dxa"/>
            </w:tcMar>
            <w:tcW w:w="2276" w:type="dxa"/>
            <w:vAlign w:val="center"/>
            <w:textDirection w:val="lrTb"/>
            <w:noWrap w:val="false"/>
          </w:tcPr>
          <w:p w14:paraId="442F21CF">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11" w:type="dxa"/>
            <w:vAlign w:val="center"/>
            <w:textDirection w:val="lrTb"/>
            <w:noWrap w:val="false"/>
          </w:tcPr>
          <w:p w14:paraId="114E8FA9">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68" w:type="dxa"/>
            <w:vAlign w:val="center"/>
            <w:textDirection w:val="lrTb"/>
            <w:noWrap w:val="false"/>
          </w:tcPr>
          <w:p w14:paraId="7F4029D3">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Huyện Cao Phong, Tỉnh Hòa Bình</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58, tờ bản đồ số: 57 có địa chỉ: Khu 4, Thị Trấn Cao Phong, huyện Cao Phong, tỉnh Hòa Bình (Nay là xã Cao Phong, Tỉnh Phú Thọ)</w:t>
      </w:r>
      <w:r>
        <w:rPr>
          <w:color w:val="000000" w:themeColor="text1"/>
        </w:rPr>
        <w:t xml:space="preserve"> theo Giấy chứng nhận quyền sử dụng đất, quyền sở hữu tài sản gắn liền với đất số: AA 01552446, Số vào sổ cấp GCN: CN 00524 do Chi Nhánh Văn Phòng Đăng Ký Đất Đai Huyện Cao Phong cấp ngày 23/05/2025; chủ sử dụng đất là Ông Trịnh Bá Thành và Bà Vũ Thị Kiều.</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11"/>
        <w:gridCol w:w="3746"/>
        <w:gridCol w:w="1189"/>
        <w:gridCol w:w="1354"/>
        <w:gridCol w:w="1928"/>
      </w:tblGrid>
      <w:tr>
        <w:trPr>
          <w:trHeight w:val="34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14:paraId="618ED7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746" w:type="dxa"/>
            <w:vAlign w:val="center"/>
            <w:textDirection w:val="lrTb"/>
            <w:noWrap w:val="false"/>
          </w:tcPr>
          <w:p w14:paraId="7C7912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89" w:type="dxa"/>
            <w:vAlign w:val="center"/>
            <w:textDirection w:val="lrTb"/>
            <w:noWrap w:val="false"/>
          </w:tcPr>
          <w:p w14:paraId="5DF007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4" w:type="dxa"/>
            <w:vAlign w:val="center"/>
            <w:textDirection w:val="lrTb"/>
            <w:noWrap w:val="false"/>
          </w:tcPr>
          <w:p w14:paraId="7976B5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14:paraId="34FB26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14:paraId="72547D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88" w:type="dxa"/>
            <w:vAlign w:val="center"/>
            <w:textDirection w:val="lrTb"/>
            <w:noWrap w:val="false"/>
          </w:tcPr>
          <w:p w14:paraId="695E1ED1">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 Quyền sử dụng đất tại thửa đất số: 58, tờ bản đồ số: 57 có địa chỉ: Khu 4, Thị Trấn Cao Phong, huyện Cao Phong, tỉnh Hòa Bình (Nay là xã Cao Phong, Tỉnh Phú Thọ) theo Giấy chứng nhận quyền sử dụng đất, quyền sở hữu tài sản gắn liền với đất số: AA 01552446</w:t>
            </w:r>
            <w:r>
              <w:rPr>
                <w:rFonts w:ascii="Times New Roman" w:hAnsi="Times New Roman" w:eastAsia="Times New Roman" w:cs="Times New Roman"/>
                <w:b/>
                <w:color w:val="000000"/>
                <w:sz w:val="24"/>
              </w:rPr>
              <w:t xml:space="preserve">, Số vào sổ cấp GCN: CN 00524 do Chi Nhánh Văn Phòng Đăng Ký Đất Đai Huyện Cao Phong cấp ngày 23/05/2025; chủ sử dụng đất là Ông Trịnh Bá Thành và Bà Vũ Thị Kiều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14:paraId="455AB14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14:paraId="07E551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46" w:type="dxa"/>
            <w:vAlign w:val="center"/>
            <w:textDirection w:val="lrTb"/>
            <w:noWrap w:val="false"/>
          </w:tcPr>
          <w:p w14:paraId="59507AC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189" w:type="dxa"/>
            <w:vAlign w:val="center"/>
            <w:textDirection w:val="lrTb"/>
            <w:noWrap/>
          </w:tcPr>
          <w:p w14:paraId="6451D1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4" w:type="dxa"/>
            <w:vAlign w:val="center"/>
            <w:textDirection w:val="lrTb"/>
            <w:noWrap w:val="false"/>
          </w:tcPr>
          <w:p w14:paraId="6C9D99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14:paraId="190D836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693.840.000</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val="false"/>
          </w:tcPr>
          <w:p w14:paraId="7A59E8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46" w:type="dxa"/>
            <w:vAlign w:val="center"/>
            <w:textDirection w:val="lrTb"/>
            <w:noWrap w:val="false"/>
          </w:tcPr>
          <w:p w14:paraId="0126491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cây trồng cây lâu năm nằm trong quy hoạch giao thông</w:t>
            </w:r>
            <w:r/>
          </w:p>
        </w:tc>
        <w:tc>
          <w:tcPr>
            <w:tcBorders>
              <w:bottom w:val="single" w:color="000000" w:sz="8" w:space="0"/>
              <w:right w:val="single" w:color="000000" w:sz="8" w:space="0"/>
            </w:tcBorders>
            <w:tcMar>
              <w:left w:w="108" w:type="dxa"/>
              <w:top w:w="0" w:type="dxa"/>
              <w:right w:w="108" w:type="dxa"/>
              <w:bottom w:w="0" w:type="dxa"/>
            </w:tcMar>
            <w:tcW w:w="1189" w:type="dxa"/>
            <w:vAlign w:val="center"/>
            <w:textDirection w:val="lrTb"/>
            <w:noWrap/>
          </w:tcPr>
          <w:p w14:paraId="301F59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10,80</w:t>
            </w:r>
            <w:r/>
          </w:p>
        </w:tc>
        <w:tc>
          <w:tcPr>
            <w:tcBorders>
              <w:bottom w:val="single" w:color="000000" w:sz="8" w:space="0"/>
              <w:right w:val="single" w:color="000000" w:sz="8" w:space="0"/>
            </w:tcBorders>
            <w:tcMar>
              <w:left w:w="108" w:type="dxa"/>
              <w:top w:w="0" w:type="dxa"/>
              <w:right w:w="108" w:type="dxa"/>
              <w:bottom w:w="0" w:type="dxa"/>
            </w:tcMar>
            <w:tcW w:w="1354" w:type="dxa"/>
            <w:vAlign w:val="center"/>
            <w:textDirection w:val="lrTb"/>
            <w:noWrap/>
          </w:tcPr>
          <w:p w14:paraId="3846B3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val="false"/>
          </w:tcPr>
          <w:p w14:paraId="1021456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648.000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14:paraId="443AAA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288" w:type="dxa"/>
            <w:vAlign w:val="center"/>
            <w:textDirection w:val="lrTb"/>
            <w:noWrap/>
          </w:tcPr>
          <w:p w14:paraId="0ACB7D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tcPr>
          <w:p w14:paraId="53F80F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694.488.000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14:paraId="4ACD2C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288" w:type="dxa"/>
            <w:vAlign w:val="center"/>
            <w:textDirection w:val="lrTb"/>
            <w:noWrap/>
          </w:tcPr>
          <w:p w14:paraId="0EE772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28" w:type="dxa"/>
            <w:vAlign w:val="center"/>
            <w:textDirection w:val="lrTb"/>
            <w:noWrap/>
          </w:tcPr>
          <w:p w14:paraId="1E736C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694.500.000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511" w:type="dxa"/>
            <w:vAlign w:val="center"/>
            <w:textDirection w:val="lrTb"/>
            <w:noWrap/>
          </w:tcPr>
          <w:p w14:paraId="29A0D7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216" w:type="dxa"/>
            <w:vAlign w:val="center"/>
            <w:textDirection w:val="lrTb"/>
            <w:noWrap w:val="false"/>
          </w:tcPr>
          <w:p w14:paraId="0CA021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bCs/>
                <w:i/>
                <w:color w:val="000000" w:themeColor="text1"/>
                <w:sz w:val="24"/>
              </w:rPr>
              <w:t xml:space="preserve">(Bằng chữ: Sáu trăm chín mươi bốn triệu năm trăm </w:t>
            </w:r>
            <w:r>
              <w:rPr>
                <w:rFonts w:ascii="Times New Roman" w:hAnsi="Times New Roman" w:eastAsia="Times New Roman" w:cs="Times New Roman"/>
                <w:b/>
                <w:bCs/>
                <w:i/>
                <w:color w:val="000000" w:themeColor="text1"/>
                <w:sz w:val="24"/>
              </w:rPr>
              <w:t xml:space="preserve">nghìn đồng</w:t>
            </w:r>
            <w:r>
              <w:rPr>
                <w:rFonts w:ascii="Times New Roman" w:hAnsi="Times New Roman" w:eastAsia="Times New Roman" w:cs="Times New Roman"/>
                <w:b/>
                <w:bCs/>
                <w:i/>
                <w:color w:val="000000" w:themeColor="text1"/>
                <w:sz w:val="24"/>
              </w:rPr>
              <w:t xml:space="preserve"> chẵn</w:t>
            </w:r>
            <w:r>
              <w:rPr>
                <w:rFonts w:ascii="Times New Roman" w:hAnsi="Times New Roman" w:eastAsia="Times New Roman" w:cs="Times New Roman"/>
                <w:b/>
                <w:i/>
                <w:color w:val="000000"/>
                <w:sz w:val="24"/>
              </w:rPr>
              <w:t xml:space="preserve">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275/2025/1562/VFI-BC.57.A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360"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7 tháng 11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275/2025/1562/VFI-CT.57.A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32028BC">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698710DB">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33D95914">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TRỊNH BÁ THÀNH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36EF45F1">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 số</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004D171">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1012C800">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001087055128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6B9D0BC">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214D8532">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39964B25">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Huyện Cao Phong, Tỉnh Hòa Bình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58, tờ bản đồ số: 57 có địa chỉ: Khu 4, Thị Trấn Cao Phong, huyện Cao Phong, tỉnh Hòa Bình (Nay là xã Cao Phong, Tỉnh Phú Thọ)</w:t>
            </w:r>
            <w:r>
              <w:rPr>
                <w:bCs/>
                <w:color w:val="000000" w:themeColor="text1"/>
                <w:lang w:val="pt-BR"/>
              </w:rPr>
              <w:t xml:space="preserve"> theo Giấy chứng nhận quyền sử dụng đất, quyền sở hữu tài sản gắn liền với đất số: AA 01552446, Số vào sổ cấp GCN: CN 00524 do Chi Nhánh Văn Phòng Đăng Ký Đất Đai Huyện Cao Phong cấp ngày 23/05/2025; chủ sử dụng đất là Ông Trịnh Bá Thành và Bà Vũ Thị Kiều.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xã Cao Phong, Tỉnh Phú Thọ</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20.709472222222, 105.32777777778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bCs/>
          <w:highlight w:val="none"/>
          <w:lang w:val="pt-BR"/>
        </w:rPr>
      </w:r>
      <w:r>
        <w:rPr>
          <w:b/>
          <w:bCs/>
          <w:highlight w:val="none"/>
          <w:lang w:val="pt-BR"/>
        </w:rPr>
      </w:r>
    </w:p>
    <w:p w14:paraId="39DF804A">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01552446, Số vào sổ cấp GCN: CN 00524 do Chi Nhánh Văn Phòng Đăng Ký Đất Đai Huyện Cao Phong cấp ngày 23/05/2025; chủ sử dụng đất là Ông Trịnh Bá Thành và Bà Vũ Thị Kiều.</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z w:val="24"/>
        </w:rPr>
        <w:t xml:space="preserve">275/2025/1562/VFI-HĐTĐ.57.A </w:t>
      </w:r>
      <w:r>
        <w:rPr>
          <w:color w:val="000000" w:themeColor="text1"/>
          <w:lang w:val="pt-BR"/>
        </w:rPr>
        <w:t xml:space="preserve"> ngày 27/10/2025</w:t>
      </w:r>
      <w:r>
        <w:rPr>
          <w:highlight w:val="white"/>
          <w:lang w:val="pt-BR"/>
        </w:rPr>
        <w:t xml:space="preserve"> gi</w:t>
      </w:r>
      <w:r>
        <w:rPr>
          <w:highlight w:val="white"/>
          <w:lang w:val="pt-BR"/>
        </w:rPr>
        <w:t xml:space="preserve">ữa Ông Trị</w:t>
      </w:r>
      <w:r>
        <w:rPr>
          <w:highlight w:val="white"/>
          <w:lang w:val="pt-BR"/>
        </w:rPr>
        <w:t xml:space="preserve">nh</w:t>
      </w:r>
      <w:r>
        <w:rPr>
          <w:color w:val="000000" w:themeColor="text1"/>
          <w:lang w:val="pt-BR"/>
        </w:rPr>
        <w:t xml:space="preserve"> Bá Thành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14:paraId="100CAED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Tổng quan về tỉnh Hòa Bình</w:t>
      </w:r>
      <w:r/>
    </w:p>
    <w:p w14:paraId="3BD966F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Hòa Bình, một tỉnh nằm ở vùng Tây Bắc Việt Nam, nổi bật với cảnh quan thiên nhiên hùng vĩ, nền văn hóa đa dạng và tiềm năng phát triển kinh tế vượt trội. Cùng khám phá tổng quan về Hòa Bình để hiểu rõ hơn về vị trí địa lý, điều kiện tự nhiên, cũng như các </w:t>
      </w:r>
      <w:r>
        <w:rPr>
          <w:rFonts w:ascii="Times New Roman" w:hAnsi="Times New Roman" w:eastAsia="Times New Roman" w:cs="Times New Roman"/>
          <w:color w:val="000000"/>
          <w:sz w:val="24"/>
        </w:rPr>
        <w:t xml:space="preserve">tiềm năng đầu tư đang mở ra tại đây.</w:t>
      </w:r>
      <w:r/>
    </w:p>
    <w:p w14:paraId="5FB4BDE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Diện tích và dân số</w:t>
      </w:r>
      <w:r/>
    </w:p>
    <w:p w14:paraId="4718244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Tỉnh Hòa Bình có tổng diện tích khoảng 4.596,4 km2 và dân số năm 2022 là 854.131 người. Tỉnh bao gồm 10 đơn vị hành chính cấp huyện, 151 đơn vị hành chính cấp xã, trong đó có 131 xã, 10 phường và 10 thị trấn. (Nguồn: Cổng thông tin điện tử tỉnh Hòa Bình)</w:t>
      </w:r>
      <w:r/>
    </w:p>
    <w:p w14:paraId="378B4E5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Những khu vực phát triển nhất tại tỉnh Hòa Bình hiện nay là Thành phố Hòa Bình và Huyện Lương Sơn. Thành phố Hòa Bình là trung tâm hành chính, kinh tế và văn hóa của tỉnh, với sự phát triển mạnh mẽ về hạ tầng giao thông, bất động sản, cùng các dự án đô thị</w:t>
      </w:r>
      <w:r>
        <w:rPr>
          <w:rFonts w:ascii="Times New Roman" w:hAnsi="Times New Roman" w:eastAsia="Times New Roman" w:cs="Times New Roman"/>
          <w:color w:val="000000"/>
          <w:sz w:val="24"/>
        </w:rPr>
        <w:t xml:space="preserve"> và du lịch ven hồ Hòa Bình.</w:t>
      </w:r>
      <w:r/>
    </w:p>
    <w:p w14:paraId="46DF326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Huyện Lương Sơn cũng là một khu vực nổi bật, nhờ vào vị trí gần Hà Nội và có tốc độ đô thị hóa nhanh, đặc biệt là trong lĩnh vực bất động sản nghỉ dưỡng và khu công nghiệp. Khu vực này thu hút nhiều nhà đầu tư và các dự án phát triển nhà ở sinh thái, resor</w:t>
      </w:r>
      <w:r>
        <w:rPr>
          <w:rFonts w:ascii="Times New Roman" w:hAnsi="Times New Roman" w:eastAsia="Times New Roman" w:cs="Times New Roman"/>
          <w:color w:val="000000"/>
          <w:sz w:val="24"/>
        </w:rPr>
        <w:t xml:space="preserve">t, phục vụ nhu cầu nghỉ dưỡng cuối tuần của cư dân thành phố lớn.</w:t>
      </w:r>
      <w:r/>
    </w:p>
    <w:p w14:paraId="7CBDBB1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Tiềm năng phát triển bất động sản tại Hòa Bình</w:t>
      </w:r>
      <w:r/>
    </w:p>
    <w:p w14:paraId="43F46AF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Khi giá bất động sản tại Hà Nội tăng cao, Hòa Bình trở thành điểm đến hấp dẫn cho các nhà đầu tư nhờ quỹ đất lớn, hạ tầng ngày càng hoàn thiện và tốc độ phát triển kinh tế nhanh chóng.</w:t>
      </w:r>
      <w:r/>
    </w:p>
    <w:p w14:paraId="3EC6950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Bên cạnh đó, Hòa Bình còn có tiềm năng lớn để phát triển du lịch nghỉ dưỡng, với diện tích tự nhiên rộng lớn, khí hậu mát mẻ, và văn hóa đặc sắc của các dân tộc Mường, Thái. Các địa danh như hồ Hòa Bình, Thung Nai, và suối khoáng nóng Kim Bôi đang thu hút </w:t>
      </w:r>
      <w:r>
        <w:rPr>
          <w:rFonts w:ascii="Times New Roman" w:hAnsi="Times New Roman" w:eastAsia="Times New Roman" w:cs="Times New Roman"/>
          <w:color w:val="000000"/>
          <w:sz w:val="24"/>
        </w:rPr>
        <w:t xml:space="preserve">sự quan tâm của các chủ đầu tư với những dự án nghỉ dưỡng cao cấp và bất động sản well-being.</w:t>
      </w:r>
      <w:r/>
    </w:p>
    <w:p w14:paraId="2CD767A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Hòa Bình cũng có hỗ trợ từ chính quyền địa phương với nhiều chính sách ưu đãi giúp các doanh nghiệp triển khai dự án dễ dàng hơn. Những yếu tố này hứa hẹn sẽ đưa Hòa Bình thành điểm đến đầu tư bất động sản tiềm năng trong tương lai gần.</w:t>
      </w:r>
      <w:r/>
    </w:p>
    <w:p w14:paraId="0364022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Tầm quan trọng của thị trường đất nền tỉnh Hòa Bình đối với nền kinh tế và nhu cầu nhà ở</w:t>
      </w:r>
      <w:r/>
    </w:p>
    <w:p w14:paraId="0FD2734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Thị trường đất nền tỉnh Hòa Bình không chỉ đóng vai trò quan trọng trong việc thúc đẩy kinh tế địa phương mà còn đáp ứng nhu cầu nhà ở ngày càng tăng của người dân, tạo cơ hội đầu tư tiềm năng cho nhiều nhà đầu tư bất động sản.</w:t>
      </w:r>
      <w:r/>
    </w:p>
    <w:p w14:paraId="21BD4F5A">
      <w:pPr>
        <w:pBdr>
          <w:top w:val="none" w:color="000000" w:sz="4" w:space="0"/>
          <w:left w:val="none" w:color="000000" w:sz="4" w:space="0"/>
          <w:bottom w:val="none" w:color="000000" w:sz="4" w:space="0"/>
          <w:right w:val="none" w:color="000000" w:sz="4" w:space="0"/>
        </w:pBdr>
        <w:tabs>
          <w:tab w:val="left" w:leader="none" w:pos="426"/>
        </w:tabs>
        <w:spacing w:after="0" w:before="120" w:line="276" w:lineRule="auto"/>
        <w:ind w:right="0" w:firstLine="0" w:left="284"/>
        <w:jc w:val="both"/>
        <w:rPr/>
      </w:pPr>
      <w:r>
        <w:rPr>
          <w:rFonts w:ascii="Times New Roman" w:hAnsi="Times New Roman" w:eastAsia="Times New Roman" w:cs="Times New Roman"/>
          <w:color w:val="000000"/>
          <w:sz w:val="24"/>
        </w:rPr>
        <w:t xml:space="preserve">Thúc đẩy kinh tế địa phương</w:t>
      </w:r>
      <w:r/>
    </w:p>
    <w:p w14:paraId="40B672D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Thị trường đất nền tại Hòa Bình đóng vai trò chủ chốt trong việc thúc đẩy kinh tế tỉnh, góp phần tạo điều kiện cho sự phát triển của các dự án hạ tầng, công nghiệp và thương mại. Với vị trí liền kề Hà Nội và tiềm năng quỹ đất lớn, Hòa Bình đang thu hút sự </w:t>
      </w:r>
      <w:r>
        <w:rPr>
          <w:rFonts w:ascii="Times New Roman" w:hAnsi="Times New Roman" w:eastAsia="Times New Roman" w:cs="Times New Roman"/>
          <w:color w:val="000000"/>
          <w:sz w:val="24"/>
        </w:rPr>
        <w:t xml:space="preserve">quan tâm của các nhà đầu tư trong và ngoài nước, tạo ra động lực mạnh mẽ cho nhiều ngành kinh tế khác của tỉnh.</w:t>
      </w:r>
      <w:r/>
    </w:p>
    <w:p w14:paraId="481B6652">
      <w:pPr>
        <w:pBdr>
          <w:top w:val="none" w:color="000000" w:sz="4" w:space="0"/>
          <w:left w:val="none" w:color="000000" w:sz="4" w:space="0"/>
          <w:bottom w:val="none" w:color="000000" w:sz="4" w:space="0"/>
          <w:right w:val="none" w:color="000000" w:sz="4" w:space="0"/>
        </w:pBdr>
        <w:tabs>
          <w:tab w:val="left" w:leader="none" w:pos="426"/>
        </w:tabs>
        <w:spacing w:after="0" w:before="120" w:line="276" w:lineRule="auto"/>
        <w:ind w:right="0" w:firstLine="0" w:left="284"/>
        <w:jc w:val="both"/>
        <w:rPr/>
      </w:pPr>
      <w:r>
        <w:rPr>
          <w:rFonts w:ascii="Times New Roman" w:hAnsi="Times New Roman" w:eastAsia="Times New Roman" w:cs="Times New Roman"/>
          <w:color w:val="000000"/>
          <w:sz w:val="24"/>
        </w:rPr>
        <w:t xml:space="preserve">Tạo điều kiện phát triển các ngành liên quan</w:t>
      </w:r>
      <w:r/>
    </w:p>
    <w:p w14:paraId="37C3BC7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Khi thị trường đất nền tăng trưởng, nhiều lĩnh vực khác như xây dựng, cung ứng vật liệu và tài chính cũng phát triển theo. Sự mở rộng của các dự án bất động sản ở Hòa Bình giúp nâng cao năng suất và doanh thu cho các ngành nghề phụ trợ.</w:t>
      </w:r>
      <w:r/>
    </w:p>
    <w:p w14:paraId="0B8D26E8">
      <w:pPr>
        <w:pBdr>
          <w:top w:val="none" w:color="000000" w:sz="4" w:space="0"/>
          <w:left w:val="none" w:color="000000" w:sz="4" w:space="0"/>
          <w:bottom w:val="none" w:color="000000" w:sz="4" w:space="0"/>
          <w:right w:val="none" w:color="000000" w:sz="4" w:space="0"/>
        </w:pBdr>
        <w:tabs>
          <w:tab w:val="left" w:leader="none" w:pos="426"/>
        </w:tabs>
        <w:spacing w:after="0" w:before="120" w:line="276" w:lineRule="auto"/>
        <w:ind w:right="0" w:firstLine="0" w:left="284"/>
        <w:jc w:val="both"/>
        <w:rPr/>
      </w:pPr>
      <w:r>
        <w:rPr>
          <w:rFonts w:ascii="Times New Roman" w:hAnsi="Times New Roman" w:eastAsia="Times New Roman" w:cs="Times New Roman"/>
          <w:color w:val="000000"/>
          <w:sz w:val="24"/>
        </w:rPr>
        <w:t xml:space="preserve">Giải quyết nhu cầu nhà ở</w:t>
      </w:r>
      <w:r/>
    </w:p>
    <w:p w14:paraId="39DCE30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Với tốc độ phát triển nhanh chóng và dân số ngày càng tăng, nhu cầu về nhà ở tại Hòa Bình cũng ngày càng lớn. Thị trường đất nền đóng vai trò quan trọng trong việc phát triển các dự án nhà ở, bao gồm cả nhà ở giá rẻ và trung bình, nhằm giải quyết nhu cầu n</w:t>
      </w:r>
      <w:r>
        <w:rPr>
          <w:rFonts w:ascii="Times New Roman" w:hAnsi="Times New Roman" w:eastAsia="Times New Roman" w:cs="Times New Roman"/>
          <w:color w:val="000000"/>
          <w:sz w:val="24"/>
        </w:rPr>
        <w:t xml:space="preserve">ày. Việc phát triển các khu dân cư mới cũng giúp cân bằng cung cầu và mang lại nhiều lựa chọn hơn cho người dân địa phương.</w:t>
      </w:r>
      <w:r/>
    </w:p>
    <w:p w14:paraId="182B1D54">
      <w:pPr>
        <w:pBdr>
          <w:top w:val="none" w:color="000000" w:sz="4" w:space="0"/>
          <w:left w:val="none" w:color="000000" w:sz="4" w:space="0"/>
          <w:bottom w:val="none" w:color="000000" w:sz="4" w:space="0"/>
          <w:right w:val="none" w:color="000000" w:sz="4" w:space="0"/>
        </w:pBdr>
        <w:tabs>
          <w:tab w:val="left" w:leader="none" w:pos="426"/>
        </w:tabs>
        <w:spacing w:after="0" w:before="120" w:line="276" w:lineRule="auto"/>
        <w:ind w:right="0" w:firstLine="0" w:left="284"/>
        <w:jc w:val="both"/>
        <w:rPr/>
      </w:pPr>
      <w:r>
        <w:rPr>
          <w:rFonts w:ascii="Times New Roman" w:hAnsi="Times New Roman" w:eastAsia="Times New Roman" w:cs="Times New Roman"/>
          <w:color w:val="000000"/>
          <w:sz w:val="24"/>
        </w:rPr>
        <w:t xml:space="preserve">Tạo cơ hội việc làm và ổn định lao động</w:t>
      </w:r>
      <w:r/>
    </w:p>
    <w:p w14:paraId="60AD838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Sự phát triển của các dự án đất nền không chỉ mang lại lợi ích kinh tế mà còn tạo ra nhiều cơ hội việc làm trong các ngành như xây dựng, kỹ thuật và quản lý dự án. Việc này giúp cải thiện tình hình lao động tại địa phương, đồng thời đóng góp vào sự phát tr</w:t>
      </w:r>
      <w:r>
        <w:rPr>
          <w:rFonts w:ascii="Times New Roman" w:hAnsi="Times New Roman" w:eastAsia="Times New Roman" w:cs="Times New Roman"/>
          <w:color w:val="000000"/>
          <w:sz w:val="24"/>
        </w:rPr>
        <w:t xml:space="preserve">iển ổn định của tỉnh cả về kinh tế lẫn xã hội.</w:t>
      </w:r>
      <w:r/>
    </w:p>
    <w:p w14:paraId="69E21D22">
      <w:pPr>
        <w:pBdr>
          <w:top w:val="none" w:color="000000" w:sz="4" w:space="0"/>
          <w:left w:val="none" w:color="000000" w:sz="4" w:space="0"/>
          <w:bottom w:val="none" w:color="000000" w:sz="4" w:space="0"/>
          <w:right w:val="none" w:color="000000" w:sz="4" w:space="0"/>
        </w:pBdr>
        <w:tabs>
          <w:tab w:val="left" w:leader="none" w:pos="426"/>
        </w:tabs>
        <w:spacing w:after="0" w:before="120" w:line="276" w:lineRule="auto"/>
        <w:ind w:right="0" w:firstLine="0" w:left="284"/>
        <w:jc w:val="both"/>
        <w:rPr/>
      </w:pPr>
      <w:r>
        <w:rPr>
          <w:rFonts w:ascii="Times New Roman" w:hAnsi="Times New Roman" w:eastAsia="Times New Roman" w:cs="Times New Roman"/>
          <w:color w:val="000000"/>
          <w:sz w:val="24"/>
        </w:rPr>
        <w:t xml:space="preserve">Tăng nguồn thu ngân sách</w:t>
      </w:r>
      <w:r/>
    </w:p>
    <w:p w14:paraId="31B3B85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color w:val="000000"/>
          <w:sz w:val="24"/>
        </w:rPr>
        <w:t xml:space="preserve">Thị trường đất nền tại Hòa Bình cũng đóng góp một phần quan trọng vào nguồn thu ngân sách của tỉnh thông qua các loại thuế, phí từ giao dịch đất đai. Nguồn thu này cho phép chính quyền đầu tư vào hạ tầng, dịch vụ công cộng, và cải thiện môi trường sống cho</w:t>
      </w:r>
      <w:r>
        <w:rPr>
          <w:rFonts w:ascii="Times New Roman" w:hAnsi="Times New Roman" w:eastAsia="Times New Roman" w:cs="Times New Roman"/>
          <w:color w:val="000000"/>
          <w:sz w:val="24"/>
        </w:rPr>
        <w:t xml:space="preserve"> người dân.</w:t>
      </w:r>
      <w:r/>
    </w:p>
    <w:p w14:paraId="06542B9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284"/>
        <w:jc w:val="both"/>
        <w:rPr/>
      </w:pPr>
      <w:r>
        <w:rPr>
          <w:rFonts w:ascii="Times New Roman" w:hAnsi="Times New Roman" w:eastAsia="Times New Roman" w:cs="Times New Roman"/>
          <w:i/>
          <w:color w:val="000000"/>
          <w:sz w:val="24"/>
        </w:rPr>
        <w:t xml:space="preserve">(Nguồn:https://onehousing.vn/blog/tong-quan-tinh-hinh-thi-truong-dat-nen-hoa-binh-cap-nhat-moi-nhat-n17t)</w:t>
      </w:r>
      <w:r>
        <w:rPr>
          <w:rFonts w:ascii="Times New Roman" w:hAnsi="Times New Roman" w:eastAsia="Times New Roman" w:cs="Times New Roman"/>
          <w:sz w:val="24"/>
        </w:rPr>
      </w: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7"/>
        <w:gridCol w:w="2137"/>
        <w:gridCol w:w="1881"/>
        <w:gridCol w:w="2173"/>
        <w:gridCol w:w="2557"/>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BFF07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CBC16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Quyền sử dụng đất tại thửa đất số: 58, tờ bản đồ số: 57 có địa chỉ: Khu 4, Thị Trấn Cao Phong, huyện Cao Phong, tỉnh Hòa Bình (Nay là xã Cao Phong, Tỉnh Phú Thọ) theo Giấy chứng nhận quyền sử dụng đất, quyền sở hữu tài sản gắn liền với đất số: AA 01552446</w:t>
            </w:r>
            <w:r>
              <w:rPr>
                <w:rFonts w:ascii="Times New Roman" w:hAnsi="Times New Roman" w:eastAsia="Times New Roman" w:cs="Times New Roman"/>
                <w:b/>
                <w:color w:val="000000"/>
                <w:sz w:val="24"/>
              </w:rPr>
              <w:t xml:space="preserve">, Số vào sổ cấp GCN: CN 00524 do Chi Nhánh Văn Phòng Đăng Ký Đất Đai Huyện Cao Phong cấp ngày 23/05/2025; chủ sử dụng đất là Ông Trịnh Bá Thành và Bà Vũ Thị Kiều</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070DCF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FAAAB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52B2D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5D1BFF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0F084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1DFDBA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26BF30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2645D5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2CF83E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74172F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55447F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44F09B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4, Thị Trấn Cao Phong, huyện Cao Phong, tỉnh Hòa Bình</w:t>
            </w:r>
            <w:r>
              <w:rPr>
                <w:rFonts w:ascii="Times New Roman" w:hAnsi="Times New Roman" w:eastAsia="Times New Roman" w:cs="Times New Roman"/>
                <w:i/>
                <w:color w:val="000000"/>
                <w:sz w:val="24"/>
              </w:rPr>
              <w:t xml:space="preserve"> (Nay là xã Cao Phong, Tỉnh Phú Thọ)</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A8E87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4E7AE0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7B05B7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176,00</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4A6BAD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1AF4C8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08FFC1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78D45A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1" w:type="dxa"/>
            <w:vAlign w:val="bottom"/>
            <w:textDirection w:val="lrTb"/>
            <w:noWrap w:val="false"/>
          </w:tcPr>
          <w:p w14:paraId="652E10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 41,7m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trồng cây lâu năm: 134,3m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13A5C2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557" w:type="dxa"/>
            <w:vAlign w:val="bottom"/>
            <w:textDirection w:val="lrTb"/>
            <w:noWrap w:val="false"/>
          </w:tcPr>
          <w:p w14:paraId="5BE46A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 Lâu dài, Đất trồng cây lâu năm: Đến 19/07/2044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DA195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6201DE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1B4C2B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347356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Theo GCN QSDĐ số AA 01552446, thửa đất có 10,8m² thuộc hành lang giao thông.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C6304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720103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9CBF0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5DA3B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Theo GCN QSDĐ số AA 01552446, thửa đất</w:t>
            </w:r>
            <w:r>
              <w:rPr>
                <w:rFonts w:ascii="Times New Roman" w:hAnsi="Times New Roman" w:eastAsia="Times New Roman" w:cs="Times New Roman"/>
                <w:color w:val="000000"/>
                <w:sz w:val="24"/>
              </w:rPr>
              <w:t xml:space="preserve"> có 10,8m² thuộc hà</w:t>
            </w:r>
            <w:r>
              <w:rPr>
                <w:rFonts w:ascii="Times New Roman" w:hAnsi="Times New Roman" w:eastAsia="Times New Roman" w:cs="Times New Roman"/>
                <w:color w:val="000000"/>
                <w:sz w:val="24"/>
              </w:rPr>
              <w:t xml:space="preserve">nh lang giao thông. Do không có ranh giới cụ thể nên tổ thẩm định giả định đây là phần đất cây lâu năm.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CAB0C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42BA5C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DBFB9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076C20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7A2C67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52C1E1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16F7E6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795C12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1F0958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6FD5B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0326D009">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64ACF637">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7,5m</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466BC44C">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273D1A18">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7,5m</w:t>
            </w:r>
            <w:r>
              <w:rPr>
                <w:highlight w:val="white"/>
              </w:rPr>
            </w:r>
            <w:r>
              <w:rPr>
                <w:highlight w:val="white"/>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EBAD6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323983BB">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r>
              <w:rPr>
                <w:highlight w:val="white"/>
              </w:rPr>
            </w:r>
          </w:p>
        </w:tc>
        <w:tc>
          <w:tcPr>
            <w:gridSpan w:val="3"/>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68F4FB30">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Tài sản tiếp giáp đường liên xã cách QL6 khoảng 170m và bệnh viện huyện Cao Phong khoảng 120m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F655D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7A7321F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10" w:type="dxa"/>
            <w:vAlign w:val="center"/>
            <w:textDirection w:val="lrTb"/>
            <w:noWrap w:val="false"/>
          </w:tcPr>
          <w:p w14:paraId="697A55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Nam tiếp giáp với đường giao thông;</w:t>
              <w:br/>
              <w:t xml:space="preserve"> Các hướng còn lại tiếp giáp với thửa đất khác.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7182FA1">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22ACE63">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white"/>
              </w:rPr>
            </w:pPr>
            <w:r>
              <w:rPr>
                <w:rFonts w:ascii="Times New Roman" w:hAnsi="Times New Roman" w:eastAsia="Times New Roman" w:cs="Times New Roman"/>
                <w:color w:val="000000"/>
                <w:sz w:val="24"/>
                <w:highlight w:val="white"/>
              </w:rPr>
              <w:t xml:space="preserve">Vị trí trên bản đồ vệ tinh:</w:t>
            </w:r>
            <w:r>
              <w:rPr>
                <w:highlight w:val="white"/>
              </w:rPr>
            </w:r>
            <w:r>
              <w:rPr>
                <w:highlight w:val="white"/>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7EE4623E">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6D4FF16A">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5514975" cy="29051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03474" name=""/>
                              <pic:cNvPicPr>
                                <a:picLocks noChangeAspect="1"/>
                              </pic:cNvPicPr>
                              <pic:nvPr/>
                            </pic:nvPicPr>
                            <pic:blipFill rotWithShape="1">
                              <a:blip r:embed="rId15"/>
                              <a:stretch/>
                            </pic:blipFill>
                            <pic:spPr bwMode="auto">
                              <a:xfrm>
                                <a:off x="0" y="0"/>
                                <a:ext cx="5514975" cy="2905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4.25pt;height:228.75pt;mso-wrap-distance-left:0.00pt;mso-wrap-distance-top:0.00pt;mso-wrap-distance-right:0.00pt;mso-wrap-distance-bottom:0.00pt;z-index:1;" stroked="false">
                      <v:imagedata r:id="rId15" o:title=""/>
                      <o:lock v:ext="edit" rotation="t"/>
                    </v:shape>
                  </w:pict>
                </mc:Fallback>
              </mc:AlternateContent>
            </w:r>
            <w:r>
              <w:rPr>
                <w:highlight w:val="white"/>
              </w:rPr>
            </w:r>
            <w:r>
              <w:rPr>
                <w:highlight w:val="white"/>
              </w:rPr>
            </w:r>
          </w:p>
          <w:p w14:paraId="5604C63B">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14266C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31DB9D7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F09DA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1ADD57D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5F834FC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176,00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2E18803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6BE29C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0366BB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210B866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3BBA8D0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6C33152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602695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27,9 + 8,76</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4CDF41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6DAA7B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263D594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58AEC03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26ABD6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Nam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19121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2F1B19F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5B2175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79D85D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59B4B0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0D8C34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167B2DB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38938C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23865D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1627A6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Phù hợp để ở và kinh doanh</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52881F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6E29E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07E6AC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14:paraId="6250CC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81" w:type="dxa"/>
            <w:vAlign w:val="center"/>
            <w:textDirection w:val="lrTb"/>
            <w:noWrap w:val="false"/>
          </w:tcPr>
          <w:p w14:paraId="0C03DD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73" w:type="dxa"/>
            <w:vAlign w:val="center"/>
            <w:textDirection w:val="lrTb"/>
            <w:noWrap w:val="false"/>
          </w:tcPr>
          <w:p w14:paraId="67C476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557" w:type="dxa"/>
            <w:vAlign w:val="center"/>
            <w:textDirection w:val="lrTb"/>
            <w:noWrap w:val="false"/>
          </w:tcPr>
          <w:p w14:paraId="349475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2D0A8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7F98FF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Nhà ở</w:t>
            </w:r>
            <w:r/>
          </w:p>
        </w:tc>
      </w:tr>
      <w:tr>
        <w:trPr>
          <w:trHeight w:val="1383"/>
        </w:trPr>
        <w:tc>
          <w:tcPr>
            <w:tcBorders>
              <w:left w:val="single" w:color="000000" w:sz="8" w:space="0"/>
              <w:bottom w:val="single" w:color="000000" w:sz="8" w:space="0"/>
              <w:right w:val="single" w:color="000000" w:sz="8" w:space="0"/>
            </w:tcBorders>
            <w:tcMar>
              <w:left w:w="108" w:type="dxa"/>
              <w:top w:w="0" w:type="dxa"/>
              <w:right w:w="108" w:type="dxa"/>
              <w:bottom w:w="0" w:type="dxa"/>
            </w:tcMar>
            <w:tcW w:w="607" w:type="dxa"/>
            <w:vAlign w:val="center"/>
            <w:textDirection w:val="lrTb"/>
            <w:noWrap w:val="false"/>
          </w:tcPr>
          <w:p w14:paraId="68BED6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5B86EB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khảo sát, tổ thẩm xác định trên đất có :</w:t>
              <w:br/>
              <w:t xml:space="preserve"> + Nhà 1 tầng xây mới năm 2025, diện tích xây dựng khoảng 242</w:t>
            </w:r>
            <w:r>
              <w:rPr>
                <w:rFonts w:ascii="Times New Roman" w:hAnsi="Times New Roman" w:eastAsia="Times New Roman" w:cs="Times New Roman"/>
                <w:color w:val="000000"/>
                <w:sz w:val="24"/>
              </w:rPr>
              <w:t xml:space="preserve">m2, công trình nhà được xây trên thửa đất khác cùng chủ sử dụng, chưa xác định được diện tích chính xác phần công trình xây trên thửa đất số 58. Công trình chưa được công nhận trên GCN QSDĐ.</w:t>
              <w:br/>
              <w:t xml:space="preserve"> + Do vậy, theo đề nghị của Ngân hàng/Khách hàng, Tổ thẩm định kh</w:t>
            </w:r>
            <w:r>
              <w:rPr>
                <w:rFonts w:ascii="Times New Roman" w:hAnsi="Times New Roman" w:eastAsia="Times New Roman" w:cs="Times New Roman"/>
                <w:color w:val="000000"/>
                <w:sz w:val="24"/>
              </w:rPr>
              <w:t xml:space="preserve">ông xác định giá trị của công trình xây dựng vào tổng giá trị, nhưng vẫn coi đó là phần không thể tách rời của tài sản thẩm định. Kính đề nghị đơn vị sử dụng kết quả lưu ý.</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812DC43">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Theo GCN số AA 01552446, thửa đất có 10,8m² thuộc quy hoạch hành lang giao thông, hiện nay chưa có thông báo thu hồi đất/quyết định thu hồi đất/phương án giải tỏa bồi thường. Theo đề nghị của Ngân hàng/Khách hàng, tổ thẩm định xác định giá trị tài sản theo</w:t>
      </w:r>
      <w:r>
        <w:rPr>
          <w:rFonts w:ascii="Times New Roman" w:hAnsi="Times New Roman" w:eastAsia="Times New Roman" w:cs="Times New Roman"/>
          <w:color w:val="000000"/>
          <w:spacing w:val="2"/>
          <w:sz w:val="24"/>
        </w:rPr>
        <w:t xml:space="preserve"> thông tin quy hoạch này. Đối với diện tích nằm ngoài quy hoạch tổ thẩm định đánh giá theo giá trị thị trường, đối với phần nằm trong quy hoạch tổ thẩm định đánh giá theo đơn giá do UBND tỉnh/thành phố ban hành từng thời kỳ, giá trị đền bù thực tế còn phụ </w:t>
      </w:r>
      <w:r>
        <w:rPr>
          <w:rFonts w:ascii="Times New Roman" w:hAnsi="Times New Roman" w:eastAsia="Times New Roman" w:cs="Times New Roman"/>
          <w:color w:val="000000"/>
          <w:spacing w:val="2"/>
          <w:sz w:val="24"/>
        </w:rPr>
        <w:t xml:space="preserve">thuộc vào thỏa thuận các bên tại thời điểm Nhà nước giải phóng mặt bằng thực hiện quy hoạch. Đề nghị đơn vị sử dụng kết quả lưu ý.</w:t>
      </w:r>
      <w:r/>
    </w:p>
    <w:p w14:paraId="4014A92A">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Nhà 1 tầng xây mới năm 2025, diện tích xây dựng khoảng 242m2, công trình nhà được xây trên thửa đất khác cùng chủ sử dụng, chưa xác định được diện tích chính xác phần công trình xây trên thửa đất số 58</w:t>
      </w:r>
      <w:r>
        <w:rPr>
          <w:rFonts w:ascii="Times New Roman" w:hAnsi="Times New Roman" w:eastAsia="Times New Roman" w:cs="Times New Roman"/>
          <w:color w:val="000000"/>
          <w:sz w:val="24"/>
        </w:rPr>
        <w:t xml:space="preserve">. Công trình chưa được công nhận trên GCN QSDĐ. Do vậy, theo đề nghị của Ngân hàng/Khách hàng, Tổ thẩm định không xác định giá trị của công trình xây dựng vào tổng giá trị</w:t>
      </w:r>
      <w:r>
        <w:rPr>
          <w:rFonts w:ascii="Times New Roman" w:hAnsi="Times New Roman" w:eastAsia="Times New Roman" w:cs="Times New Roman"/>
          <w:color w:val="000000"/>
          <w:sz w:val="24"/>
        </w:rPr>
        <w:t xml:space="preserve">,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w:t>
      </w:r>
      <w:r>
        <w:rPr>
          <w:b/>
          <w:lang w:val="pt-BR"/>
        </w:rPr>
        <w:t xml:space="preserve"> sử dụng đấ</w:t>
      </w:r>
      <w:r>
        <w:rPr>
          <w:b/>
          <w:lang w:val="pt-BR"/>
        </w:rPr>
        <w:t xml:space="preserve">t ngoài quy hoạch</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42566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524C1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760A3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28109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C4697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C960B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5CD32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F72A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04C34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9CB5F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E7AAE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074A6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B9F49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61C16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82F83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4, Thị Trấn Cao Phong, huyện Cao Phong, tỉnh Hòa Bình (Nay là xã Cao Phong, Tỉnh Phú Thọ)</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EFB88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4, Thị Trấn Cao Phong, huyện Cao Phong, tỉnh Hòa Bình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95BCE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Hợp Phong, huyện Cao Phong, tỉnh Hòa Bình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91716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Khu 4, Thị Trấn Cao Phong, huyện Cao Phong, tỉnh Hòa Bình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FB2B9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AC0DE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FEC00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F3CC2BF">
            <w:pPr>
              <w:pBdr>
                <w:top w:val="none" w:color="000000" w:sz="4" w:space="0"/>
                <w:left w:val="none" w:color="000000" w:sz="4" w:space="0"/>
                <w:bottom w:val="none" w:color="000000" w:sz="4" w:space="0"/>
                <w:right w:val="none" w:color="000000" w:sz="4" w:space="0"/>
              </w:pBdr>
              <w:spacing/>
              <w:ind w:right="0" w:firstLine="0" w:left="0"/>
              <w:rPr/>
            </w:pPr>
            <w:r/>
            <w:hyperlink r:id="rId16" w:tooltip="https://batdongsan.com.vn/ban-dat-thi-tran-cao-phong/ban-gap-300m2-hoa-binh-mat-duong-lien-xa-cach-ql6-chi-700m-pr44441526" w:history="1">
              <w:r>
                <w:rPr>
                  <w:rStyle w:val="1025"/>
                  <w:rFonts w:ascii="Times New Roman" w:hAnsi="Times New Roman" w:eastAsia="Times New Roman" w:cs="Times New Roman"/>
                  <w:color w:val="000000"/>
                  <w:sz w:val="22"/>
                  <w:u w:val="none"/>
                </w:rPr>
                <w:t xml:space="preserve">https://batdongsan.com.vn/ban-dat-thi-tran-cao-phong/ban-gap-300m2-hoa-binh-mat-duong-lien-xa-cach-ql6-chi-700m-pr44441526</w:t>
              </w:r>
            </w:hyperlink>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1014D94">
            <w:pPr>
              <w:pBdr>
                <w:top w:val="none" w:color="000000" w:sz="4" w:space="0"/>
                <w:left w:val="none" w:color="000000" w:sz="4" w:space="0"/>
                <w:bottom w:val="none" w:color="000000" w:sz="4" w:space="0"/>
                <w:right w:val="none" w:color="000000" w:sz="4" w:space="0"/>
              </w:pBdr>
              <w:spacing/>
              <w:ind w:right="0" w:firstLine="0" w:left="0"/>
              <w:jc w:val="center"/>
              <w:rPr/>
            </w:pPr>
            <w:r/>
            <w:hyperlink r:id="rId17" w:tooltip="https://batdongsan.com.vn/ban-dat-duong-quoc-lo-6-1-xa-hop-phong/ban-mat-nhua-lien-tai-cao-hoa-binh-dt-290m2-co-60m-tho-cu-pr43169931#js__pr-expired__content-anchor" w:history="1">
              <w:r>
                <w:rPr>
                  <w:rStyle w:val="1025"/>
                  <w:rFonts w:ascii="Times New Roman" w:hAnsi="Times New Roman" w:eastAsia="Times New Roman" w:cs="Times New Roman"/>
                  <w:color w:val="000000"/>
                  <w:sz w:val="22"/>
                  <w:u w:val="none"/>
                </w:rPr>
                <w:t xml:space="preserve">https://batdongsan.com.vn/ban-dat-duong-quoc-lo-6-1-xa-hop-phong/ban-mat-nhua-lien-tai-cao-hoa-binh-dt-290m2-co-60m-tho-cu-pr43169931#js__pr-expired__content-anchor</w:t>
              </w:r>
            </w:hyperlink>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3FF81CE">
            <w:pPr>
              <w:pBdr>
                <w:top w:val="none" w:color="000000" w:sz="4" w:space="0"/>
                <w:left w:val="none" w:color="000000" w:sz="4" w:space="0"/>
                <w:bottom w:val="none" w:color="000000" w:sz="4" w:space="0"/>
                <w:right w:val="none" w:color="000000" w:sz="4" w:space="0"/>
              </w:pBdr>
              <w:spacing/>
              <w:ind w:right="0" w:firstLine="0" w:left="0"/>
              <w:rPr/>
            </w:pPr>
            <w:r/>
            <w:hyperlink r:id="rId18" w:tooltip="https://www.facebook.com/groups/237715173756392/posts/1768039734057254/" w:history="1">
              <w:r>
                <w:rPr>
                  <w:rStyle w:val="1025"/>
                  <w:rFonts w:ascii="Times New Roman" w:hAnsi="Times New Roman" w:eastAsia="Times New Roman" w:cs="Times New Roman"/>
                  <w:color w:val="000000"/>
                  <w:sz w:val="22"/>
                  <w:u w:val="none"/>
                </w:rPr>
                <w:t xml:space="preserve">https://www.facebook.com/groups/237715173756392/posts/1768039734057254/</w:t>
              </w:r>
            </w:hyperlink>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607C0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0CD00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5D5B8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74B38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0388830087</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65251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0985666621</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41B02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0398490363</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9C7BA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63BCC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F656C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C41C8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311CC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C4AFE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84881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418F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B12A7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13127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B8D07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C4A0B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10/2025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2AC1E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B502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195CA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08DE2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574BF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4150E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7AF74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48A61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3608E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B64D3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26DFB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AC9A9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9C033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72E1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E9B0C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và đất trồng cây lâu năm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67F3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và đất trồng cây lâu năm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57A2D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và đất trồng cây lâu năm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8EB33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và đất trồng cây lâu năm</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5F3D6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B23260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45BE6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85F97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0832B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2D09C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5D0AC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1E82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FFC44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đường liên xã cách QL6 khoảng 170m và bệnh viện huyện Cao Phong khoảng 120m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7EFFE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QL6 khoảng 700m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F8B07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QL6 khoảng 3000m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A6996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mặt đường liên xã cách QL6 và bệnh viện huyện Cao Phong khoảng 100m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5793C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40706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D7D94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0C11D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DD125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AFF28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8m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6FF24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56610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43586E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165,2</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07A0A4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28B0D5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7C149E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03AB7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48C2C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011DB5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4F566E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2FF1A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FEBDE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4AE59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A0FB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trồng cây lâu năm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29E52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124</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058023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221</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6895C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DA91C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3A6F8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FDD6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đất ở/ Tổng diện tích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5C2587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4EEBB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FAE72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7ACA9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EE9D3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CEFD9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F2988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0D74A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12459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345FF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10,01</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DC1AB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2F26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mặt tiền/ tổng diện tích (m)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EA040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0,024</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056BB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0,033</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F49E4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0,038</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17A4E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0,034</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0BB25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56D1A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09FD6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6FB59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549E8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CD7DF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37C7D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B2746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4E2B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E7505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CA4FB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E1404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6E79E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19398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7786B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C8EE5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Thưa thớt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2018E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Thưa thớt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C2C25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đông đúc</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303AC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7E3D4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52EEC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7E41D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9E1B6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76CD6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AC25B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57A9C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02992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D1B4D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5BBD3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29B33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6C0AF9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5E9F5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B450F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F92A3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F4EEA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D0568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8D237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BC07D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DDF5F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0E1DA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900.000.000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EAC69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820.000.000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0F98E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4F902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E9959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B07B6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C90B7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720.000.000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F3124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656.000.000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CC53B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ADE31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49A79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434CF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B28D9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A1AF4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35DB4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0EE58B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6396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3F35E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B97D3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83A0F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5983E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7F1956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BEE23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5564D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EBA24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720.000.000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035F3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656.000.000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E7D5F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1DF71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B4D00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E0E4A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11814E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2.400.000</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198DC5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2.262.069</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0DC7C8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4.810.997</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A61E6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E3B26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9D74C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C5BAA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84FB3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06088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1B0782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60B4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401F28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B8000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9A429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49E8D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48ABEB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C7AB2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FB081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11334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4F037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DD667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162B4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8621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CEC56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7B125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BF3C8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B9A1A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DD0F8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F769A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298205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48633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5F25E8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261B73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2ADC86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410CA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mặt tiền/ tổng diện tích (m)</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21708D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465B98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8C2C3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5EBDB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E6406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D9F2C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24FC09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B702C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E0850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39A83B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58DFFD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2D14C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315D4F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0876B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6D67F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1224D1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14:paraId="30C928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B199B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tcPr>
          <w:p w14:paraId="4451F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0DCB41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7AD45D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14:paraId="6B4F41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0B0F99CB">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629"/>
        <w:gridCol w:w="1028"/>
        <w:gridCol w:w="1425"/>
        <w:gridCol w:w="1439"/>
        <w:gridCol w:w="1439"/>
        <w:gridCol w:w="1481"/>
      </w:tblGrid>
      <w:tr>
        <w:trPr>
          <w:trHeight w:val="5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D1DBA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7A349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F020D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4F62ED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4F406E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529BB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59015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9BF86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09B4B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3E79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02C362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2F6F4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423AC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8C23C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1.400.000.000</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12CACB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4320A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B392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2075F4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B1093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C5B69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2.262.069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B4D14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4.810.997</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94CA5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F6230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354AC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A2A0B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5C08B2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059A3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4EC42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2ADEE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73CB0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4AD65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2D0C11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43DBA6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1E512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D1EE2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69A963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72614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4FE4A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2A432F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102F9E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BD0EB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52D61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16DCC25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BE25B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968DB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B5893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0F5DA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0052F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D1400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031EB1A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6A209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7BF4C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602C8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99533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525EB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2.262.069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998C4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4.810.997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13AAB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B4DBE4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9595A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68F4FB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Tài sản tiếp giáp đường liên xã cách QL6 khoảng 170m và bệnh viện huyện Cao Phong khoảng 120m</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82E03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QL6 khoảng 700m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90745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QL6 khoảng 3000m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82921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mặt đường liên xã cách QL6 và bệnh viện huyện Cao Phong khoảng 100m</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7D23334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8D37D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7648E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554C04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5ED7F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666171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047C1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7430581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57F762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E6BBB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4B4004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247FD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51A5E1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339.310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DC34F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36C89D3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2C859F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52257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581046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0572B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FFBCC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2.601.379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7CA8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4.810.997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B1821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6D13EE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537C3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67E2C0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47FDB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42823C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D736C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8m</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045F58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E655FC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B9735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0ED4CF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5DAEE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4B982C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2317B7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49177F2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EC0B7A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28C15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6C509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39A77C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DBCE6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452.414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22168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-240.550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BF9C91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2D8DA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4642D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C1A36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3F2D6A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E467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3.053.793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CE6D9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4.570.447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D4FA0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CE0130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75493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86953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2F34D9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6F09EF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FC2FD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291</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63BE94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C818B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900EA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C61F9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BCD07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1D95C0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76789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769A990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97CCFB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8F924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99FFF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1F4AD6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16549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339.310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3DB66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721.649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4B2F200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AE4AEC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EAD39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E40F3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3F459F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3.384.000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0C3562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3.393.103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40F04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5.292.096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85A9A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4721EE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mặt tiền/ tổng diện tích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2AEDB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2332BA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D7960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21A047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A61D4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0,034</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76088B5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7E0187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DF5E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2C2FB0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97626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FD82B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C8D17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05046D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97C8C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B162F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5FC35C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EB596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EAC98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-113.103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C0983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-240.550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3C5BC53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1E139A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D4EFF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49E6A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17E14C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3.264.000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7588D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AC940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5.051.546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73723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933B2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D22C8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963FF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695C73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2F3440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EA890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2F02B7E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BD188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D0B2D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68AEA0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F1EE9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083EE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53630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1FF2DD9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9D19B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C93BA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3FB0EF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AAC7B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7E6DF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6105F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F4B0D7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8A65CC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9EB60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1D11E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06E0A8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3.264.000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EF43E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E7934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5.051.546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84A86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85D62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FE9B0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0B21AF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4EC2C6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DF59F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FA524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68374F1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B751B4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1E28D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59A205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51EA4E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18D756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AB01A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7FCCBC9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311ABA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AC17A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550745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7E829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F319F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20A52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-577.320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377B47D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5A0811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2F5CD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68D67B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108981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3.264.000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3F8975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617B0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4.474.227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35F61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092904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Tỷ lệ 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D49E6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46C1EE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5CA08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D4425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3DFBE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669454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74B3FFA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86EFB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672935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B6208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269262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A5062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1A1B766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6C6D4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2DCA7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483A3A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BB90F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648FB9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67.862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291E1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192.440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1596A26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1E53A3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4CCA7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5D44A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87EFC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3.264.000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518714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3.347.862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6529B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4.666.667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87697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E2CDDE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DDBFC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A45D2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và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58F7A6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2D1425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E59C4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 và kinh doanh</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386468A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19B43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D24AB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DB0FE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5FB78B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5F9995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0113D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0CD5933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E6BBD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82ACE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34723E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30B333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8086E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452.414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51043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E7694D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5372D0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34479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5F4890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175FE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3.744.000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5D9671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3.800.276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00984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4.666.667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32E54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4E99A7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AB31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3E1A9A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13032B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Thưa thớt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A9314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Thưa thớt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597FC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đông đúc</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786028B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EB4735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47F8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6C3961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6D968B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9C43C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73318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6D2A3ED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79A85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EC107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76B8E5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F2135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222B7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226.207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45C4C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57"/>
        </w:trPr>
        <w:tc>
          <w:tcPr>
            <w:tcBorders>
              <w:left w:val="single" w:color="000000" w:sz="8" w:space="0"/>
              <w:bottom w:val="single" w:color="000000" w:sz="8" w:space="0"/>
              <w:right w:val="single" w:color="000000" w:sz="8" w:space="0"/>
            </w:tcBorders>
            <w:vMerge w:val="continue"/>
            <w:textDirection w:val="lrTb"/>
            <w:noWrap w:val="false"/>
          </w:tcPr>
          <w:p w14:paraId="52D58C0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A3722D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31086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16AD93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486D65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3.984.000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2325DD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4.026.483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0129C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4.666.667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7CBDF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tcPr>
          <w:p w14:paraId="044C44F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B4588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tcPr>
          <w:p w14:paraId="5AEC00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6DE0D8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3.984.000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0D13E3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4.026.483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81A14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4.666.667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DF5A3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5603014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EFEB3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tcPr>
          <w:p w14:paraId="1EE77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359" w:type="dxa"/>
            <w:vAlign w:val="center"/>
            <w:textDirection w:val="lrTb"/>
            <w:noWrap w:val="false"/>
          </w:tcPr>
          <w:p w14:paraId="09D4F9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4.225.716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5D351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93CD9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B177C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tcPr>
          <w:p w14:paraId="49DE90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4DC7CB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54C7D7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1D791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F8B0A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320E32C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F3685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tcPr>
          <w:p w14:paraId="6811AC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66E0EF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3AC9DF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57FA7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8C578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BC44E9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3A00B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tcPr>
          <w:p w14:paraId="5B5F68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76C536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1.824.000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val="false"/>
          </w:tcPr>
          <w:p w14:paraId="5C8F12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1.990.621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C25FE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1.972.509 </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C4272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62CBD80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CF668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338447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3CFABB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0EAB5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1476C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1BA85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0FE7A2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35C9C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val="false"/>
          </w:tcPr>
          <w:p w14:paraId="07BC9B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553991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5F4C5D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B2648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- 15%</w:t>
            </w:r>
            <w:r/>
          </w:p>
        </w:tc>
      </w:tr>
      <w:tr>
        <w:trPr>
          <w:trHeight w:val="5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25242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9" w:type="dxa"/>
            <w:vAlign w:val="center"/>
            <w:textDirection w:val="lrTb"/>
            <w:noWrap w:val="false"/>
          </w:tcPr>
          <w:p w14:paraId="2CFB26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04676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5" w:type="dxa"/>
            <w:vAlign w:val="center"/>
            <w:textDirection w:val="lrTb"/>
            <w:noWrap/>
          </w:tcPr>
          <w:p w14:paraId="48C4FF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707471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39" w:type="dxa"/>
            <w:vAlign w:val="center"/>
            <w:textDirection w:val="lrTb"/>
            <w:noWrap/>
          </w:tcPr>
          <w:p w14:paraId="1E689C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1.764.414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0ACFB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144.330</w:t>
            </w:r>
            <w:r/>
          </w:p>
        </w:tc>
      </w:tr>
    </w:tbl>
    <w:p w14:paraId="607C2D8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4,7% đến 10,4%, đảm bảo không quá 15% (theo Thông tư số 32/2024/TT-BTC ngày 16/5/2024 của Bộ Tài chính).</w:t>
      </w:r>
      <w:r/>
    </w:p>
    <w:p w14:paraId="1862FE51">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14:paraId="2C304EA8">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95"/>
        <w:gridCol w:w="2222"/>
        <w:gridCol w:w="1428"/>
        <w:gridCol w:w="2142"/>
        <w:gridCol w:w="2140"/>
      </w:tblGrid>
      <w:tr>
        <w:trPr>
          <w:trHeight w:val="84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95" w:type="dxa"/>
            <w:vAlign w:val="center"/>
            <w:textDirection w:val="lrTb"/>
            <w:noWrap w:val="false"/>
          </w:tcPr>
          <w:p w14:paraId="080927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220864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28" w:type="dxa"/>
            <w:vAlign w:val="center"/>
            <w:textDirection w:val="lrTb"/>
            <w:noWrap w:val="false"/>
          </w:tcPr>
          <w:p w14:paraId="092998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2" w:type="dxa"/>
            <w:vAlign w:val="center"/>
            <w:textDirection w:val="lrTb"/>
            <w:noWrap w:val="false"/>
          </w:tcPr>
          <w:p w14:paraId="585B23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0" w:type="dxa"/>
            <w:vAlign w:val="center"/>
            <w:textDirection w:val="lrTb"/>
            <w:noWrap w:val="false"/>
          </w:tcPr>
          <w:p w14:paraId="6CA490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795" w:type="dxa"/>
            <w:vAlign w:val="center"/>
            <w:textDirection w:val="lrTb"/>
            <w:noWrap w:val="false"/>
          </w:tcPr>
          <w:p w14:paraId="5D13CB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6DE0CE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428" w:type="dxa"/>
            <w:vAlign w:val="center"/>
            <w:textDirection w:val="lrTb"/>
            <w:noWrap w:val="false"/>
          </w:tcPr>
          <w:p w14:paraId="6F9BDF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3.984.000 </w:t>
            </w:r>
            <w:r/>
          </w:p>
        </w:tc>
        <w:tc>
          <w:tcPr>
            <w:tcBorders>
              <w:bottom w:val="single" w:color="000000" w:sz="8" w:space="0"/>
              <w:right w:val="single" w:color="000000" w:sz="8" w:space="0"/>
            </w:tcBorders>
            <w:tcMar>
              <w:left w:w="108" w:type="dxa"/>
              <w:top w:w="0" w:type="dxa"/>
              <w:right w:w="108" w:type="dxa"/>
              <w:bottom w:w="0" w:type="dxa"/>
            </w:tcMar>
            <w:tcW w:w="2142" w:type="dxa"/>
            <w:vAlign w:val="center"/>
            <w:textDirection w:val="lrTb"/>
            <w:noWrap w:val="false"/>
          </w:tcPr>
          <w:p w14:paraId="35A4CE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140" w:type="dxa"/>
            <w:vAlign w:val="center"/>
            <w:textDirection w:val="lrTb"/>
            <w:noWrap w:val="false"/>
          </w:tcPr>
          <w:p w14:paraId="51E316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1.328.000</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795" w:type="dxa"/>
            <w:vAlign w:val="center"/>
            <w:textDirection w:val="lrTb"/>
            <w:noWrap w:val="false"/>
          </w:tcPr>
          <w:p w14:paraId="011844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53B7DD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428" w:type="dxa"/>
            <w:vAlign w:val="center"/>
            <w:textDirection w:val="lrTb"/>
            <w:noWrap w:val="false"/>
          </w:tcPr>
          <w:p w14:paraId="6A0075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4.026.483 </w:t>
            </w:r>
            <w:r/>
          </w:p>
        </w:tc>
        <w:tc>
          <w:tcPr>
            <w:tcBorders>
              <w:bottom w:val="single" w:color="000000" w:sz="8" w:space="0"/>
              <w:right w:val="single" w:color="000000" w:sz="8" w:space="0"/>
            </w:tcBorders>
            <w:tcMar>
              <w:left w:w="108" w:type="dxa"/>
              <w:top w:w="0" w:type="dxa"/>
              <w:right w:w="108" w:type="dxa"/>
              <w:bottom w:w="0" w:type="dxa"/>
            </w:tcMar>
            <w:tcW w:w="2142" w:type="dxa"/>
            <w:vAlign w:val="center"/>
            <w:textDirection w:val="lrTb"/>
            <w:noWrap w:val="false"/>
          </w:tcPr>
          <w:p w14:paraId="4C15A9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140" w:type="dxa"/>
            <w:vAlign w:val="center"/>
            <w:textDirection w:val="lrTb"/>
            <w:noWrap w:val="false"/>
          </w:tcPr>
          <w:p w14:paraId="1057FA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1.342.161</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795" w:type="dxa"/>
            <w:vAlign w:val="center"/>
            <w:textDirection w:val="lrTb"/>
            <w:noWrap w:val="false"/>
          </w:tcPr>
          <w:p w14:paraId="03C94F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28F5FE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428" w:type="dxa"/>
            <w:vAlign w:val="center"/>
            <w:textDirection w:val="lrTb"/>
            <w:noWrap w:val="false"/>
          </w:tcPr>
          <w:p w14:paraId="25DCE1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4.666.667 </w:t>
            </w:r>
            <w:r/>
          </w:p>
        </w:tc>
        <w:tc>
          <w:tcPr>
            <w:tcBorders>
              <w:bottom w:val="single" w:color="000000" w:sz="8" w:space="0"/>
              <w:right w:val="single" w:color="000000" w:sz="8" w:space="0"/>
            </w:tcBorders>
            <w:tcMar>
              <w:left w:w="108" w:type="dxa"/>
              <w:top w:w="0" w:type="dxa"/>
              <w:right w:w="108" w:type="dxa"/>
              <w:bottom w:w="0" w:type="dxa"/>
            </w:tcMar>
            <w:tcW w:w="2142" w:type="dxa"/>
            <w:vAlign w:val="center"/>
            <w:textDirection w:val="lrTb"/>
            <w:noWrap w:val="false"/>
          </w:tcPr>
          <w:p w14:paraId="38ABAF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140" w:type="dxa"/>
            <w:vAlign w:val="center"/>
            <w:textDirection w:val="lrTb"/>
            <w:noWrap w:val="false"/>
          </w:tcPr>
          <w:p w14:paraId="0A4652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1.555.556</w:t>
            </w:r>
            <w:r/>
          </w:p>
        </w:tc>
      </w:tr>
      <w:tr>
        <w:trPr>
          <w:trHeight w:val="28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587" w:type="dxa"/>
            <w:vAlign w:val="center"/>
            <w:textDirection w:val="lrTb"/>
            <w:noWrap w:val="false"/>
          </w:tcPr>
          <w:p w14:paraId="3F5726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140" w:type="dxa"/>
            <w:vAlign w:val="center"/>
            <w:textDirection w:val="lrTb"/>
            <w:noWrap w:val="false"/>
          </w:tcPr>
          <w:p w14:paraId="10C0FA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4.225.716</w:t>
            </w:r>
            <w:r/>
          </w:p>
        </w:tc>
      </w:tr>
      <w:tr>
        <w:trPr>
          <w:trHeight w:val="28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587" w:type="dxa"/>
            <w:vAlign w:val="center"/>
            <w:textDirection w:val="lrTb"/>
            <w:noWrap w:val="false"/>
          </w:tcPr>
          <w:p w14:paraId="4DCF02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108" w:type="dxa"/>
              <w:top w:w="0" w:type="dxa"/>
              <w:right w:w="108" w:type="dxa"/>
              <w:bottom w:w="0" w:type="dxa"/>
            </w:tcMar>
            <w:tcW w:w="2140" w:type="dxa"/>
            <w:vAlign w:val="center"/>
            <w:textDirection w:val="lrTb"/>
            <w:noWrap w:val="false"/>
          </w:tcPr>
          <w:p w14:paraId="77CDC7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4.200.000</w:t>
            </w:r>
            <w:r/>
          </w:p>
        </w:tc>
      </w:tr>
    </w:tbl>
    <w:p w14:paraId="63407D15">
      <w:p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2.Xác định đơn giá đất trồng cây lâu năm nằm trong HLGT:</w:t>
      </w:r>
      <w:r/>
    </w:p>
    <w:p w14:paraId="4C7C01F3">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Căn cứ Quyết định số 01/2025/QĐ-UBND của UBND Tỉnh Hòa Bình ngày 01 tháng 01 năm 2025 về việc </w:t>
      </w:r>
      <w:r>
        <w:rPr>
          <w:rFonts w:ascii="Times New Roman" w:hAnsi="Times New Roman" w:eastAsia="Times New Roman" w:cs="Times New Roman"/>
          <w:color w:val="000000"/>
          <w:sz w:val="24"/>
          <w:highlight w:val="white"/>
        </w:rPr>
        <w:t xml:space="preserve">Sửa đổi, bổ sung một số nội dung tại Quy định Bảng giá đất các loại năm 2020 - 2024 trên địa bàn tỉnh Hòa Bình ban hành kèm theo Quyết định số 57/2019/QĐ-UBND ngày 30/12/2019</w:t>
      </w:r>
      <w:r>
        <w:rPr>
          <w:rFonts w:ascii="Times New Roman" w:hAnsi="Times New Roman" w:eastAsia="Times New Roman" w:cs="Times New Roman"/>
          <w:color w:val="000000"/>
          <w:sz w:val="24"/>
        </w:rPr>
        <w:t xml:space="preserve">: Theo biểu sổ 03: Bảng Giá Đất Trồng Cây Lâu Năm: Giá đất trồng cây lâu năm tại Thị Trấn Cao Phong có đơn giá là: </w:t>
      </w:r>
      <w:r>
        <w:rPr>
          <w:rFonts w:ascii="Times New Roman" w:hAnsi="Times New Roman" w:eastAsia="Times New Roman" w:cs="Times New Roman"/>
          <w:b/>
          <w:color w:val="000000"/>
          <w:sz w:val="24"/>
        </w:rPr>
        <w:t xml:space="preserve">60.000 đồng/m².</w:t>
      </w:r>
      <w:r>
        <w:rPr>
          <w:rFonts w:ascii="Times New Roman" w:hAnsi="Times New Roman" w:eastAsia="Times New Roman" w:cs="Times New Roman"/>
          <w:sz w:val="24"/>
        </w:rPr>
      </w:r>
      <w:r/>
    </w:p>
    <w:p w14:paraId="4B506B03" w14:textId="49B8E0F8">
      <w:pPr>
        <w:pBdr/>
        <w:spacing w:after="120" w:before="120" w:line="276" w:lineRule="auto"/>
        <w:ind/>
        <w:jc w:val="both"/>
        <w:rPr>
          <w:b/>
          <w:lang w:val="pt-BR"/>
        </w:rPr>
      </w:pPr>
      <w:r>
        <w:rPr>
          <w:b/>
          <w:lang w:val="pt-BR"/>
        </w:rPr>
        <w:t xml:space="preserve">3.Kết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rPr>
          <w:highlight w:val="none"/>
        </w:rPr>
      </w:r>
      <w:r>
        <w:rPr>
          <w:highlight w:val="none"/>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3746"/>
        <w:gridCol w:w="1458"/>
        <w:gridCol w:w="1799"/>
        <w:gridCol w:w="2016"/>
      </w:tblGrid>
      <w:tr>
        <w:trPr>
          <w:trHeight w:val="34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00A8A8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746" w:type="dxa"/>
            <w:vAlign w:val="center"/>
            <w:textDirection w:val="lrTb"/>
            <w:noWrap w:val="false"/>
          </w:tcPr>
          <w:p w14:paraId="35716F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14:paraId="0B0D39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99" w:type="dxa"/>
            <w:vAlign w:val="center"/>
            <w:textDirection w:val="lrTb"/>
            <w:noWrap w:val="false"/>
          </w:tcPr>
          <w:p w14:paraId="4FE5AC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14:paraId="436310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381D2D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03" w:type="dxa"/>
            <w:vAlign w:val="center"/>
            <w:textDirection w:val="lrTb"/>
            <w:noWrap w:val="false"/>
          </w:tcPr>
          <w:p w14:paraId="6465F812">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 Quyền sử dụng đất tại thửa đất số: 58, tờ bản đồ số: 57 có địa chỉ: Khu 4, Thị Trấn Cao Phong, huyện Cao Phong, tỉnh Hòa Bình (Nay là xã Cao Phong, Tỉnh Phú Thọ) theo Giấy chứng nhận quyền sử dụng đất, quyền sở hữu tài sản gắn liền với đất số: AA 01552446</w:t>
            </w:r>
            <w:r>
              <w:rPr>
                <w:rFonts w:ascii="Times New Roman" w:hAnsi="Times New Roman" w:eastAsia="Times New Roman" w:cs="Times New Roman"/>
                <w:b/>
                <w:color w:val="000000"/>
                <w:sz w:val="24"/>
              </w:rPr>
              <w:t xml:space="preserve">, Số vào sổ cấp GCN: CN 00524 do Chi Nhánh Văn Phòng Đăng Ký Đất Đai Huyện Cao Phong cấp ngày 23/05/2025; chủ sử dụng đất là Ông Trịnh Bá Thành và Bà Vũ Thị Kiều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14:paraId="206AE763">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BC714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46" w:type="dxa"/>
            <w:vAlign w:val="center"/>
            <w:textDirection w:val="lrTb"/>
            <w:noWrap w:val="false"/>
          </w:tcPr>
          <w:p w14:paraId="5C8D5BE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14:paraId="129C31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99" w:type="dxa"/>
            <w:vAlign w:val="center"/>
            <w:textDirection w:val="lrTb"/>
            <w:noWrap w:val="false"/>
          </w:tcPr>
          <w:p w14:paraId="0FC405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14:paraId="26EA3B78">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693.840.000</w:t>
            </w:r>
            <w:r/>
          </w:p>
        </w:tc>
      </w:tr>
      <w:tr>
        <w:trPr>
          <w:trHeight w:val="3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37B1C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746" w:type="dxa"/>
            <w:vAlign w:val="center"/>
            <w:textDirection w:val="lrTb"/>
            <w:noWrap w:val="false"/>
          </w:tcPr>
          <w:p w14:paraId="4507F67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cây trồng cây lâu năm nằm trong quy hoạch giao thông</w:t>
            </w:r>
            <w:r/>
          </w:p>
        </w:tc>
        <w:tc>
          <w:tcPr>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14:paraId="3AAE23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10,80</w:t>
            </w:r>
            <w:r/>
          </w:p>
        </w:tc>
        <w:tc>
          <w:tcPr>
            <w:tcBorders>
              <w:bottom w:val="single" w:color="000000" w:sz="8" w:space="0"/>
              <w:right w:val="single" w:color="000000" w:sz="8" w:space="0"/>
            </w:tcBorders>
            <w:tcMar>
              <w:left w:w="108" w:type="dxa"/>
              <w:top w:w="0" w:type="dxa"/>
              <w:right w:w="108" w:type="dxa"/>
              <w:bottom w:w="0" w:type="dxa"/>
            </w:tcMar>
            <w:tcW w:w="1799" w:type="dxa"/>
            <w:vAlign w:val="center"/>
            <w:textDirection w:val="lrTb"/>
            <w:noWrap/>
          </w:tcPr>
          <w:p w14:paraId="7B8CD1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14:paraId="57D89190">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648.000</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tcPr>
          <w:p w14:paraId="1A492C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7003" w:type="dxa"/>
            <w:vAlign w:val="center"/>
            <w:textDirection w:val="lrTb"/>
            <w:noWrap/>
          </w:tcPr>
          <w:p w14:paraId="0D3ED4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tcPr>
          <w:p w14:paraId="0E955B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694.488.000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tcPr>
          <w:p w14:paraId="1BD490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7003" w:type="dxa"/>
            <w:vAlign w:val="center"/>
            <w:textDirection w:val="lrTb"/>
            <w:noWrap/>
          </w:tcPr>
          <w:p w14:paraId="70974E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tcPr>
          <w:p w14:paraId="234EB2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694.500.000 </w:t>
            </w:r>
            <w:r/>
          </w:p>
        </w:tc>
      </w:tr>
      <w:tr>
        <w:trPr>
          <w:trHeight w:val="340"/>
        </w:trPr>
        <w:tc>
          <w:tcPr>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tcPr>
          <w:p w14:paraId="15B550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9019" w:type="dxa"/>
            <w:vAlign w:val="center"/>
            <w:textDirection w:val="lrTb"/>
            <w:noWrap w:val="false"/>
          </w:tcPr>
          <w:p w14:paraId="503E0E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w:t>
            </w:r>
            <w:r>
              <w:rPr>
                <w:rFonts w:ascii="Times New Roman" w:hAnsi="Times New Roman" w:eastAsia="Times New Roman" w:cs="Times New Roman"/>
                <w:b/>
                <w:i/>
                <w:color w:val="000000" w:themeColor="text1"/>
                <w:sz w:val="24"/>
              </w:rPr>
              <w:t xml:space="preserve">chữ: Sáu trăm chín mươi bốn triệu năm trăm </w:t>
            </w:r>
            <w:r>
              <w:rPr>
                <w:rFonts w:ascii="Times New Roman" w:hAnsi="Times New Roman" w:eastAsia="Times New Roman" w:cs="Times New Roman"/>
                <w:b/>
                <w:i/>
                <w:color w:val="000000" w:themeColor="text1"/>
                <w:sz w:val="24"/>
              </w:rPr>
              <w:t xml:space="preserve">nghìn đồng</w:t>
            </w:r>
            <w:r>
              <w:rPr>
                <w:rFonts w:ascii="Times New Roman" w:hAnsi="Times New Roman" w:eastAsia="Times New Roman" w:cs="Times New Roman"/>
                <w:b/>
                <w:i/>
                <w:color w:val="000000" w:themeColor="text1"/>
                <w:sz w:val="24"/>
              </w:rPr>
              <w:t xml:space="preserve"> chẵn ./.</w:t>
            </w:r>
            <w:r>
              <w:rPr>
                <w:rFonts w:ascii="Times New Roman" w:hAnsi="Times New Roman" w:eastAsia="Times New Roman" w:cs="Times New Roman"/>
                <w:b/>
                <w:i/>
                <w:color w:val="000000"/>
                <w:sz w:val="24"/>
              </w:rPr>
              <w:t xml:space="preserve">)</w:t>
            </w: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16671CF5">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60" w:before="60" w:line="288"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14:paraId="0773E0E3">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Theo GCN số AA 01552446, thửa đất có 10,8m² thuộc quy hoạch hành lang giao thông, hiện nay chưa có thông báo thu hồi đất/quyết định thu hồi đất/phương án giải tỏa bồi thường. Theo đề nghị của Ngân hàng/Khách hàng, tổ thẩm định xác định giá trị tài sản theo</w:t>
      </w:r>
      <w:r>
        <w:rPr>
          <w:rFonts w:ascii="Times New Roman" w:hAnsi="Times New Roman" w:eastAsia="Times New Roman" w:cs="Times New Roman"/>
          <w:color w:val="000000"/>
          <w:spacing w:val="2"/>
          <w:sz w:val="24"/>
        </w:rPr>
        <w:t xml:space="preserve"> thông tin quy hoạch này. Đối với diện tích nằm ngoài quy hoạch tổ thẩm định đánh giá theo giá trị thị trường, đối với phần nằm trong quy hoạch tổ thẩm định đánh giá theo đơn giá do UBND tỉnh/thành phố ban hành từng thời kỳ, giá trị đền bù thực tế còn phụ </w:t>
      </w:r>
      <w:r>
        <w:rPr>
          <w:rFonts w:ascii="Times New Roman" w:hAnsi="Times New Roman" w:eastAsia="Times New Roman" w:cs="Times New Roman"/>
          <w:color w:val="000000"/>
          <w:spacing w:val="2"/>
          <w:sz w:val="24"/>
        </w:rPr>
        <w:t xml:space="preserve">thuộc vào thỏa thuận các bên tại thời điểm Nhà nước giải phóng mặt bằng thực hiện quy hoạch. Đề nghị đơn vị sử dụng kết quả lưu ý.</w:t>
      </w:r>
      <w:r/>
    </w:p>
    <w:p w14:paraId="68CC151E">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Nhà 1 tầng xây mới năm 2025, diện tích xây dựng khoảng 242m2, công trình nhà được xây trên thửa đất khác cùng chủ sử dụng, chưa xác định được diện tích chính xác phần công trình xây trên thửa đất số 58</w:t>
      </w:r>
      <w:r>
        <w:rPr>
          <w:rFonts w:ascii="Times New Roman" w:hAnsi="Times New Roman" w:eastAsia="Times New Roman" w:cs="Times New Roman"/>
          <w:color w:val="000000"/>
          <w:sz w:val="24"/>
        </w:rPr>
        <w:t xml:space="preserve">. Công trình chưa được công nhận trên GCN QSDĐ. Do vậy, theo đề nghị của Ngân hàng/Khách hàng, Tổ thẩm định không xác định giá trị của công trình xây dựng vào tổng giá trị</w:t>
      </w:r>
      <w:r>
        <w:rPr>
          <w:rFonts w:ascii="Times New Roman" w:hAnsi="Times New Roman" w:eastAsia="Times New Roman" w:cs="Times New Roman"/>
          <w:color w:val="000000"/>
          <w:sz w:val="24"/>
        </w:rPr>
        <w:t xml:space="preserve">, nhưng vẫn coi đó là phần không thể tách rời của tài sản thẩm định. Kính đề nghị đơn vị sử dụng kết quả lưu ý.</w:t>
      </w:r>
      <w:r/>
    </w:p>
    <w:p w14:paraId="1E9ACFE2">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rPr>
          <w:rFonts w:ascii="Times New Roman" w:hAnsi="Times New Roman" w:eastAsia="Times New Roman" w:cs="Times New Roman"/>
          <w:sz w:val="24"/>
        </w:rPr>
      </w: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2C267419">
      <w:pPr>
        <w:pBdr/>
        <w:tabs>
          <w:tab w:val="left" w:leader="none" w:pos="993"/>
        </w:tabs>
        <w:spacing w:after="120" w:before="120" w:line="288" w:lineRule="auto"/>
        <w:ind/>
        <w:jc w:val="both"/>
        <w:rPr>
          <w:lang w:val="pt-BR"/>
        </w:rPr>
      </w:pPr>
      <w:r>
        <w:rPr>
          <w:lang w:val="pt-BR"/>
        </w:rPr>
      </w:r>
      <w:r>
        <w:rPr>
          <w:lang w:val="pt-BR"/>
        </w:rPr>
      </w:r>
      <w:r>
        <w:rPr>
          <w:lang w:val="pt-BR"/>
        </w:rPr>
      </w:r>
    </w:p>
    <w:p w14:paraId="36409794">
      <w:pPr>
        <w:pBdr/>
        <w:tabs>
          <w:tab w:val="left" w:leader="none" w:pos="993"/>
        </w:tabs>
        <w:spacing w:after="120" w:before="120" w:line="288" w:lineRule="auto"/>
        <w:ind/>
        <w:jc w:val="both"/>
        <w:rPr>
          <w:lang w:val="pt-BR"/>
        </w:rPr>
      </w:pPr>
      <w:r>
        <w:rPr>
          <w:lang w:val="pt-BR"/>
        </w:rPr>
      </w:r>
      <w:r>
        <w:rPr>
          <w:lang w:val="pt-BR"/>
        </w:rPr>
      </w:r>
      <w:r>
        <w:rPr>
          <w:lang w:val="pt-BR"/>
        </w:rPr>
      </w:r>
    </w:p>
    <w:p w14:paraId="55DCA39F">
      <w:pPr>
        <w:pBdr/>
        <w:tabs>
          <w:tab w:val="left" w:leader="none" w:pos="993"/>
        </w:tabs>
        <w:spacing w:after="120" w:before="120" w:line="288" w:lineRule="auto"/>
        <w:ind/>
        <w:jc w:val="both"/>
        <w:rPr>
          <w:lang w:val="pt-BR"/>
        </w:rPr>
      </w:pPr>
      <w:r>
        <w:rPr>
          <w:lang w:val="pt-BR"/>
        </w:rPr>
      </w:r>
      <w:r>
        <w:rPr>
          <w:lang w:val="pt-BR"/>
        </w:rPr>
      </w:r>
      <w:r>
        <w:rPr>
          <w:lang w:val="pt-BR"/>
        </w:rPr>
      </w:r>
    </w:p>
    <w:p w14:paraId="2F7D1E99">
      <w:pPr>
        <w:pBdr/>
        <w:tabs>
          <w:tab w:val="left" w:leader="none" w:pos="993"/>
        </w:tabs>
        <w:spacing w:after="120" w:before="120" w:line="288" w:lineRule="auto"/>
        <w:ind/>
        <w:jc w:val="both"/>
        <w:rPr>
          <w:lang w:val="pt-BR"/>
        </w:rPr>
      </w:pPr>
      <w:r>
        <w:rPr>
          <w:lang w:val="pt-BR"/>
        </w:rPr>
      </w:r>
      <w:r>
        <w:rPr>
          <w:lang w:val="pt-BR"/>
        </w:rPr>
      </w:r>
      <w:r>
        <w:rPr>
          <w:lang w:val="pt-BR"/>
        </w:rPr>
      </w:r>
    </w:p>
    <w:p w14:paraId="3A1E6281">
      <w:pPr>
        <w:pBdr/>
        <w:tabs>
          <w:tab w:val="left" w:leader="none" w:pos="993"/>
        </w:tabs>
        <w:spacing w:after="120" w:before="120" w:line="288" w:lineRule="auto"/>
        <w:ind/>
        <w:jc w:val="both"/>
        <w:rPr>
          <w:lang w:val="pt-BR"/>
        </w:rPr>
      </w:pPr>
      <w:r>
        <w:rPr>
          <w:lang w:val="pt-BR"/>
        </w:rPr>
      </w:r>
      <w:r>
        <w:rPr>
          <w:lang w:val="pt-BR"/>
        </w:rPr>
      </w:r>
      <w:r>
        <w:rPr>
          <w:lang w:val="pt-BR"/>
        </w:rPr>
      </w:r>
    </w:p>
    <w:p w14:paraId="54342A82">
      <w:pPr>
        <w:pBdr/>
        <w:tabs>
          <w:tab w:val="left" w:leader="none" w:pos="993"/>
        </w:tabs>
        <w:spacing w:after="120" w:before="120" w:line="288" w:lineRule="auto"/>
        <w:ind/>
        <w:jc w:val="both"/>
        <w:rPr>
          <w:lang w:val="pt-BR"/>
        </w:rPr>
      </w:pPr>
      <w:r>
        <w:rPr>
          <w:lang w:val="pt-BR"/>
        </w:rPr>
      </w:r>
      <w:r>
        <w:rPr>
          <w:lang w:val="pt-BR"/>
        </w:rPr>
      </w:r>
      <w:r>
        <w:rPr>
          <w:lang w:val="pt-BR"/>
        </w:rPr>
      </w:r>
    </w:p>
    <w:p w14:paraId="47730452">
      <w:pPr>
        <w:pBdr/>
        <w:tabs>
          <w:tab w:val="left" w:leader="none" w:pos="993"/>
        </w:tabs>
        <w:spacing w:after="120" w:before="120" w:line="288" w:lineRule="auto"/>
        <w:ind/>
        <w:jc w:val="both"/>
        <w:rPr>
          <w:lang w:val="pt-BR"/>
        </w:rPr>
      </w:pPr>
      <w:r>
        <w:rPr>
          <w:lang w:val="pt-BR"/>
        </w:rPr>
      </w:r>
      <w:r>
        <w:rPr>
          <w:lang w:val="pt-BR"/>
        </w:rPr>
      </w:r>
      <w:r>
        <w:rPr>
          <w:lang w:val="pt-BR"/>
        </w:rPr>
      </w:r>
    </w:p>
    <w:p w14:paraId="48026BDD">
      <w:pPr>
        <w:pBdr/>
        <w:tabs>
          <w:tab w:val="left" w:leader="none" w:pos="993"/>
        </w:tabs>
        <w:spacing w:after="120" w:before="120" w:line="288" w:lineRule="auto"/>
        <w:ind/>
        <w:jc w:val="both"/>
        <w:rPr>
          <w:lang w:val="pt-BR"/>
        </w:rPr>
      </w:pPr>
      <w:r>
        <w:rPr>
          <w:lang w:val="pt-BR"/>
        </w:rPr>
      </w:r>
      <w:r>
        <w:rPr>
          <w:lang w:val="pt-BR"/>
        </w:rPr>
      </w:r>
      <w:r>
        <w:rPr>
          <w:lang w:val="pt-BR"/>
        </w:rPr>
      </w:r>
    </w:p>
    <w:p w14:paraId="37521ACE">
      <w:pPr>
        <w:pBdr/>
        <w:tabs>
          <w:tab w:val="left" w:leader="none" w:pos="993"/>
        </w:tabs>
        <w:spacing w:after="120" w:before="120" w:line="288" w:lineRule="auto"/>
        <w:ind/>
        <w:jc w:val="both"/>
        <w:rPr>
          <w:lang w:val="pt-BR"/>
        </w:rPr>
      </w:pPr>
      <w:r>
        <w:rPr>
          <w:lang w:val="pt-BR"/>
        </w:rPr>
      </w:r>
      <w:r>
        <w:rPr>
          <w:lang w:val="pt-BR"/>
        </w:rPr>
      </w:r>
      <w:r>
        <w:rPr>
          <w:lang w:val="pt-BR"/>
        </w:rPr>
      </w:r>
    </w:p>
    <w:p w14:paraId="41B29F7D">
      <w:pPr>
        <w:pBdr/>
        <w:tabs>
          <w:tab w:val="left" w:leader="none" w:pos="993"/>
        </w:tabs>
        <w:spacing w:after="120" w:before="120" w:line="288" w:lineRule="auto"/>
        <w:ind/>
        <w:jc w:val="both"/>
        <w:rPr>
          <w:lang w:val="pt-BR"/>
        </w:rPr>
      </w:pPr>
      <w:r>
        <w:rPr>
          <w:lang w:val="pt-BR"/>
        </w:rPr>
      </w:r>
      <w:r>
        <w:rPr>
          <w:lang w:val="pt-BR"/>
        </w:rPr>
      </w:r>
      <w:r>
        <w:rPr>
          <w:lang w:val="pt-BR"/>
        </w:rPr>
      </w:r>
    </w:p>
    <w:p w14:paraId="02C9FFE8">
      <w:pPr>
        <w:pBdr/>
        <w:tabs>
          <w:tab w:val="left" w:leader="none" w:pos="993"/>
        </w:tabs>
        <w:spacing w:after="120" w:before="120" w:line="288" w:lineRule="auto"/>
        <w:ind/>
        <w:jc w:val="both"/>
        <w:rPr>
          <w:lang w:val="pt-BR"/>
        </w:rPr>
      </w:pPr>
      <w:r>
        <w:rPr>
          <w:lang w:val="pt-BR"/>
        </w:rPr>
      </w:r>
      <w:r>
        <w:rPr>
          <w:lang w:val="pt-BR"/>
        </w:rPr>
      </w:r>
      <w:r>
        <w:rPr>
          <w:lang w:val="pt-BR"/>
        </w:rPr>
      </w:r>
    </w:p>
    <w:p w14:paraId="555F6C2C">
      <w:pPr>
        <w:pBdr/>
        <w:tabs>
          <w:tab w:val="left" w:leader="none" w:pos="993"/>
        </w:tabs>
        <w:spacing w:after="120" w:before="120" w:line="288" w:lineRule="auto"/>
        <w:ind/>
        <w:jc w:val="both"/>
        <w:rPr>
          <w:lang w:val="pt-BR"/>
        </w:rPr>
      </w:pPr>
      <w:r>
        <w:rPr>
          <w:lang w:val="pt-BR"/>
        </w:rPr>
      </w:r>
      <w:r>
        <w:rPr>
          <w:lang w:val="pt-BR"/>
        </w:rPr>
      </w:r>
      <w:r>
        <w:rPr>
          <w:lang w:val="pt-BR"/>
        </w:rPr>
      </w:r>
    </w:p>
    <w:p w14:paraId="45D87724">
      <w:pPr>
        <w:pBdr/>
        <w:tabs>
          <w:tab w:val="left" w:leader="none" w:pos="993"/>
        </w:tabs>
        <w:spacing w:after="120" w:before="120" w:line="288" w:lineRule="auto"/>
        <w:ind/>
        <w:jc w:val="both"/>
        <w:rPr>
          <w:lang w:val="pt-BR"/>
        </w:rPr>
      </w:pPr>
      <w:r>
        <w:rPr>
          <w:lang w:val="pt-BR"/>
        </w:rPr>
      </w:r>
      <w:r>
        <w:rPr>
          <w:lang w:val="pt-BR"/>
        </w:rPr>
      </w:r>
      <w:r>
        <w:rPr>
          <w:lang w:val="pt-BR"/>
        </w:rPr>
      </w:r>
    </w:p>
    <w:p w14:paraId="07B7E12E">
      <w:pPr>
        <w:pBdr/>
        <w:tabs>
          <w:tab w:val="left" w:leader="none" w:pos="993"/>
        </w:tabs>
        <w:spacing w:after="120" w:before="120" w:line="288" w:lineRule="auto"/>
        <w:ind/>
        <w:jc w:val="both"/>
        <w:rPr>
          <w:lang w:val="pt-BR"/>
        </w:rPr>
      </w:pPr>
      <w:r>
        <w:rPr>
          <w:lang w:val="pt-BR"/>
        </w:rPr>
      </w:r>
      <w:r>
        <w:rPr>
          <w:lang w:val="pt-BR"/>
        </w:rPr>
      </w:r>
      <w:r>
        <w:rPr>
          <w:lang w:val="pt-BR"/>
        </w:rPr>
      </w:r>
    </w:p>
    <w:p w14:paraId="171D3808">
      <w:pPr>
        <w:pBdr/>
        <w:tabs>
          <w:tab w:val="left" w:leader="none" w:pos="993"/>
        </w:tabs>
        <w:spacing w:after="120" w:before="120" w:line="288" w:lineRule="auto"/>
        <w:ind/>
        <w:jc w:val="both"/>
        <w:rPr>
          <w:lang w:val="pt-BR"/>
        </w:rPr>
      </w:pPr>
      <w:r>
        <w:rPr>
          <w:lang w:val="pt-BR"/>
        </w:rPr>
      </w:r>
      <w:r>
        <w:rPr>
          <w:lang w:val="pt-BR"/>
        </w:rPr>
      </w:r>
    </w:p>
    <w:p w14:paraId="602DCD60">
      <w:pPr>
        <w:pBdr/>
        <w:tabs>
          <w:tab w:val="left" w:leader="none" w:pos="993"/>
        </w:tabs>
        <w:spacing w:after="120" w:before="120" w:line="288" w:lineRule="auto"/>
        <w:ind/>
        <w:jc w:val="both"/>
        <w:rPr>
          <w:lang w:val="pt-BR"/>
        </w:rPr>
      </w:pPr>
      <w:r>
        <w:rPr>
          <w:lang w:val="pt-BR"/>
        </w:rPr>
      </w:r>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275/2025/1562/VFI-CT.57.A</w:t>
      </w:r>
      <w:r>
        <w:rPr>
          <w:color w:val="ff0000"/>
          <w:lang w:val="vi-VN"/>
        </w:rPr>
        <w:t xml:space="preserve"> </w:t>
      </w:r>
      <w:r>
        <w:rPr>
          <w:color w:val="000000" w:themeColor="text1"/>
        </w:rPr>
        <w:t xml:space="preserve">ngày 07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1106840D" w14:textId="77777777">
      <w:pPr>
        <w:pBdr/>
        <w:spacing w:after="200" w:line="276" w:lineRule="auto"/>
        <w:ind/>
        <w:rPr>
          <w:b/>
          <w:bCs/>
          <w:highlight w:val="none"/>
          <w:u w:val="none"/>
        </w:rPr>
      </w:pPr>
      <w:r>
        <w:rPr>
          <w:b/>
          <w:u w:val="none"/>
          <w:lang w:val="vi-VN"/>
        </w:rPr>
        <w:t xml:space="preserve">                                                 </w:t>
      </w:r>
      <w:r>
        <w:rPr>
          <w:b/>
          <w:u w:val="none"/>
          <w:lang w:val="vi-VN"/>
        </w:rPr>
        <w:t xml:space="preserve">  TRỢ LÝ THẨM ĐỊNH VIÊN </w:t>
      </w:r>
      <w:r>
        <w:rPr>
          <w:b/>
          <w:bCs/>
          <w:highlight w:val="none"/>
          <w:u w:val="none"/>
        </w:rPr>
      </w:r>
      <w:r>
        <w:rPr>
          <w:b/>
          <w:bCs/>
          <w:highlight w:val="none"/>
          <w:u w:val="none"/>
        </w:rPr>
      </w:r>
    </w:p>
    <w:p w14:paraId="3E260BEF">
      <w:pPr>
        <w:pBdr/>
        <w:spacing w:after="200" w:line="276" w:lineRule="auto"/>
        <w:ind/>
        <w:rPr>
          <w:b/>
          <w:bCs/>
          <w:u w:val="none"/>
        </w:rPr>
      </w:pPr>
      <w:r>
        <w:rPr>
          <w:b/>
          <w:bCs/>
          <w:u w:val="none"/>
          <w:lang w:val="vi-VN"/>
        </w:rPr>
      </w:r>
      <w:r>
        <w:rPr>
          <w:b/>
          <w:bCs/>
          <w:u w:val="none"/>
        </w:rPr>
      </w:r>
      <w:r>
        <w:rPr>
          <w:b/>
          <w:bCs/>
          <w:u w:val="none"/>
        </w:rPr>
      </w:r>
    </w:p>
    <w:p w14:paraId="0C4BE2D0">
      <w:pPr>
        <w:pBdr/>
        <w:spacing w:after="200" w:line="276" w:lineRule="auto"/>
        <w:ind/>
        <w:rPr>
          <w:b/>
          <w:bCs/>
          <w:u w:val="none"/>
        </w:rPr>
      </w:pPr>
      <w:r>
        <w:rPr>
          <w:b/>
          <w:bCs/>
          <w:u w:val="none"/>
          <w:lang w:val="vi-VN"/>
        </w:rPr>
      </w:r>
      <w:r>
        <w:rPr>
          <w:b/>
          <w:bCs/>
          <w:u w:val="none"/>
        </w:rPr>
      </w:r>
      <w:r>
        <w:rPr>
          <w:b/>
          <w:bCs/>
          <w:u w:val="none"/>
        </w:rPr>
      </w:r>
    </w:p>
    <w:p w14:paraId="19A57D67">
      <w:pPr>
        <w:pBdr/>
        <w:spacing w:after="200" w:line="276" w:lineRule="auto"/>
        <w:ind/>
        <w:rPr>
          <w:b/>
          <w:bCs/>
          <w:u w:val="none"/>
        </w:rPr>
      </w:pPr>
      <w:r>
        <w:rPr>
          <w:b/>
          <w:highlight w:val="none"/>
          <w:u w:val="none"/>
          <w:lang w:val="vi-VN" w:bidi="vi-VN"/>
        </w:rPr>
        <w:t xml:space="preserve">                                                           Trần Thị T</w:t>
      </w:r>
      <w:r>
        <w:rPr>
          <w:b/>
          <w:highlight w:val="none"/>
          <w:u w:val="none"/>
          <w:lang w:val="vi-VN" w:bidi="vi-VN"/>
        </w:rPr>
        <w:t xml:space="preserve">hanh Tâm</w:t>
      </w:r>
      <w:r>
        <w:rPr>
          <w:b/>
          <w:bCs/>
          <w:u w:val="none"/>
        </w:rPr>
      </w:r>
      <w:r>
        <w:rPr>
          <w:b/>
          <w:bCs/>
          <w:u w:val="none"/>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highlight w:val="white"/>
        </w:rPr>
      </w:pPr>
      <w:r>
        <w:rPr>
          <w:i/>
          <w:lang w:val="pt-BR"/>
        </w:rPr>
        <w:t xml:space="preserve">(Kèm theo Báo cáo thẩm định số</w:t>
      </w:r>
      <w:r>
        <w:rPr>
          <w:i/>
          <w:lang w:val="pt-BR"/>
        </w:rPr>
        <w:t xml:space="preserve"> </w:t>
      </w:r>
      <w:r>
        <w:rPr>
          <w:i/>
        </w:rPr>
        <w:t xml:space="preserve">275/2025/1562/VFI-BC</w:t>
      </w:r>
      <w:r>
        <w:rPr>
          <w:i/>
          <w:highlight w:val="white"/>
        </w:rPr>
        <w:t xml:space="preserve">.5</w:t>
      </w:r>
      <w:r>
        <w:rPr>
          <w:i/>
          <w:highlight w:val="white"/>
        </w:rPr>
        <w:t xml:space="preserve">7.A ngày </w:t>
      </w:r>
      <w:r>
        <w:rPr>
          <w:i/>
          <w:highlight w:val="white"/>
          <w:lang w:val="pt-BR"/>
        </w:rPr>
        <w:t xml:space="preserve"> </w:t>
      </w:r>
      <w:r>
        <w:rPr>
          <w:i/>
          <w:highlight w:val="white"/>
          <w:lang w:val="pt-BR"/>
        </w:rPr>
        <w:t xml:space="preserve">07 th</w:t>
      </w:r>
      <w:r>
        <w:rPr>
          <w:i/>
          <w:highlight w:val="white"/>
          <w:lang w:val="pt-BR"/>
        </w:rPr>
        <w:t xml:space="preserve">áng 11 năm 2025</w:t>
      </w:r>
      <w:r>
        <w:rPr>
          <w:i/>
          <w:highlight w:val="white"/>
          <w:lang w:val="pt-BR"/>
        </w:rPr>
        <w:t xml:space="preserve"> </w:t>
      </w:r>
      <w:r>
        <w:rPr>
          <w:i/>
          <w:highlight w:val="white"/>
          <w:lang w:val="pt-BR"/>
        </w:rPr>
        <w:t xml:space="preserve">của </w:t>
      </w:r>
      <w:r>
        <w:rPr>
          <w:i/>
          <w:highlight w:val="white"/>
        </w:rPr>
      </w:r>
      <w:r>
        <w:rPr>
          <w:i/>
          <w:highlight w:val="white"/>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16"/>
        <w:gridCol w:w="4638"/>
      </w:tblGrid>
      <w:tr>
        <w:trPr/>
        <w:tc>
          <w:tcPr>
            <w:tcBorders/>
            <w:tcMar>
              <w:left w:w="108" w:type="dxa"/>
              <w:top w:w="0" w:type="dxa"/>
              <w:right w:w="108" w:type="dxa"/>
              <w:bottom w:w="0" w:type="dxa"/>
            </w:tcMar>
            <w:tcW w:w="4716" w:type="dxa"/>
            <w:vAlign w:val="center"/>
            <w:textDirection w:val="lrTb"/>
            <w:noWrap w:val="false"/>
          </w:tcPr>
          <w:p w14:paraId="54E2CD6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38" w:type="dxa"/>
            <w:vAlign w:val="center"/>
            <w:textDirection w:val="lrTb"/>
            <w:noWrap w:val="false"/>
          </w:tcPr>
          <w:p w14:paraId="2F5AB450">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4716" w:type="dxa"/>
            <w:vAlign w:val="center"/>
            <w:textDirection w:val="lrTb"/>
            <w:noWrap w:val="false"/>
          </w:tcPr>
          <w:p w14:paraId="588A2710">
            <w:pPr>
              <w:pBdr/>
              <w:spacing w:after="0" w:before="0" w:line="240" w:lineRule="auto"/>
              <w:ind/>
              <w:rPr/>
            </w:pPr>
            <w:r>
              <mc:AlternateContent>
                <mc:Choice Requires="wpg">
                  <w:drawing>
                    <wp:inline xmlns:wp="http://schemas.openxmlformats.org/drawingml/2006/wordprocessingDrawing" distT="0" distB="0" distL="0" distR="0">
                      <wp:extent cx="1733550" cy="23145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61057" name=""/>
                              <pic:cNvPicPr>
                                <a:picLocks noChangeAspect="1"/>
                              </pic:cNvPicPr>
                              <pic:nvPr/>
                            </pic:nvPicPr>
                            <pic:blipFill rotWithShape="1">
                              <a:blip r:embed="rId19"/>
                              <a:stretch/>
                            </pic:blipFill>
                            <pic:spPr bwMode="auto">
                              <a:xfrm>
                                <a:off x="0" y="0"/>
                                <a:ext cx="1733549" cy="2314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6.50pt;height:182.2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638" w:type="dxa"/>
            <w:vAlign w:val="center"/>
            <w:textDirection w:val="lrTb"/>
            <w:noWrap w:val="false"/>
          </w:tcPr>
          <w:p w14:paraId="6C127243">
            <w:pPr>
              <w:pBdr/>
              <w:spacing w:after="0" w:before="0" w:line="240" w:lineRule="auto"/>
              <w:ind/>
              <w:rPr/>
            </w:pPr>
            <w:r>
              <mc:AlternateContent>
                <mc:Choice Requires="wpg">
                  <w:drawing>
                    <wp:inline xmlns:wp="http://schemas.openxmlformats.org/drawingml/2006/wordprocessingDrawing" distT="0" distB="0" distL="0" distR="0">
                      <wp:extent cx="1084333" cy="233838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54030" name=""/>
                              <pic:cNvPicPr>
                                <a:picLocks noChangeAspect="1"/>
                              </pic:cNvPicPr>
                              <pic:nvPr/>
                            </pic:nvPicPr>
                            <pic:blipFill rotWithShape="1">
                              <a:blip r:embed="rId20"/>
                              <a:stretch/>
                            </pic:blipFill>
                            <pic:spPr bwMode="auto">
                              <a:xfrm flipH="0" flipV="0">
                                <a:off x="0" y="0"/>
                                <a:ext cx="1084332" cy="23383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5.38pt;height:184.12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716" w:type="dxa"/>
            <w:vAlign w:val="center"/>
            <w:textDirection w:val="lrTb"/>
            <w:noWrap w:val="false"/>
          </w:tcPr>
          <w:p w14:paraId="58ED926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Mặt tiền Tài sản</w:t>
            </w:r>
            <w:r/>
          </w:p>
        </w:tc>
        <w:tc>
          <w:tcPr>
            <w:tcBorders/>
            <w:tcMar>
              <w:left w:w="108" w:type="dxa"/>
              <w:top w:w="0" w:type="dxa"/>
              <w:right w:w="108" w:type="dxa"/>
              <w:bottom w:w="0" w:type="dxa"/>
            </w:tcMar>
            <w:tcW w:w="4638" w:type="dxa"/>
            <w:vAlign w:val="center"/>
            <w:textDirection w:val="lrTb"/>
            <w:noWrap w:val="false"/>
          </w:tcPr>
          <w:p w14:paraId="475B1478">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716" w:type="dxa"/>
            <w:vAlign w:val="center"/>
            <w:textDirection w:val="lrTb"/>
            <w:noWrap w:val="false"/>
          </w:tcPr>
          <w:p w14:paraId="12ED60ED">
            <w:pPr>
              <w:pBdr/>
              <w:spacing w:after="0" w:before="0" w:line="240" w:lineRule="auto"/>
              <w:ind/>
              <w:rPr/>
            </w:pPr>
            <w:r>
              <w:t xml:space="preserve">       </w:t>
            </w:r>
            <w:r>
              <mc:AlternateContent>
                <mc:Choice Requires="wpg">
                  <w:drawing>
                    <wp:inline xmlns:wp="http://schemas.openxmlformats.org/drawingml/2006/wordprocessingDrawing" distT="0" distB="0" distL="0" distR="0">
                      <wp:extent cx="1533525" cy="2438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44871" name=""/>
                              <pic:cNvPicPr>
                                <a:picLocks noChangeAspect="1"/>
                              </pic:cNvPicPr>
                              <pic:nvPr/>
                            </pic:nvPicPr>
                            <pic:blipFill rotWithShape="1">
                              <a:blip r:embed="rId21"/>
                              <a:stretch/>
                            </pic:blipFill>
                            <pic:spPr bwMode="auto">
                              <a:xfrm>
                                <a:off x="0" y="0"/>
                                <a:ext cx="1533524" cy="2438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0.75pt;height:192.00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638" w:type="dxa"/>
            <w:vAlign w:val="center"/>
            <w:textDirection w:val="lrTb"/>
            <w:noWrap w:val="false"/>
          </w:tcPr>
          <w:p w14:paraId="63FD3CD8">
            <w:pPr>
              <w:pBdr/>
              <w:spacing w:after="0" w:before="0" w:line="240" w:lineRule="auto"/>
              <w:ind/>
              <w:rPr/>
            </w:pPr>
            <w:r>
              <mc:AlternateContent>
                <mc:Choice Requires="wpg">
                  <w:drawing>
                    <wp:inline xmlns:wp="http://schemas.openxmlformats.org/drawingml/2006/wordprocessingDrawing" distT="0" distB="0" distL="0" distR="0">
                      <wp:extent cx="1819275" cy="24193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58096" name=""/>
                              <pic:cNvPicPr>
                                <a:picLocks noChangeAspect="1"/>
                              </pic:cNvPicPr>
                              <pic:nvPr/>
                            </pic:nvPicPr>
                            <pic:blipFill rotWithShape="1">
                              <a:blip r:embed="rId22"/>
                              <a:stretch/>
                            </pic:blipFill>
                            <pic:spPr bwMode="auto">
                              <a:xfrm>
                                <a:off x="0" y="0"/>
                                <a:ext cx="1819274" cy="2419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3.25pt;height:190.50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716" w:type="dxa"/>
            <w:vAlign w:val="center"/>
            <w:textDirection w:val="lrTb"/>
            <w:noWrap w:val="false"/>
          </w:tcPr>
          <w:p w14:paraId="726B08A2">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 tài sản</w:t>
            </w:r>
            <w:r/>
          </w:p>
        </w:tc>
        <w:tc>
          <w:tcPr>
            <w:tcBorders/>
            <w:tcMar>
              <w:left w:w="108" w:type="dxa"/>
              <w:top w:w="0" w:type="dxa"/>
              <w:right w:w="108" w:type="dxa"/>
              <w:bottom w:w="0" w:type="dxa"/>
            </w:tcMar>
            <w:tcW w:w="4638" w:type="dxa"/>
            <w:vAlign w:val="center"/>
            <w:textDirection w:val="lrTb"/>
            <w:noWrap w:val="false"/>
          </w:tcPr>
          <w:p w14:paraId="5EFA7D2B">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hướng dẫn KS</w:t>
            </w:r>
            <w:r/>
          </w:p>
        </w:tc>
      </w:tr>
      <w:tr>
        <w:trPr/>
        <w:tc>
          <w:tcPr>
            <w:tcBorders/>
            <w:tcMar>
              <w:left w:w="108" w:type="dxa"/>
              <w:top w:w="0" w:type="dxa"/>
              <w:right w:w="108" w:type="dxa"/>
              <w:bottom w:w="0" w:type="dxa"/>
            </w:tcMar>
            <w:tcW w:w="4716" w:type="dxa"/>
            <w:vAlign w:val="center"/>
            <w:textDirection w:val="lrTb"/>
            <w:noWrap w:val="false"/>
          </w:tcPr>
          <w:p w14:paraId="42D0B29F">
            <w:pPr>
              <w:pBdr/>
              <w:spacing w:after="0" w:before="0" w:line="240" w:lineRule="auto"/>
              <w:ind/>
              <w:rPr/>
            </w:pPr>
            <w:r>
              <w:t xml:space="preserve">                    </w:t>
            </w:r>
            <w:r>
              <mc:AlternateContent>
                <mc:Choice Requires="wpg">
                  <w:drawing>
                    <wp:inline xmlns:wp="http://schemas.openxmlformats.org/drawingml/2006/wordprocessingDrawing" distT="0" distB="0" distL="0" distR="0">
                      <wp:extent cx="933450" cy="20193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111748" name=""/>
                              <pic:cNvPicPr>
                                <a:picLocks noChangeAspect="1"/>
                              </pic:cNvPicPr>
                              <pic:nvPr/>
                            </pic:nvPicPr>
                            <pic:blipFill rotWithShape="1">
                              <a:blip r:embed="rId23"/>
                              <a:stretch/>
                            </pic:blipFill>
                            <pic:spPr bwMode="auto">
                              <a:xfrm>
                                <a:off x="0" y="0"/>
                                <a:ext cx="933449"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73.50pt;height:159.00pt;mso-wrap-distance-left:0.00pt;mso-wrap-distance-top:0.00pt;mso-wrap-distance-right:0.00pt;mso-wrap-distance-bottom:0.00pt;z-index:1;" stroked="false">
                      <v:imagedata r:id="rId23" o:title=""/>
                      <o:lock v:ext="edit" rotation="t"/>
                    </v:shape>
                  </w:pict>
                </mc:Fallback>
              </mc:AlternateContent>
            </w:r>
            <w:r>
              <w:t xml:space="preserve"> </w:t>
            </w:r>
            <w:r/>
          </w:p>
        </w:tc>
        <w:tc>
          <w:tcPr>
            <w:tcBorders/>
            <w:tcMar>
              <w:left w:w="108" w:type="dxa"/>
              <w:top w:w="0" w:type="dxa"/>
              <w:right w:w="108" w:type="dxa"/>
              <w:bottom w:w="0" w:type="dxa"/>
            </w:tcMar>
            <w:tcW w:w="4638" w:type="dxa"/>
            <w:vAlign w:val="center"/>
            <w:textDirection w:val="lrTb"/>
            <w:noWrap w:val="false"/>
          </w:tcPr>
          <w:p w14:paraId="4B27D651">
            <w:pPr>
              <w:pBdr/>
              <w:spacing w:after="0" w:before="0" w:line="240" w:lineRule="auto"/>
              <w:ind/>
              <w:rPr/>
            </w:pPr>
            <w:r>
              <w:t xml:space="preserve">                   </w:t>
            </w:r>
            <w:r>
              <mc:AlternateContent>
                <mc:Choice Requires="wpg">
                  <w:drawing>
                    <wp:inline xmlns:wp="http://schemas.openxmlformats.org/drawingml/2006/wordprocessingDrawing" distT="0" distB="0" distL="0" distR="0">
                      <wp:extent cx="1581150" cy="21050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79042" name=""/>
                              <pic:cNvPicPr>
                                <a:picLocks noChangeAspect="1"/>
                              </pic:cNvPicPr>
                              <pic:nvPr/>
                            </pic:nvPicPr>
                            <pic:blipFill rotWithShape="1">
                              <a:blip r:embed="rId24"/>
                              <a:stretch/>
                            </pic:blipFill>
                            <pic:spPr bwMode="auto">
                              <a:xfrm>
                                <a:off x="0" y="0"/>
                                <a:ext cx="1581149"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4.50pt;height:165.75pt;mso-wrap-distance-left:0.00pt;mso-wrap-distance-top:0.00pt;mso-wrap-distance-right:0.00pt;mso-wrap-distance-bottom:0.00pt;z-index:1;" stroked="false">
                      <v:imagedata r:id="rId24" o:title=""/>
                      <o:lock v:ext="edit" rotation="t"/>
                    </v:shape>
                  </w:pict>
                </mc:Fallback>
              </mc:AlternateContent>
            </w: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highlight w:val="whit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w:t>
      </w:r>
      <w:r>
        <w:rPr>
          <w:b/>
          <w:highlight w:val="white"/>
          <w:lang w:val="vi-VN"/>
        </w:rPr>
        <w:t xml:space="preserve">HÔN</w:t>
      </w:r>
      <w:r>
        <w:rPr>
          <w:b/>
          <w:highlight w:val="white"/>
          <w:lang w:val="vi-VN"/>
        </w:rPr>
        <w:t xml:space="preserve">G TIN THU THẬP THỊ TRƯ</w:t>
      </w:r>
      <w:r>
        <w:rPr>
          <w:b/>
          <w:highlight w:val="white"/>
          <w:lang w:val="vi-VN"/>
        </w:rPr>
        <w:t xml:space="preserve">ỜN</w:t>
      </w:r>
      <w:r>
        <w:rPr>
          <w:b/>
          <w:highlight w:val="white"/>
        </w:rPr>
        <w:t xml:space="preserve">G</w:t>
      </w:r>
      <w:r>
        <w:rPr>
          <w:i/>
          <w:highlight w:val="white"/>
        </w:rPr>
      </w:r>
      <w:r>
        <w:rPr>
          <w:i/>
          <w:highlight w:val="white"/>
        </w:rPr>
      </w:r>
    </w:p>
    <w:p w14:paraId="6F4CB34C" w14:textId="63A58DB4">
      <w:pPr>
        <w:pBdr/>
        <w:spacing/>
        <w:ind/>
        <w:jc w:val="center"/>
        <w:rPr>
          <w:i/>
          <w:lang w:val="pt-BR"/>
        </w:rPr>
      </w:pPr>
      <w:r>
        <w:rPr>
          <w:i/>
          <w:highlight w:val="white"/>
          <w:lang w:val="pt-BR"/>
        </w:rPr>
        <w:t xml:space="preserve">(Kèm theo Báo cáo thẩm định số </w:t>
      </w:r>
      <w:r>
        <w:rPr>
          <w:i/>
          <w:highlight w:val="white"/>
        </w:rPr>
        <w:t xml:space="preserve">275/2025/1562/VFI-BC</w:t>
      </w:r>
      <w:r>
        <w:rPr>
          <w:i/>
          <w:highlight w:val="white"/>
        </w:rPr>
        <w:t xml:space="preserve">.</w:t>
      </w:r>
      <w:r>
        <w:rPr>
          <w:i/>
          <w:highlight w:val="white"/>
        </w:rPr>
        <w:t xml:space="preserve">57.A</w:t>
      </w:r>
      <w:r>
        <w:rPr>
          <w:i/>
          <w:highlight w:val="white"/>
          <w:lang w:val="pt-BR"/>
        </w:rPr>
        <w:t xml:space="preserve"> </w:t>
      </w:r>
      <w:r>
        <w:rPr>
          <w:i/>
          <w:highlight w:val="white"/>
          <w:lang w:val="pt-BR"/>
        </w:rPr>
        <w:t xml:space="preserve">ngày 07 thán</w:t>
      </w:r>
      <w:r>
        <w:rPr>
          <w:i/>
          <w:highlight w:val="white"/>
          <w:lang w:val="pt-BR"/>
        </w:rPr>
        <w:t xml:space="preserve">g </w:t>
      </w:r>
      <w:r>
        <w:rPr>
          <w:i/>
          <w:lang w:val="pt-BR"/>
        </w:rPr>
        <w:t xml:space="preserve">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 </w:t>
            </w:r>
            <w:r>
              <w:rPr>
                <w:sz w:val="22"/>
                <w:szCs w:val="22"/>
              </w:rPr>
              <w:br/>
              <w:t xml:space="preserve">(trường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(79 m²), Đất trồng cây lâu năm (221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Thị trấn Cao Phong, Huyện Cao Phong, Tỉnh Hòa Bình, khoảng cách ra đường chính Cách QL6 khoảng 700m, độ rộng đường trước mặt tài sản 5m, mặt tiền 10m, 20.728749999999998, 105.31555555555555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hd w:val="nil" w:color="auto"/>
              <w:spacing/>
              <w:ind/>
              <w:rPr>
                <w:highlight w:val="white"/>
                <w14:ligatures w14:val="none"/>
              </w:rPr>
            </w:pPr>
            <w:r>
              <w:rPr>
                <w:highlight w:val="white"/>
              </w:rPr>
              <w:t xml:space="preserve">1</w:t>
            </w:r>
            <w:r>
              <w:rPr>
                <w:highlight w:val="white"/>
              </w:rPr>
              <w:t xml:space="preserve">5</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hd w:val="nil" w:color="auto"/>
              <w:spacing/>
              <w:ind/>
              <w:rPr>
                <w:highlight w:val="white"/>
                <w14:ligatures w14:val="none"/>
              </w:rPr>
            </w:pPr>
            <w:r>
              <w:rPr>
                <w:highlight w:val="white"/>
              </w:rPr>
              <w:t xml:space="preserve">Lợi thế kinh doanh</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hd w:val="nil" w:color="auto"/>
              <w:spacing/>
              <w:ind/>
              <w:rPr>
                <w:highlight w:val="white"/>
                <w14:ligatures w14:val="none"/>
              </w:rPr>
            </w:pPr>
            <w:r>
              <w:rPr>
                <w:highlight w:val="white"/>
              </w:rPr>
              <w:t xml:space="preserve">Trung bình</w:t>
            </w:r>
            <w:r>
              <w:rPr>
                <w:highlight w:val="white"/>
                <w14:ligatures w14:val="none"/>
              </w:rPr>
            </w:r>
            <w:r>
              <w:rPr>
                <w:highlight w:val="white"/>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hd w:val="nil" w:color="auto"/>
              <w:spacing/>
              <w:ind/>
              <w:rPr>
                <w:highlight w:val="white"/>
                <w14:ligatures w14:val="none"/>
              </w:rPr>
            </w:pPr>
            <w:r>
              <w:rPr>
                <w:highlight w:val="white"/>
              </w:rPr>
              <w:t xml:space="preserve">16</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hd w:val="nil" w:color="auto"/>
              <w:spacing/>
              <w:ind/>
              <w:rPr>
                <w:highlight w:val="white"/>
                <w14:ligatures w14:val="none"/>
              </w:rPr>
            </w:pPr>
            <w:r>
              <w:rPr>
                <w:highlight w:val="white"/>
              </w:rPr>
              <w:t xml:space="preserve">Các lợi thế thương mại của thửa đất</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hd w:val="nil" w:color="auto"/>
              <w:spacing/>
              <w:ind/>
              <w:rPr>
                <w:highlight w:val="white"/>
                <w14:ligatures w14:val="none"/>
              </w:rPr>
            </w:pPr>
            <w:r>
              <w:rPr>
                <w:highlight w:val="white"/>
              </w:rPr>
              <w:t xml:space="preserve">Không có</w:t>
            </w:r>
            <w:r>
              <w:rPr>
                <w:highlight w:val="white"/>
                <w14:ligatures w14:val="none"/>
              </w:rPr>
            </w:r>
            <w:r>
              <w:rPr>
                <w:highlight w:val="white"/>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hd w:val="nil" w:color="auto"/>
              <w:spacing/>
              <w:ind/>
              <w:rPr>
                <w:highlight w:val="white"/>
                <w14:ligatures w14:val="none"/>
              </w:rPr>
            </w:pPr>
            <w:r>
              <w:rPr>
                <w:highlight w:val="white"/>
              </w:rPr>
              <w:t xml:space="preserve">1</w:t>
            </w:r>
            <w:r>
              <w:rPr>
                <w:highlight w:val="white"/>
              </w:rPr>
              <w:t xml:space="preserve">7</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hd w:val="nil" w:color="auto"/>
              <w:spacing/>
              <w:ind/>
              <w:rPr>
                <w:highlight w:val="white"/>
                <w14:ligatures w14:val="none"/>
              </w:rPr>
            </w:pPr>
            <w:r>
              <w:rPr>
                <w:highlight w:val="white"/>
              </w:rPr>
              <w:t xml:space="preserve">Các</w:t>
            </w:r>
            <w:r>
              <w:rPr>
                <w:highlight w:val="white"/>
              </w:rPr>
              <w:t xml:space="preserve"> bất lợi thương mại </w:t>
            </w:r>
            <w:r>
              <w:rPr>
                <w:highlight w:val="white"/>
              </w:rPr>
              <w:t xml:space="preserve">của thửa đất</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hd w:val="nil" w:color="auto"/>
              <w:spacing/>
              <w:ind/>
              <w:rPr>
                <w:highlight w:val="white"/>
                <w14:ligatures w14:val="none"/>
              </w:rPr>
            </w:pPr>
            <w:r>
              <w:rPr>
                <w:highlight w:val="white"/>
              </w:rPr>
              <w:t xml:space="preserve">Không có</w:t>
            </w:r>
            <w:r>
              <w:rPr>
                <w:highlight w:val="white"/>
                <w14:ligatures w14:val="none"/>
              </w:rPr>
            </w:r>
            <w:r>
              <w:rPr>
                <w:highlight w:val="white"/>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hd w:val="nil" w:color="auto"/>
              <w:spacing/>
              <w:ind/>
              <w:rPr>
                <w:highlight w:val="white"/>
                <w14:ligatures w14:val="none"/>
              </w:rPr>
            </w:pPr>
            <w:r>
              <w:rPr>
                <w:highlight w:val="white"/>
              </w:rPr>
              <w:t xml:space="preserve">1</w:t>
            </w:r>
            <w:r>
              <w:rPr>
                <w:highlight w:val="white"/>
              </w:rPr>
              <w:t xml:space="preserve">8</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hd w:val="nil" w:color="auto"/>
              <w:spacing/>
              <w:ind/>
              <w:rPr>
                <w:highlight w:val="white"/>
                <w14:ligatures w14:val="none"/>
              </w:rPr>
            </w:pPr>
            <w:r>
              <w:rPr>
                <w:highlight w:val="white"/>
              </w:rPr>
              <w:t xml:space="preserve">Điều kiện cơ sở hạ tầng kỹ thuật</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hd w:val="nil" w:color="auto"/>
              <w:spacing/>
              <w:ind/>
              <w:rPr>
                <w:highlight w:val="white"/>
                <w14:ligatures w14:val="none"/>
              </w:rPr>
            </w:pPr>
            <w:r>
              <w:rPr>
                <w:highlight w:val="white"/>
              </w:rPr>
              <w:t xml:space="preserve">Tốt</w:t>
            </w:r>
            <w:r>
              <w:rPr>
                <w:highlight w:val="white"/>
                <w14:ligatures w14:val="none"/>
              </w:rPr>
            </w:r>
            <w:r>
              <w:rPr>
                <w:highlight w:val="white"/>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hd w:val="nil" w:color="auto"/>
              <w:spacing/>
              <w:ind/>
              <w:rPr>
                <w:highlight w:val="white"/>
                <w14:ligatures w14:val="none"/>
              </w:rPr>
            </w:pPr>
            <w:r>
              <w:rPr>
                <w:highlight w:val="white"/>
              </w:rPr>
              <w:t xml:space="preserve">B</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hd w:val="nil" w:color="auto"/>
              <w:spacing/>
              <w:ind/>
              <w:rPr>
                <w:highlight w:val="white"/>
                <w14:ligatures w14:val="none"/>
              </w:rPr>
            </w:pPr>
            <w:r>
              <w:rPr>
                <w:highlight w:val="white"/>
              </w:rPr>
              <w:t xml:space="preserve">Bằng chứng thu thập</w:t>
            </w:r>
            <w:r>
              <w:rPr>
                <w:highlight w:val="white"/>
                <w14:ligatures w14:val="none"/>
              </w:rPr>
            </w:r>
            <w:r>
              <w:rPr>
                <w:highlight w:val="white"/>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hd w:val="nil" w:color="auto"/>
              <w:spacing/>
              <w:ind/>
              <w:rPr>
                <w:highlight w:val="white"/>
                <w14:ligatures w14:val="none"/>
              </w:rPr>
            </w:pPr>
            <w:r>
              <w:rPr>
                <w:highlight w:val="white"/>
              </w:rPr>
            </w:r>
            <w:r>
              <w:rPr>
                <w:highlight w:val="white"/>
                <w14:ligatures w14:val="none"/>
              </w:rPr>
            </w:r>
            <w:r>
              <w:rPr>
                <w:highlight w:val="white"/>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hd w:val="nil" w:color="auto"/>
              <w:spacing/>
              <w:ind/>
              <w:rPr>
                <w:highlight w:val="white"/>
                <w14:ligatures w14:val="none"/>
              </w:rPr>
            </w:pPr>
            <w:r>
              <w:rPr>
                <w:highlight w:val="white"/>
              </w:rPr>
            </w:r>
            <w:r>
              <w:rPr>
                <w:highlight w:val="white"/>
                <w14:ligatures w14:val="none"/>
              </w:rPr>
            </w:r>
            <w:r>
              <w:rPr>
                <w:highlight w:val="white"/>
                <w14:ligatures w14: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hd w:val="nil" w:color="auto"/>
              <w:spacing/>
              <w:ind/>
              <w:rPr>
                <w:highlight w:val="white"/>
                <w14:ligatures w14:val="none"/>
              </w:rPr>
            </w:pPr>
            <w:r>
              <w:rPr>
                <w:highlight w:val="white"/>
              </w:rPr>
              <w:t xml:space="preserve"> </w:t>
            </w:r>
            <w:r>
              <w:rPr>
                <w:highlight w:val="white"/>
              </w:rPr>
              <w:t xml:space="preserve">Hình ảnh đăng bán: </w:t>
            </w:r>
            <w:r>
              <w:rPr>
                <w:highlight w:val="white"/>
                <w14:ligatures w14:val="none"/>
              </w:rPr>
            </w:r>
            <w:r>
              <w:rPr>
                <w:highlight w:val="white"/>
                <w14:ligatures w14:val="none"/>
              </w:rPr>
            </w:r>
          </w:p>
          <w:p w14:paraId="01188A40" w14:textId="77777777">
            <w:pPr>
              <w:pBdr/>
              <w:shd w:val="nil" w:color="auto"/>
              <w:spacing/>
              <w:ind/>
              <w:rPr>
                <w:highlight w:val="white"/>
                <w14:ligatures w14:val="none"/>
              </w:rPr>
            </w:pPr>
            <w:r>
              <w:rPr>
                <w:highlight w:val="white"/>
              </w:rPr>
            </w:r>
            <w:r>
              <w:rPr>
                <w:highlight w:val="white"/>
              </w:rPr>
              <w:t xml:space="preserve"> </w:t>
            </w:r>
            <w:r>
              <w:rPr>
                <w:highlight w:val="white"/>
              </w:rPr>
              <w:t xml:space="preserve"> </w:t>
            </w:r>
            <w:r>
              <w:rPr>
                <w:highlight w:val="white"/>
              </w:rPr>
              <w:t xml:space="preserve"> </w:t>
            </w:r>
            <w:r>
              <w:rPr>
                <w:highlight w:val="white"/>
              </w:rPr>
              <w:t xml:space="preserve"> </w:t>
            </w:r>
            <w:r>
              <w:rPr>
                <w:highlight w:val="white"/>
              </w:rPr>
              <w:t xml:space="preserve"> </w:t>
            </w:r>
            <w:r>
              <w:rPr>
                <w:highlight w:val="white"/>
              </w:rPr>
              <mc:AlternateContent>
                <mc:Choice Requires="wpg">
                  <w:drawing>
                    <wp:inline xmlns:wp="http://schemas.openxmlformats.org/drawingml/2006/wordprocessingDrawing" distT="0" distB="0" distL="0" distR="0">
                      <wp:extent cx="4324350" cy="27813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68418" name=""/>
                              <pic:cNvPicPr>
                                <a:picLocks noChangeAspect="1"/>
                              </pic:cNvPicPr>
                              <pic:nvPr/>
                            </pic:nvPicPr>
                            <pic:blipFill rotWithShape="1">
                              <a:blip r:embed="rId25"/>
                              <a:stretch/>
                            </pic:blipFill>
                            <pic:spPr bwMode="auto">
                              <a:xfrm>
                                <a:off x="0" y="0"/>
                                <a:ext cx="4324348" cy="2781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0.50pt;height:219.00pt;mso-wrap-distance-left:0.00pt;mso-wrap-distance-top:0.00pt;mso-wrap-distance-right:0.00pt;mso-wrap-distance-bottom:0.00pt;z-index:1;" stroked="false">
                      <v:imagedata r:id="rId25" o:title=""/>
                      <o:lock v:ext="edit" rotation="t"/>
                    </v:shape>
                  </w:pict>
                </mc:Fallback>
              </mc:AlternateContent>
            </w:r>
            <w:r>
              <w:rPr>
                <w:highlight w:val="white"/>
              </w:rPr>
              <w:t xml:space="preserve"> </w:t>
            </w:r>
            <w:r>
              <w:rPr>
                <w:highlight w:val="white"/>
              </w:rPr>
              <w:t xml:space="preserve"> </w:t>
            </w:r>
            <w:r>
              <w:rPr>
                <w:highlight w:val="white"/>
              </w:rPr>
              <w:t xml:space="preserve"> </w:t>
            </w:r>
            <w:r>
              <w:rPr>
                <w:highlight w:val="white"/>
              </w:rPr>
              <w:t xml:space="preserve"> </w:t>
            </w:r>
            <w:r>
              <w:rPr>
                <w:highlight w:val="white"/>
              </w:rPr>
              <w:t xml:space="preserve"> </w:t>
            </w:r>
            <w:r>
              <w:rPr>
                <w:highlight w:val="white"/>
                <w14:ligatures w14:val="none"/>
              </w:rPr>
            </w:r>
            <w:r>
              <w:rPr>
                <w:highlight w:val="white"/>
                <w14:ligatures w14:val="none"/>
              </w:rPr>
            </w:r>
          </w:p>
          <w:p w14:paraId="53086B80" w14:textId="045C762B">
            <w:pPr>
              <w:pBdr/>
              <w:shd w:val="nil" w:color="auto"/>
              <w:spacing/>
              <w:ind/>
              <w:rPr>
                <w:highlight w:val="white"/>
                <w14:ligatures w14:val="none"/>
              </w:rPr>
            </w:pPr>
            <w:r>
              <w:rPr>
                <w:highlight w:val="white"/>
              </w:rPr>
            </w:r>
            <w:r>
              <w:rPr>
                <w:highlight w:val="white"/>
              </w:rPr>
              <w:t xml:space="preserve"> </w:t>
            </w:r>
            <w:r>
              <w:rPr>
                <w:highlight w:val="white"/>
              </w:rPr>
              <w:t xml:space="preserve"> </w:t>
            </w:r>
            <w:r>
              <w:rPr>
                <w:highlight w:val="white"/>
              </w:rPr>
              <w:t xml:space="preserve"> </w:t>
            </w:r>
            <w:r>
              <w:rPr>
                <w:highlight w:val="white"/>
                <w14:ligatures w14:val="none"/>
              </w:rPr>
            </w:r>
            <w:r>
              <w:rPr>
                <w:highlight w:val="white"/>
                <w14:ligatures w14:val="none"/>
              </w:rPr>
            </w:r>
          </w:p>
        </w:tc>
      </w:tr>
    </w:tbl>
    <w:p w14:paraId="52FCCDEC" w14:textId="108B65E5">
      <w:pPr>
        <w:pBdr/>
        <w:shd w:val="nil" w:color="auto"/>
        <w:spacing/>
        <w:ind/>
        <w:rPr>
          <w:highlight w:val="white"/>
          <w14:ligatures w14:val="none"/>
        </w:rPr>
      </w:pPr>
      <w:r>
        <w:rPr>
          <w:highlight w:val="white"/>
          <w:lang w:val="pt-BR"/>
        </w:rPr>
      </w:r>
      <w:r>
        <w:rPr>
          <w:highlight w:val="white"/>
          <w14:ligatures w14:val="none"/>
        </w:rPr>
      </w:r>
      <w:r>
        <w:rPr>
          <w:highlight w:val="white"/>
          <w14:ligatures w14:val="none"/>
        </w:rPr>
      </w:r>
    </w:p>
    <w:p w14:paraId="4E8E94C3" w14:textId="3987087A">
      <w:pPr>
        <w:pBdr/>
        <w:shd w:val="nil" w:color="auto"/>
        <w:spacing/>
        <w:ind/>
        <w:rPr>
          <w:highlight w:val="white"/>
          <w14:ligatures w14:val="none"/>
        </w:rPr>
      </w:pPr>
      <w:r>
        <w:rPr>
          <w:highlight w:val="white"/>
          <w:lang w:val="pt-BR"/>
        </w:rPr>
      </w:r>
      <w:r>
        <w:rPr>
          <w:highlight w:val="white"/>
          <w14:ligatures w14:val="none"/>
        </w:rPr>
      </w:r>
      <w:r>
        <w:rPr>
          <w:highlight w:val="white"/>
          <w14:ligatures w14: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tc>
        <w:tc>
          <w:tcPr>
            <w:tcBorders/>
            <w:tcW w:w="4701" w:type="dxa"/>
            <w:vAlign w:val="center"/>
            <w:textDirection w:val="lrTb"/>
            <w:noWrap/>
          </w:tcPr>
          <w:p w14:paraId="53D48A21" w14:textId="77777777">
            <w:pPr>
              <w:pBdr/>
              <w:shd w:val="nil" w:color="auto"/>
              <w:spacing/>
              <w:ind/>
              <w:rPr>
                <w:highlight w:val="white"/>
                <w14:ligatures w14:val="none"/>
              </w:rPr>
            </w:pPr>
            <w:r>
              <w:rPr>
                <w:highlight w:val="none"/>
              </w:rPr>
              <w:t xml:space="preserve">                    </w:t>
            </w:r>
            <w:r>
              <w:rPr>
                <w:highlight w:val="white"/>
              </w:rPr>
              <w:t xml:space="preserve">Người thu thập thông tin</w:t>
            </w:r>
            <w:r>
              <w:rPr>
                <w:highlight w:val="white"/>
                <w14:ligatures w14:val="none"/>
              </w:rPr>
            </w:r>
            <w:r>
              <w:rPr>
                <w:highlight w:val="white"/>
                <w14:ligatures w14:val="none"/>
              </w:rPr>
            </w:r>
          </w:p>
          <w:p w14:paraId="45375ED2"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p w14:paraId="66A9D904"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p w14:paraId="57C51E16"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p w14:paraId="2A8963FF"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p w14:paraId="771F3AB6"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tc>
      </w:tr>
      <w:tr>
        <w:trPr>
          <w:trHeight w:val="308"/>
        </w:trPr>
        <w:tc>
          <w:tcPr>
            <w:tcBorders/>
            <w:tcW w:w="4358" w:type="dxa"/>
            <w:vAlign w:val="center"/>
            <w:textDirection w:val="lrTb"/>
            <w:noWrap w:val="false"/>
          </w:tcPr>
          <w:p w14:paraId="4BC33293"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tc>
        <w:tc>
          <w:tcPr>
            <w:tcBorders/>
            <w:tcW w:w="4701" w:type="dxa"/>
            <w:vAlign w:val="center"/>
            <w:textDirection w:val="lrTb"/>
            <w:noWrap/>
          </w:tcPr>
          <w:p w14:paraId="56E75CE4" w14:textId="53B79766">
            <w:pPr>
              <w:pBdr/>
              <w:shd w:val="nil" w:color="auto"/>
              <w:spacing/>
              <w:ind/>
              <w:rPr>
                <w:highlight w:val="white"/>
                <w14:ligatures w14:val="none"/>
              </w:rPr>
            </w:pPr>
            <w:r>
              <w:rPr>
                <w:highlight w:val="none"/>
              </w:rPr>
              <w:t xml:space="preserve">                    </w:t>
            </w:r>
            <w:r>
              <w:rPr>
                <w:highlight w:val="white"/>
              </w:rPr>
              <w:t xml:space="preserve">Trần Thị Thanh Tâm</w:t>
            </w:r>
            <w:r>
              <w:rPr>
                <w:highlight w:val="white"/>
                <w14:ligatures w14:val="none"/>
              </w:rPr>
            </w:r>
            <w:r>
              <w:rPr>
                <w:highlight w:val="white"/>
                <w14:ligatures w14:val="none"/>
              </w:rPr>
            </w:r>
          </w:p>
        </w:tc>
      </w:tr>
      <w:tr>
        <w:trPr>
          <w:trHeight w:val="298"/>
        </w:trPr>
        <w:tc>
          <w:tcPr>
            <w:tcBorders/>
            <w:tcW w:w="4358" w:type="dxa"/>
            <w:vAlign w:val="bottom"/>
            <w:textDirection w:val="lrTb"/>
            <w:noWrap w:val="false"/>
          </w:tcPr>
          <w:p w14:paraId="26462C33" w14:textId="77777777">
            <w:pPr>
              <w:pBdr/>
              <w:shd w:val="nil" w:color="auto"/>
              <w:spacing/>
              <w:ind/>
              <w:rPr>
                <w:highlight w:val="white"/>
                <w14:ligatures w14:val="none"/>
              </w:rPr>
            </w:pPr>
            <w:r>
              <w:rPr>
                <w:highlight w:val="white"/>
              </w:rPr>
            </w:r>
            <w:r>
              <w:rPr>
                <w:highlight w:val="white"/>
                <w14:ligatures w14:val="none"/>
              </w:rPr>
            </w:r>
            <w:r>
              <w:rPr>
                <w:highlight w:val="white"/>
                <w14:ligatures w14:val="none"/>
              </w:rPr>
            </w:r>
          </w:p>
        </w:tc>
        <w:tc>
          <w:tcPr>
            <w:tcBorders/>
            <w:tcW w:w="4701" w:type="dxa"/>
            <w:vAlign w:val="center"/>
            <w:textDirection w:val="lrTb"/>
            <w:noWrap/>
          </w:tcPr>
          <w:p w14:paraId="6D1A55E0" w14:textId="3D0C51B8">
            <w:pPr>
              <w:pBdr/>
              <w:shd w:val="nil" w:color="auto"/>
              <w:spacing/>
              <w:ind/>
              <w:rPr>
                <w:highlight w:val="white"/>
                <w14:ligatures w14:val="none"/>
              </w:rPr>
            </w:pPr>
            <w:r>
              <w:rPr>
                <w:highlight w:val="white"/>
              </w:rPr>
            </w:r>
            <w:r>
              <w:rPr>
                <w:highlight w:val="white"/>
                <w14:ligatures w14:val="none"/>
              </w:rPr>
            </w:r>
            <w:r>
              <w:rPr>
                <w:highlight w:val="white"/>
                <w14:ligatures w14:val="none"/>
              </w:rPr>
            </w:r>
          </w:p>
        </w:tc>
      </w:tr>
    </w:tbl>
    <w:p w14:paraId="6853D8C1" w14:textId="77777777">
      <w:pPr>
        <w:pBdr/>
        <w:shd w:val="nil" w:color="auto"/>
        <w:spacing/>
        <w:ind/>
        <w:rPr>
          <w:iCs/>
          <w:highlight w:val="white"/>
          <w14:ligatures w14:val="none"/>
        </w:rPr>
      </w:pPr>
      <w:r>
        <w:rPr>
          <w:highlight w:val="white"/>
          <w:lang w:val="pt-BR"/>
        </w:rPr>
      </w:r>
      <w:r>
        <w:rPr>
          <w:iCs/>
          <w:highlight w:val="white"/>
          <w14:ligatures w14:val="none"/>
        </w:rPr>
      </w:r>
      <w:r>
        <w:rPr>
          <w:iCs/>
          <w:highlight w:val="white"/>
          <w14:ligatures w14:val="none"/>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BĐS .COM</w:t>
            </w:r>
            <w:r>
              <w:rPr>
                <w:color w:val="000000" w:themeColor="text1"/>
                <w:sz w:val="22"/>
                <w:szCs w:val="22"/>
              </w:rPr>
              <w:br/>
            </w:r>
            <w:r>
              <w:rPr>
                <w:sz w:val="22"/>
                <w:szCs w:val="22"/>
              </w:rPr>
              <w:t xml:space="preserve"> </w:t>
            </w:r>
            <w:r>
              <w:rPr>
                <w:sz w:val="22"/>
                <w:szCs w:val="22"/>
              </w:rPr>
              <w:br/>
              <w:t xml:space="preserve">(Quyền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820.000.000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721.600.000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(60 m²), Đất trồng cây lâu năm (230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Cao Phong, Huyện Cao Phong, Tỉnh Hòa Bình, khoảng cách ra đường chính Cách QL6 khoảng 3000m, độ rộng đường trước mặt tài sản 5m, mặt tiền 11m, 20.70912099621642, 105.35036876787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highlight w:val="none"/>
              </w:rPr>
            </w:pPr>
            <w:r>
              <w:rPr>
                <w:color w:val="000000" w:themeColor="text1"/>
                <w:sz w:val="22"/>
                <w:szCs w:val="22"/>
                <w:highlight w:val="none"/>
              </w:rPr>
              <w:t xml:space="preserve">Không có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3E6C3A">
            <w:pPr>
              <w:pBdr/>
              <w:spacing w:line="276" w:lineRule="auto"/>
              <w:ind/>
              <w:jc w:val="center"/>
              <w:rPr>
                <w:color w:val="000000" w:themeColor="text1"/>
                <w:sz w:val="22"/>
                <w:szCs w:val="22"/>
                <w:highlight w:val="none"/>
              </w:rPr>
            </w:pPr>
            <w:r>
              <w:rPr>
                <w:color w:val="000000" w:themeColor="text1"/>
                <w:sz w:val="22"/>
                <w:szCs w:val="22"/>
                <w:highlight w:val="none"/>
              </w:rPr>
              <w:t xml:space="preserve">Không có </w:t>
            </w:r>
            <w:r>
              <w:rPr>
                <w:color w:val="000000" w:themeColor="text1"/>
                <w:sz w:val="22"/>
                <w:szCs w:val="22"/>
                <w:highlight w:val="none"/>
              </w:rPr>
            </w:r>
            <w:r>
              <w:rPr>
                <w:color w:val="000000" w:themeColor="text1"/>
                <w:sz w:val="22"/>
                <w:szCs w:val="22"/>
                <w:highlight w:val="none"/>
              </w:rPr>
            </w:r>
          </w:p>
          <w:p w14:paraId="2E50F0B9" w14:textId="5D691537">
            <w:pPr>
              <w:pBdr/>
              <w:spacing w:line="276" w:lineRule="auto"/>
              <w:ind/>
              <w:jc w:val="center"/>
              <w:rPr>
                <w:sz w:val="22"/>
                <w:szCs w:val="22"/>
                <w:highlight w:val="yellow"/>
              </w:rPr>
            </w:pPr>
            <w:r>
              <w:rPr>
                <w:color w:val="000000" w:themeColor="text1"/>
                <w:sz w:val="22"/>
                <w:szCs w:val="22"/>
                <w:highlight w:val="yellow"/>
              </w:rPr>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highlight w:val="yellow"/>
              </w:rPr>
            </w:pPr>
            <w:r>
              <w:rPr>
                <w:sz w:val="22"/>
                <w:szCs w:val="22"/>
                <w:highlight w:val="none"/>
              </w:rPr>
              <w:t xml:space="preserve">Tốt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highlight w:val="yellow"/>
              </w:rPr>
            </w:pPr>
            <w:r>
              <w:rPr>
                <w:color w:val="000000" w:themeColor="text1"/>
                <w:sz w:val="22"/>
                <w:szCs w:val="22"/>
                <w:highlight w:val="none"/>
              </w:rPr>
              <w:t xml:space="preserve">Tốt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highlight w:val="yellow"/>
              </w:rPr>
            </w:pPr>
            <w:r>
              <w:rPr>
                <w:sz w:val="22"/>
                <w:szCs w:val="22"/>
                <w:highlight w:val="yellow"/>
              </w:rPr>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highlight w:val="none"/>
              </w:rPr>
            </w:pPr>
            <w:r>
              <w:rPr>
                <w:b/>
                <w:bCs/>
                <w:color w:val="000000"/>
                <w:sz w:val="22"/>
                <w:szCs w:val="22"/>
              </w:rPr>
              <w:t xml:space="preserve"> </w:t>
            </w:r>
            <w:r>
              <w:rPr>
                <w:color w:val="000000"/>
                <w:sz w:val="22"/>
                <w:szCs w:val="22"/>
              </w:rPr>
              <w:t xml:space="preserve">Hình ảnh đăng bán:</w:t>
            </w:r>
            <w:r>
              <w:rPr>
                <w:color w:val="000000"/>
                <w:sz w:val="22"/>
                <w:szCs w:val="22"/>
                <w:highlight w:val="none"/>
              </w:rPr>
            </w:r>
            <w:r>
              <w:rPr>
                <w:color w:val="000000"/>
                <w:sz w:val="22"/>
                <w:szCs w:val="22"/>
                <w:highlight w:val="none"/>
              </w:rPr>
            </w:r>
          </w:p>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58069"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2056707739" name="" descr=""/>
                              <pic:cNvPicPr/>
                              <pic:nvPr/>
                            </pic:nvPicPr>
                            <pic:blipFill rotWithShape="1">
                              <a:blip r:embed="rId26"/>
                              <a:stretch/>
                            </pic:blipFill>
                            <pic:spPr bwMode="auto">
                              <a:xfrm>
                                <a:off x="0" y="0"/>
                                <a:ext cx="52580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4.0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FFCC431" w14:textId="77777777">
            <w:pPr>
              <w:pBdr/>
              <w:spacing/>
              <w:ind/>
              <w:jc w:val="center"/>
              <w:rPr/>
            </w:pPr>
            <w:r>
              <w:t xml:space="preserve">Trần Thị Thanh Tâm</w:t>
            </w:r>
            <w:r/>
          </w:p>
        </w:tc>
      </w:tr>
    </w:tbl>
    <w:p w14:paraId="12930896"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r>
            <w:r>
              <w:rPr>
                <w:sz w:val="22"/>
                <w:szCs w:val="22"/>
              </w:rPr>
              <w:t xml:space="preserve">SĐT: </w:t>
            </w:r>
            <w:r>
              <w:rPr>
                <w:sz w:val="22"/>
                <w:szCs w:val="22"/>
              </w:rPr>
              <w:t xml:space="preserve"> </w:t>
            </w:r>
            <w:r>
              <w:rPr>
                <w:sz w:val="22"/>
                <w:szCs w:val="22"/>
              </w:rPr>
              <w:br/>
              <w:t xml:space="preserve">(Nga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(50 m²), Đất trồng cây lâu năm (241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Cao Phong, Huyện Cao Phong, Tỉnh Hòa Bình, khoảng cách ra đường chính Cách QL6 khoảng 100m, độ rộng đường trước mặt tài sản 7.5m, mặt tiền 10.01m, Gần bệnh viện  huyện Cao Phong 100m, 20.70905589445382, 105.3286583281524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291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highlight w:val="white"/>
              </w:rPr>
            </w:pPr>
            <w:r>
              <w:rPr>
                <w:color w:val="000000" w:themeColor="text1"/>
                <w:sz w:val="22"/>
                <w:szCs w:val="22"/>
                <w:highlight w:val="white"/>
              </w:rPr>
              <w:t xml:space="preserve">10.01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highlight w:val="white"/>
              </w:rPr>
            </w:pPr>
            <w:r>
              <w:rPr>
                <w:color w:val="000000"/>
                <w:sz w:val="22"/>
                <w:szCs w:val="22"/>
                <w:highlight w:val="white"/>
              </w:rPr>
              <w:t xml:space="preserve">Lợi thế kinh doanh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highlight w:val="white"/>
              </w:rPr>
            </w:pPr>
            <w:r>
              <w:rPr>
                <w:color w:val="000000"/>
                <w:sz w:val="22"/>
                <w:szCs w:val="22"/>
                <w:highlight w:val="white"/>
              </w:rPr>
              <w:t xml:space="preserve">Các lợi thế thương mại 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highlight w:val="white"/>
              </w:rPr>
            </w:pPr>
            <w:r>
              <w:rPr>
                <w:color w:val="000000" w:themeColor="text1"/>
                <w:sz w:val="22"/>
                <w:szCs w:val="22"/>
                <w:highlight w:val="white"/>
              </w:rPr>
              <w:t xml:space="preserve">Không có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highlight w:val="white"/>
              </w:rPr>
            </w:pPr>
            <w:r>
              <w:rPr>
                <w:color w:val="000000"/>
                <w:sz w:val="22"/>
                <w:szCs w:val="22"/>
                <w:highlight w:val="white"/>
              </w:rPr>
              <w:t xml:space="preserve">Các </w:t>
            </w:r>
            <w:r>
              <w:rPr>
                <w:color w:val="000000"/>
                <w:sz w:val="22"/>
                <w:szCs w:val="22"/>
                <w:highlight w:val="white"/>
              </w:rPr>
              <w:t xml:space="preserve">bất lợi thương mại </w:t>
            </w:r>
            <w:r>
              <w:rPr>
                <w:color w:val="000000"/>
                <w:sz w:val="22"/>
                <w:szCs w:val="22"/>
                <w:highlight w:val="white"/>
              </w:rPr>
              <w:t xml:space="preserve">của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left"/>
              <w:rPr>
                <w:sz w:val="22"/>
                <w:szCs w:val="22"/>
                <w:highlight w:val="white"/>
              </w:rPr>
            </w:pPr>
            <w:r>
              <w:rPr>
                <w:sz w:val="22"/>
                <w:szCs w:val="22"/>
                <w:highlight w:val="white"/>
              </w:rPr>
              <w:t xml:space="preserve">                                Không có</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highlight w:val="white"/>
              </w:rPr>
            </w:pPr>
            <w:r>
              <w:rPr>
                <w:color w:val="000000"/>
                <w:sz w:val="22"/>
                <w:szCs w:val="22"/>
                <w:highlight w:val="white"/>
              </w:rPr>
              <w:t xml:space="preserve">Điều kiện cơ sở hạ tầng kỹ thuật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highlight w:val="white"/>
              </w:rPr>
            </w:pPr>
            <w:r>
              <w:rPr>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highlight w:val="white"/>
              </w:rPr>
            </w:pPr>
            <w:r>
              <w:rPr>
                <w:color w:val="000000"/>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highlight w:val="white"/>
              </w:rPr>
            </w:pPr>
            <w:r>
              <w:rPr>
                <w:color w:val="000000" w:themeColor="text1"/>
                <w:sz w:val="22"/>
                <w:szCs w:val="22"/>
                <w:highlight w:val="white"/>
              </w:rPr>
              <w:t xml:space="preserve">Tốt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14:paraId="1872AF4F" w14:textId="77777777">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3059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305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6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r>
            <w:r>
              <w:rPr>
                <w:color w:val="000000"/>
                <w:sz w:val="22"/>
                <w:szCs w:val="22"/>
                <w:highlight w:val="white"/>
              </w:rPr>
            </w:r>
          </w:p>
          <w:p w14:paraId="09533D01">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14:paraId="04717B89" w14:textId="65CD6BE1">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142786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78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42267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26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0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403DBDEC" w14:textId="109CFBA2">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3F3B7D3">
            <w:pPr>
              <w:pBdr/>
              <w:spacing/>
              <w:ind/>
              <w:jc w:val="center"/>
              <w:rPr>
                <w:highlight w:val="none"/>
              </w:rPr>
            </w:pPr>
            <w:r>
              <w:rPr>
                <w:highlight w:val="none"/>
              </w:rPr>
            </w:r>
            <w:r>
              <w:rPr>
                <w:highlight w:val="none"/>
              </w:rPr>
            </w:r>
            <w:r>
              <w:rPr>
                <w:highlight w:val="none"/>
              </w:rPr>
            </w:r>
          </w:p>
          <w:p w14:paraId="3D1EB74F">
            <w:pPr>
              <w:pBdr/>
              <w:spacing/>
              <w:ind/>
              <w:jc w:val="center"/>
              <w:rPr>
                <w:highlight w:val="none"/>
              </w:rPr>
            </w:pPr>
            <w:r>
              <w:rPr>
                <w:highlight w:val="none"/>
              </w:rPr>
            </w:r>
            <w:r>
              <w:rPr>
                <w:highlight w:val="none"/>
              </w:rPr>
            </w:r>
            <w:r>
              <w:rPr>
                <w:highlight w:val="none"/>
              </w:rPr>
            </w:r>
          </w:p>
          <w:p w14:paraId="22C456D8">
            <w:pPr>
              <w:pBdr/>
              <w:spacing/>
              <w:ind/>
              <w:jc w:val="center"/>
              <w:rPr>
                <w:highlight w:val="none"/>
              </w:rPr>
            </w:pPr>
            <w:r>
              <w:rPr>
                <w:highlight w:val="none"/>
              </w:rPr>
            </w:r>
            <w:r>
              <w:rPr>
                <w:highlight w:val="none"/>
              </w:rPr>
            </w:r>
            <w:r>
              <w:rPr>
                <w:highlight w:val="none"/>
              </w:rPr>
            </w:r>
          </w:p>
          <w:p w14:paraId="7CA035C6">
            <w:pPr>
              <w:pBdr/>
              <w:spacing/>
              <w:ind/>
              <w:jc w:val="center"/>
              <w:rPr>
                <w:highlight w:val="none"/>
              </w:rPr>
            </w:pPr>
            <w:r>
              <w:rPr>
                <w:highlight w:val="none"/>
              </w:rPr>
            </w:r>
            <w:r>
              <w:rPr>
                <w:highlight w:val="none"/>
              </w:rPr>
            </w:r>
            <w:r>
              <w:rPr>
                <w:highlight w:val="none"/>
              </w:rPr>
            </w:r>
          </w:p>
          <w:p w14:paraId="79BDBD84" w14:textId="77777777">
            <w:pPr>
              <w:pBdr/>
              <w:spacing/>
              <w:ind/>
              <w:jc w:val="center"/>
              <w:rPr>
                <w:highlight w:val="none"/>
              </w:rPr>
            </w:pPr>
            <w:r>
              <w:t xml:space="preserve">Trần Thị Thanh Tâm</w:t>
            </w:r>
            <w:r>
              <w:rPr>
                <w:highlight w:val="none"/>
              </w:rPr>
            </w:r>
            <w:r>
              <w:rPr>
                <w:highlight w:val="none"/>
              </w:rPr>
            </w:r>
          </w:p>
          <w:p w14:paraId="691AF938">
            <w:pPr>
              <w:pBdr/>
              <w:spacing/>
              <w:ind/>
              <w:jc w:val="center"/>
              <w:rPr/>
            </w:pPr>
            <w:r>
              <w:rPr>
                <w:highlight w:val="none"/>
              </w:rPr>
            </w:r>
            <w:r>
              <w:rPr>
                <w:highlight w:val="none"/>
              </w:r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FAE438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6FDB587"/>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60D2DA0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D1F942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4D1F942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batdongsan.com.vn/ban-dat-thi-tran-cao-phong/ban-gap-300m2-hoa-binh-mat-duong-lien-xa-cach-ql6-chi-700m-pr44441526" TargetMode="External"/><Relationship Id="rId17" Type="http://schemas.openxmlformats.org/officeDocument/2006/relationships/hyperlink" Target="https://batdongsan.com.vn/ban-dat-duong-quoc-lo-6-1-xa-hop-phong/ban-mat-nhua-lien-tai-cao-hoa-binh-dt-290m2-co-60m-tho-cu-pr43169931#js__pr-expired__content-anchor" TargetMode="External"/><Relationship Id="rId18" Type="http://schemas.openxmlformats.org/officeDocument/2006/relationships/hyperlink" Target="https://www.facebook.com/groups/237715173756392/posts/1768039734057254/"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274</cp:revision>
  <dcterms:created xsi:type="dcterms:W3CDTF">2025-09-15T09:58:00Z</dcterms:created>
  <dcterms:modified xsi:type="dcterms:W3CDTF">2025-12-26T02:37:13Z</dcterms:modified>
</cp:coreProperties>
</file>