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207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207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275/2025/1723/VFI-CT.48.A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THẾ HÙNG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Căn hộ chung cư số 507 nhà N10 Khu chung cư Đồng Tầu, phường Thịnh Liệt, quận Hoàng Mai, thành phố Hà Nội (nay là phường Hoàng Mai, thành phố Hà Nội) theo Giấy chứng nhận quyền sử dụn</w:t>
                            </w:r>
                            <w:r>
                              <w:rPr>
                                <w:color w:val="000000"/>
                              </w:rPr>
                              <w:t xml:space="preserve">g đất quy</w:t>
                            </w:r>
                            <w:r>
                              <w:rPr>
                                <w:color w:val="000000"/>
                              </w:rPr>
                              <w:t xml:space="preserve">ền sở hữu nhà ở và tài sản khác gắn liền với đất số: BP 139469, số vào sổ cấp GCN: CH01379/HĐ:1636/1471 do Uỷ ban nhân dân quận Hoàng Mai cấp ngày 21/6/2013; Chủ sở hữu căn hộ chung cư là Ông Nguyễn Thế Hùng và Bà Lê Thị Minh Châu (cập nhập ngày 1/12/2025)</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5.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275/2025/1723/VFI-CT.48.A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THẾ HÙNG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Căn hộ chung cư số 507 nhà N10 Khu chung cư Đồng Tầu, phường Thịnh Liệt, quận Hoàng Mai, thành phố Hà Nội (nay là phường Hoàng Mai, thành phố Hà Nội) theo Giấy chứng nhận quyền sử dụn</w:t>
                      </w:r>
                      <w:r>
                        <w:rPr>
                          <w:color w:val="000000"/>
                        </w:rPr>
                        <w:t xml:space="preserve">g đất quy</w:t>
                      </w:r>
                      <w:r>
                        <w:rPr>
                          <w:color w:val="000000"/>
                        </w:rPr>
                        <w:t xml:space="preserve">ền sở hữu nhà ở và tài sản khác gắn liền với đất số: BP 139469, số vào sổ cấp GCN: CH01379/HĐ:1636/1471 do Uỷ ban nhân dân quận Hoàng Mai cấp ngày 21/6/2013; Chủ sở hữu căn hộ chung cư là Ông Nguyễn Thế Hùng và Bà Lê Thị Minh Châu (cập nhập ngày 1/12/2025)</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top w:val="none" w:color="000000" w:sz="4" w:space="0"/>
          <w:left w:val="none" w:color="000000" w:sz="4" w:space="0"/>
          <w:bottom w:val="none" w:color="000000" w:sz="4" w:space="0"/>
          <w:right w:val="none" w:color="000000" w:sz="4" w:space="0"/>
        </w:pBdr>
        <w:spacing w:line="276" w:lineRule="auto"/>
        <w:ind w:right="-1" w:firstLine="0" w:left="0"/>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line="276" w:lineRule="auto"/>
        <w:ind w:right="-1" w:firstLine="0" w:left="0"/>
        <w:jc w:val="center"/>
        <w:rPr/>
      </w:pPr>
      <w:r>
        <w:rPr>
          <w:b/>
          <w:sz w:val="28"/>
        </w:rPr>
      </w:r>
      <w:r>
        <w:rPr>
          <w:b/>
          <w:sz w:val="28"/>
        </w:rPr>
      </w: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pPr>
              <w:pStyle w:val="1036"/>
              <w:pBdr/>
              <w:spacing w:after="60" w:before="200"/>
              <w:ind/>
              <w:rPr>
                <w:rStyle w:val="1035"/>
                <w:rFonts w:ascii="Times New Roman" w:hAnsi="Times New Roman"/>
                <w:color w:val="auto"/>
                <w:lang w:val="pt-BR"/>
              </w:rPr>
            </w:pPr>
            <w:r>
              <w:rPr>
                <w:rFonts w:ascii="Times New Roman" w:hAnsi="Times New Roman"/>
                <w:color w:val="auto"/>
                <w:lang w:val="pt-BR"/>
              </w:rPr>
            </w:r>
            <w:r>
              <w:rPr>
                <w:rStyle w:val="1035"/>
                <w:rFonts w:ascii="Times New Roman" w:hAnsi="Times New Roman"/>
                <w:color w:val="auto"/>
                <w:lang w:val="pt-BR"/>
              </w:rPr>
            </w:r>
            <w:r>
              <w:rPr>
                <w:rStyle w:val="1035"/>
                <w:rFonts w:ascii="Times New Roman" w:hAnsi="Times New Roman"/>
                <w:color w:val="auto"/>
                <w:lang w:val="pt-BR"/>
              </w:rPr>
            </w:r>
          </w:p>
          <w:p>
            <w:pPr>
              <w:pStyle w:val="1036"/>
              <w:pBdr/>
              <w:spacing w:after="60" w:before="200"/>
              <w:ind/>
              <w:rPr>
                <w:sz w:val="24"/>
                <w:szCs w:val="24"/>
              </w:rPr>
            </w:pPr>
            <w:r>
              <w:rPr>
                <w:rStyle w:val="1035"/>
                <w:rFonts w:ascii="Times New Roman" w:hAnsi="Times New Roman"/>
                <w:color w:val="auto"/>
                <w:lang w:val="pt-BR"/>
              </w:rPr>
              <w:t xml:space="preserve">Số:</w:t>
            </w:r>
            <w:r>
              <w:rPr>
                <w:rStyle w:val="1035"/>
                <w:rFonts w:ascii="Times New Roman" w:hAnsi="Times New Roman"/>
                <w:color w:val="auto"/>
                <w:lang w:val="pt-BR"/>
              </w:rPr>
              <w:t xml:space="preserve"> </w:t>
            </w:r>
            <w:r>
              <w:rPr>
                <w:rStyle w:val="1035"/>
                <w:rFonts w:ascii="Times New Roman" w:hAnsi="Times New Roman"/>
                <w:color w:val="000000" w:themeColor="text1"/>
                <w:lang w:val="pt-BR"/>
              </w:rPr>
              <w:t xml:space="preserve">275/2025/1723/VFI-CT.48.A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pPr>
              <w:pStyle w:val="1036"/>
              <w:pBdr/>
              <w:spacing w:after="60" w:before="200"/>
              <w:ind w:right="-56"/>
              <w:rPr>
                <w:rStyle w:val="1035"/>
                <w:rFonts w:ascii="Times New Roman" w:hAnsi="Times New Roman"/>
                <w:i/>
                <w:color w:val="auto"/>
              </w:rPr>
            </w:pPr>
            <w:r>
              <w:rPr>
                <w:rFonts w:ascii="Times New Roman" w:hAnsi="Times New Roman"/>
                <w:i/>
                <w:color w:val="auto"/>
              </w:rPr>
            </w:r>
            <w:r>
              <w:rPr>
                <w:rStyle w:val="1035"/>
                <w:rFonts w:ascii="Times New Roman" w:hAnsi="Times New Roman"/>
                <w:i/>
                <w:color w:val="auto"/>
              </w:rPr>
            </w:r>
            <w:r>
              <w:rPr>
                <w:rStyle w:val="1035"/>
                <w:rFonts w:ascii="Times New Roman" w:hAnsi="Times New Roman"/>
                <w:i/>
                <w:color w:val="auto"/>
              </w:rPr>
            </w:r>
          </w:p>
          <w:p>
            <w:pPr>
              <w:pStyle w:val="1036"/>
              <w:pBdr/>
              <w:spacing w:after="60" w:before="200"/>
              <w:ind w:right="-56"/>
              <w:jc w:val="right"/>
              <w:rPr>
                <w:sz w:val="24"/>
                <w:szCs w:val="24"/>
                <w:lang w:val="vi-VN"/>
              </w:rPr>
            </w:pPr>
            <w:r>
              <w:rPr>
                <w:rStyle w:val="1035"/>
                <w:rFonts w:ascii="Times New Roman" w:hAnsi="Times New Roman"/>
                <w:i/>
                <w:color w:val="auto"/>
              </w:rPr>
              <w:t xml:space="preserve">TP. </w:t>
            </w:r>
            <w:r>
              <w:rPr>
                <w:rStyle w:val="1035"/>
                <w:rFonts w:ascii="Times New Roman" w:hAnsi="Times New Roman"/>
                <w:i/>
                <w:color w:val="auto"/>
              </w:rPr>
              <w:t xml:space="preserve">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4 tháng 12 năm 2025</w:t>
            </w:r>
            <w:r>
              <w:rPr>
                <w:rStyle w:val="1035"/>
                <w:rFonts w:ascii="Times New Roman" w:hAnsi="Times New Roman"/>
                <w:i/>
                <w:color w:val="auto"/>
                <w:lang w:val="vi-VN"/>
              </w:rPr>
              <w:t xml:space="preserve">   </w:t>
            </w:r>
            <w:r>
              <w:rPr>
                <w:rStyle w:val="1035"/>
                <w:rFonts w:ascii="Times New Roman" w:hAnsi="Times New Roman"/>
                <w:i/>
                <w:color w:val="auto"/>
                <w:lang w:val="vi-VN"/>
              </w:rPr>
              <w:t xml:space="preserve">  </w:t>
            </w:r>
            <w:r>
              <w:rPr>
                <w:sz w:val="24"/>
                <w:szCs w:val="24"/>
                <w:lang w:val="vi-VN"/>
              </w:rPr>
            </w:r>
            <w:r>
              <w:rPr>
                <w:sz w:val="24"/>
                <w:szCs w:val="24"/>
                <w:lang w:val="vi-VN"/>
              </w:rPr>
            </w:r>
          </w:p>
        </w:tc>
      </w:tr>
    </w:tbl>
    <w:p>
      <w:pPr>
        <w:pStyle w:val="1036"/>
        <w:pBdr/>
        <w:spacing w:after="120" w:before="200" w:line="288" w:lineRule="auto"/>
        <w:ind/>
        <w:jc w:val="center"/>
        <w:rPr>
          <w:rStyle w:val="1035"/>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5"/>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5" o:title=""/>
                <o:lock v:ext="edit" rotation="t"/>
              </v:shape>
            </w:pict>
          </mc:Fallback>
        </mc:AlternateContent>
      </w:r>
      <w:r>
        <w:rPr>
          <w:rStyle w:val="1035"/>
          <w:rFonts w:ascii="Times New Roman" w:hAnsi="Times New Roman"/>
          <w:b/>
          <w:bCs/>
          <w:color w:val="auto"/>
          <w:sz w:val="30"/>
          <w:szCs w:val="30"/>
          <w:lang w:val="vi-VN"/>
        </w:rPr>
        <w:t xml:space="preserve">CHỨNG THƯ THẨM ĐỊNH GIÁ</w:t>
      </w:r>
      <w:r>
        <w:rPr>
          <w:rStyle w:val="1035"/>
          <w:rFonts w:ascii="Times New Roman" w:hAnsi="Times New Roman"/>
          <w:b/>
          <w:bCs/>
          <w:color w:val="auto"/>
          <w:sz w:val="30"/>
          <w:szCs w:val="30"/>
          <w:lang w:val="vi-VN"/>
        </w:rPr>
      </w:r>
      <w:r>
        <w:rPr>
          <w:rStyle w:val="103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THẾ HÙNG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275/2025/1723/VFI-HĐTĐ.48.A</w:t>
      </w:r>
      <w:r>
        <w:rPr>
          <w:spacing w:val="-4"/>
          <w:lang w:val="vi-VN"/>
        </w:rPr>
        <w:t xml:space="preserve"> ký ngày </w:t>
      </w:r>
      <w:r>
        <w:rPr>
          <w:color w:val="000000" w:themeColor="text1"/>
          <w:spacing w:val="-4"/>
        </w:rPr>
        <w:t xml:space="preserve">2 tháng 12 năm 2025</w:t>
      </w:r>
      <w:r>
        <w:rPr>
          <w:spacing w:val="-4"/>
          <w:lang w:val="vi-VN"/>
        </w:rPr>
        <w:t xml:space="preserve"> </w:t>
      </w:r>
      <w:r>
        <w:rPr>
          <w:spacing w:val="-4"/>
          <w:lang w:val="vi-VN"/>
        </w:rPr>
        <w:t xml:space="preserve">giữa </w:t>
      </w:r>
      <w:r>
        <w:rPr>
          <w:bCs/>
        </w:rPr>
        <w:t xml:space="preserve">Ông Nguyễn Thế Hùng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275/2025/1723/VFI-BC.48.A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4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NGUYỄN THẾ HÙNG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001062057515</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BT5-23 Khu đô thị mới Văn Phú, phường Kiến Hưng,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Căn hộ chung cư số 507 nhà N10 khu chung cư Đồng Tầu, phường Thịnh Liệt, quận Hoàng Mai, thành phố Hà Nội (nay là phường Hoàng Mai, thành phố Hà Nội) theo Giấy chứng nhận quyền sử dụn</w:t>
      </w:r>
      <w:r>
        <w:rPr>
          <w:color w:val="000000" w:themeColor="text1"/>
        </w:rPr>
        <w:t xml:space="preserve">g đất quyền</w:t>
      </w:r>
      <w:r>
        <w:rPr>
          <w:color w:val="000000" w:themeColor="text1"/>
        </w:rPr>
        <w:t xml:space="preserve"> sở hữu nhà ở và tài sản khác gắn liền với đất số: </w:t>
      </w:r>
      <w:r>
        <w:rPr>
          <w:color w:val="000000"/>
        </w:rPr>
        <w:t xml:space="preserve">BP 139469</w:t>
      </w:r>
      <w:r>
        <w:rPr>
          <w:color w:val="000000" w:themeColor="text1"/>
        </w:rPr>
        <w:t xml:space="preserve">, số vào sổ cấp GCN: CH01379/HĐ: 1636/1471 do Uỷ ban nhân dân quận Hoàng Mai cấp ngày 21/6/2013; Chủ sở hữu căn hộ chung cư là Ông Nguyễn Thế Hùng và Bà Lê Thị Minh Châu (cập nhập ngày 1/12/2025).</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color w:val="000000" w:themeColor="text1"/>
              </w:rPr>
            </w:pPr>
            <w:r>
              <w:rPr>
                <w:b/>
                <w:bCs/>
                <w:color w:val="000000" w:themeColor="text1"/>
              </w:rPr>
              <w:t xml:space="preserve">Căn hộ chung cư số 507 nhà N10 khu chung cư Đồng Tầu, phường Thịnh Liệt, quận Hoàng Mai, thành phố Hà Nội (nay là phường Hoàng Mai, thành phố Hà Nội) theo Giấy chứng nhận quyền sử dụn</w:t>
            </w:r>
            <w:r>
              <w:rPr>
                <w:b/>
                <w:bCs/>
                <w:color w:val="000000" w:themeColor="text1"/>
              </w:rPr>
              <w:t xml:space="preserve">g đất quyền</w:t>
            </w:r>
            <w:r>
              <w:rPr>
                <w:b/>
                <w:bCs/>
                <w:color w:val="000000" w:themeColor="text1"/>
              </w:rPr>
              <w:t xml:space="preserve"> sở hữu nhà ở và tài sản khác gắn liền với đất số: BP 139469, số vào sổ cấp GCN: CH01379/HĐ: 1636/1471 do Uỷ ban nhân dân quận Hoàng Mai cấp ngày 21/6/2013; Chủ sở hữu căn hộ chung cư là Ông Nguyễn Thế Hùng và Bà Lê Thị Minh Châu (cập nhập ngày 1/12/2025).</w:t>
            </w:r>
            <w:r>
              <w:rPr>
                <w:b/>
                <w:bCs/>
                <w:color w:val="000000" w:themeColor="text1"/>
              </w:rPr>
            </w:r>
            <w:r>
              <w:rPr>
                <w:b/>
                <w:bCs/>
                <w:color w:val="000000" w:themeColor="text1"/>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Căn hộ chung cư</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54,39</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70.000.000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3.807.300.000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3.807.300.000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tám trăm lẻ bảy triệu ba trăm nghìn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pPr>
              <w:pStyle w:val="1036"/>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pPr>
              <w:pStyle w:val="1036"/>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275/2025/1723/VFI-BC.48.A</w:t>
            </w:r>
            <w:r>
              <w:rPr>
                <w:sz w:val="24"/>
                <w:szCs w:val="24"/>
              </w:rPr>
            </w:r>
            <w:r>
              <w:rPr>
                <w:sz w:val="24"/>
                <w:szCs w:val="24"/>
              </w:rPr>
            </w:r>
          </w:p>
        </w:tc>
        <w:tc>
          <w:tcPr>
            <w:tcBorders/>
            <w:tcW w:w="4781" w:type="dxa"/>
            <w:textDirection w:val="lrTb"/>
            <w:noWrap w:val="false"/>
          </w:tcPr>
          <w:p>
            <w:pPr>
              <w:pStyle w:val="1036"/>
              <w:pBdr/>
              <w:tabs>
                <w:tab w:val="left" w:leader="none" w:pos="5103"/>
              </w:tabs>
              <w:spacing w:before="100" w:line="360" w:lineRule="auto"/>
              <w:ind/>
              <w:jc w:val="right"/>
              <w:rPr>
                <w:rStyle w:val="1035"/>
                <w:rFonts w:ascii="Times New Roman" w:hAnsi="Times New Roman"/>
                <w:i/>
                <w:color w:val="auto"/>
              </w:rPr>
            </w:pPr>
            <w:r>
              <w:rPr>
                <w:rFonts w:ascii="Times New Roman" w:hAnsi="Times New Roman"/>
                <w:i/>
                <w:color w:val="auto"/>
              </w:rPr>
            </w:r>
            <w:r>
              <w:rPr>
                <w:rStyle w:val="1035"/>
                <w:rFonts w:ascii="Times New Roman" w:hAnsi="Times New Roman"/>
                <w:i/>
                <w:color w:val="auto"/>
              </w:rPr>
            </w:r>
            <w:r>
              <w:rPr>
                <w:rStyle w:val="1035"/>
                <w:rFonts w:ascii="Times New Roman" w:hAnsi="Times New Roman"/>
                <w:i/>
                <w:color w:val="auto"/>
              </w:rPr>
            </w:r>
          </w:p>
          <w:p>
            <w:pPr>
              <w:pStyle w:val="1036"/>
              <w:pBdr/>
              <w:tabs>
                <w:tab w:val="left" w:leader="none" w:pos="5103"/>
              </w:tabs>
              <w:spacing w:before="100" w:line="360" w:lineRule="auto"/>
              <w:ind/>
              <w:jc w:val="right"/>
              <w:rPr>
                <w:i/>
                <w:iCs/>
                <w:sz w:val="24"/>
                <w:szCs w:val="24"/>
              </w:rPr>
            </w:pPr>
            <w:r>
              <w:rPr>
                <w:rStyle w:val="1035"/>
                <w:rFonts w:ascii="Times New Roman" w:hAnsi="Times New Roman"/>
                <w:i/>
                <w:color w:val="auto"/>
              </w:rPr>
              <w:t xml:space="preserve">TP</w:t>
            </w:r>
            <w:r>
              <w:rPr>
                <w:rStyle w:val="1035"/>
                <w:rFonts w:ascii="Times New Roman" w:hAnsi="Times New Roman"/>
                <w:color w:val="auto"/>
              </w:rPr>
              <w:t xml:space="preserve">. </w:t>
            </w:r>
            <w:r>
              <w:rPr>
                <w:rStyle w:val="1035"/>
                <w:rFonts w:ascii="Times New Roman" w:hAnsi="Times New Roman"/>
                <w:i/>
                <w:color w:val="auto"/>
              </w:rPr>
              <w:t xml:space="preserve">Hà Nội</w:t>
            </w:r>
            <w:r>
              <w:rPr>
                <w:rStyle w:val="1035"/>
                <w:rFonts w:ascii="Times New Roman" w:hAnsi="Times New Roman"/>
                <w:i/>
                <w:color w:val="auto"/>
                <w:lang w:val="vi-VN"/>
              </w:rPr>
              <w:t xml:space="preserve">, </w:t>
            </w:r>
            <w:r>
              <w:rPr>
                <w:i/>
                <w:iCs/>
                <w:color w:val="000000" w:themeColor="text1"/>
                <w:sz w:val="24"/>
                <w:szCs w:val="24"/>
                <w:lang w:val="pt-BR"/>
              </w:rPr>
              <w:t xml:space="preserve">ngày 4 tháng 12 năm 2025</w:t>
            </w:r>
            <w:r>
              <w:rPr>
                <w:rStyle w:val="1035"/>
                <w:rFonts w:ascii="Times New Roman" w:hAnsi="Times New Roman"/>
                <w:i/>
                <w:color w:val="auto"/>
                <w:lang w:val="vi-VN"/>
              </w:rPr>
              <w:t xml:space="preserve">   </w:t>
            </w:r>
            <w:r>
              <w:rPr>
                <w:rStyle w:val="1035"/>
                <w:rFonts w:ascii="Times New Roman" w:hAnsi="Times New Roman"/>
                <w:i/>
                <w:color w:val="auto"/>
                <w:lang w:val="vi-VN"/>
              </w:rPr>
              <w:t xml:space="preserve">  </w:t>
            </w:r>
            <w:r>
              <w:rPr>
                <w:i/>
                <w:iCs/>
                <w:sz w:val="24"/>
                <w:szCs w:val="24"/>
              </w:rPr>
            </w:r>
            <w:r>
              <w:rPr>
                <w:i/>
                <w:iCs/>
                <w:sz w:val="24"/>
                <w:szCs w:val="24"/>
              </w:rPr>
            </w:r>
          </w:p>
        </w:tc>
      </w:tr>
    </w:tbl>
    <w:p>
      <w:pPr>
        <w:pStyle w:val="1036"/>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5"/>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5"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pPr>
        <w:pStyle w:val="101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275/2025/1723/VFI-CT.48.A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4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r>
            <w:r>
              <w:rPr>
                <w:color w:val="000000" w:themeColor="text1"/>
                <w:spacing w:val="-2"/>
              </w:rPr>
              <w:t xml:space="preserve">BT5-23 Khu đô thị mới Văn Phú, phường Kiến Hưng,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pPr>
        <w:pStyle w:val="103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NGUYỄN THẾ HÙNG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001062057515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Căn hộ chung cư số 507 nhà N10 khu chung cư Đồng Tầu, phường Thịnh Liệt, quận Hoàng Mai, thành phố Hà Nội (nay là phường Hoàng Mai, thành phố Hà Nội) theo Giấy chứng nhận quyền sử dụn</w:t>
            </w:r>
            <w:r>
              <w:rPr>
                <w:bCs/>
                <w:color w:val="000000" w:themeColor="text1"/>
                <w:lang w:val="pt-BR"/>
              </w:rPr>
              <w:t xml:space="preserve">g đất quyề</w:t>
            </w:r>
            <w:r>
              <w:rPr>
                <w:bCs/>
                <w:color w:val="000000" w:themeColor="text1"/>
                <w:lang w:val="pt-BR"/>
              </w:rPr>
              <w:t xml:space="preserve">n sở hữu nhà ở và tài sản khác gắn liền với đất số: BP 139469, số vào sổ cấp GCN: CH01379/HĐ: 1636/1471 do Uỷ ban nhân dân quận Hoàng Mai cấp ngày 21/6/2013; Chủ sở hữu căn hộ chung cư là Ông Nguyễn Thế Hùng và Bà Lê Thị Minh Châu (cập nhập ngày 1/12/2025)</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Căn hộ số 507 nhà số 10 khu chung cư Đồng Tầu, Phường Thịnh Liệt, Quận Hoàng Mai,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418" w:lineRule="atLeast"/>
              <w:ind w:right="0" w:firstLine="0" w:left="0"/>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20°58'16.2"N 105°50'60.0"E</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w:t>
      </w:r>
      <w:r>
        <w:rPr>
          <w:bCs/>
          <w:color w:val="000000" w:themeColor="text1"/>
          <w:lang w:val="pt-BR"/>
        </w:rPr>
        <w:t xml:space="preserve">g đất quyền</w:t>
      </w:r>
      <w:r>
        <w:rPr>
          <w:bCs/>
          <w:color w:val="000000" w:themeColor="text1"/>
          <w:lang w:val="pt-BR"/>
        </w:rPr>
        <w:t xml:space="preserve"> sở hữu nhà ở và tài sản khác gắn liền với đất số: BP 139469, số vào sổ cấp GCN: CH01379/HĐ: 1636/1471 do Uỷ ban nhân dân quận Hoàng Mai cấp ngày 21/6/2013; Chủ sở hữu căn hộ chung cư là Ông Nguyễn Thế Hùng và Bà Lê Thị Minh Châu (cập nhập ngày 1/12/2025).</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7"/>
        <w:numPr>
          <w:ilvl w:val="0"/>
          <w:numId w:val="2"/>
        </w:numPr>
        <w:pBdr/>
        <w:tabs>
          <w:tab w:val="left" w:leader="none" w:pos="993"/>
        </w:tabs>
        <w:spacing w:after="120" w:before="120" w:line="276" w:lineRule="auto"/>
        <w:ind/>
        <w:jc w:val="both"/>
        <w:rPr>
          <w:rFonts w:ascii="Times New Roman" w:hAnsi="Times New Roman" w:cs="Times New Roman"/>
          <w:b/>
          <w:sz w:val="24"/>
          <w:szCs w:val="24"/>
        </w:rPr>
      </w:pPr>
      <w:r>
        <w:rPr>
          <w:rFonts w:ascii="Times New Roman" w:hAnsi="Times New Roman" w:eastAsia="Times New Roman" w:cs="Times New Roman"/>
          <w:color w:val="000000" w:themeColor="text1"/>
          <w:sz w:val="24"/>
          <w:szCs w:val="24"/>
          <w:lang w:val="pt-BR"/>
        </w:rPr>
        <w:t xml:space="preserve">Hợp đồng số </w:t>
      </w:r>
      <w:r>
        <w:rPr>
          <w:rFonts w:ascii="Times New Roman" w:hAnsi="Times New Roman" w:eastAsia="Times New Roman" w:cs="Times New Roman"/>
          <w:color w:val="081b3a"/>
          <w:spacing w:val="3"/>
          <w:sz w:val="24"/>
          <w:szCs w:val="24"/>
          <w:highlight w:val="white"/>
        </w:rPr>
        <w:t xml:space="preserve">275/2025/1723/VFI-HĐTĐ.48.A</w:t>
      </w:r>
      <w:r>
        <w:rPr>
          <w:rFonts w:ascii="Times New Roman" w:hAnsi="Times New Roman" w:eastAsia="Times New Roman" w:cs="Times New Roman"/>
          <w:color w:val="000000" w:themeColor="text1"/>
          <w:sz w:val="24"/>
          <w:szCs w:val="24"/>
          <w:lang w:val="pt-BR"/>
        </w:rPr>
        <w:t xml:space="preserve"> ngày 03/12/2025 giữa Ông Nguyễn Thế Hùng với Công ty Cổ phần Thẩm định và Đầu tư Tài chính Hoa Sen.</w:t>
      </w:r>
      <w:r>
        <w:rPr>
          <w:rFonts w:ascii="Times New Roman" w:hAnsi="Times New Roman" w:cs="Times New Roman"/>
          <w:b/>
          <w:sz w:val="24"/>
          <w:szCs w:val="24"/>
        </w:rPr>
      </w:r>
      <w:r>
        <w:rPr>
          <w:rFonts w:ascii="Times New Roman" w:hAnsi="Times New Roman" w:cs="Times New Roman"/>
          <w:b/>
          <w:sz w:val="24"/>
          <w:szCs w:val="24"/>
        </w:rPr>
      </w:r>
    </w:p>
    <w:p>
      <w:pPr>
        <w:pStyle w:val="103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color w:val="000000"/>
          <w:sz w:val="24"/>
        </w:rPr>
        <w:t xml:space="preserve">Bất động sản Hoàng Mai đang dần trở thành tâm điểm trên thị trường Hà Nội, đặc biệt khi các dự án hạ tầng trọng điểm của khu vực được đẩy mạnh triển khai. Với sự hoàn thiện ngày càng rõ nét của hệ thống giao thông, Hoàng Mai nhanh chóng thu hút sự quan tâm</w:t>
      </w:r>
      <w:r>
        <w:rPr>
          <w:rFonts w:ascii="Times New Roman" w:hAnsi="Times New Roman" w:eastAsia="Times New Roman" w:cs="Times New Roman"/>
          <w:color w:val="000000"/>
          <w:sz w:val="24"/>
        </w:rPr>
        <w:t xml:space="preserve"> của nhiều khách hàng. Khu vực này được kỳ vọng sẽ trở thành trung tâm bất động sản mới của Hà Nội. Nhiều nhà đầu tư lớn đã chọn Hoàng Mai làm điểm đến, báo hiệu tiềm năng tăng trưởng mạnh mẽ trong thời gian tới.</w:t>
      </w: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i/>
          <w:color w:val="000000"/>
          <w:sz w:val="24"/>
        </w:rPr>
        <w:t xml:space="preserve">Thị trường bất động sản tại quận Hoàng Mai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Thị trường bất động sản tại quận Hoàng Mai đang chứng kiến sự gia tăng về nhu cầu, đặc biệt sau khi đại dịch Covid-19 qua đi. Xu hướng dịch chuyển ra các khu vực ngoại thành để tìm kiếm không gian sống xanh và thoáng đãng hơn ngày càng phổ biến, góp phần </w:t>
      </w:r>
      <w:r>
        <w:rPr>
          <w:rFonts w:ascii="Times New Roman" w:hAnsi="Times New Roman" w:eastAsia="Times New Roman" w:cs="Times New Roman"/>
          <w:color w:val="000000"/>
          <w:sz w:val="24"/>
        </w:rPr>
        <w:t xml:space="preserve">đẩy mạnh lượng giao dịch cũng như giá cả bất động sản, đặc biệt là các loại hình như chung cư và nhà đất. Hoạt động mua bán nhà tại Hoàng Mai hiện đang rất sôi động, thu hút sự quan tâm lớn từ phía người mua và nhà đầu tư. </w:t>
      </w:r>
      <w:r>
        <w:rPr>
          <w:rFonts w:ascii="Times New Roman" w:hAnsi="Times New Roman" w:eastAsia="Times New Roman" w:cs="Times New Roman"/>
          <w:sz w:val="24"/>
        </w:rPr>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Với nhiều dự án lớn đang được triển khai, Hoàng Mai ngày càng trở thành tâm điểm cho các nhà đầu tư bất động sản, tạo cơ hội tăng trưởng mạnh mẽ cho thị trường nơi đây.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quy hoạch Thủ đô giai đoạn 2030 - 2050, Hoàng Mai sẽ được đầu tư phát triển cơ sở hạ tầng mạnh mẽ nhằm thúc đẩy tốc độ đô thị hóa. Quận này cũng được dự kiến sẽ mở rộng thêm với nhiều dự án lớn được triển khai.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Bên cạnh đó, trong những năm gần đây, hệ thống giao thông tại Hoàng Mai đã được nâng cấp đáng kể. Chỉ trong vòng 5 năm, người dân đã nhận thấy những thay đổi tích cực với sự phát triển của các tuyến đường sắt và giao thông trọng điểm, giúp tăng giá trị bấ</w:t>
      </w:r>
      <w:r>
        <w:rPr>
          <w:rFonts w:ascii="Times New Roman" w:hAnsi="Times New Roman" w:eastAsia="Times New Roman" w:cs="Times New Roman"/>
          <w:color w:val="000000"/>
          <w:sz w:val="24"/>
        </w:rPr>
        <w:t xml:space="preserve">t động sản khu vực, theo nhận định từ các chuyên gia.</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Tóm lại, cơ sở hạ tầng giao thông hiện đại tại Hoàng Mai đang góp phần nâng cao giá trị bất động sản, hứa hẹn mang lại nhiều tiềm năng phát triển trong tương lai.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i/>
          <w:color w:val="000000"/>
          <w:sz w:val="24"/>
        </w:rPr>
        <w:t xml:space="preserve">Phân khúc nhà đất thổ cư</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Quận Hoàng Mai hiện đang chứng kiến sự tăng trưởng mạnh mẽ trong lĩnh vực bất động sản, đặc biệt là phân khúc nhà đất thổ cư. Giá trị bất động sản thổ cư tại khu vực này dao động từ 49 triệu/m2 đến 328 triệu/m2, tạo cơ hội hấp dẫn cho các nhà đầu tư. Theo</w:t>
      </w:r>
      <w:r>
        <w:rPr>
          <w:rFonts w:ascii="Times New Roman" w:hAnsi="Times New Roman" w:eastAsia="Times New Roman" w:cs="Times New Roman"/>
          <w:color w:val="000000"/>
          <w:sz w:val="24"/>
        </w:rPr>
        <w:t xml:space="preserve"> số liệu từ Batdongsan ngày 25/09/2024, có đến 2.831 sản phẩm bất động sản được đưa ra thị trường, cho thấy mức độ sôi động của phân khúc này.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Với sự phát triển hạ tầng và gia tăng dân số trong khu vực, tiềm năng tăng giá của nhà đất thổ cư tại Hoàng Mai là rất khả quan. Đây chính là thời điểm vàng cho các nhà đầu tư tìm kiếm cơ hội sinh lời từ phân khúc này.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i/>
          <w:color w:val="000000"/>
          <w:sz w:val="24"/>
        </w:rPr>
        <w:t xml:space="preserve">Phân khúc căn hộ chung cư</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Phân khúc chung cư tại quận Hoàng Mai hiện đang thu hút sự quan tâm lớn từ các nhà đầu tư nhờ vào mức tăng trưởng giá trị ổn định và tiềm năng phát triển. Mặc dù mặt bằng giá chung cư tại Hoàng Mai vẫn thấp hơn so với nhiều khu vực trung tâm khác của Hà N</w:t>
      </w:r>
      <w:r>
        <w:rPr>
          <w:rFonts w:ascii="Times New Roman" w:hAnsi="Times New Roman" w:eastAsia="Times New Roman" w:cs="Times New Roman"/>
          <w:color w:val="000000"/>
          <w:sz w:val="24"/>
        </w:rPr>
        <w:t xml:space="preserve">ội, nhưng giá căn hộ tại đây đã và đang tăng trưởng đáng kể trong những năm gần đây.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Cụ thể, tại dự án T&amp;T Riverview (Vĩnh Hưng, Hoàng Mai), giá căn hộ hiện nay đang dao động từ 43,33 - 50,9 triệu đồng/m2, trong khi vào quý I/2019, mức giá chỉ khoảng 20,9 - 25,4 triệu đồng/m2. Chỉ trong vòng một năm từ quý IV/2022 đến quý IV/2023, giá bán</w:t>
      </w:r>
      <w:r>
        <w:rPr>
          <w:rFonts w:ascii="Times New Roman" w:hAnsi="Times New Roman" w:eastAsia="Times New Roman" w:cs="Times New Roman"/>
          <w:color w:val="000000"/>
          <w:sz w:val="24"/>
        </w:rPr>
        <w:t xml:space="preserve"> đã tăng 7,4% mỗi năm, thể hiện sự tăng trưởng mạnh mẽ của phân khúc này.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Tương tự, dự án tại Khu đô thị mới Linh Đàm ghi nhận mức giá trung bình hiện nay khoảng 31,29-70,11 triệu đồng/m2, trong khi năm 2019, con số này chỉ vào khoảng 22 triệu đồng/m2. Trong năm vừa qua, từ quý IV/2022 đến quý IV/2023, giá bán tại khu vực này đ</w:t>
      </w:r>
      <w:r>
        <w:rPr>
          <w:rFonts w:ascii="Times New Roman" w:hAnsi="Times New Roman" w:eastAsia="Times New Roman" w:cs="Times New Roman"/>
          <w:color w:val="000000"/>
          <w:sz w:val="24"/>
        </w:rPr>
        <w:t xml:space="preserve">ã tăng 11,1% mỗi năm.</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Dự án Feliz Homes (Hoàng Văn Thụ, Hoàng Mai) cũng cho thấy xu hướng tương tự, với giá bán căn hộ trung bình hiện nay từ 49,57-72,92 triệu đồng/m2, so với mức giá 25-29,2 triệu đồng/m2 vào quý II/2020. Từ quý IV/2022 đến quý IV/2023, giá căn hộ tại đây đã </w:t>
      </w:r>
      <w:r>
        <w:rPr>
          <w:rFonts w:ascii="Times New Roman" w:hAnsi="Times New Roman" w:eastAsia="Times New Roman" w:cs="Times New Roman"/>
          <w:color w:val="000000"/>
          <w:sz w:val="24"/>
        </w:rPr>
        <w:t xml:space="preserve">tăng 6,3% mỗi năm.</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Cuối cùng, tại dự án Sunshine Palace (Mai Động, Hoàng Mai), giá căn hộ hiện đang ở mức từ 48,78 - 74,63 triệu đồng/m2, so với mức 26 - 30,3 triệu đồng/m2 vào quý I/2019.</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Những con số này không chỉ thể hiện tiềm năng tăng giá mà còn khẳng định quận Hoàng Mai đang trở thành một trong những khu vực phát triển mạnh mẽ về bất động sản chung cư tại Hà Nội. Việc đầu tư vào các dự án chung cư tại đây, với mức giá đang tăng đều đặ</w:t>
      </w:r>
      <w:r>
        <w:rPr>
          <w:rFonts w:ascii="Times New Roman" w:hAnsi="Times New Roman" w:eastAsia="Times New Roman" w:cs="Times New Roman"/>
          <w:color w:val="000000"/>
          <w:sz w:val="24"/>
        </w:rPr>
        <w:t xml:space="preserve">n mỗi năm, hứa hẹn mang lại giá trị gia tăng cao cho các nhà đầu tư trong thời gian tới.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Với những tiềm năng và cơ hội hiện có, thị trường bất động sản Hoàng Mai hứa hẹn sẽ tiếp tục thu hút sự quan tâm từ các nhà đầu tư. Việc nắm bắt những xu hướng và biến động của thị trường sẽ giúp bạn đưa ra quyết định đầu tư thông minh và hiệu quả. Hãy th</w:t>
      </w:r>
      <w:r>
        <w:rPr>
          <w:rFonts w:ascii="Times New Roman" w:hAnsi="Times New Roman" w:eastAsia="Times New Roman" w:cs="Times New Roman"/>
          <w:color w:val="000000"/>
          <w:sz w:val="24"/>
        </w:rPr>
        <w:t xml:space="preserve">eo dõi sát sao và chuẩn bị cho những cơ hội phát triển trong tương lai gần tại khu vực này!</w:t>
      </w:r>
      <w:r/>
    </w:p>
    <w:p>
      <w:pPr>
        <w:pBdr/>
        <w:tabs>
          <w:tab w:val="left" w:leader="none" w:pos="426"/>
        </w:tabs>
        <w:spacing w:after="120" w:before="120" w:line="276" w:lineRule="auto"/>
        <w:ind/>
        <w:rPr>
          <w:bCs/>
          <w:i/>
          <w:iCs/>
          <w:lang w:val="pt-BR"/>
        </w:rPr>
      </w:pPr>
      <w:r>
        <w:rPr>
          <w:rFonts w:ascii="Times New Roman" w:hAnsi="Times New Roman" w:eastAsia="Times New Roman" w:cs="Times New Roman"/>
          <w:i/>
          <w:color w:val="000000"/>
          <w:sz w:val="24"/>
        </w:rPr>
        <w:t xml:space="preserve">(Nguồm tham khảo: https://onehousing.vn/blog/suc-hut-ve-tiem-nang-bat-dong-san-khu-vuc-hoang-mai-co-gi-noi-bat-n17t)</w:t>
      </w:r>
      <w:r>
        <w:rPr>
          <w:bCs/>
          <w:i/>
          <w:iCs/>
          <w:lang w:val="pt-BR"/>
        </w:rPr>
      </w:r>
      <w:r>
        <w:rPr>
          <w:bCs/>
          <w:i/>
          <w:iCs/>
          <w:lang w:val="pt-BR"/>
        </w:rPr>
      </w:r>
    </w:p>
    <w:p>
      <w:pPr>
        <w:pStyle w:val="103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41"/>
        <w:tblInd w:w="0" w:type="dxa"/>
        <w:tblW w:w="5036"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846"/>
        <w:gridCol w:w="1905"/>
        <w:gridCol w:w="1905"/>
        <w:gridCol w:w="1905"/>
        <w:gridCol w:w="3033"/>
      </w:tblGrid>
      <w:tr>
        <w:trPr>
          <w:trHeight w:val="169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b/>
                <w:bCs/>
              </w:rPr>
            </w:pPr>
            <w:r>
              <w:rPr>
                <w:rFonts w:ascii="Times New Roman" w:hAnsi="Times New Roman" w:eastAsia="Times New Roman" w:cs="Times New Roman"/>
                <w:b/>
                <w:bCs/>
                <w:color w:val="000000"/>
                <w:sz w:val="24"/>
              </w:rPr>
            </w:r>
            <w:r>
              <w:rPr>
                <w:b/>
                <w:bCs/>
                <w:color w:val="000000" w:themeColor="text1"/>
                <w:lang w:val="pt-BR"/>
              </w:rPr>
              <w:t xml:space="preserve">Căn hộ chung cư số 507 nhà N10 khu chung cư Đồng Tầu, phường Thịnh Liệt, quận Hoàng Mai, thành phố Hà Nội (nay là phường Hoàng Mai, thành phố Hà Nội) theo Giấy chứng nhận quyền sử dụn</w:t>
            </w:r>
            <w:r>
              <w:rPr>
                <w:b/>
                <w:bCs/>
                <w:color w:val="000000" w:themeColor="text1"/>
                <w:lang w:val="pt-BR"/>
              </w:rPr>
              <w:t xml:space="preserve">g đất quyền</w:t>
            </w:r>
            <w:r>
              <w:rPr>
                <w:b/>
                <w:bCs/>
                <w:color w:val="000000" w:themeColor="text1"/>
                <w:lang w:val="pt-BR"/>
              </w:rPr>
              <w:t xml:space="preserve"> sở hữu nhà ở và tài sản khác gắn liền với đất số: BP 139469, số vào sổ cấp GCN: CH01379/HĐ: 1636/1471 do Uỷ ban nhân dân quận Hoàng Mai cấp ngày 21/6/2013; Chủ sở hữu căn hộ chung cư là Ông Nguyễn Thế Hùng và Bà Lê Thị Minh Châu (cập nhập ngày 1/12/2025).</w:t>
            </w:r>
            <w:r>
              <w:rPr>
                <w:b/>
                <w:bCs/>
              </w:rPr>
            </w:r>
            <w:r>
              <w:rPr>
                <w:b/>
                <w:bCs/>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Tờ bản đồ số :</w:t>
            </w:r>
            <w:r/>
          </w:p>
        </w:tc>
        <w:tc>
          <w:tcPr>
            <w:tcBorders>
              <w:bottom w:val="single" w:color="000000" w:sz="8" w:space="0"/>
              <w:right w:val="single" w:color="000000" w:sz="8" w:space="0"/>
            </w:tcBorders>
            <w:tcMar>
              <w:left w:w="108" w:type="dxa"/>
              <w:top w:w="0" w:type="dxa"/>
              <w:right w:w="108" w:type="dxa"/>
              <w:bottom w:w="0" w:type="dxa"/>
            </w:tcMar>
            <w:tcW w:w="303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r>
      <w:tr>
        <w:trPr>
          <w:trHeight w:val="328"/>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b w:val="0"/>
                <w:bCs w:val="0"/>
              </w:rPr>
            </w:pPr>
            <w:r>
              <w:rPr>
                <w:rFonts w:ascii="Times New Roman" w:hAnsi="Times New Roman" w:eastAsia="Times New Roman" w:cs="Times New Roman"/>
                <w:b w:val="0"/>
                <w:bCs w:val="0"/>
                <w:color w:val="000000"/>
                <w:sz w:val="24"/>
              </w:rPr>
            </w:r>
            <w:r>
              <w:rPr>
                <w:b w:val="0"/>
                <w:bCs w:val="0"/>
                <w:color w:val="000000" w:themeColor="text1"/>
                <w:lang w:val="pt-BR"/>
              </w:rPr>
              <w:t xml:space="preserve">Khu chung cư Đồng Tầu, phường Thịnh Liệt, quận Hoàng Mai, thành phố Hà Nội (nay là phường Hoàng Mai, thành phố Hà Nội)</w:t>
            </w:r>
            <w:r>
              <w:rPr>
                <w:b w:val="0"/>
                <w:bCs w:val="0"/>
              </w:rPr>
            </w:r>
            <w:r>
              <w:rPr>
                <w:b w:val="0"/>
                <w:bCs w:val="0"/>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837,55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303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303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Nguồn gốc sử dụng:</w:t>
            </w:r>
            <w:r/>
          </w:p>
        </w:tc>
        <w:tc>
          <w:tcPr>
            <w:gridSpan w:val="3"/>
            <w:tcBorders>
              <w:bottom w:val="single" w:color="000000" w:sz="8" w:space="0"/>
              <w:right w:val="single" w:color="000000" w:sz="8" w:space="0"/>
            </w:tcBorders>
            <w:tcMar>
              <w:left w:w="108" w:type="dxa"/>
              <w:top w:w="0" w:type="dxa"/>
              <w:right w:w="108" w:type="dxa"/>
              <w:bottom w:w="0" w:type="dxa"/>
            </w:tcMar>
            <w:tcW w:w="6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tài sản thẩm định trên bản đồ vệ tinh: </w:t>
            </w:r>
            <w:r>
              <w:rPr>
                <w:rFonts w:ascii="Times New Roman" w:hAnsi="Times New Roman" w:eastAsia="Times New Roman" w:cs="Times New Roman"/>
                <w:color w:val="000000"/>
                <w:sz w:val="24"/>
              </w:rPr>
              <w:t xml:space="preserve">20.971153796123446, 105.85003408535917</w:t>
            </w:r>
            <w:r>
              <w:rPr>
                <w:rFonts w:ascii="Times New Roman" w:hAnsi="Times New Roman" w:eastAsia="Times New Roman" w:cs="Times New Roman"/>
                <w:color w:val="000000"/>
                <w:sz w:val="24"/>
              </w:rPr>
            </w:r>
            <w:r/>
          </w:p>
        </w:tc>
      </w:tr>
      <w:tr>
        <w:trPr>
          <w:trHeight w:val="4383"/>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6048375" cy="2947083"/>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542199" name=""/>
                              <pic:cNvPicPr>
                                <a:picLocks noChangeAspect="1"/>
                              </pic:cNvPicPr>
                              <pic:nvPr/>
                            </pic:nvPicPr>
                            <pic:blipFill>
                              <a:blip r:embed="rId16"/>
                              <a:stretch/>
                            </pic:blipFill>
                            <pic:spPr bwMode="auto">
                              <a:xfrm>
                                <a:off x="0" y="0"/>
                                <a:ext cx="6048374" cy="29470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32.05pt;mso-wrap-distance-left:0.00pt;mso-wrap-distance-top:0.00pt;mso-wrap-distance-right:0.00pt;mso-wrap-distance-bottom:0.00pt;z-index:1;" stroked="false">
                      <v:imagedata r:id="rId16"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 thực tế:</w:t>
            </w:r>
            <w:r/>
          </w:p>
        </w:tc>
        <w:tc>
          <w:tcPr>
            <w:gridSpan w:val="3"/>
            <w:tcBorders>
              <w:bottom w:val="single" w:color="000000" w:sz="8" w:space="0"/>
              <w:right w:val="single" w:color="000000" w:sz="8" w:space="0"/>
            </w:tcBorders>
            <w:tcMar>
              <w:left w:w="108" w:type="dxa"/>
              <w:top w:w="0" w:type="dxa"/>
              <w:right w:w="108" w:type="dxa"/>
              <w:bottom w:w="0" w:type="dxa"/>
            </w:tcMar>
            <w:tcW w:w="6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b w:val="0"/>
                <w:bCs w:val="0"/>
                <w:sz w:val="24"/>
              </w:rPr>
            </w:pPr>
            <w:r>
              <w:rPr>
                <w:rFonts w:ascii="Times New Roman" w:hAnsi="Times New Roman" w:eastAsia="Times New Roman" w:cs="Times New Roman"/>
                <w:b w:val="0"/>
                <w:bCs w:val="0"/>
                <w:color w:val="000000"/>
                <w:sz w:val="24"/>
              </w:rPr>
            </w:r>
            <w:r>
              <w:rPr>
                <w:b w:val="0"/>
                <w:bCs w:val="0"/>
                <w:color w:val="000000" w:themeColor="text1"/>
                <w:lang w:val="pt-BR"/>
              </w:rPr>
              <w:t xml:space="preserve">Khu chung cư Đồng Tầu, phường Thịnh Liệt, quận Hoàng Mai, thành phố Hà Nội (nay là phường Hoàng Mai, thành phố Hà Nội)</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tc>
      </w:tr>
      <w:tr>
        <w:trPr>
          <w:trHeight w:val="1833"/>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tiếp giáp:</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nội khu</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Khoảng cách đến trục đường chính:</w:t>
            </w:r>
            <w:r/>
          </w:p>
        </w:tc>
        <w:tc>
          <w:tcPr>
            <w:tcBorders>
              <w:bottom w:val="single" w:color="000000" w:sz="8" w:space="0"/>
              <w:right w:val="single" w:color="000000" w:sz="8" w:space="0"/>
            </w:tcBorders>
            <w:tcMar>
              <w:left w:w="108" w:type="dxa"/>
              <w:top w:w="0" w:type="dxa"/>
              <w:right w:w="108" w:type="dxa"/>
              <w:bottom w:w="0" w:type="dxa"/>
            </w:tcMar>
            <w:tcW w:w="30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là căn hộ chung cư số 507, tầng 5, toà nhà N10. Toà nhà cách đường KĐT Đồng Tầu khoảng 100m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Thông tin về căn hộ</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Loại nhà ở:</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Căn hộ chung cư số 507</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căn hộ (m²)</w:t>
            </w:r>
            <w:r/>
          </w:p>
        </w:tc>
        <w:tc>
          <w:tcPr>
            <w:tcBorders>
              <w:bottom w:val="single" w:color="000000" w:sz="8" w:space="0"/>
              <w:right w:val="single" w:color="000000" w:sz="8" w:space="0"/>
            </w:tcBorders>
            <w:tcMar>
              <w:left w:w="108" w:type="dxa"/>
              <w:top w:w="0" w:type="dxa"/>
              <w:right w:w="108" w:type="dxa"/>
              <w:bottom w:w="0" w:type="dxa"/>
            </w:tcMar>
            <w:tcW w:w="303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sàn xây dựng căn hộ (m²):</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54,39m</w:t>
            </w:r>
            <w:r>
              <w:rPr>
                <w:rFonts w:ascii="Times New Roman" w:hAnsi="Times New Roman" w:eastAsia="Times New Roman" w:cs="Times New Roman"/>
                <w:color w:val="000000"/>
                <w:sz w:val="20"/>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Kết cấu:</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c>
          <w:tcPr>
            <w:tcBorders>
              <w:bottom w:val="single" w:color="000000" w:sz="8" w:space="0"/>
              <w:right w:val="single" w:color="000000" w:sz="8" w:space="0"/>
            </w:tcBorders>
            <w:tcMar>
              <w:left w:w="108" w:type="dxa"/>
              <w:top w:w="0" w:type="dxa"/>
              <w:right w:w="108" w:type="dxa"/>
              <w:bottom w:w="0" w:type="dxa"/>
            </w:tcMar>
            <w:tcW w:w="303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BTCT</w:t>
            </w:r>
            <w:r/>
          </w:p>
        </w:tc>
      </w:tr>
      <w:tr>
        <w:trPr>
          <w:trHeight w:val="429"/>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Tòa nhà:</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Toà nhà N10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tầng:</w:t>
            </w:r>
            <w:r/>
          </w:p>
        </w:tc>
        <w:tc>
          <w:tcPr>
            <w:tcBorders>
              <w:bottom w:val="single" w:color="000000" w:sz="8" w:space="0"/>
              <w:right w:val="single" w:color="000000" w:sz="8" w:space="0"/>
            </w:tcBorders>
            <w:tcMar>
              <w:left w:w="108" w:type="dxa"/>
              <w:top w:w="0" w:type="dxa"/>
              <w:right w:w="108" w:type="dxa"/>
              <w:bottom w:w="0" w:type="dxa"/>
            </w:tcMar>
            <w:tcW w:w="303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Tầng 5/9</w:t>
            </w:r>
            <w:r/>
          </w:p>
        </w:tc>
      </w:tr>
      <w:tr>
        <w:trPr>
          <w:trHeight w:val="704"/>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cửa:</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Nam</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303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Bắc</w:t>
            </w:r>
            <w:r/>
          </w:p>
        </w:tc>
      </w:tr>
      <w:tr>
        <w:trPr>
          <w:trHeight w:val="982"/>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Cấu trúc:</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  phòng ngủ, 1 vệ sinh, phòng khách, phòng bếp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Nội thất:</w:t>
            </w:r>
            <w:r/>
          </w:p>
        </w:tc>
        <w:tc>
          <w:tcPr>
            <w:tcBorders>
              <w:bottom w:val="single" w:color="000000" w:sz="8" w:space="0"/>
              <w:right w:val="single" w:color="000000" w:sz="8" w:space="0"/>
            </w:tcBorders>
            <w:tcMar>
              <w:left w:w="108" w:type="dxa"/>
              <w:top w:w="0" w:type="dxa"/>
              <w:right w:w="108" w:type="dxa"/>
              <w:bottom w:w="0" w:type="dxa"/>
            </w:tcMar>
            <w:tcW w:w="303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Nội thất cơ bản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303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Thích hợp để ở</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303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Hiện trạng:</w:t>
            </w:r>
            <w:r/>
          </w:p>
        </w:tc>
        <w:tc>
          <w:tcPr>
            <w:gridSpan w:val="3"/>
            <w:tcBorders>
              <w:bottom w:val="single" w:color="000000" w:sz="8" w:space="0"/>
              <w:right w:val="single" w:color="000000" w:sz="8" w:space="0"/>
            </w:tcBorders>
            <w:tcMar>
              <w:left w:w="108" w:type="dxa"/>
              <w:top w:w="0" w:type="dxa"/>
              <w:right w:w="108" w:type="dxa"/>
              <w:bottom w:w="0" w:type="dxa"/>
            </w:tcMar>
            <w:tcW w:w="6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khảo sát, căn hộ chung cư đang để ở.</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spacing w:val="-4"/>
          <w:lang w:val="pt-BR"/>
        </w:rPr>
        <w:t xml:space="preserve">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67"/>
        <w:gridCol w:w="2100"/>
        <w:gridCol w:w="1713"/>
        <w:gridCol w:w="1713"/>
        <w:gridCol w:w="1713"/>
        <w:gridCol w:w="1713"/>
      </w:tblGrid>
      <w:tr>
        <w:trPr>
          <w:trHeight w:val="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100" w:type="dxa"/>
            <w:vAlign w:val="center"/>
            <w:textDirection w:val="lrTb"/>
            <w:noWrap w:val="false"/>
          </w:tcPr>
          <w:p>
            <w:pPr>
              <w:pBdr/>
              <w:spacing w:after="0" w:before="0" w:line="240" w:lineRule="auto"/>
              <w:ind/>
              <w:jc w:val="left"/>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15" w:type="dxa"/>
              <w:top w:w="15" w:type="dxa"/>
              <w:right w:w="15" w:type="dxa"/>
              <w:bottom w:w="0" w:type="dxa"/>
            </w:tcMar>
            <w:tcW w:w="2100" w:type="dxa"/>
            <w:vAlign w:val="center"/>
            <w:textDirection w:val="lrTb"/>
            <w:noWrap w:val="false"/>
          </w:tcPr>
          <w:p>
            <w:pPr>
              <w:pBdr/>
              <w:spacing w:after="0" w:before="0" w:line="240" w:lineRule="auto"/>
              <w:ind/>
              <w:jc w:val="left"/>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100"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Căn hộ 507 nhà N10 Khu chung cư Đồng Tầu</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Toà N3 Khu chung cư Đồng Tầu</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Toà N7 Khu chung cư Đồng Tầu</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Toà N7 Khu chung cư Đồng Tầu</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15" w:type="dxa"/>
              <w:top w:w="15" w:type="dxa"/>
              <w:right w:w="15" w:type="dxa"/>
              <w:bottom w:w="0" w:type="dxa"/>
            </w:tcMar>
            <w:tcW w:w="2100"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14:ligatures w14:val="none"/>
              </w:rP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r>
            <w:hyperlink r:id="rId17" w:tooltip="https://batdongsan.com.vn/ban-can-ho-chung-cu-pho-phuong-mai-phuong-phuong-mai/sieu-hiem-sieu-re-tang-1-tap-the-2-4-ty-2pn-1wc-so-do-24m2-thuc-te-52m2-pr42617236" w:history="1">
              <w:r>
                <w:rPr>
                  <w:rFonts w:ascii="Times New Roman" w:hAnsi="Times New Roman" w:eastAsia="Times New Roman" w:cs="Times New Roman"/>
                  <w:color w:val="000000"/>
                  <w:sz w:val="24"/>
                  <w:szCs w:val="24"/>
                </w:rPr>
                <w:t xml:space="preserve">Liên hệ trực tiếp</w:t>
              </w:r>
            </w:hyperlink>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14:ligatures w14:val="none"/>
              </w:rPr>
            </w:r>
          </w:p>
        </w:tc>
        <w:tc>
          <w:tcPr>
            <w:tcBorders/>
            <w:tcMar>
              <w:left w:w="15" w:type="dxa"/>
              <w:top w:w="15" w:type="dxa"/>
              <w:right w:w="15" w:type="dxa"/>
              <w:bottom w:w="0" w:type="dxa"/>
            </w:tcMar>
            <w:tcW w:w="1713" w:type="dxa"/>
            <w:vAlign w:val="bottom"/>
            <w:textDirection w:val="lrTb"/>
            <w:noWrap/>
          </w:tcPr>
          <w:p>
            <w:pPr>
              <w:pBdr/>
              <w:spacing w:after="0" w:before="0" w:line="240" w:lineRule="auto"/>
              <w:ind/>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r>
            <w:hyperlink r:id="rId18" w:tooltip="https://alonhadat.com.vn/-ban-nha-chung-cu-dong-phat-vinh-hoang-lo-goc-3pn-90m-5-49-ty-16774805.html" w:history="1">
              <w:r>
                <w:rPr>
                  <w:rFonts w:ascii="Times New Roman" w:hAnsi="Times New Roman" w:eastAsia="Times New Roman" w:cs="Times New Roman"/>
                  <w:color w:val="000000"/>
                  <w:sz w:val="24"/>
                  <w:szCs w:val="24"/>
                </w:rPr>
                <w:t xml:space="preserve">Liên hệ trực tiếp</w:t>
              </w:r>
            </w:hyperlink>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14:ligatures w14:val="none"/>
              </w:rPr>
            </w:r>
          </w:p>
        </w:tc>
        <w:tc>
          <w:tcPr>
            <w:tcBorders>
              <w:left w:val="single" w:color="000000" w:sz="6" w:space="0"/>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Liên hệ trực tiếp</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14:ligatures w14:val="none"/>
              </w:rP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15" w:type="dxa"/>
              <w:top w:w="15" w:type="dxa"/>
              <w:right w:w="15" w:type="dxa"/>
              <w:bottom w:w="0" w:type="dxa"/>
            </w:tcMar>
            <w:tcW w:w="2100"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0362051238</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0964829650</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0925811119</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100" w:type="dxa"/>
            <w:vAlign w:val="center"/>
            <w:textDirection w:val="lrTb"/>
            <w:noWrap/>
          </w:tcPr>
          <w:p>
            <w:pPr>
              <w:pBdr/>
              <w:spacing w:after="0" w:before="0" w:line="240" w:lineRule="auto"/>
              <w:ind/>
              <w:jc w:val="left"/>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trên thị trường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trên thị trường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trên thị trường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100"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12/2025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12/2025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12/2025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100" w:type="dxa"/>
            <w:vAlign w:val="center"/>
            <w:textDirection w:val="lrTb"/>
            <w:noWrap/>
          </w:tcPr>
          <w:p>
            <w:pPr>
              <w:pBdr/>
              <w:spacing w:after="0" w:before="0" w:line="240" w:lineRule="auto"/>
              <w:ind/>
              <w:jc w:val="left"/>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100" w:type="dxa"/>
            <w:vAlign w:val="center"/>
            <w:textDirection w:val="lrTb"/>
            <w:noWrap/>
          </w:tcPr>
          <w:p>
            <w:pPr>
              <w:pBdr/>
              <w:spacing w:after="0" w:before="0" w:line="240" w:lineRule="auto"/>
              <w:ind/>
              <w:jc w:val="left"/>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100" w:type="dxa"/>
            <w:vAlign w:val="center"/>
            <w:textDirection w:val="lrTb"/>
            <w:noWrap/>
          </w:tcPr>
          <w:p>
            <w:pPr>
              <w:pBdr/>
              <w:spacing w:after="0" w:before="0" w:line="240" w:lineRule="auto"/>
              <w:ind/>
              <w:jc w:val="left"/>
              <w:rPr/>
            </w:pPr>
            <w:r>
              <w:rPr>
                <w:rFonts w:ascii="Times New Roman" w:hAnsi="Times New Roman" w:eastAsia="Times New Roman" w:cs="Times New Roman"/>
                <w:color w:val="000000"/>
                <w:sz w:val="22"/>
              </w:rPr>
              <w:t xml:space="preserve">Hình thức sử dụng</w:t>
            </w:r>
            <w:r/>
          </w:p>
        </w:tc>
        <w:tc>
          <w:tcPr>
            <w:tcBorders>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Sở hữu riêng</w:t>
            </w:r>
            <w:r/>
          </w:p>
        </w:tc>
        <w:tc>
          <w:tcPr>
            <w:tcBorders>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Sở hữu riêng</w:t>
            </w:r>
            <w:r/>
          </w:p>
        </w:tc>
        <w:tc>
          <w:tcPr>
            <w:tcBorders>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Sở hữu riêng</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Sở hữu riêng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100" w:type="dxa"/>
            <w:vAlign w:val="center"/>
            <w:textDirection w:val="lrTb"/>
            <w:noWrap/>
          </w:tcPr>
          <w:p>
            <w:pPr>
              <w:pBdr/>
              <w:spacing w:after="0" w:before="0" w:line="240" w:lineRule="auto"/>
              <w:ind/>
              <w:jc w:val="left"/>
              <w:rPr/>
            </w:pPr>
            <w:r>
              <w:rPr>
                <w:rFonts w:ascii="Times New Roman" w:hAnsi="Times New Roman" w:eastAsia="Times New Roman" w:cs="Times New Roman"/>
                <w:color w:val="000000"/>
                <w:sz w:val="22"/>
              </w:rPr>
              <w:t xml:space="preserve">Vị trí</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507 nhà N10 Khu chung cư Đồng Tầu, phường Thịnh Liệt, quận Hoàng Mai, Hà Nội</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Toà nhà N3 Khu chung cư Đồng Tầu, phường Thịnh Liệt, quận Hoàng Mai, Hà Nội</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Toà nhà N7 Khu chung cư Đồng Tầu, phường Thịnh Liệt, quận Hoàng Mai, Hà Nội</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Toà nhà N7 Khu chung cư Đồng Tầu, phường Thịnh Liệt, quận Hoàng Mai, Hà Nội</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tcBorders>
            <w:tcMar>
              <w:left w:w="15" w:type="dxa"/>
              <w:top w:w="15" w:type="dxa"/>
              <w:right w:w="15" w:type="dxa"/>
              <w:bottom w:w="0" w:type="dxa"/>
            </w:tcMar>
            <w:tcW w:w="2100"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Diện tích được chứng nhận (m</w:t>
            </w:r>
            <w:r>
              <w:rPr>
                <w:rFonts w:ascii="Times New Roman" w:hAnsi="Times New Roman" w:eastAsia="Times New Roman" w:cs="Times New Roman"/>
                <w:color w:val="000000"/>
                <w:sz w:val="18"/>
                <w:vertAlign w:val="superscript"/>
              </w:rPr>
              <w:t xml:space="preserve">2</w:t>
            </w:r>
            <w:r>
              <w:rPr>
                <w:rFonts w:ascii="Times New Roman" w:hAnsi="Times New Roman" w:eastAsia="Times New Roman" w:cs="Times New Roman"/>
                <w:color w:val="000000"/>
                <w:sz w:val="22"/>
              </w:rPr>
              <w:t xml:space="preserve">)</w:t>
            </w:r>
            <w:r/>
          </w:p>
        </w:tc>
        <w:tc>
          <w:tcPr>
            <w:tcBorders>
              <w:left w:val="single" w:color="000000" w:sz="6" w:space="0"/>
              <w:bottom w:val="single" w:color="000000" w:sz="6" w:space="0"/>
              <w:right w:val="single" w:color="000000" w:sz="6" w:space="0"/>
            </w:tcBorders>
            <w:tcMar>
              <w:left w:w="15" w:type="dxa"/>
              <w:top w:w="15" w:type="dxa"/>
              <w:right w:w="15" w:type="dxa"/>
              <w:bottom w:w="0" w:type="dxa"/>
            </w:tcMar>
            <w:tcW w:w="17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54,39</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54,00</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54,00</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56,00</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2100"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Số phòng ngủ - phòng vệ sinh</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2PN + 1VS</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2PN + 1VS</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2PN + 1VS</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2PN + 1VS</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2100"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Số tầng</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5/9</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9</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8/9</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8</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2100" w:type="dxa"/>
            <w:vAlign w:val="center"/>
            <w:textDirection w:val="lrTb"/>
            <w:noWrap/>
          </w:tcPr>
          <w:p>
            <w:pPr>
              <w:pBdr/>
              <w:spacing w:after="0" w:before="0" w:line="240" w:lineRule="auto"/>
              <w:ind/>
              <w:jc w:val="left"/>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 Trần thạch cao, sàn gỗ, thiết bị vệ sinh, tủ bếp,..</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 Trần thạch cao, sàn gỗ, thiết bị vệ sinh, tủ bếp,..</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 Trần thạch cao, sàn gỗ, thiết bị vệ sinh, tủ bếp,..</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 Trần thạch cao, sàn gỗ, thiết bị vệ sinh, tủ bếp,..</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tcBorders>
            <w:tcMar>
              <w:left w:w="15" w:type="dxa"/>
              <w:top w:w="15" w:type="dxa"/>
              <w:right w:w="15" w:type="dxa"/>
              <w:bottom w:w="0" w:type="dxa"/>
            </w:tcMar>
            <w:tcW w:w="2100" w:type="dxa"/>
            <w:vAlign w:val="center"/>
            <w:textDirection w:val="lrTb"/>
            <w:noWrap/>
          </w:tcPr>
          <w:p>
            <w:pPr>
              <w:pBdr/>
              <w:spacing w:after="0" w:before="0" w:line="240" w:lineRule="auto"/>
              <w:ind/>
              <w:jc w:val="left"/>
              <w:rPr/>
            </w:pPr>
            <w:r>
              <w:rPr>
                <w:rFonts w:ascii="Times New Roman" w:hAnsi="Times New Roman" w:eastAsia="Times New Roman" w:cs="Times New Roman"/>
                <w:color w:val="000000"/>
                <w:sz w:val="22"/>
              </w:rPr>
              <w:t xml:space="preserve">Loại căn hộ</w:t>
            </w:r>
            <w:r/>
          </w:p>
        </w:tc>
        <w:tc>
          <w:tcPr>
            <w:tcBorders>
              <w:left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góc</w:t>
            </w:r>
            <w:r/>
          </w:p>
        </w:tc>
        <w:tc>
          <w:tcPr>
            <w:tcBorders>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c>
          <w:tcPr>
            <w:tcBorders>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góc</w:t>
            </w:r>
            <w:r/>
          </w:p>
        </w:tc>
        <w:tc>
          <w:tcPr>
            <w:tcBorders>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top w:val="single" w:color="000000" w:sz="6" w:space="0"/>
              <w:right w:val="single" w:color="000000" w:sz="6" w:space="0"/>
            </w:tcBorders>
            <w:tcMar>
              <w:left w:w="15" w:type="dxa"/>
              <w:top w:w="15" w:type="dxa"/>
              <w:right w:w="15" w:type="dxa"/>
              <w:bottom w:w="0" w:type="dxa"/>
            </w:tcMar>
            <w:tcW w:w="2100"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Điều kiện cơ sở hạ tầng và các yếu tố khác</w:t>
            </w:r>
            <w:r/>
          </w:p>
        </w:tc>
        <w:tc>
          <w:tcPr>
            <w:tcBorders>
              <w:top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được đầu tư đồng bộ, hoàn thiện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được đầu tư đồng bộ, hoàn thiện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được đầu tư đồng bộ, hoàn thiện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được đầu tư đồng bộ, hoàn thiện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100" w:type="dxa"/>
            <w:vAlign w:val="center"/>
            <w:textDirection w:val="lrTb"/>
            <w:noWrap/>
          </w:tcPr>
          <w:p>
            <w:pPr>
              <w:pBdr/>
              <w:spacing w:after="0" w:before="0" w:line="240" w:lineRule="auto"/>
              <w:ind/>
              <w:jc w:val="left"/>
              <w:rPr/>
            </w:pPr>
            <w:r>
              <w:rPr>
                <w:rFonts w:ascii="Times New Roman" w:hAnsi="Times New Roman" w:eastAsia="Times New Roman" w:cs="Times New Roman"/>
                <w:color w:val="000000"/>
                <w:sz w:val="22"/>
              </w:rPr>
              <w:t xml:space="preserve">Giá rao (đồng)</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4.300.000.000</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4.390.000.000</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4.550.000.000</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15" w:type="dxa"/>
              <w:top w:w="15" w:type="dxa"/>
              <w:right w:w="15" w:type="dxa"/>
              <w:bottom w:w="0" w:type="dxa"/>
            </w:tcMar>
            <w:tcW w:w="2100"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Giá thương lượng/bán đã trừ giá trị nội thất (đồng)</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3.569.000.000</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3.643.700.000</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3.776.500.000</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16</w:t>
            </w:r>
            <w:r/>
          </w:p>
        </w:tc>
        <w:tc>
          <w:tcPr>
            <w:tcBorders>
              <w:bottom w:val="single" w:color="000000" w:sz="6" w:space="0"/>
              <w:right w:val="single" w:color="000000" w:sz="6" w:space="0"/>
            </w:tcBorders>
            <w:tcMar>
              <w:left w:w="15" w:type="dxa"/>
              <w:top w:w="15" w:type="dxa"/>
              <w:right w:w="15" w:type="dxa"/>
              <w:bottom w:w="0" w:type="dxa"/>
            </w:tcMar>
            <w:tcW w:w="2100" w:type="dxa"/>
            <w:vAlign w:val="center"/>
            <w:textDirection w:val="lrTb"/>
            <w:noWrap w:val="false"/>
          </w:tcPr>
          <w:p>
            <w:pPr>
              <w:pBdr/>
              <w:spacing w:after="0" w:before="0" w:line="240" w:lineRule="auto"/>
              <w:ind/>
              <w:jc w:val="left"/>
              <w:rPr/>
            </w:pPr>
            <w:r>
              <w:rPr>
                <w:rFonts w:ascii="Times New Roman" w:hAnsi="Times New Roman" w:eastAsia="Times New Roman" w:cs="Times New Roman"/>
                <w:b/>
                <w:color w:val="000000"/>
                <w:sz w:val="22"/>
              </w:rPr>
              <w:t xml:space="preserve">Đơn giá QSHCH (đồng/m</w:t>
            </w:r>
            <w:r>
              <w:rPr>
                <w:rFonts w:ascii="Times New Roman" w:hAnsi="Times New Roman" w:eastAsia="Times New Roman" w:cs="Times New Roman"/>
                <w:b/>
                <w:color w:val="000000"/>
                <w:sz w:val="18"/>
                <w:vertAlign w:val="superscript"/>
              </w:rPr>
              <w:t xml:space="preserve">2</w:t>
            </w:r>
            <w:r>
              <w:rPr>
                <w:rFonts w:ascii="Times New Roman" w:hAnsi="Times New Roman" w:eastAsia="Times New Roman" w:cs="Times New Roman"/>
                <w:b/>
                <w:color w:val="000000"/>
                <w:sz w:val="22"/>
              </w:rPr>
              <w:t xml:space="preserve">)</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66.092.593</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67.475.926</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67.437.500</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2100" w:type="dxa"/>
            <w:vAlign w:val="center"/>
            <w:textDirection w:val="lrTb"/>
            <w:noWrap w:val="false"/>
          </w:tcPr>
          <w:p>
            <w:pPr>
              <w:pBdr/>
              <w:spacing w:after="0" w:before="0" w:line="240" w:lineRule="auto"/>
              <w:ind/>
              <w:jc w:val="left"/>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tcBorders>
            <w:tcMar>
              <w:left w:w="15" w:type="dxa"/>
              <w:top w:w="15" w:type="dxa"/>
              <w:right w:w="15" w:type="dxa"/>
              <w:bottom w:w="0" w:type="dxa"/>
            </w:tcMar>
            <w:tcW w:w="2100" w:type="dxa"/>
            <w:vAlign w:val="center"/>
            <w:textDirection w:val="lrTb"/>
            <w:noWrap/>
          </w:tcPr>
          <w:p>
            <w:pPr>
              <w:pBdr/>
              <w:spacing w:after="0" w:before="0" w:line="240" w:lineRule="auto"/>
              <w:ind/>
              <w:jc w:val="left"/>
              <w:rPr/>
            </w:pPr>
            <w:r>
              <w:rPr>
                <w:rFonts w:ascii="Times New Roman" w:hAnsi="Times New Roman" w:eastAsia="Times New Roman" w:cs="Times New Roman"/>
                <w:color w:val="000000"/>
                <w:sz w:val="22"/>
              </w:rPr>
              <w:t xml:space="preserve">Pháp lý</w:t>
            </w:r>
            <w:r/>
          </w:p>
        </w:tc>
        <w:tc>
          <w:tcPr>
            <w:tcBorders>
              <w:left w:val="single" w:color="000000" w:sz="6" w:space="0"/>
              <w:bottom w:val="single" w:color="000000" w:sz="6" w:space="0"/>
              <w:right w:val="single" w:color="000000" w:sz="6" w:space="0"/>
            </w:tcBorders>
            <w:tcMar>
              <w:left w:w="15" w:type="dxa"/>
              <w:top w:w="15" w:type="dxa"/>
              <w:right w:w="15" w:type="dxa"/>
              <w:bottom w:w="0" w:type="dxa"/>
            </w:tcMar>
            <w:tcW w:w="17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tcBorders>
            <w:tcMar>
              <w:left w:w="15" w:type="dxa"/>
              <w:top w:w="15" w:type="dxa"/>
              <w:right w:w="15" w:type="dxa"/>
              <w:bottom w:w="0" w:type="dxa"/>
            </w:tcMar>
            <w:tcW w:w="2100" w:type="dxa"/>
            <w:vAlign w:val="center"/>
            <w:textDirection w:val="lrTb"/>
            <w:noWrap/>
          </w:tcPr>
          <w:p>
            <w:pPr>
              <w:pBdr/>
              <w:spacing w:after="0" w:before="0" w:line="240" w:lineRule="auto"/>
              <w:ind/>
              <w:jc w:val="left"/>
              <w:rPr/>
            </w:pPr>
            <w:r>
              <w:rPr>
                <w:rFonts w:ascii="Times New Roman" w:hAnsi="Times New Roman" w:eastAsia="Times New Roman" w:cs="Times New Roman"/>
                <w:color w:val="000000"/>
                <w:sz w:val="22"/>
              </w:rPr>
              <w:t xml:space="preserve">Vị trí</w:t>
            </w:r>
            <w:r/>
          </w:p>
        </w:tc>
        <w:tc>
          <w:tcPr>
            <w:tcBorders>
              <w:left w:val="single" w:color="000000" w:sz="6" w:space="0"/>
              <w:bottom w:val="single" w:color="000000" w:sz="6" w:space="0"/>
              <w:right w:val="single" w:color="000000" w:sz="6" w:space="0"/>
            </w:tcBorders>
            <w:tcMar>
              <w:left w:w="15" w:type="dxa"/>
              <w:top w:w="15" w:type="dxa"/>
              <w:right w:w="15" w:type="dxa"/>
              <w:bottom w:w="0" w:type="dxa"/>
            </w:tcMar>
            <w:tcW w:w="17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tcBorders>
            <w:tcMar>
              <w:left w:w="15" w:type="dxa"/>
              <w:top w:w="15" w:type="dxa"/>
              <w:right w:w="15" w:type="dxa"/>
              <w:bottom w:w="0" w:type="dxa"/>
            </w:tcMar>
            <w:tcW w:w="2100" w:type="dxa"/>
            <w:vAlign w:val="center"/>
            <w:textDirection w:val="lrTb"/>
            <w:noWrap/>
          </w:tcPr>
          <w:p>
            <w:pPr>
              <w:pBdr/>
              <w:spacing w:after="0" w:before="0" w:line="240" w:lineRule="auto"/>
              <w:ind/>
              <w:jc w:val="left"/>
              <w:rPr/>
            </w:pPr>
            <w:r>
              <w:rPr>
                <w:rFonts w:ascii="Times New Roman" w:hAnsi="Times New Roman" w:eastAsia="Times New Roman" w:cs="Times New Roman"/>
                <w:color w:val="000000"/>
                <w:sz w:val="22"/>
              </w:rPr>
              <w:t xml:space="preserve">Diện tích căn hộ</w:t>
            </w:r>
            <w:r/>
          </w:p>
        </w:tc>
        <w:tc>
          <w:tcPr>
            <w:tcBorders>
              <w:left w:val="single" w:color="000000" w:sz="6" w:space="0"/>
              <w:bottom w:val="single" w:color="000000" w:sz="6" w:space="0"/>
              <w:right w:val="single" w:color="000000" w:sz="6" w:space="0"/>
            </w:tcBorders>
            <w:tcMar>
              <w:left w:w="15" w:type="dxa"/>
              <w:top w:w="15" w:type="dxa"/>
              <w:right w:w="15" w:type="dxa"/>
              <w:bottom w:w="0" w:type="dxa"/>
            </w:tcMar>
            <w:tcW w:w="17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tcBorders>
            <w:tcMar>
              <w:left w:w="15" w:type="dxa"/>
              <w:top w:w="15" w:type="dxa"/>
              <w:right w:w="15" w:type="dxa"/>
              <w:bottom w:w="0" w:type="dxa"/>
            </w:tcMar>
            <w:tcW w:w="2100"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Số phòng ngủ - phòng vệ sinh</w:t>
            </w:r>
            <w:r/>
          </w:p>
        </w:tc>
        <w:tc>
          <w:tcPr>
            <w:tcBorders>
              <w:left w:val="single" w:color="000000" w:sz="6" w:space="0"/>
              <w:bottom w:val="single" w:color="000000" w:sz="6" w:space="0"/>
              <w:right w:val="single" w:color="000000" w:sz="6" w:space="0"/>
            </w:tcBorders>
            <w:tcMar>
              <w:left w:w="15" w:type="dxa"/>
              <w:top w:w="15" w:type="dxa"/>
              <w:right w:w="15" w:type="dxa"/>
              <w:bottom w:w="0" w:type="dxa"/>
            </w:tcMar>
            <w:tcW w:w="17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tcBorders>
            <w:tcMar>
              <w:left w:w="15" w:type="dxa"/>
              <w:top w:w="15" w:type="dxa"/>
              <w:right w:w="15" w:type="dxa"/>
              <w:bottom w:w="0" w:type="dxa"/>
            </w:tcMar>
            <w:tcW w:w="2100" w:type="dxa"/>
            <w:vAlign w:val="center"/>
            <w:textDirection w:val="lrTb"/>
            <w:noWrap/>
          </w:tcPr>
          <w:p>
            <w:pPr>
              <w:pBdr/>
              <w:spacing w:after="0" w:before="0" w:line="240" w:lineRule="auto"/>
              <w:ind/>
              <w:jc w:val="left"/>
              <w:rPr/>
            </w:pPr>
            <w:r>
              <w:rPr>
                <w:rFonts w:ascii="Times New Roman" w:hAnsi="Times New Roman" w:eastAsia="Times New Roman" w:cs="Times New Roman"/>
                <w:color w:val="000000"/>
                <w:sz w:val="22"/>
              </w:rPr>
              <w:t xml:space="preserve">Hướng nhìn</w:t>
            </w:r>
            <w:r/>
          </w:p>
        </w:tc>
        <w:tc>
          <w:tcPr>
            <w:tcBorders>
              <w:left w:val="single" w:color="000000" w:sz="6" w:space="0"/>
              <w:bottom w:val="single" w:color="000000" w:sz="6" w:space="0"/>
              <w:right w:val="single" w:color="000000" w:sz="6" w:space="0"/>
            </w:tcBorders>
            <w:tcMar>
              <w:left w:w="15" w:type="dxa"/>
              <w:top w:w="15" w:type="dxa"/>
              <w:right w:w="15" w:type="dxa"/>
              <w:bottom w:w="0" w:type="dxa"/>
            </w:tcMar>
            <w:tcW w:w="17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tcBorders>
            <w:tcMar>
              <w:left w:w="15" w:type="dxa"/>
              <w:top w:w="15" w:type="dxa"/>
              <w:right w:w="15" w:type="dxa"/>
              <w:bottom w:w="0" w:type="dxa"/>
            </w:tcMar>
            <w:tcW w:w="2100" w:type="dxa"/>
            <w:vAlign w:val="center"/>
            <w:textDirection w:val="lrTb"/>
            <w:noWrap/>
          </w:tcPr>
          <w:p>
            <w:pPr>
              <w:pBdr/>
              <w:spacing w:after="0" w:before="0" w:line="240" w:lineRule="auto"/>
              <w:ind/>
              <w:jc w:val="left"/>
              <w:rPr/>
            </w:pPr>
            <w:r>
              <w:rPr>
                <w:rFonts w:ascii="Times New Roman" w:hAnsi="Times New Roman" w:eastAsia="Times New Roman" w:cs="Times New Roman"/>
                <w:color w:val="000000"/>
                <w:sz w:val="22"/>
              </w:rPr>
              <w:t xml:space="preserve">Số tầng</w:t>
            </w:r>
            <w:r/>
          </w:p>
        </w:tc>
        <w:tc>
          <w:tcPr>
            <w:tcBorders>
              <w:left w:val="single" w:color="000000" w:sz="6" w:space="0"/>
              <w:bottom w:val="single" w:color="000000" w:sz="6" w:space="0"/>
              <w:right w:val="single" w:color="000000" w:sz="6" w:space="0"/>
            </w:tcBorders>
            <w:tcMar>
              <w:left w:w="15" w:type="dxa"/>
              <w:top w:w="15" w:type="dxa"/>
              <w:right w:w="15" w:type="dxa"/>
              <w:bottom w:w="0" w:type="dxa"/>
            </w:tcMar>
            <w:tcW w:w="17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tcBorders>
            <w:tcMar>
              <w:left w:w="15" w:type="dxa"/>
              <w:top w:w="15" w:type="dxa"/>
              <w:right w:w="15" w:type="dxa"/>
              <w:bottom w:w="0" w:type="dxa"/>
            </w:tcMar>
            <w:tcW w:w="2100" w:type="dxa"/>
            <w:vAlign w:val="center"/>
            <w:textDirection w:val="lrTb"/>
            <w:noWrap/>
          </w:tcPr>
          <w:p>
            <w:pPr>
              <w:pBdr/>
              <w:spacing w:after="0" w:before="0" w:line="240" w:lineRule="auto"/>
              <w:ind/>
              <w:jc w:val="left"/>
              <w:rPr/>
            </w:pPr>
            <w:r>
              <w:rPr>
                <w:rFonts w:ascii="Times New Roman" w:hAnsi="Times New Roman" w:eastAsia="Times New Roman" w:cs="Times New Roman"/>
                <w:color w:val="000000"/>
                <w:sz w:val="22"/>
              </w:rPr>
              <w:t xml:space="preserve">Loại căn hộ</w:t>
            </w:r>
            <w:r/>
          </w:p>
        </w:tc>
        <w:tc>
          <w:tcPr>
            <w:tcBorders>
              <w:left w:val="single" w:color="000000" w:sz="6" w:space="0"/>
              <w:bottom w:val="single" w:color="000000" w:sz="6" w:space="0"/>
              <w:right w:val="single" w:color="000000" w:sz="6" w:space="0"/>
            </w:tcBorders>
            <w:tcMar>
              <w:left w:w="15" w:type="dxa"/>
              <w:top w:w="15" w:type="dxa"/>
              <w:right w:w="15" w:type="dxa"/>
              <w:bottom w:w="0" w:type="dxa"/>
            </w:tcMar>
            <w:tcW w:w="17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tcBorders>
            <w:tcMar>
              <w:left w:w="15" w:type="dxa"/>
              <w:top w:w="15" w:type="dxa"/>
              <w:right w:w="15" w:type="dxa"/>
              <w:bottom w:w="0" w:type="dxa"/>
            </w:tcMar>
            <w:tcW w:w="2100"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Nội thất</w:t>
            </w:r>
            <w:r/>
          </w:p>
        </w:tc>
        <w:tc>
          <w:tcPr>
            <w:tcBorders>
              <w:left w:val="single" w:color="000000" w:sz="6" w:space="0"/>
              <w:bottom w:val="single" w:color="000000" w:sz="6" w:space="0"/>
              <w:right w:val="single" w:color="000000" w:sz="6" w:space="0"/>
            </w:tcBorders>
            <w:tcMar>
              <w:left w:w="15" w:type="dxa"/>
              <w:top w:w="15" w:type="dxa"/>
              <w:right w:w="15" w:type="dxa"/>
              <w:bottom w:w="0" w:type="dxa"/>
            </w:tcMar>
            <w:tcW w:w="17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highlight w:val="none"/>
          <w:lang w:val="it-IT"/>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highlight w:val="none"/>
          <w:lang w:val="it-IT"/>
        </w:rPr>
      </w:r>
      <w:r>
        <w:rPr>
          <w:highlight w:val="none"/>
          <w:lang w:val="it-IT"/>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47"/>
        <w:gridCol w:w="2148"/>
        <w:gridCol w:w="1597"/>
        <w:gridCol w:w="2198"/>
        <w:gridCol w:w="2207"/>
        <w:gridCol w:w="2245"/>
        <w:gridCol w:w="2208"/>
      </w:tblGrid>
      <w:tr>
        <w:trPr>
          <w:trHeight w:val="28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64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59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2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40"/>
        </w:trPr>
        <w:tc>
          <w:tcPr>
            <w:tcBorders>
              <w:left w:val="single" w:color="000000" w:sz="6" w:space="0"/>
              <w:bottom w:val="single" w:color="000000" w:sz="6" w:space="0"/>
              <w:right w:val="single" w:color="000000" w:sz="6" w:space="0"/>
            </w:tcBorders>
            <w:tcMar>
              <w:left w:w="15" w:type="dxa"/>
              <w:top w:w="15" w:type="dxa"/>
              <w:right w:w="15" w:type="dxa"/>
              <w:bottom w:w="0" w:type="dxa"/>
            </w:tcMar>
            <w:tcW w:w="64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căn hộ thị trường (Ước tính sau thương lượng)</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3.569.000.000 </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3.643.700.000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3.776.500.000 </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64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căn hộ ước tính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w:t>
            </w:r>
            <w:r>
              <w:rPr>
                <w:rFonts w:ascii="Times New Roman" w:hAnsi="Times New Roman" w:eastAsia="Times New Roman" w:cs="Times New Roman"/>
                <w:b/>
                <w:color w:val="000000"/>
                <w:sz w:val="18"/>
                <w:vertAlign w:val="superscript"/>
              </w:rPr>
              <w:t xml:space="preserve">2</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66.092.593 </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67.475.926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67.437.500 </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64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60"/>
        </w:trPr>
        <w:tc>
          <w:tcPr>
            <w:tcBorders>
              <w:left w:val="single" w:color="000000" w:sz="6" w:space="0"/>
              <w:bottom w:val="single" w:color="000000" w:sz="4" w:space="0"/>
              <w:right w:val="single" w:color="000000" w:sz="6" w:space="0"/>
            </w:tcBorders>
            <w:tcMar>
              <w:left w:w="15" w:type="dxa"/>
              <w:top w:w="15" w:type="dxa"/>
              <w:right w:w="15" w:type="dxa"/>
              <w:bottom w:w="0" w:type="dxa"/>
            </w:tcMar>
            <w:tcW w:w="64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2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2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66.092.593 </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67.475.926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67.437.500 </w:t>
            </w:r>
            <w:r/>
          </w:p>
        </w:tc>
      </w:tr>
      <w:tr>
        <w:trPr>
          <w:trHeight w:val="995"/>
        </w:trPr>
        <w:tc>
          <w:tcPr>
            <w:tcBorders>
              <w:left w:val="single" w:color="000000" w:sz="6" w:space="0"/>
              <w:bottom w:val="single" w:color="000000" w:sz="4" w:space="0"/>
              <w:right w:val="single" w:color="000000" w:sz="6" w:space="0"/>
            </w:tcBorders>
            <w:tcMar>
              <w:left w:w="15" w:type="dxa"/>
              <w:top w:w="15" w:type="dxa"/>
              <w:right w:w="15" w:type="dxa"/>
              <w:bottom w:w="0" w:type="dxa"/>
            </w:tcMar>
            <w:tcW w:w="64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hộ 507 nhà N10 Khu chung cư Đồng Tầu, phường Thịnh Liệt, quận Hoàng Mai, Hà Nội</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Toà nhà N3 Khu chung cư Đồng Tầu, phường Thịnh Liệt, quận Hoàng Mai, Hà Nội</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Toà nhà N7 Khu chung cư Đồng Tầu, phường Thịnh Liệt, quận Hoàng Mai, Hà Nội</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Toà nhà N3 Khu chung cư Đồng Tầu, phường Thịnh Liệt, quận Hoàng Mai, Hà Nội</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2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2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66.092.593 </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67.475.926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67.437.500 </w:t>
            </w:r>
            <w:r/>
          </w:p>
        </w:tc>
      </w:tr>
      <w:tr>
        <w:trPr>
          <w:trHeight w:val="330"/>
        </w:trPr>
        <w:tc>
          <w:tcPr>
            <w:tcBorders>
              <w:left w:val="single" w:color="000000" w:sz="6" w:space="0"/>
              <w:bottom w:val="single" w:color="000000" w:sz="4" w:space="0"/>
              <w:right w:val="single" w:color="000000" w:sz="6" w:space="0"/>
            </w:tcBorders>
            <w:tcMar>
              <w:left w:w="15" w:type="dxa"/>
              <w:top w:w="15" w:type="dxa"/>
              <w:right w:w="15" w:type="dxa"/>
              <w:bottom w:w="0" w:type="dxa"/>
            </w:tcMar>
            <w:tcW w:w="64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căn hộ</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rPr>
                <w:rFonts w:ascii="Times New Roman" w:hAnsi="Times New Roman" w:eastAsia="Times New Roman" w:cs="Times New Roman"/>
                <w:b/>
                <w:color w:val="000000"/>
                <w:sz w:val="18"/>
                <w:vertAlign w:val="superscript"/>
              </w:rPr>
              <w:t xml:space="preserve">2</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54,39</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54,0</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54,0</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56,0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2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2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66.092.593 </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67.475.926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67.437.500 </w:t>
            </w:r>
            <w:r/>
          </w:p>
        </w:tc>
      </w:tr>
      <w:tr>
        <w:trPr>
          <w:trHeight w:val="560"/>
        </w:trPr>
        <w:tc>
          <w:tcPr>
            <w:tcBorders>
              <w:left w:val="single" w:color="000000" w:sz="6" w:space="0"/>
              <w:bottom w:val="single" w:color="000000" w:sz="4" w:space="0"/>
              <w:right w:val="single" w:color="000000" w:sz="6" w:space="0"/>
            </w:tcBorders>
            <w:tcMar>
              <w:left w:w="15" w:type="dxa"/>
              <w:top w:w="15" w:type="dxa"/>
              <w:right w:w="15" w:type="dxa"/>
              <w:bottom w:w="0" w:type="dxa"/>
            </w:tcMar>
            <w:tcW w:w="64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phòng ngủ - phòng vệ sinh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2PN + 1VS</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2PN + 1VS</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2PN + 1VS</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2PN + 1VS</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2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2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66.092.593 </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67.475.926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67.437.500 </w:t>
            </w:r>
            <w:r/>
          </w:p>
        </w:tc>
      </w:tr>
      <w:tr>
        <w:trPr>
          <w:trHeight w:val="420"/>
        </w:trPr>
        <w:tc>
          <w:tcPr>
            <w:tcBorders>
              <w:left w:val="single" w:color="000000" w:sz="6" w:space="0"/>
              <w:bottom w:val="single" w:color="000000" w:sz="4" w:space="0"/>
              <w:right w:val="single" w:color="000000" w:sz="6" w:space="0"/>
            </w:tcBorders>
            <w:tcMar>
              <w:left w:w="15" w:type="dxa"/>
              <w:top w:w="15" w:type="dxa"/>
              <w:right w:w="15" w:type="dxa"/>
              <w:bottom w:w="0" w:type="dxa"/>
            </w:tcMar>
            <w:tcW w:w="64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Hướng nhìn</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Hướng nhìn nội khu</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Hướng nhìn nội khu</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Hướng nhìn nội khu</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Hướng nhìn nội khu</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2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2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66.092.593 </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67.475.926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67.437.500 </w:t>
            </w:r>
            <w:r/>
          </w:p>
        </w:tc>
      </w:tr>
      <w:tr>
        <w:trPr>
          <w:trHeight w:val="280"/>
        </w:trPr>
        <w:tc>
          <w:tcPr>
            <w:tcBorders>
              <w:left w:val="single" w:color="000000" w:sz="6" w:space="0"/>
              <w:bottom w:val="single" w:color="000000" w:sz="4" w:space="0"/>
              <w:right w:val="single" w:color="000000" w:sz="6" w:space="0"/>
            </w:tcBorders>
            <w:tcMar>
              <w:left w:w="15" w:type="dxa"/>
              <w:top w:w="15" w:type="dxa"/>
              <w:right w:w="15" w:type="dxa"/>
              <w:bottom w:w="0" w:type="dxa"/>
            </w:tcMar>
            <w:tcW w:w="64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Số tầng</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5/9</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9</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8/9</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8</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r>
      <w:tr>
        <w:trPr>
          <w:trHeight w:val="32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1.982.778 </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2.024.278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2.023.125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68.075.370 </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69.500.204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69.460.625 </w:t>
            </w:r>
            <w:r/>
          </w:p>
        </w:tc>
      </w:tr>
      <w:tr>
        <w:trPr>
          <w:trHeight w:val="280"/>
        </w:trPr>
        <w:tc>
          <w:tcPr>
            <w:tcBorders>
              <w:left w:val="single" w:color="000000" w:sz="6" w:space="0"/>
              <w:bottom w:val="single" w:color="000000" w:sz="4" w:space="0"/>
              <w:right w:val="single" w:color="000000" w:sz="6" w:space="0"/>
            </w:tcBorders>
            <w:tcMar>
              <w:left w:w="15" w:type="dxa"/>
              <w:top w:w="15" w:type="dxa"/>
              <w:right w:w="15" w:type="dxa"/>
              <w:bottom w:w="0" w:type="dxa"/>
            </w:tcMar>
            <w:tcW w:w="64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Loại căn hộ</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góc</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góc</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r>
      <w:tr>
        <w:trPr>
          <w:trHeight w:val="32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1.982.778 </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2.023.125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70.058.148 </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69.500.204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71.483.750 </w:t>
            </w:r>
            <w:r/>
          </w:p>
        </w:tc>
      </w:tr>
      <w:tr>
        <w:trPr>
          <w:trHeight w:val="1225"/>
        </w:trPr>
        <w:tc>
          <w:tcPr>
            <w:tcBorders>
              <w:left w:val="single" w:color="000000" w:sz="6" w:space="0"/>
              <w:bottom w:val="single" w:color="000000" w:sz="4" w:space="0"/>
              <w:right w:val="single" w:color="000000" w:sz="6" w:space="0"/>
            </w:tcBorders>
            <w:tcMar>
              <w:left w:w="15" w:type="dxa"/>
              <w:top w:w="15" w:type="dxa"/>
              <w:right w:w="15" w:type="dxa"/>
              <w:bottom w:w="0" w:type="dxa"/>
            </w:tcMar>
            <w:tcW w:w="647"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Nội thất</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 Trần thạch cao, sàn gỗ, thiết bị vệ sinh, tủ bếp,..</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 Trần thạch cao, sàn gỗ, thiết bị vệ sinh, tủ bếp,..</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 Trần thạch cao, sàn gỗ, thiết bị vệ sinh, tủ bếp,..</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 Trần thạch cao, sàn gỗ, thiết bị vệ sinh, tủ bếp,..</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2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2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68.075.370 </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69.500.204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69.460.625 </w:t>
            </w:r>
            <w:r/>
          </w:p>
        </w:tc>
      </w:tr>
      <w:tr>
        <w:trPr>
          <w:trHeight w:val="330"/>
        </w:trPr>
        <w:tc>
          <w:tcPr>
            <w:tcBorders>
              <w:left w:val="single" w:color="000000" w:sz="6" w:space="0"/>
              <w:bottom w:val="single" w:color="000000" w:sz="6" w:space="0"/>
              <w:right w:val="single" w:color="000000" w:sz="6" w:space="0"/>
            </w:tcBorders>
            <w:tcMar>
              <w:left w:w="15" w:type="dxa"/>
              <w:top w:w="15" w:type="dxa"/>
              <w:right w:w="15" w:type="dxa"/>
              <w:bottom w:w="0" w:type="dxa"/>
            </w:tcMar>
            <w:tcW w:w="64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w:t>
            </w:r>
            <w:r>
              <w:rPr>
                <w:rFonts w:ascii="Times New Roman" w:hAnsi="Times New Roman" w:eastAsia="Times New Roman" w:cs="Times New Roman"/>
                <w:b/>
                <w:color w:val="000000"/>
                <w:sz w:val="18"/>
                <w:vertAlign w:val="superscript"/>
              </w:rPr>
              <w:t xml:space="preserve">2</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70.058.148 </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69.500.204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71.483.750 </w:t>
            </w:r>
            <w:r/>
          </w:p>
        </w:tc>
      </w:tr>
      <w:tr>
        <w:trPr>
          <w:trHeight w:val="320"/>
        </w:trPr>
        <w:tc>
          <w:tcPr>
            <w:tcBorders>
              <w:left w:val="single" w:color="000000" w:sz="6" w:space="0"/>
              <w:bottom w:val="single" w:color="000000" w:sz="6" w:space="0"/>
              <w:right w:val="single" w:color="000000" w:sz="6" w:space="0"/>
            </w:tcBorders>
            <w:tcMar>
              <w:left w:w="15" w:type="dxa"/>
              <w:top w:w="15" w:type="dxa"/>
              <w:right w:w="15" w:type="dxa"/>
              <w:bottom w:w="0" w:type="dxa"/>
            </w:tcMar>
            <w:tcW w:w="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tcBorders>
              <w:top w:val="single" w:color="000000" w:sz="6" w:space="0"/>
              <w:bottom w:val="single" w:color="000000" w:sz="6" w:space="0"/>
              <w:right w:val="single" w:color="000000" w:sz="6" w:space="0"/>
            </w:tcBorders>
            <w:tcMar>
              <w:left w:w="15" w:type="dxa"/>
              <w:top w:w="15" w:type="dxa"/>
              <w:right w:w="15" w:type="dxa"/>
              <w:bottom w:w="0" w:type="dxa"/>
            </w:tcMar>
            <w:tcW w:w="666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70.347.367 </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(làm tròn)</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tcBorders>
              <w:top w:val="single" w:color="000000" w:sz="6" w:space="0"/>
              <w:bottom w:val="single" w:color="000000" w:sz="6" w:space="0"/>
              <w:right w:val="single" w:color="000000" w:sz="6" w:space="0"/>
            </w:tcBorders>
            <w:tcMar>
              <w:left w:w="15" w:type="dxa"/>
              <w:top w:w="15" w:type="dxa"/>
              <w:right w:w="15" w:type="dxa"/>
              <w:bottom w:w="0" w:type="dxa"/>
            </w:tcMar>
            <w:tcW w:w="666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70.000.000 </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-0,4%</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4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gridSpan w:val="6"/>
            <w:tcBorders>
              <w:top w:val="single" w:color="000000" w:sz="6" w:space="0"/>
              <w:bottom w:val="single" w:color="000000" w:sz="6" w:space="0"/>
              <w:right w:val="single" w:color="000000" w:sz="4" w:space="0"/>
            </w:tcBorders>
            <w:tcMar>
              <w:left w:w="15" w:type="dxa"/>
              <w:top w:w="15" w:type="dxa"/>
              <w:right w:w="15" w:type="dxa"/>
              <w:bottom w:w="0" w:type="dxa"/>
            </w:tcMar>
            <w:tcW w:w="1260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3.965.556</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2.024.278</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4.046.250</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 </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 </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0-3%</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0-3%</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0-3%</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tcBorders>
              <w:bottom w:val="single" w:color="000000" w:sz="6" w:space="0"/>
              <w:right w:val="single" w:color="000000" w:sz="6" w:space="0"/>
            </w:tcBorders>
            <w:tcMar>
              <w:left w:w="15" w:type="dxa"/>
              <w:top w:w="15" w:type="dxa"/>
              <w:right w:w="15" w:type="dxa"/>
              <w:bottom w:w="0" w:type="dxa"/>
            </w:tcMar>
            <w:tcW w:w="214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tcBorders>
              <w:bottom w:val="single" w:color="000000" w:sz="6" w:space="0"/>
              <w:right w:val="single" w:color="000000" w:sz="6" w:space="0"/>
            </w:tcBorders>
            <w:tcMar>
              <w:left w:w="15" w:type="dxa"/>
              <w:top w:w="15" w:type="dxa"/>
              <w:right w:w="15" w:type="dxa"/>
              <w:bottom w:w="0" w:type="dxa"/>
            </w:tcMar>
            <w:tcW w:w="15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w:t>
            </w:r>
            <w:r>
              <w:rPr>
                <w:rFonts w:ascii="Times New Roman" w:hAnsi="Times New Roman" w:eastAsia="Times New Roman" w:cs="Times New Roman"/>
                <w:color w:val="000000"/>
                <w:sz w:val="18"/>
                <w:vertAlign w:val="superscript"/>
              </w:rPr>
              <w:t xml:space="preserve">2</w:t>
            </w:r>
            <w:r/>
          </w:p>
        </w:tc>
        <w:tc>
          <w:tcPr>
            <w:tcBorders>
              <w:bottom w:val="single" w:color="000000" w:sz="6" w:space="0"/>
              <w:right w:val="single" w:color="000000" w:sz="6" w:space="0"/>
            </w:tcBorders>
            <w:tcMar>
              <w:left w:w="15" w:type="dxa"/>
              <w:top w:w="15" w:type="dxa"/>
              <w:right w:w="15" w:type="dxa"/>
              <w:bottom w:w="0" w:type="dxa"/>
            </w:tcMar>
            <w:tcW w:w="219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3.965.556 </w:t>
            </w:r>
            <w:r/>
          </w:p>
        </w:tc>
        <w:tc>
          <w:tcPr>
            <w:tcBorders>
              <w:bottom w:val="single" w:color="000000" w:sz="6" w:space="0"/>
              <w:right w:val="single" w:color="000000" w:sz="6" w:space="0"/>
            </w:tcBorders>
            <w:tcMar>
              <w:left w:w="15" w:type="dxa"/>
              <w:top w:w="15" w:type="dxa"/>
              <w:right w:w="15" w:type="dxa"/>
              <w:bottom w:w="0" w:type="dxa"/>
            </w:tcMar>
            <w:tcW w:w="22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2.024.278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4.046.250 </w:t>
            </w:r>
            <w:r/>
          </w:p>
        </w:tc>
      </w:tr>
    </w:tbl>
    <w:p>
      <w:pPr>
        <w:pBdr/>
        <w:spacing w:after="120" w:before="120" w:line="276" w:lineRule="auto"/>
        <w:ind/>
        <w:jc w:val="both"/>
        <w:rPr>
          <w:b/>
          <w:bCs/>
          <w:i/>
          <w:iCs/>
          <w:highlight w:val="none"/>
        </w:rPr>
      </w:pPr>
      <w:r>
        <w:rPr>
          <w:i/>
          <w:iCs/>
          <w:u w:val="single"/>
        </w:rPr>
        <w:t xml:space="preserve"> </w:t>
      </w:r>
      <w:r>
        <w:rPr>
          <w:b/>
          <w:bCs/>
          <w:i/>
          <w:iCs/>
          <w:u w:val="single"/>
        </w:rPr>
        <w:t xml:space="preserve">Về nguyên tắc khống chế</w:t>
      </w:r>
      <w:r>
        <w:rPr>
          <w:b/>
          <w:bCs/>
          <w:i/>
          <w:iCs/>
        </w:rPr>
        <w:t xml:space="preserve">: </w:t>
      </w:r>
      <w:r>
        <w:rPr>
          <w:b/>
          <w:bCs/>
          <w:i/>
          <w:iCs/>
          <w:highlight w:val="none"/>
        </w:rPr>
      </w:r>
      <w:r>
        <w:rPr>
          <w:b/>
          <w:bCs/>
          <w:i/>
          <w:iCs/>
          <w:highlight w:val="none"/>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0,4</w:t>
      </w:r>
      <w:r>
        <w:t xml:space="preserve">% đến</w:t>
      </w:r>
      <w:r>
        <w:t xml:space="preserve"> 1,6%,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after="120" w:before="120" w:line="276" w:lineRule="auto"/>
        <w:ind/>
        <w:jc w:val="both"/>
        <w:rPr>
          <w:b/>
          <w:bCs/>
        </w:rPr>
      </w:pPr>
      <w:r>
        <w:rPr>
          <w:rFonts w:ascii="Times New Roman" w:hAnsi="Times New Roman" w:eastAsia="Times New Roman" w:cs="Times New Roman"/>
          <w:color w:val="000000"/>
          <w:spacing w:val="-4"/>
          <w:sz w:val="24"/>
        </w:rPr>
        <w:t xml:space="preserve">Tổ thẩm định đánh giá chất lượng thông tin về các tài sản so sánh là tương đương nhau; mức giá chỉ dẫn, tổng giá trị điều chỉnh gộp, tổng số lần điều chỉnh, biên độ điều chỉnh của các bất động sản chênh lệch không đáng kể. Do đó, tổ thẩm định sử dụng mức g</w:t>
      </w:r>
      <w:r>
        <w:rPr>
          <w:rFonts w:ascii="Times New Roman" w:hAnsi="Times New Roman" w:eastAsia="Times New Roman" w:cs="Times New Roman"/>
          <w:color w:val="000000"/>
          <w:spacing w:val="-4"/>
          <w:sz w:val="24"/>
        </w:rPr>
        <w:t xml:space="preserve">iá chỉ dẫn trung bình của 03 bất động sản so sánh làm mức giá của bất động sản thẩm định giá, tương ứng </w:t>
      </w:r>
      <w:r>
        <w:rPr>
          <w:rFonts w:ascii="Times New Roman" w:hAnsi="Times New Roman" w:eastAsia="Times New Roman" w:cs="Times New Roman"/>
          <w:color w:val="000000"/>
          <w:sz w:val="24"/>
        </w:rPr>
        <w:t xml:space="preserve">là: </w:t>
      </w:r>
      <w:r>
        <w:rPr>
          <w:rFonts w:ascii="Times New Roman" w:hAnsi="Times New Roman" w:eastAsia="Times New Roman" w:cs="Times New Roman"/>
          <w:b/>
          <w:color w:val="000000"/>
          <w:sz w:val="24"/>
        </w:rPr>
        <w:t xml:space="preserve">70.000.000 đồng/m² </w:t>
      </w:r>
      <w:r>
        <w:rPr>
          <w:rFonts w:ascii="Times New Roman" w:hAnsi="Times New Roman" w:eastAsia="Times New Roman" w:cs="Times New Roman"/>
          <w:i/>
          <w:color w:val="000000"/>
          <w:sz w:val="24"/>
        </w:rPr>
        <w:t xml:space="preserve">(làm tròn)</w:t>
      </w:r>
      <w:r>
        <w:rPr>
          <w:rFonts w:ascii="Times New Roman" w:hAnsi="Times New Roman" w:eastAsia="Times New Roman" w:cs="Times New Roman"/>
          <w:b/>
          <w:color w:val="000000"/>
          <w:sz w:val="24"/>
        </w:rPr>
        <w:t xml:space="preserve">.</w:t>
      </w:r>
      <w:r>
        <w:rPr>
          <w:b/>
          <w:bCs/>
        </w:rPr>
      </w:r>
      <w:r>
        <w:rPr>
          <w:b/>
          <w:bCs/>
        </w:rPr>
      </w:r>
    </w:p>
    <w:p>
      <w:pPr>
        <w:pStyle w:val="103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color w:val="000000" w:themeColor="text1"/>
              </w:rPr>
            </w:pPr>
            <w:r>
              <w:rPr>
                <w:b/>
                <w:bCs/>
                <w:color w:val="000000" w:themeColor="text1"/>
              </w:rPr>
              <w:t xml:space="preserve">Căn hộ chung cư số 507 nhà N10 khu chung cư Đồng Tầu, phường Thịnh Liệt, quận Hoàng Mai, thành phố Hà Nội (nay là phường Hoàng Mai, thành phố Hà Nội) theo Giấy chứng nhận quyền sử dụn</w:t>
            </w:r>
            <w:r>
              <w:rPr>
                <w:b/>
                <w:bCs/>
                <w:color w:val="000000" w:themeColor="text1"/>
              </w:rPr>
              <w:t xml:space="preserve">g đất quyền</w:t>
            </w:r>
            <w:r>
              <w:rPr>
                <w:b/>
                <w:bCs/>
                <w:color w:val="000000" w:themeColor="text1"/>
              </w:rPr>
              <w:t xml:space="preserve"> sở hữu nhà ở và tài sản khác gắn liền với đất số: BP 139469, số vào sổ cấp GCN: CH01379/HĐ: 1636/1471 do Uỷ ban nhân dân quận Hoàng Mai cấp ngày 21/6/2013; Chủ sở hữu căn hộ chung cư là Ông Nguyễn Thế Hùng và Bà Lê Thị Minh Châu (cập nhập ngày 1/12/2025).</w:t>
            </w:r>
            <w:r>
              <w:rPr>
                <w:b/>
                <w:bCs/>
                <w:color w:val="000000" w:themeColor="text1"/>
              </w:rPr>
            </w:r>
            <w:r>
              <w:rPr>
                <w:b/>
                <w:bCs/>
                <w:color w:val="000000" w:themeColor="text1"/>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Căn hộ chung cư</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54,39</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70.000.000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3.807.300.000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3.807.300.000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tám trăm lẻ bảy triệu ba trăm nghìn</w:t>
            </w:r>
            <w:r>
              <w:rPr>
                <w:b/>
                <w:bCs/>
                <w:i/>
                <w:iCs/>
                <w:color w:val="000000"/>
              </w:rPr>
              <w:t xml:space="preserve">./.)</w:t>
            </w:r>
            <w:r>
              <w:rPr>
                <w:b/>
                <w:bCs/>
                <w:i/>
                <w:iCs/>
                <w:color w:val="000000"/>
              </w:rPr>
            </w:r>
            <w:r>
              <w:rPr>
                <w:b/>
                <w:bCs/>
                <w:i/>
                <w:iCs/>
                <w:color w:val="000000"/>
              </w:rPr>
            </w:r>
          </w:p>
        </w:tc>
      </w:tr>
    </w:tbl>
    <w:p>
      <w:pPr>
        <w:pStyle w:val="103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7"/>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Bdr/>
        <w:shd w:val="nil"/>
        <w:spacing/>
        <w:ind/>
        <w:rPr>
          <w:lang w:val="pt-BR"/>
        </w:rPr>
      </w:pPr>
      <w:r>
        <w:rPr>
          <w:lang w:val="pt-BR"/>
        </w:rPr>
        <w:br w:type="page" w:clear="all"/>
      </w:r>
      <w:r>
        <w:rPr>
          <w:lang w:val="pt-BR"/>
        </w:rPr>
      </w:r>
      <w:r>
        <w:rPr>
          <w:lang w:val="pt-BR"/>
        </w:rPr>
      </w:r>
      <w:r>
        <w:rPr>
          <w:highlight w:val="none"/>
          <w:lang w:val="pt-BR" w:bidi="pt-BR"/>
        </w:rPr>
      </w:r>
      <w:r>
        <w:rPr>
          <w:highlight w:val="none"/>
          <w:lang w:val="pt-BR" w:bidi="pt-BR"/>
        </w:rPr>
      </w:r>
      <w:r>
        <w:rPr>
          <w:highlight w:val="none"/>
          <w:lang w:val="pt-BR"/>
        </w:rPr>
      </w:r>
      <w:r>
        <w:rPr>
          <w:lang w:val="pt-BR"/>
        </w:rPr>
      </w:r>
    </w:p>
    <w:p>
      <w:pPr>
        <w:pStyle w:val="1037"/>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275/2025/1723/VFI-CT.48.A</w:t>
      </w:r>
      <w:r>
        <w:rPr>
          <w:color w:val="ff0000"/>
          <w:lang w:val="vi-VN"/>
        </w:rPr>
        <w:t xml:space="preserve"> </w:t>
      </w:r>
      <w:r>
        <w:rPr>
          <w:color w:val="000000" w:themeColor="text1"/>
        </w:rPr>
        <w:t xml:space="preserve">ngày 4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9"/>
      </w:tblGrid>
      <w:tr>
        <w:trPr>
          <w:trHeight w:val="20"/>
        </w:trPr>
        <w:tc>
          <w:tcPr>
            <w:tcBorders/>
            <w:tcW w:w="4679" w:type="dxa"/>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r>
      <w:tr>
        <w:trPr>
          <w:trHeight w:val="1430"/>
        </w:trPr>
        <w:tc>
          <w:tcPr>
            <w:tcBorders/>
            <w:tcW w:w="4679"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r>
      <w:tr>
        <w:trPr>
          <w:trHeight w:val="20"/>
        </w:trPr>
        <w:tc>
          <w:tcPr>
            <w:tcBorders/>
            <w:tcW w:w="4679"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275/2025/1723/VFI-BC.48.A</w:t>
      </w:r>
      <w:r>
        <w:rPr>
          <w:i/>
          <w:lang w:val="pt-BR"/>
        </w:rPr>
        <w:t xml:space="preserve"> </w:t>
      </w:r>
      <w:r>
        <w:rPr>
          <w:i/>
          <w:lang w:val="pt-BR"/>
        </w:rPr>
        <w:t xml:space="preserve">4 tháng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rHeight w:val="2808"/>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526302" cy="218339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658939" name=""/>
                              <pic:cNvPicPr>
                                <a:picLocks noChangeAspect="1"/>
                              </pic:cNvPicPr>
                              <pic:nvPr/>
                            </pic:nvPicPr>
                            <pic:blipFill>
                              <a:blip r:embed="rId19"/>
                              <a:stretch/>
                            </pic:blipFill>
                            <pic:spPr bwMode="auto">
                              <a:xfrm flipH="0" flipV="0">
                                <a:off x="0" y="0"/>
                                <a:ext cx="1526302" cy="21833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0.18pt;height:171.92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34353"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0"/>
                              <a:stretch/>
                            </pic:blipFill>
                            <pic:spPr bwMode="auto">
                              <a:xfrm>
                                <a:off x="0" y="0"/>
                                <a:ext cx="1434353"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94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1"/>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9.22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009159" cy="218936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646594" name=""/>
                              <pic:cNvPicPr>
                                <a:picLocks noChangeAspect="1"/>
                              </pic:cNvPicPr>
                              <pic:nvPr/>
                            </pic:nvPicPr>
                            <pic:blipFill>
                              <a:blip r:embed="rId22"/>
                              <a:stretch/>
                            </pic:blipFill>
                            <pic:spPr bwMode="auto">
                              <a:xfrm flipH="0" flipV="0">
                                <a:off x="0" y="0"/>
                                <a:ext cx="1009158" cy="21893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79.46pt;height:172.3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34353"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3"/>
                              <a:stretch/>
                            </pic:blipFill>
                            <pic:spPr bwMode="auto">
                              <a:xfrm>
                                <a:off x="0" y="0"/>
                                <a:ext cx="1434353"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94pt;height:150.0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34353"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4"/>
                              <a:stretch/>
                            </pic:blipFill>
                            <pic:spPr bwMode="auto">
                              <a:xfrm>
                                <a:off x="0" y="0"/>
                                <a:ext cx="1434353"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12.94pt;height:150.00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275/2025/1723/VFI-BC.48.A</w:t>
      </w:r>
      <w:r>
        <w:rPr>
          <w:i/>
          <w:lang w:val="pt-BR"/>
        </w:rPr>
        <w:t xml:space="preserve"> </w:t>
      </w:r>
      <w:r>
        <w:rPr>
          <w:i/>
          <w:lang w:val="pt-BR"/>
        </w:rPr>
        <w:t xml:space="preserve">ngày 4 tháng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left"/>
        <w:rPr>
          <w:i/>
          <w:lang w:val="pt-BR"/>
        </w:rPr>
      </w:pPr>
      <w:r>
        <w:rPr>
          <w:i/>
          <w:lang w:val="pt-BR"/>
        </w:rPr>
      </w:r>
      <w:r>
        <mc:AlternateContent>
          <mc:Choice Requires="wpg">
            <w:drawing>
              <wp:inline xmlns:wp="http://schemas.openxmlformats.org/drawingml/2006/wordprocessingDrawing" distT="0" distB="0" distL="0" distR="0">
                <wp:extent cx="6048375" cy="717015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683094" name=""/>
                        <pic:cNvPicPr>
                          <a:picLocks noChangeAspect="1"/>
                        </pic:cNvPicPr>
                        <pic:nvPr/>
                      </pic:nvPicPr>
                      <pic:blipFill>
                        <a:blip r:embed="rId25"/>
                        <a:stretch/>
                      </pic:blipFill>
                      <pic:spPr bwMode="auto">
                        <a:xfrm>
                          <a:off x="0" y="0"/>
                          <a:ext cx="6048374" cy="71701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564.58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left"/>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bl>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b/>
          <w:bCs/>
          <w:iCs/>
          <w:highlight w:val="none"/>
          <w:lang w:val="pt-BR"/>
        </w:rPr>
      </w:pPr>
      <w:r>
        <w:rPr>
          <w:b/>
          <w:bCs/>
          <w:iCs/>
          <w:lang w:val="pt-BR"/>
        </w:rPr>
        <w:t xml:space="preserve">TSSS 2</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723595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014940" name=""/>
                        <pic:cNvPicPr>
                          <a:picLocks noChangeAspect="1"/>
                        </pic:cNvPicPr>
                        <pic:nvPr/>
                      </pic:nvPicPr>
                      <pic:blipFill>
                        <a:blip r:embed="rId26"/>
                        <a:stretch/>
                      </pic:blipFill>
                      <pic:spPr bwMode="auto">
                        <a:xfrm>
                          <a:off x="0" y="0"/>
                          <a:ext cx="6048374" cy="72359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569.76pt;mso-wrap-distance-left:0.00pt;mso-wrap-distance-top:0.00pt;mso-wrap-distance-right:0.00pt;mso-wrap-distance-bottom:0.00pt;z-index:1;" stroked="false">
                <v:imagedata r:id="rId26" o:title=""/>
                <o:lock v:ext="edit" rotation="t"/>
              </v:shape>
            </w:pict>
          </mc:Fallback>
        </mc:AlternateContent>
      </w:r>
      <w:r>
        <w:rPr>
          <w:b/>
          <w:bCs/>
        </w:rPr>
      </w:r>
      <w:r>
        <w:rPr>
          <w:b/>
          <w:bCs/>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left"/>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tabs>
                <w:tab w:val="left" w:leader="none" w:pos="3683"/>
              </w:tabs>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756715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92559" name=""/>
                        <pic:cNvPicPr>
                          <a:picLocks noChangeAspect="1"/>
                        </pic:cNvPicPr>
                        <pic:nvPr/>
                      </pic:nvPicPr>
                      <pic:blipFill>
                        <a:blip r:embed="rId27"/>
                        <a:stretch/>
                      </pic:blipFill>
                      <pic:spPr bwMode="auto">
                        <a:xfrm flipH="0" flipV="0">
                          <a:off x="0" y="0"/>
                          <a:ext cx="6048374" cy="75671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595.84pt;mso-wrap-distance-left:0.00pt;mso-wrap-distance-top:0.00pt;mso-wrap-distance-right:0.00pt;mso-wrap-distance-bottom:0.00pt;z-index:1;" stroked="false">
                <v:imagedata r:id="rId27"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Phạm Thị Dung</w:t>
            </w:r>
            <w:r>
              <w:rPr>
                <w:highlight w:val="none"/>
              </w:rPr>
            </w:r>
            <w:r>
              <w:rPr>
                <w:highlight w:val="none"/>
              </w:rPr>
            </w:r>
          </w:p>
        </w:tc>
      </w:tr>
    </w:tbl>
    <w:p>
      <w:pPr>
        <w:pBdr/>
        <w:spacing/>
        <w:ind/>
        <w:rPr/>
      </w:pPr>
      <w: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14:ligatures w14:val="none"/>
      </w:rPr>
    </w:pPr>
    <w:r>
      <w:rPr>
        <w14:ligatures w14:val="none"/>
      </w:rPr>
    </w:r>
    <w:r>
      <w:rPr>
        <w14:ligatures w14:val="none"/>
      </w:rPr>
    </w:r>
    <w:r>
      <w:rPr>
        <w14:ligatures w14:val="none"/>
      </w:rP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32f" w:themeColor="accent3" w:themeTint="FE" w:themeShade="95"/>
      </w:rPr>
      <w:pPr>
        <w:pBdr/>
        <w:spacing/>
        <w:ind/>
      </w:pPr>
      <w:tblPr>
        <w:tblBorders/>
      </w:tblPr>
      <w:tcPr>
        <w:tcBorders/>
      </w:tcPr>
    </w:tblStylePr>
    <w:tblStylePr w:type="firstRow">
      <w:rPr>
        <w:b/>
        <w:color w:val="5c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32f" w:themeColor="accent3" w:themeTint="FE" w:themeShade="95"/>
      </w:rPr>
      <w:pPr>
        <w:pBdr/>
        <w:spacing/>
        <w:ind/>
      </w:pPr>
      <w:tblPr>
        <w:tblBorders/>
      </w:tblPr>
      <w:tcPr>
        <w:tcBorders/>
      </w:tcPr>
    </w:tblStylePr>
    <w:tblStylePr w:type="lastRow">
      <w:rPr>
        <w:b/>
        <w:color w:val="5c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c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93f" w:themeColor="accent3" w:themeTint="98" w:themeShade="95"/>
      </w:rPr>
      <w:pPr>
        <w:pBdr/>
        <w:spacing/>
        <w:ind/>
      </w:pPr>
      <w:tblPr>
        <w:tblBorders/>
      </w:tblPr>
      <w:tcPr>
        <w:tcBorders/>
      </w:tcPr>
    </w:tblStylePr>
    <w:tblStylePr w:type="firstRow">
      <w:rPr>
        <w:b/>
        <w:color w:val="7c99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93f" w:themeColor="accent3" w:themeTint="98" w:themeShade="95"/>
      </w:rPr>
      <w:pPr>
        <w:pBdr/>
        <w:spacing/>
        <w:ind/>
      </w:pPr>
      <w:tblPr>
        <w:tblBorders/>
      </w:tblPr>
      <w:tcPr>
        <w:tcBorders/>
      </w:tcPr>
    </w:tblStylePr>
    <w:tblStylePr w:type="lastRow">
      <w:rPr>
        <w:b/>
        <w:color w:val="7c99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ba3" w:themeColor="accent5" w:themeTint="9A" w:themeShade="95"/>
      </w:rPr>
      <w:pPr>
        <w:pBdr/>
        <w:spacing/>
        <w:ind/>
      </w:pPr>
      <w:tblPr>
        <w:tblBorders/>
      </w:tblPr>
      <w:tcPr>
        <w:tcBorders/>
      </w:tcPr>
    </w:tblStylePr>
    <w:tblStylePr w:type="firstRow">
      <w:rPr>
        <w:b/>
        <w:color w:val="33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38ba3" w:themeColor="accent5" w:themeTint="9A" w:themeShade="95"/>
      </w:rPr>
      <w:pPr>
        <w:pBdr/>
        <w:spacing/>
        <w:ind/>
      </w:pPr>
      <w:tblPr>
        <w:tblBorders/>
      </w:tblPr>
      <w:tcPr>
        <w:tcBorders/>
      </w:tcPr>
    </w:tblStylePr>
    <w:tblStylePr w:type="lastRow">
      <w:rPr>
        <w:b/>
        <w:color w:val="33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80a" w:themeColor="accent6" w:themeTint="98" w:themeShade="95"/>
      </w:rPr>
      <w:pPr>
        <w:pBdr/>
        <w:spacing/>
        <w:ind/>
      </w:pPr>
      <w:tblPr>
        <w:tblBorders/>
      </w:tblPr>
      <w:tcPr>
        <w:tcBorders/>
      </w:tcPr>
    </w:tblStylePr>
    <w:tblStylePr w:type="firstRow">
      <w:rPr>
        <w:b/>
        <w:color w:val="dd68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80a" w:themeColor="accent6" w:themeTint="98" w:themeShade="95"/>
      </w:rPr>
      <w:pPr>
        <w:pBdr/>
        <w:spacing/>
        <w:ind/>
      </w:pPr>
      <w:tblPr>
        <w:tblBorders/>
      </w:tblPr>
      <w:tcPr>
        <w:tcBorders/>
      </w:tcPr>
    </w:tblStylePr>
    <w:tblStylePr w:type="lastRow">
      <w:rPr>
        <w:b/>
        <w:color w:val="dd68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a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9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9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9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9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9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3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8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8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8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8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8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image" Target="media/image3.png"/><Relationship Id="rId17" Type="http://schemas.openxmlformats.org/officeDocument/2006/relationships/hyperlink" Target="https://batdongsan.com.vn/ban-can-ho-chung-cu-pho-phuong-mai-phuong-phuong-mai/sieu-hiem-sieu-re-tang-1-tap-the-2-4-ty-2pn-1wc-so-do-24m2-thuc-te-52m2-pr42617236" TargetMode="External"/><Relationship Id="rId18" Type="http://schemas.openxmlformats.org/officeDocument/2006/relationships/hyperlink" Target="https://alonhadat.com.vn/-ban-nha-chung-cu-dong-phat-vinh-hoang-lo-goc-3pn-90m-5-49-ty-16774805.html" TargetMode="External"/><Relationship Id="rId19" Type="http://schemas.openxmlformats.org/officeDocument/2006/relationships/image" Target="media/image4.jp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onlyoffice/9.0.4.50</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280</cp:revision>
  <dcterms:created xsi:type="dcterms:W3CDTF">2025-09-15T09:58:00Z</dcterms:created>
  <dcterms:modified xsi:type="dcterms:W3CDTF">2025-12-05T09:16:32Z</dcterms:modified>
</cp:coreProperties>
</file>