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0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0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275/2025/1723/VFI-CT.48.A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Căn hộ chung cư số 507 nhà N10 Khu chung cư Đồng Tầu, phường Thịnh Liệt, quận Hoàng Mai, thành phố Hà Nội (nay là phường Hoàng Mai, thành phố Hà Nội) theo Giấy chứng nhận quyền sử dụn</w:t>
                            </w:r>
                            <w:r>
                              <w:rPr>
                                <w:color w:val="000000"/>
                              </w:rPr>
                              <w:t xml:space="preserve">g đất quy</w:t>
                            </w:r>
                            <w:r>
                              <w:rPr>
                                <w:color w:val="000000"/>
                              </w:rPr>
                              <w:t xml:space="preserve">ền sở hữu nhà ở và tài sản khác gắn liền với đất số: BP 139469, số vào sổ cấp GCN: CH01379/HĐ:1636/1471 do Uỷ ban nhân dân quận Hoàng Mai cấp ngày 21/6/2013; Chủ sở hữu căn hộ chung cư là Ông Nguyễn Thế Hùng và Bà Lê Thị Minh Châu (cập nhập ngày 1/12/2025)</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275/2025/1723/VFI-CT.48.A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Căn hộ chung cư số 507 nhà N10 Khu chung cư Đồng Tầu, phường Thịnh Liệt, quận Hoàng Mai, thành phố Hà Nội (nay là phường Hoàng Mai, thành phố Hà Nội) theo Giấy chứng nhận quyền sử dụn</w:t>
                      </w:r>
                      <w:r>
                        <w:rPr>
                          <w:color w:val="000000"/>
                        </w:rPr>
                        <w:t xml:space="preserve">g đất quy</w:t>
                      </w:r>
                      <w:r>
                        <w:rPr>
                          <w:color w:val="000000"/>
                        </w:rPr>
                        <w:t xml:space="preserve">ền sở hữu nhà ở và tài sản khác gắn liền với đất số: BP 139469, số vào sổ cấp GCN: CH01379/HĐ:1636/1471 do Uỷ ban nhân dân quận Hoàng Mai cấp ngày 21/6/2013; Chủ sở hữu căn hộ chung cư là Ông Nguyễn Thế Hùng và Bà Lê Thị Minh Châu (cập nhập ngày 1/12/2025)</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line="276" w:lineRule="auto"/>
        <w:ind w:right="-1" w:firstLine="0" w:left="0"/>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rFonts w:ascii="Times New Roman" w:hAnsi="Times New Roman" w:eastAsia="Times New Roman" w:cs="Times New Roman"/>
          <w:b/>
          <w:color w:val="000000"/>
          <w:sz w:val="28"/>
        </w:rPr>
        <w:t xml:space="preserve"> </w:t>
      </w:r>
      <w:r/>
    </w:p>
    <w:p>
      <w:pPr>
        <w:pBdr>
          <w:top w:val="none" w:color="000000" w:sz="4" w:space="0"/>
          <w:left w:val="none" w:color="000000" w:sz="4" w:space="0"/>
          <w:bottom w:val="none" w:color="000000" w:sz="4" w:space="0"/>
          <w:right w:val="none" w:color="000000" w:sz="4" w:space="0"/>
        </w:pBdr>
        <w:spacing w:line="276" w:lineRule="auto"/>
        <w:ind w:right="-1" w:firstLine="0" w:left="0"/>
        <w:jc w:val="center"/>
        <w:rPr/>
      </w:pPr>
      <w:r>
        <w:rPr>
          <w:b/>
          <w:sz w:val="28"/>
        </w:rPr>
      </w:r>
      <w:r>
        <w:rPr>
          <w:b/>
          <w:sz w:val="28"/>
        </w:rPr>
      </w: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36"/>
              <w:pBdr/>
              <w:spacing w:after="60" w:before="200"/>
              <w:ind/>
              <w:rPr>
                <w:rStyle w:val="1035"/>
                <w:rFonts w:ascii="Times New Roman" w:hAnsi="Times New Roman"/>
                <w:color w:val="auto"/>
                <w:lang w:val="pt-BR"/>
              </w:rPr>
            </w:pPr>
            <w:r>
              <w:rPr>
                <w:rFonts w:ascii="Times New Roman" w:hAnsi="Times New Roman"/>
                <w:color w:val="auto"/>
                <w:lang w:val="pt-BR"/>
              </w:rPr>
            </w:r>
            <w:r>
              <w:rPr>
                <w:rStyle w:val="1035"/>
                <w:rFonts w:ascii="Times New Roman" w:hAnsi="Times New Roman"/>
                <w:color w:val="auto"/>
                <w:lang w:val="pt-BR"/>
              </w:rPr>
            </w:r>
            <w:r>
              <w:rPr>
                <w:rStyle w:val="1035"/>
                <w:rFonts w:ascii="Times New Roman" w:hAnsi="Times New Roman"/>
                <w:color w:val="auto"/>
                <w:lang w:val="pt-BR"/>
              </w:rPr>
            </w:r>
          </w:p>
          <w:p>
            <w:pPr>
              <w:pStyle w:val="1036"/>
              <w:pBdr/>
              <w:spacing w:after="60" w:before="200"/>
              <w:ind/>
              <w:rPr>
                <w:sz w:val="24"/>
                <w:szCs w:val="24"/>
              </w:rPr>
            </w:pPr>
            <w:r>
              <w:rPr>
                <w:rStyle w:val="1035"/>
                <w:rFonts w:ascii="Times New Roman" w:hAnsi="Times New Roman"/>
                <w:color w:val="auto"/>
                <w:lang w:val="pt-BR"/>
              </w:rPr>
              <w:t xml:space="preserve">Số:</w:t>
            </w:r>
            <w:r>
              <w:rPr>
                <w:rStyle w:val="1035"/>
                <w:rFonts w:ascii="Times New Roman" w:hAnsi="Times New Roman"/>
                <w:color w:val="auto"/>
                <w:lang w:val="pt-BR"/>
              </w:rPr>
              <w:t xml:space="preserve"> </w:t>
            </w:r>
            <w:r>
              <w:rPr>
                <w:rStyle w:val="1035"/>
                <w:rFonts w:ascii="Times New Roman" w:hAnsi="Times New Roman"/>
                <w:color w:val="000000" w:themeColor="text1"/>
                <w:lang w:val="pt-BR"/>
              </w:rPr>
              <w:t xml:space="preserve">275/2025/1723/VFI-CT.48.A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6"/>
              <w:pBdr/>
              <w:spacing w:after="60" w:before="20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pPr>
              <w:pStyle w:val="1036"/>
              <w:pBdr/>
              <w:spacing w:after="60" w:before="200"/>
              <w:ind w:right="-56"/>
              <w:jc w:val="right"/>
              <w:rPr>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4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sz w:val="24"/>
                <w:szCs w:val="24"/>
                <w:lang w:val="vi-VN"/>
              </w:rPr>
            </w:r>
            <w:r>
              <w:rPr>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THẾ HÙNG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275/2025/1723/VFI-HĐTĐ.48.A</w:t>
      </w:r>
      <w:r>
        <w:rPr>
          <w:spacing w:val="-4"/>
          <w:lang w:val="vi-VN"/>
        </w:rPr>
        <w:t xml:space="preserve"> ký ngày </w:t>
      </w:r>
      <w:r>
        <w:rPr>
          <w:color w:val="000000" w:themeColor="text1"/>
          <w:spacing w:val="-4"/>
        </w:rPr>
        <w:t xml:space="preserve">2 tháng 12 năm 2025</w:t>
      </w:r>
      <w:r>
        <w:rPr>
          <w:spacing w:val="-4"/>
          <w:lang w:val="vi-VN"/>
        </w:rPr>
        <w:t xml:space="preserve"> </w:t>
      </w:r>
      <w:r>
        <w:rPr>
          <w:spacing w:val="-4"/>
          <w:lang w:val="vi-VN"/>
        </w:rPr>
        <w:t xml:space="preserve">giữa </w:t>
      </w:r>
      <w:r>
        <w:rPr>
          <w:bCs/>
        </w:rPr>
        <w:t xml:space="preserve">Ông Nguyễn Thế Hùng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THẾ HÙNG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001062057515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Căn hộ chung cư số 507 nhà N10 khu chung cư Đồng Tầu, phường Thịnh Liệt, quận Hoàng Mai, thành phố Hà Nội (nay là phường Hoàng Mai, thành phố Hà Nội) theo Giấy chứng nhận quyền sử dụn</w:t>
      </w:r>
      <w:r>
        <w:rPr>
          <w:color w:val="000000" w:themeColor="text1"/>
        </w:rPr>
        <w:t xml:space="preserve">g đất quyền</w:t>
      </w:r>
      <w:r>
        <w:rPr>
          <w:color w:val="000000" w:themeColor="text1"/>
        </w:rPr>
        <w:t xml:space="preserve"> sở hữu nhà ở và tài sản khác gắn liền với đất số: </w:t>
      </w:r>
      <w:r>
        <w:rPr>
          <w:color w:val="000000"/>
        </w:rPr>
        <w:t xml:space="preserve">BP 139469</w:t>
      </w:r>
      <w:r>
        <w:rPr>
          <w:color w:val="000000" w:themeColor="text1"/>
        </w:rPr>
        <w:t xml:space="preserve">, số vào sổ cấp GCN: CH01379/HĐ: 1636/1471 do Uỷ ban nhân dân quận Hoàng Mai cấp ngày 21/6/2013; Chủ sở hữu căn hộ chung cư là Ông Nguyễn Thế Hùng và Bà Lê Thị Minh Châu (cập nhập ngày 1/12/2025).</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color w:val="000000" w:themeColor="text1"/>
              </w:rPr>
            </w:pPr>
            <w:r>
              <w:rPr>
                <w:b/>
                <w:bCs/>
                <w:color w:val="000000" w:themeColor="text1"/>
              </w:rPr>
              <w:t xml:space="preserve">Căn hộ chung cư số 507 nhà N10 khu chung cư Đồng Tầu, phường Thịnh Liệt, quận Hoàng Mai, thành phố Hà Nội (nay là phường Hoàng Mai, thành phố Hà Nội) theo Giấy chứng nhận quyền sử dụn</w:t>
            </w:r>
            <w:r>
              <w:rPr>
                <w:b/>
                <w:bCs/>
                <w:color w:val="000000" w:themeColor="text1"/>
              </w:rPr>
              <w:t xml:space="preserve">g đất quyền</w:t>
            </w:r>
            <w:r>
              <w:rPr>
                <w:b/>
                <w:bCs/>
                <w:color w:val="000000" w:themeColor="text1"/>
              </w:rPr>
              <w:t xml:space="preserve"> sở hữu nhà ở và tài sản khác gắn liền với đất số: BP 139469, số vào sổ cấp GCN: CH01379/HĐ: 1636/1471 do Uỷ ban nhân dân quận Hoàng Mai cấp ngày 21/6/2013; Chủ sở hữu căn hộ chung cư là Ông Nguyễn Thế Hùng và Bà Lê Thị Minh Châu (cập nhập ngày 1/12/2025).</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Căn hộ chung cư</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54,39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3.807.300.000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3.807.300.000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lẻ bảy triệu ba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3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275/2025/1723/VFI-BC.48.A</w:t>
            </w:r>
            <w:r>
              <w:rPr>
                <w:sz w:val="24"/>
                <w:szCs w:val="24"/>
              </w:rPr>
            </w:r>
            <w:r>
              <w:rPr>
                <w:sz w:val="24"/>
                <w:szCs w:val="24"/>
              </w:rPr>
            </w:r>
          </w:p>
        </w:tc>
        <w:tc>
          <w:tcPr>
            <w:tcBorders/>
            <w:tcW w:w="4781" w:type="dxa"/>
            <w:textDirection w:val="lrTb"/>
            <w:noWrap w:val="false"/>
          </w:tcPr>
          <w:p>
            <w:pPr>
              <w:pStyle w:val="1036"/>
              <w:pBdr/>
              <w:tabs>
                <w:tab w:val="left" w:leader="none" w:pos="5103"/>
              </w:tabs>
              <w:spacing w:before="100" w:line="360" w:lineRule="auto"/>
              <w:ind/>
              <w:jc w:val="right"/>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pPr>
              <w:pStyle w:val="1036"/>
              <w:pBdr/>
              <w:tabs>
                <w:tab w:val="left" w:leader="none" w:pos="5103"/>
              </w:tabs>
              <w:spacing w:before="100" w:line="360" w:lineRule="auto"/>
              <w:ind/>
              <w:jc w:val="right"/>
              <w:rPr>
                <w:i/>
                <w:iCs/>
                <w:sz w:val="24"/>
                <w:szCs w:val="24"/>
              </w:rPr>
            </w:pPr>
            <w:r>
              <w:rPr>
                <w:rStyle w:val="1035"/>
                <w:rFonts w:ascii="Times New Roman" w:hAnsi="Times New Roman"/>
                <w:i/>
                <w:color w:val="auto"/>
              </w:rPr>
              <w:t xml:space="preserve">TP</w:t>
            </w:r>
            <w:r>
              <w:rPr>
                <w:rStyle w:val="1035"/>
                <w:rFonts w:ascii="Times New Roman" w:hAnsi="Times New Roman"/>
                <w:color w:val="auto"/>
              </w:rPr>
              <w:t xml:space="preserve">.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i/>
                <w:iCs/>
                <w:color w:val="000000" w:themeColor="text1"/>
                <w:sz w:val="24"/>
                <w:szCs w:val="24"/>
                <w:lang w:val="pt-BR"/>
              </w:rPr>
              <w:t xml:space="preserve">ngày 4 tháng 12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i/>
                <w:iCs/>
                <w:sz w:val="24"/>
                <w:szCs w:val="24"/>
              </w:rPr>
            </w:r>
            <w:r>
              <w:rPr>
                <w:i/>
                <w:iCs/>
                <w:sz w:val="24"/>
                <w:szCs w:val="24"/>
              </w:rPr>
            </w:r>
          </w:p>
        </w:tc>
      </w:tr>
    </w:tbl>
    <w:p>
      <w:pPr>
        <w:pStyle w:val="103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THẾ HÙNG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001062057515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Căn hộ chung cư số 507 nhà N10 khu chung cư Đồng Tầu, phường Thịnh Liệt, quận Hoàng Mai, thành phố Hà Nội (nay là phường Hoàng Mai, thành phố Hà Nội) theo Giấy chứng nhận quyền sử dụn</w:t>
            </w:r>
            <w:r>
              <w:rPr>
                <w:bCs/>
                <w:color w:val="000000" w:themeColor="text1"/>
                <w:lang w:val="pt-BR"/>
              </w:rPr>
              <w:t xml:space="preserve">g đất quyề</w:t>
            </w:r>
            <w:r>
              <w:rPr>
                <w:bCs/>
                <w:color w:val="000000" w:themeColor="text1"/>
                <w:lang w:val="pt-BR"/>
              </w:rPr>
              <w:t xml:space="preserve">n sở hữu nhà ở và tài sản khác gắn liền với đất số: BP 139469, số vào sổ cấp GCN: CH01379/HĐ: 1636/1471 do Uỷ ban nhân dân quận Hoàng Mai cấp ngày 21/6/2013; Chủ sở hữu căn hộ chung cư là Ông Nguyễn Thế Hùng và Bà Lê Thị Minh Châu (cập nhập ngày 1/12/2025)</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Căn hộ số 507 nhà số 10 khu chung cư Đồng Tầu, Phường Thịnh Liệt, Quận Hoàng Mai,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418" w:lineRule="atLeast"/>
              <w:ind w:right="0" w:firstLine="0" w:left="0"/>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20°58'16.2"N 105°50'60.0"E</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w:t>
      </w:r>
      <w:r>
        <w:rPr>
          <w:bCs/>
          <w:color w:val="000000" w:themeColor="text1"/>
          <w:lang w:val="pt-BR"/>
        </w:rPr>
        <w:t xml:space="preserve">g đất quyền</w:t>
      </w:r>
      <w:r>
        <w:rPr>
          <w:bCs/>
          <w:color w:val="000000" w:themeColor="text1"/>
          <w:lang w:val="pt-BR"/>
        </w:rPr>
        <w:t xml:space="preserve"> sở hữu nhà ở và tài sản khác gắn liền với đất số: BP 139469, số vào sổ cấp GCN: CH01379/HĐ: 1636/1471 do Uỷ ban nhân dân quận Hoàng Mai cấp ngày 21/6/2013; Chủ sở hữu căn hộ chung cư là Ông Nguyễn Thế Hùng và Bà Lê Thị Minh Châu (cập nhập ngày 1/12/2025).</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275/2025/1723/VFI-HĐTĐ.48.A</w:t>
      </w:r>
      <w:r>
        <w:rPr>
          <w:rFonts w:ascii="Times New Roman" w:hAnsi="Times New Roman" w:eastAsia="Times New Roman" w:cs="Times New Roman"/>
          <w:color w:val="000000" w:themeColor="text1"/>
          <w:sz w:val="24"/>
          <w:szCs w:val="24"/>
          <w:lang w:val="pt-BR"/>
        </w:rPr>
        <w:t xml:space="preserve"> ngày 03/12/2025 giữa Ông Nguyễn Thế Hùng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Bất động sản Hoàng Mai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tâm</w:t>
      </w:r>
      <w:r>
        <w:rPr>
          <w:rFonts w:ascii="Times New Roman" w:hAnsi="Times New Roman" w:eastAsia="Times New Roman" w:cs="Times New Roman"/>
          <w:color w:val="000000"/>
          <w:sz w:val="24"/>
        </w:rPr>
        <w:t xml:space="preserve">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căn hộ chung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w:t>
      </w:r>
      <w:r>
        <w:rPr>
          <w:rFonts w:ascii="Times New Roman" w:hAnsi="Times New Roman" w:eastAsia="Times New Roman" w:cs="Times New Roman"/>
          <w:color w:val="000000"/>
          <w:sz w:val="24"/>
        </w:rPr>
        <w:t xml:space="preserve">ội, nhưng giá căn hộ tại đây đã và đang tăng trưởng đáng kể trong những năm gần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w:t>
      </w:r>
      <w:r>
        <w:rPr>
          <w:rFonts w:ascii="Times New Roman" w:hAnsi="Times New Roman" w:eastAsia="Times New Roman" w:cs="Times New Roman"/>
          <w:color w:val="000000"/>
          <w:sz w:val="24"/>
        </w:rPr>
        <w:t xml:space="preserve"> đã tăng 7,4% mỗi năm, thể hiện sự tăng trưởng mạnh mẽ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Tương tự, dự án tại Khu đô thị mới Linh Đàm ghi nhận mức giá trung bình hiện nay khoảng 31,29-70,11 triệu đồng/m2, trong khi năm 2019, con số này chỉ vào khoảng 22 triệu đồng/m2. Trong năm vừa qua, từ quý IV/2022 đến quý IV/2023, giá bán tại khu vực này đ</w:t>
      </w:r>
      <w:r>
        <w:rPr>
          <w:rFonts w:ascii="Times New Roman" w:hAnsi="Times New Roman" w:eastAsia="Times New Roman" w:cs="Times New Roman"/>
          <w:color w:val="000000"/>
          <w:sz w:val="24"/>
        </w:rPr>
        <w:t xml:space="preserve">ã tăng 11,1%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Feliz Homes (Hoàng Văn Thụ, Hoàng Mai) cũng cho thấy xu hướng tương tự, với giá bán căn hộ trung bình hiện nay từ 49,57-72,92 triệu đồng/m2, so với mức giá 25-29,2 triệu đồng/m2 vào quý II/2020. Từ quý IV/2022 đến quý IV/2023, giá căn hộ tại đây đã </w:t>
      </w:r>
      <w:r>
        <w:rPr>
          <w:rFonts w:ascii="Times New Roman" w:hAnsi="Times New Roman" w:eastAsia="Times New Roman" w:cs="Times New Roman"/>
          <w:color w:val="000000"/>
          <w:sz w:val="24"/>
        </w:rPr>
        <w:t xml:space="preserve">tăng 6,3%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Cuối cùng, tại dự án Sunshine Palace (Mai Động, Hoàng Mai), giá căn hộ hiện đang ở mức từ 48,78 - 74,63 triệu đồng/m2, so với mức 26 - 30,3 triệu đồng/m2 vào quý I/2019.</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rPr>
          <w:bCs/>
          <w:i/>
          <w:iCs/>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bCs/>
          <w:i/>
          <w:iCs/>
          <w:lang w:val="pt-BR"/>
        </w:rPr>
      </w:r>
      <w:r>
        <w:rPr>
          <w:bCs/>
          <w:i/>
          <w:iCs/>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1"/>
        <w:tblInd w:w="0" w:type="dxa"/>
        <w:tblW w:w="503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46"/>
        <w:gridCol w:w="1905"/>
        <w:gridCol w:w="1905"/>
        <w:gridCol w:w="1905"/>
        <w:gridCol w:w="3033"/>
      </w:tblGrid>
      <w:tr>
        <w:trPr>
          <w:trHeight w:val="16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rFonts w:ascii="Times New Roman" w:hAnsi="Times New Roman" w:eastAsia="Times New Roman" w:cs="Times New Roman"/>
                <w:b/>
                <w:bCs/>
                <w:color w:val="000000"/>
                <w:sz w:val="24"/>
              </w:rPr>
            </w:r>
            <w:r>
              <w:rPr>
                <w:b/>
                <w:bCs/>
                <w:color w:val="000000" w:themeColor="text1"/>
                <w:lang w:val="pt-BR"/>
              </w:rPr>
              <w:t xml:space="preserve">Căn hộ chung cư số 507 nhà N10 khu chung cư Đồng Tầu, phường Thịnh Liệt, quận Hoàng Mai, thành phố Hà Nội (nay là phường Hoàng Mai, thành phố Hà Nội) theo Giấy chứng nhận quyền sử dụn</w:t>
            </w:r>
            <w:r>
              <w:rPr>
                <w:b/>
                <w:bCs/>
                <w:color w:val="000000" w:themeColor="text1"/>
                <w:lang w:val="pt-BR"/>
              </w:rPr>
              <w:t xml:space="preserve">g đất quyền</w:t>
            </w:r>
            <w:r>
              <w:rPr>
                <w:b/>
                <w:bCs/>
                <w:color w:val="000000" w:themeColor="text1"/>
                <w:lang w:val="pt-BR"/>
              </w:rPr>
              <w:t xml:space="preserve"> sở hữu nhà ở và tài sản khác gắn liền với đất số: BP 139469, số vào sổ cấp GCN: CH01379/HĐ: 1636/1471 do Uỷ ban nhân dân quận Hoàng Mai cấp ngày 21/6/2013; Chủ sở hữu căn hộ chung cư là Ông Nguyễn Thế Hùng và Bà Lê Thị Minh Châu (cập nhập ngày 1/12/2025).</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b w:val="0"/>
                <w:bCs w:val="0"/>
                <w:color w:val="000000"/>
                <w:sz w:val="24"/>
              </w:rPr>
            </w:r>
            <w:r>
              <w:rPr>
                <w:b w:val="0"/>
                <w:bCs w:val="0"/>
                <w:color w:val="000000" w:themeColor="text1"/>
                <w:lang w:val="pt-BR"/>
              </w:rPr>
              <w:t xml:space="preserve">Khu chung cư Đồng Tầu, phường Thịnh Liệt, quận Hoàng Mai, thành phố Hà Nội (nay là phường Hoàng Mai, thành phố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837,55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rPr>
                <w:rFonts w:ascii="Times New Roman" w:hAnsi="Times New Roman" w:eastAsia="Times New Roman" w:cs="Times New Roman"/>
                <w:color w:val="000000"/>
                <w:sz w:val="24"/>
              </w:rPr>
              <w:t xml:space="preserve">20.971153796123446, 105.85003408535917</w:t>
            </w:r>
            <w:r>
              <w:rPr>
                <w:rFonts w:ascii="Times New Roman" w:hAnsi="Times New Roman" w:eastAsia="Times New Roman" w:cs="Times New Roman"/>
                <w:color w:val="000000"/>
                <w:sz w:val="24"/>
              </w:rPr>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294708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42199" name=""/>
                              <pic:cNvPicPr>
                                <a:picLocks noChangeAspect="1"/>
                              </pic:cNvPicPr>
                              <pic:nvPr/>
                            </pic:nvPicPr>
                            <pic:blipFill>
                              <a:blip r:embed="rId16"/>
                              <a:stretch/>
                            </pic:blipFill>
                            <pic:spPr bwMode="auto">
                              <a:xfrm>
                                <a:off x="0" y="0"/>
                                <a:ext cx="6048374" cy="29470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2.05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b w:val="0"/>
                <w:bCs w:val="0"/>
                <w:color w:val="000000" w:themeColor="text1"/>
                <w:lang w:val="pt-BR"/>
              </w:rPr>
              <w:t xml:space="preserve">Khu chung cư Đồng Tầu, phường Thịnh Liệt, quận Hoàng Mai, thành phố Hà Nội (nay là phường Hoàng Mai, thành phố Hà Nội)</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là căn hộ chung cư số 507, tầng 5, toà nhà N10. Toà nhà cách đường KĐT Đồng Tầu khoảng 100m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507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54,39m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Kết cấu: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BTCT</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Toà nhà N10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5/9</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Nam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Bắc</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1 vệ sinh, phòng khách, phòng bếp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để ở.</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100"/>
        <w:gridCol w:w="1713"/>
        <w:gridCol w:w="1713"/>
        <w:gridCol w:w="1713"/>
        <w:gridCol w:w="1713"/>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hộ 507 nhà N10 Khu chung cư Đồng Tầu</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Toà N3 Khu chung cư Đồng Tầu</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Toà N7 Khu chung cư Đồng Tầu</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Toà N7 Khu chung cư Đồng Tầu</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hyperlink r:id="rId17" w:tooltip="https://batdongsan.com.vn/ban-can-ho-chung-cu-pho-phuong-mai-phuong-phuong-mai/sieu-hiem-sieu-re-tang-1-tap-the-2-4-ty-2pn-1wc-so-do-24m2-thuc-te-52m2-pr42617236" w:history="1">
              <w:r>
                <w:rPr>
                  <w:rFonts w:ascii="Times New Roman" w:hAnsi="Times New Roman" w:eastAsia="Times New Roman" w:cs="Times New Roman"/>
                  <w:color w:val="000000"/>
                  <w:sz w:val="24"/>
                  <w:szCs w:val="24"/>
                </w:rPr>
                <w:t xml:space="preserve">Liên hệ trực tiếp</w:t>
              </w:r>
            </w:hyperlink>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tcMar>
              <w:left w:w="15" w:type="dxa"/>
              <w:top w:w="15" w:type="dxa"/>
              <w:right w:w="15" w:type="dxa"/>
              <w:bottom w:w="0" w:type="dxa"/>
            </w:tcMar>
            <w:tcW w:w="1713"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hyperlink r:id="rId18" w:tooltip="https://alonhadat.com.vn/-ban-nha-chung-cu-dong-phat-vinh-hoang-lo-goc-3pn-90m-5-49-ty-16774805.html" w:history="1">
              <w:r>
                <w:rPr>
                  <w:rFonts w:ascii="Times New Roman" w:hAnsi="Times New Roman" w:eastAsia="Times New Roman" w:cs="Times New Roman"/>
                  <w:color w:val="000000"/>
                  <w:sz w:val="24"/>
                  <w:szCs w:val="24"/>
                </w:rPr>
                <w:t xml:space="preserve">Liên hệ trực tiếp</w:t>
              </w:r>
            </w:hyperlink>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Liên hệ trực tiếp</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0362051238</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0964829650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0925811119</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trên thị trường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trên thị trường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12/2025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Hình thức sử dụng</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Sở hữu riêng</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Sở hữu riêng</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Sở hữu riêng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Sở hữu riêng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507 nhà N10 Khu chung cư Đồng Tầu, phường Thịnh Liệt, quận Hoàng Mai, Hà Nội</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nhà N3 Khu chung cư Đồng Tầu, phường Thịnh Liệt, quận Hoàng Mai, Hà Nội</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nhà N7 Khu chung cư Đồng Tầu, phường Thịnh Liệt, quận Hoàng Mai,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nhà N7 Khu chung cư Đồng Tầu, phường Thịnh Liệt, quận Hoàng Mai, Hà Nội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Diện tích được chứng nhận (m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54,39</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Số phòng ngủ - phòng vệ sinh</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2PN + 1VS</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5/9</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9</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8/9</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8</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 Trần thạch cao, sàn gỗ, thiết bị vệ sinh, tủ bếp,..</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Loại căn hộ</w:t>
            </w:r>
            <w:r/>
          </w:p>
        </w:tc>
        <w:tc>
          <w:tcPr>
            <w:tcBorders>
              <w:left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Điều kiện cơ sở hạ tầng và các yếu tố khác</w:t>
            </w:r>
            <w:r/>
          </w:p>
        </w:tc>
        <w:tc>
          <w:tcPr>
            <w:tcBorders>
              <w:top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được đầu tư đồng bộ, hoàn thiện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Giá rao (đồng)</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4.300.000.000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4.390.000.000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4.550.000.000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Giá thương lượng/bán đã trừ giá trị nội thất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3.569.000.000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3.643.700.000</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3.776.500.000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Đơn giá QSHCH (đồng/m</w:t>
            </w:r>
            <w:r>
              <w:rPr>
                <w:rFonts w:ascii="Times New Roman" w:hAnsi="Times New Roman" w:eastAsia="Times New Roman" w:cs="Times New Roman"/>
                <w:b/>
                <w:color w:val="000000"/>
                <w:sz w:val="18"/>
                <w:vertAlign w:val="superscript"/>
              </w:rPr>
              <w:t xml:space="preserve">2</w:t>
            </w:r>
            <w:r>
              <w:rPr>
                <w:rFonts w:ascii="Times New Roman" w:hAnsi="Times New Roman" w:eastAsia="Times New Roman" w:cs="Times New Roman"/>
                <w:b/>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66.092.593</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67.475.926</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67.437.500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Pháp lý</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Vị trí</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Diện tích căn hộ</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Số phòng ngủ - phòng vệ sinh</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Hướng nhìn</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Số tầng</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tcBorders>
            <w:tcMar>
              <w:left w:w="15" w:type="dxa"/>
              <w:top w:w="15" w:type="dxa"/>
              <w:right w:w="15" w:type="dxa"/>
              <w:bottom w:w="0" w:type="dxa"/>
            </w:tcMar>
            <w:tcW w:w="2100"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t xml:space="preserve">Loại căn hộ</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tcBorders>
            <w:tcMar>
              <w:left w:w="15" w:type="dxa"/>
              <w:top w:w="15" w:type="dxa"/>
              <w:right w:w="15" w:type="dxa"/>
              <w:bottom w:w="0" w:type="dxa"/>
            </w:tcMar>
            <w:tcW w:w="210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Nội thất</w:t>
            </w:r>
            <w:r/>
          </w:p>
        </w:tc>
        <w:tc>
          <w:tcPr>
            <w:tcBorders>
              <w:left w:val="single" w:color="000000" w:sz="6" w:space="0"/>
              <w:bottom w:val="single" w:color="000000" w:sz="6" w:space="0"/>
              <w:right w:val="single" w:color="000000" w:sz="6" w:space="0"/>
            </w:tcBorders>
            <w:tcMar>
              <w:left w:w="15" w:type="dxa"/>
              <w:top w:w="15" w:type="dxa"/>
              <w:right w:w="15" w:type="dxa"/>
              <w:bottom w:w="0" w:type="dxa"/>
            </w:tcMar>
            <w:tcW w:w="17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7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47"/>
        <w:gridCol w:w="2148"/>
        <w:gridCol w:w="1597"/>
        <w:gridCol w:w="2198"/>
        <w:gridCol w:w="2207"/>
        <w:gridCol w:w="2245"/>
        <w:gridCol w:w="2208"/>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căn hộ thị trường (Ước tính sau thương lượng)</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3.569.000.000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3.643.700.000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3.776.500.000 </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căn hộ ước tính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995"/>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507 nhà N10 Khu chung cư Đồng Tầu, phường Thịnh Liệt, quận Hoàng Mai, Hà Nội</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nhà N3 Khu chung cư Đồng Tầu, phường Thịnh Liệt, quận Hoàng Mai, Hà Nội</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nhà N7 Khu chung cư Đồng Tầu, phường Thịnh Liệt, quận Hoàng Mai, Hà Nội</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nhà N3 Khu chung cư Đồng Tầu, phường Thịnh Liệt, quận Hoàng Mai, Hà Nội</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33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căn hộ</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54,39</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56,0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56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phòng ngủ - phòng vệ sinh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2PN + 1VS</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2PN + 1VS</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42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Hướng nhìn</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Hướng nhìn nội khu</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Hướng nhìn nội khu</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66.092.593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67.475.926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67.437.500 </w:t>
            </w:r>
            <w:r/>
          </w:p>
        </w:tc>
      </w:tr>
      <w:tr>
        <w:trPr>
          <w:trHeight w:val="28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Số tầng</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5/9</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9</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8/9</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8</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1.982.778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2.024.278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2.023.125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68.075.370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69.500.204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69.460.625 </w:t>
            </w:r>
            <w:r/>
          </w:p>
        </w:tc>
      </w:tr>
      <w:tr>
        <w:trPr>
          <w:trHeight w:val="280"/>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Loại căn hộ</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1.982.778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2.023.125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70.058.148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69.500.204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71.483.750 </w:t>
            </w:r>
            <w:r/>
          </w:p>
        </w:tc>
      </w:tr>
      <w:tr>
        <w:trPr>
          <w:trHeight w:val="1225"/>
        </w:trPr>
        <w:tc>
          <w:tcPr>
            <w:tcBorders>
              <w:left w:val="single" w:color="000000" w:sz="6" w:space="0"/>
              <w:bottom w:val="single" w:color="000000" w:sz="4" w:space="0"/>
              <w:right w:val="single" w:color="000000" w:sz="6" w:space="0"/>
            </w:tcBorders>
            <w:tcMar>
              <w:left w:w="15" w:type="dxa"/>
              <w:top w:w="15" w:type="dxa"/>
              <w:right w:w="15" w:type="dxa"/>
              <w:bottom w:w="0" w:type="dxa"/>
            </w:tcMar>
            <w:tcW w:w="64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Trần thạch cao, sàn gỗ, thiết bị vệ sinh, tủ bếp,..</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68.075.370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69.500.204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69.460.625 </w:t>
            </w:r>
            <w:r/>
          </w:p>
        </w:tc>
      </w:tr>
      <w:tr>
        <w:trPr>
          <w:trHeight w:val="33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w:t>
            </w:r>
            <w:r>
              <w:rPr>
                <w:rFonts w:ascii="Times New Roman" w:hAnsi="Times New Roman" w:eastAsia="Times New Roman" w:cs="Times New Roman"/>
                <w:b/>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70.058.148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69.500.204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71.483.750 </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tcBorders>
              <w:top w:val="single" w:color="000000" w:sz="6" w:space="0"/>
              <w:bottom w:val="single" w:color="000000" w:sz="6" w:space="0"/>
              <w:right w:val="single" w:color="000000" w:sz="6" w:space="0"/>
            </w:tcBorders>
            <w:tcMar>
              <w:left w:w="15" w:type="dxa"/>
              <w:top w:w="15" w:type="dxa"/>
              <w:right w:w="15" w:type="dxa"/>
              <w:bottom w:w="0" w:type="dxa"/>
            </w:tcMar>
            <w:tcW w:w="66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70.347.367 </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(làm tròn)</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tcBorders>
              <w:top w:val="single" w:color="000000" w:sz="6" w:space="0"/>
              <w:bottom w:val="single" w:color="000000" w:sz="6" w:space="0"/>
              <w:right w:val="single" w:color="000000" w:sz="6" w:space="0"/>
            </w:tcBorders>
            <w:tcMar>
              <w:left w:w="15" w:type="dxa"/>
              <w:top w:w="15" w:type="dxa"/>
              <w:right w:w="15" w:type="dxa"/>
              <w:bottom w:w="0" w:type="dxa"/>
            </w:tcMar>
            <w:tcW w:w="66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70.000.000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-0,4%</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tcBorders>
              <w:top w:val="single" w:color="000000" w:sz="6" w:space="0"/>
              <w:bottom w:val="single" w:color="000000" w:sz="6" w:space="0"/>
              <w:right w:val="single" w:color="000000" w:sz="4" w:space="0"/>
            </w:tcBorders>
            <w:tcMar>
              <w:left w:w="15" w:type="dxa"/>
              <w:top w:w="15" w:type="dxa"/>
              <w:right w:w="15" w:type="dxa"/>
              <w:bottom w:w="0" w:type="dxa"/>
            </w:tcMar>
            <w:tcW w:w="1260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3.965.556</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2.024.278</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4.046.250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0-3%</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0-3%</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0-3%</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tcBorders>
              <w:bottom w:val="single" w:color="000000" w:sz="6" w:space="0"/>
              <w:right w:val="single" w:color="000000" w:sz="6" w:space="0"/>
            </w:tcBorders>
            <w:tcMar>
              <w:left w:w="15" w:type="dxa"/>
              <w:top w:w="15" w:type="dxa"/>
              <w:right w:w="15" w:type="dxa"/>
              <w:bottom w:w="0" w:type="dxa"/>
            </w:tcMar>
            <w:tcW w:w="21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tcBorders>
              <w:bottom w:val="single" w:color="000000" w:sz="6" w:space="0"/>
              <w:right w:val="single" w:color="000000" w:sz="6" w:space="0"/>
            </w:tcBorders>
            <w:tcMar>
              <w:left w:w="15" w:type="dxa"/>
              <w:top w:w="15" w:type="dxa"/>
              <w:right w:w="15"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w:t>
            </w:r>
            <w:r>
              <w:rPr>
                <w:rFonts w:ascii="Times New Roman" w:hAnsi="Times New Roman" w:eastAsia="Times New Roman" w:cs="Times New Roman"/>
                <w:color w:val="000000"/>
                <w:sz w:val="18"/>
                <w:vertAlign w:val="superscript"/>
              </w:rPr>
              <w:t xml:space="preserve">2</w:t>
            </w:r>
            <w:r/>
          </w:p>
        </w:tc>
        <w:tc>
          <w:tcPr>
            <w:tcBorders>
              <w:bottom w:val="single" w:color="000000" w:sz="6" w:space="0"/>
              <w:right w:val="single" w:color="000000" w:sz="6" w:space="0"/>
            </w:tcBorders>
            <w:tcMar>
              <w:left w:w="15" w:type="dxa"/>
              <w:top w:w="15" w:type="dxa"/>
              <w:right w:w="15"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3.965.556 </w:t>
            </w:r>
            <w:r/>
          </w:p>
        </w:tc>
        <w:tc>
          <w:tcPr>
            <w:tcBorders>
              <w:bottom w:val="single" w:color="000000" w:sz="6" w:space="0"/>
              <w:right w:val="single" w:color="000000" w:sz="6" w:space="0"/>
            </w:tcBorders>
            <w:tcMar>
              <w:left w:w="15" w:type="dxa"/>
              <w:top w:w="15" w:type="dxa"/>
              <w:right w:w="15" w:type="dxa"/>
              <w:bottom w:w="0" w:type="dxa"/>
            </w:tcMar>
            <w:tcW w:w="22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2.024.278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4.046.250 </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w:t>
      </w:r>
      <w:r>
        <w:t xml:space="preserve">% đến</w:t>
      </w:r>
      <w:r>
        <w:t xml:space="preserve"> 1,6%,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jc w:val="both"/>
        <w:rPr>
          <w:b/>
          <w:bCs/>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pacing w:val="-4"/>
          <w:sz w:val="24"/>
        </w:rPr>
        <w:t xml:space="preserve">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color w:val="000000"/>
          <w:sz w:val="24"/>
        </w:rPr>
        <w:t xml:space="preserve">70.000.000 đồng/m² </w:t>
      </w:r>
      <w:r>
        <w:rPr>
          <w:rFonts w:ascii="Times New Roman" w:hAnsi="Times New Roman" w:eastAsia="Times New Roman" w:cs="Times New Roman"/>
          <w:i/>
          <w:color w:val="000000"/>
          <w:sz w:val="24"/>
        </w:rPr>
        <w:t xml:space="preserve">(làm tròn)</w:t>
      </w:r>
      <w:r>
        <w:rPr>
          <w:rFonts w:ascii="Times New Roman" w:hAnsi="Times New Roman" w:eastAsia="Times New Roman" w:cs="Times New Roman"/>
          <w:b/>
          <w:color w:val="000000"/>
          <w:sz w:val="24"/>
        </w:rPr>
        <w:t xml:space="preserve">.</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color w:val="000000" w:themeColor="text1"/>
              </w:rPr>
            </w:pPr>
            <w:r>
              <w:rPr>
                <w:b/>
                <w:bCs/>
                <w:color w:val="000000" w:themeColor="text1"/>
              </w:rPr>
              <w:t xml:space="preserve">Căn hộ chung cư số 507 nhà N10 khu chung cư Đồng Tầu, phường Thịnh Liệt, quận Hoàng Mai, thành phố Hà Nội (nay là phường Hoàng Mai, thành phố Hà Nội) theo Giấy chứng nhận quyền sử dụn</w:t>
            </w:r>
            <w:r>
              <w:rPr>
                <w:b/>
                <w:bCs/>
                <w:color w:val="000000" w:themeColor="text1"/>
              </w:rPr>
              <w:t xml:space="preserve">g đất quyền</w:t>
            </w:r>
            <w:r>
              <w:rPr>
                <w:b/>
                <w:bCs/>
                <w:color w:val="000000" w:themeColor="text1"/>
              </w:rPr>
              <w:t xml:space="preserve"> sở hữu nhà ở và tài sản khác gắn liền với đất số: BP 139469, số vào sổ cấp GCN: CH01379/HĐ: 1636/1471 do Uỷ ban nhân dân quận Hoàng Mai cấp ngày 21/6/2013; Chủ sở hữu căn hộ chung cư là Ông Nguyễn Thế Hùng và Bà Lê Thị Minh Châu (cập nhập ngày 1/12/2025).</w:t>
            </w:r>
            <w:r>
              <w:rPr>
                <w:b/>
                <w:bCs/>
                <w:color w:val="000000" w:themeColor="text1"/>
              </w:rPr>
            </w:r>
            <w:r>
              <w:rPr>
                <w:b/>
                <w:bCs/>
                <w:color w:val="000000" w:themeColor="text1"/>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54,39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3.807.300.000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3.807.300.000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trăm lẻ bảy triệu ba trăm nghìn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Bdr/>
        <w:shd w:val="nil"/>
        <w:spacing/>
        <w:ind/>
        <w:rPr>
          <w:lang w:val="pt-BR"/>
        </w:rPr>
      </w:pPr>
      <w:r>
        <w:rPr>
          <w:lang w:val="pt-BR"/>
        </w:rPr>
        <w:br w:type="page" w:clear="all"/>
      </w:r>
      <w:r>
        <w:rPr>
          <w:lang w:val="pt-BR"/>
        </w:rPr>
      </w:r>
      <w:r>
        <w:rPr>
          <w:lang w:val="pt-BR"/>
        </w:rPr>
      </w:r>
      <w:r>
        <w:rPr>
          <w:highlight w:val="none"/>
          <w:lang w:val="pt-BR" w:bidi="pt-BR"/>
        </w:rPr>
      </w:r>
      <w:r>
        <w:rPr>
          <w:highlight w:val="none"/>
          <w:lang w:val="pt-BR" w:bidi="pt-BR"/>
        </w:rPr>
      </w:r>
      <w:r>
        <w:rPr>
          <w:highlight w:val="none"/>
          <w:lang w:val="pt-BR"/>
        </w:rPr>
      </w:r>
      <w:r>
        <w:rPr>
          <w:lang w:val="pt-BR"/>
        </w:rPr>
      </w:r>
    </w:p>
    <w:p>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275/2025/1723/VFI-CT.48.A</w:t>
      </w:r>
      <w:r>
        <w:rPr>
          <w:color w:val="ff0000"/>
          <w:lang w:val="vi-VN"/>
        </w:rPr>
        <w:t xml:space="preserve"> </w:t>
      </w:r>
      <w:r>
        <w:rPr>
          <w:color w:val="000000" w:themeColor="text1"/>
        </w:rPr>
        <w:t xml:space="preserve">ngày 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275/2025/1723/VFI-BC.48.A</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rHeight w:val="2808"/>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526302" cy="218339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8939" name=""/>
                              <pic:cNvPicPr>
                                <a:picLocks noChangeAspect="1"/>
                              </pic:cNvPicPr>
                              <pic:nvPr/>
                            </pic:nvPicPr>
                            <pic:blipFill>
                              <a:blip r:embed="rId19"/>
                              <a:stretch/>
                            </pic:blipFill>
                            <pic:spPr bwMode="auto">
                              <a:xfrm flipH="0" flipV="0">
                                <a:off x="0" y="0"/>
                                <a:ext cx="1526302" cy="21833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18pt;height:171.9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009159" cy="21893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46594" name=""/>
                              <pic:cNvPicPr>
                                <a:picLocks noChangeAspect="1"/>
                              </pic:cNvPicPr>
                              <pic:nvPr/>
                            </pic:nvPicPr>
                            <pic:blipFill>
                              <a:blip r:embed="rId22"/>
                              <a:stretch/>
                            </pic:blipFill>
                            <pic:spPr bwMode="auto">
                              <a:xfrm flipH="0" flipV="0">
                                <a:off x="0" y="0"/>
                                <a:ext cx="1009158" cy="2189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79.46pt;height:172.3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94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4"/>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94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275/2025/1723/VFI-BC.48.A</w:t>
      </w:r>
      <w:r>
        <w:rPr>
          <w:i/>
          <w:lang w:val="pt-BR"/>
        </w:rPr>
        <w:t xml:space="preserve"> </w:t>
      </w:r>
      <w:r>
        <w:rPr>
          <w:i/>
          <w:lang w:val="pt-BR"/>
        </w:rPr>
        <w:t xml:space="preserve">ngày 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6048375" cy="717015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83094" name=""/>
                        <pic:cNvPicPr>
                          <a:picLocks noChangeAspect="1"/>
                        </pic:cNvPicPr>
                        <pic:nvPr/>
                      </pic:nvPicPr>
                      <pic:blipFill>
                        <a:blip r:embed="rId25"/>
                        <a:stretch/>
                      </pic:blipFill>
                      <pic:spPr bwMode="auto">
                        <a:xfrm>
                          <a:off x="0" y="0"/>
                          <a:ext cx="6048374" cy="71701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64.5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left"/>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b/>
          <w:bCs/>
          <w:iCs/>
          <w:highlight w:val="none"/>
          <w:lang w:val="pt-BR"/>
        </w:rPr>
      </w:pPr>
      <w:r>
        <w:rPr>
          <w:b/>
          <w:bCs/>
          <w:iCs/>
          <w:lang w:val="pt-BR"/>
        </w:rPr>
        <w:t xml:space="preserve">TSSS 2</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723595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14940" name=""/>
                        <pic:cNvPicPr>
                          <a:picLocks noChangeAspect="1"/>
                        </pic:cNvPicPr>
                        <pic:nvPr/>
                      </pic:nvPicPr>
                      <pic:blipFill>
                        <a:blip r:embed="rId26"/>
                        <a:stretch/>
                      </pic:blipFill>
                      <pic:spPr bwMode="auto">
                        <a:xfrm>
                          <a:off x="0" y="0"/>
                          <a:ext cx="6048374" cy="7235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69.76pt;mso-wrap-distance-left:0.00pt;mso-wrap-distance-top:0.00pt;mso-wrap-distance-right:0.00pt;mso-wrap-distance-bottom:0.00pt;z-index:1;" stroked="false">
                <v:imagedata r:id="rId26" o:title=""/>
                <o:lock v:ext="edit" rotation="t"/>
              </v:shape>
            </w:pict>
          </mc:Fallback>
        </mc:AlternateContent>
      </w:r>
      <w:r>
        <w:rPr>
          <w:b/>
          <w:bCs/>
        </w:rPr>
      </w:r>
      <w:r>
        <w:rPr>
          <w:b/>
          <w:b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left"/>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tabs>
                <w:tab w:val="left" w:leader="none" w:pos="3683"/>
              </w:tabs>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5671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2559" name=""/>
                        <pic:cNvPicPr>
                          <a:picLocks noChangeAspect="1"/>
                        </pic:cNvPicPr>
                        <pic:nvPr/>
                      </pic:nvPicPr>
                      <pic:blipFill>
                        <a:blip r:embed="rId27"/>
                        <a:stretch/>
                      </pic:blipFill>
                      <pic:spPr bwMode="auto">
                        <a:xfrm flipH="0" flipV="0">
                          <a:off x="0" y="0"/>
                          <a:ext cx="6048374" cy="7567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95.84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Thị Dung</w:t>
            </w:r>
            <w:r>
              <w:rPr>
                <w:highlight w:val="none"/>
              </w:rPr>
            </w:r>
            <w:r>
              <w:rPr>
                <w:highlight w:val="none"/>
              </w:rPr>
            </w:r>
          </w:p>
        </w:tc>
      </w:tr>
    </w:tbl>
    <w:p>
      <w:pPr>
        <w:pBdr/>
        <w:spacing/>
        <w:ind/>
        <w:rPr/>
      </w:pPr>
      <w: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14:ligatures w14:val="none"/>
      </w:rPr>
    </w:pPr>
    <w:r>
      <w:rPr>
        <w14:ligatures w14:val="none"/>
      </w:rPr>
    </w:r>
    <w:r>
      <w:rPr>
        <w14:ligatures w14:val="none"/>
      </w:rPr>
    </w:r>
    <w:r>
      <w:rPr>
        <w14:ligatures w14:val="none"/>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hyperlink" Target="https://batdongsan.com.vn/ban-can-ho-chung-cu-pho-phuong-mai-phuong-phuong-mai/sieu-hiem-sieu-re-tang-1-tap-the-2-4-ty-2pn-1wc-so-do-24m2-thuc-te-52m2-pr42617236" TargetMode="External"/><Relationship Id="rId18" Type="http://schemas.openxmlformats.org/officeDocument/2006/relationships/hyperlink" Target="https://alonhadat.com.vn/-ban-nha-chung-cu-dong-phat-vinh-hoang-lo-goc-3pn-90m-5-49-ty-16774805.html"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2025-12-05T09:16:32Z</dcterms:modified>
</cp:coreProperties>
</file>