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2254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275/2025/1660/VFI-CT.44.A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Anh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0.18pt;mso-position-vertical:absolute;width:430.50pt;height:287.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275/2025/1660/VFI-CT.44.A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Anh Tuấn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8"/>
              <w:pBdr/>
              <w:tabs>
                <w:tab w:val="left" w:leader="none" w:pos="993"/>
              </w:tabs>
              <w:spacing w:after="120" w:before="120" w:line="288" w:lineRule="auto"/>
              <w:ind w:left="0"/>
              <w:jc w:val="both"/>
              <w:rPr>
                <w:bCs/>
                <w:lang w:val="pt-BR"/>
              </w:rPr>
            </w:pPr>
            <w:r>
              <w:rPr>
                <w:bCs/>
                <w:lang w:val="pt-BR"/>
              </w:rPr>
              <w:t xml:space="preserve">Phụ lục 1: Thông tin hiện trạng + Pháp lý</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23-25</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8"/>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26-31</w:t>
            </w:r>
            <w:r>
              <w:rPr>
                <w:b/>
                <w:bCs/>
              </w:rPr>
            </w:r>
            <w:r>
              <w:rPr>
                <w:b/>
                <w:bCs/>
              </w:rPr>
            </w:r>
          </w:p>
        </w:tc>
      </w:tr>
    </w:tbl>
    <w:p w14:paraId="65E8110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7"/>
              <w:pBdr/>
              <w:spacing w:after="60" w:before="200"/>
              <w:ind/>
              <w:rPr>
                <w:rStyle w:val="1026"/>
                <w:rFonts w:ascii="Times New Roman" w:hAnsi="Times New Roman"/>
                <w:color w:val="auto"/>
                <w:lang w:val="pt-BR"/>
              </w:rPr>
            </w:pPr>
            <w:r>
              <w:rPr>
                <w:rFonts w:ascii="Times New Roman" w:hAnsi="Times New Roman"/>
                <w:color w:val="auto"/>
                <w:lang w:val="pt-BR"/>
              </w:rPr>
            </w:r>
            <w:r>
              <w:rPr>
                <w:rStyle w:val="1026"/>
                <w:rFonts w:ascii="Times New Roman" w:hAnsi="Times New Roman"/>
                <w:color w:val="auto"/>
                <w:lang w:val="pt-BR"/>
              </w:rPr>
            </w:r>
            <w:r>
              <w:rPr>
                <w:rStyle w:val="1026"/>
                <w:rFonts w:ascii="Times New Roman" w:hAnsi="Times New Roman"/>
                <w:color w:val="auto"/>
                <w:lang w:val="pt-BR"/>
              </w:rPr>
            </w:r>
          </w:p>
          <w:p w14:paraId="189019A0" w14:textId="50D2DFCA">
            <w:pPr>
              <w:pStyle w:val="1027"/>
              <w:pBdr/>
              <w:spacing w:after="60" w:before="200"/>
              <w:ind/>
              <w:rPr>
                <w:sz w:val="24"/>
                <w:szCs w:val="24"/>
              </w:rPr>
            </w:pPr>
            <w:r>
              <w:rPr>
                <w:rStyle w:val="1026"/>
                <w:rFonts w:ascii="Times New Roman" w:hAnsi="Times New Roman"/>
                <w:color w:val="auto"/>
                <w:lang w:val="pt-BR"/>
              </w:rPr>
              <w:t xml:space="preserve">Số:</w:t>
            </w:r>
            <w:r>
              <w:rPr>
                <w:rStyle w:val="1026"/>
                <w:rFonts w:ascii="Times New Roman" w:hAnsi="Times New Roman"/>
                <w:color w:val="auto"/>
                <w:lang w:val="pt-BR"/>
              </w:rPr>
              <w:t xml:space="preserve"> </w:t>
            </w:r>
            <w:r>
              <w:rPr>
                <w:rStyle w:val="1026"/>
                <w:rFonts w:ascii="Times New Roman" w:hAnsi="Times New Roman"/>
                <w:color w:val="000000" w:themeColor="text1"/>
                <w:lang w:val="pt-BR"/>
              </w:rPr>
              <w:t xml:space="preserve">275/2025/1660/VFI-CT.44.A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7"/>
              <w:pBdr/>
              <w:spacing w:after="60" w:before="200"/>
              <w:ind w:right="-56"/>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p w14:paraId="6B33CD77" w14:textId="29BAA06D">
            <w:pPr>
              <w:pStyle w:val="1027"/>
              <w:pBdr/>
              <w:spacing w:after="60" w:before="200"/>
              <w:ind w:right="-56"/>
              <w:jc w:val="right"/>
              <w:rPr>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 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21 tháng 11 năm 2025</w:t>
            </w:r>
            <w:r>
              <w:rPr>
                <w:rStyle w:val="1026"/>
                <w:rFonts w:ascii="Times New Roman" w:hAnsi="Times New Roman"/>
                <w:i/>
                <w:color w:val="auto"/>
                <w:lang w:val="vi-VN"/>
              </w:rPr>
              <w:t xml:space="preserve">   </w:t>
            </w:r>
            <w:r>
              <w:rPr>
                <w:rStyle w:val="1026"/>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7"/>
        <w:pBdr/>
        <w:spacing w:after="120" w:before="200" w:line="288" w:lineRule="auto"/>
        <w:ind/>
        <w:jc w:val="center"/>
        <w:rPr>
          <w:rStyle w:val="1026"/>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Anh Tuấn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275/2025/1660/VFI-HĐTĐ.44.A</w:t>
      </w:r>
      <w:r>
        <w:rPr>
          <w:spacing w:val="-4"/>
          <w:lang w:val="vi-VN"/>
        </w:rPr>
        <w:t xml:space="preserve"> ký ngày </w:t>
      </w:r>
      <w:r>
        <w:rPr>
          <w:color w:val="000000" w:themeColor="text1"/>
          <w:spacing w:val="-4"/>
        </w:rPr>
        <w:t xml:space="preserve">18 tháng 11 năm 2025</w:t>
      </w:r>
      <w:r>
        <w:rPr>
          <w:spacing w:val="-4"/>
          <w:lang w:val="vi-VN"/>
        </w:rPr>
        <w:t xml:space="preserve"> </w:t>
      </w:r>
      <w:r>
        <w:rPr>
          <w:spacing w:val="-4"/>
          <w:lang w:val="vi-VN"/>
        </w:rPr>
        <w:t xml:space="preserve">giữa </w:t>
      </w:r>
      <w:r>
        <w:rPr>
          <w:color w:val="000000" w:themeColor="text1"/>
          <w:spacing w:val="-4"/>
        </w:rPr>
        <w:t xml:space="preserve">Ông Nguyễn Anh Tuấn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275/2025/1660/VFI-BC.44.A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21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261C9830">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14:paraId="2BC2B796">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3A4D5C2A">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b/>
                <w:color w:val="000000"/>
                <w:sz w:val="24"/>
              </w:rPr>
              <w:t xml:space="preserve">Ông Nguyễn Anh Tuấn</w:t>
            </w:r>
            <w:r/>
          </w:p>
        </w:tc>
      </w:tr>
      <w:tr>
        <w:trPr>
          <w:trHeight w:val="20"/>
        </w:trPr>
        <w:tc>
          <w:tcPr>
            <w:shd w:val="clear" w:color="auto" w:fill="auto"/>
            <w:tcBorders/>
            <w:tcW w:w="1109" w:type="pct"/>
            <w:vAlign w:val="center"/>
            <w:textDirection w:val="lrTb"/>
            <w:noWrap w:val="false"/>
          </w:tcPr>
          <w:p w14:paraId="45CCD203">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14:paraId="27DFE616">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   </w:t>
            </w:r>
            <w:r/>
          </w:p>
        </w:tc>
        <w:tc>
          <w:tcPr>
            <w:tcBorders/>
            <w:tcW w:w="3643" w:type="pct"/>
            <w:vAlign w:val="center"/>
            <w:textDirection w:val="lrTb"/>
            <w:noWrap w:val="false"/>
          </w:tcPr>
          <w:p w14:paraId="2D15DB56">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1973</w:t>
            </w:r>
            <w:r/>
          </w:p>
        </w:tc>
      </w:tr>
      <w:tr>
        <w:trPr>
          <w:trHeight w:val="20"/>
        </w:trPr>
        <w:tc>
          <w:tcPr>
            <w:shd w:val="clear" w:color="auto" w:fill="auto"/>
            <w:tcBorders/>
            <w:tcW w:w="1109" w:type="pct"/>
            <w:vAlign w:val="center"/>
            <w:textDirection w:val="lrTb"/>
            <w:noWrap w:val="false"/>
          </w:tcPr>
          <w:p w14:paraId="7564B7D8">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14:paraId="3B0EEE57">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4B5CA559">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Xã Chương Dương, thành phố Hà Nội</w:t>
            </w:r>
            <w:r/>
          </w:p>
        </w:tc>
      </w:tr>
      <w:tr>
        <w:trPr>
          <w:trHeight w:val="20"/>
        </w:trPr>
        <w:tc>
          <w:tcPr>
            <w:shd w:val="clear" w:color="auto" w:fill="auto"/>
            <w:tcBorders/>
            <w:tcW w:w="1109" w:type="pct"/>
            <w:vAlign w:val="center"/>
            <w:textDirection w:val="lrTb"/>
            <w:noWrap w:val="false"/>
          </w:tcPr>
          <w:p w14:paraId="45DA075D">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CMND</w:t>
            </w:r>
            <w:r/>
          </w:p>
        </w:tc>
        <w:tc>
          <w:tcPr>
            <w:shd w:val="clear" w:color="auto" w:fill="auto"/>
            <w:tcBorders/>
            <w:tcW w:w="248" w:type="pct"/>
            <w:vAlign w:val="center"/>
            <w:textDirection w:val="lrTb"/>
            <w:noWrap w:val="false"/>
          </w:tcPr>
          <w:p w14:paraId="090DD630">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1BD5626E">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111357280</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color w:val="000000" w:themeColor="text1"/>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53.9</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3.234.000.000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3.234.000.000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3.234.000.000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ba mươi bốn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24DA5AD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14:paraId="13A4BCBA" w14:textId="7A5D1298">
            <w:pPr>
              <w:pBdr/>
              <w:spacing w:line="276" w:lineRule="auto"/>
              <w:ind/>
              <w:jc w:val="center"/>
              <w:rPr>
                <w:rFonts w:eastAsia="Calibri"/>
                <w:b/>
                <w:lang w:val="pt-BR"/>
              </w:rPr>
            </w:pPr>
            <w:r>
              <w:rPr>
                <w:rFonts w:ascii="Times New Roman" w:hAnsi="Times New Roman" w:eastAsia="Times New Roman" w:cs="Times New Roman"/>
                <w:b/>
                <w:color w:val="000000"/>
                <w:sz w:val="24"/>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673FC904">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Nguyễn Trọng Điệp</w:t>
            </w:r>
            <w:r/>
          </w:p>
          <w:p w14:paraId="6838A117" w14:textId="20F3E5D9">
            <w:pPr>
              <w:pBdr/>
              <w:spacing w:line="276" w:lineRule="auto"/>
              <w:ind/>
              <w:jc w:val="center"/>
              <w:rPr>
                <w:rFonts w:eastAsia="Calibri"/>
                <w:b/>
                <w:lang w:val="pt-BR"/>
              </w:rPr>
            </w:pPr>
            <w:r>
              <w:rPr>
                <w:rFonts w:ascii="Times New Roman" w:hAnsi="Times New Roman" w:eastAsia="Times New Roman" w:cs="Times New Roman"/>
                <w:color w:val="000000"/>
                <w:sz w:val="24"/>
              </w:rPr>
              <w:t xml:space="preserve">Số thẻ thẩm định viên về giá: X15.1272</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7"/>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7"/>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275/2025/1660/VFI-BC.44.A</w:t>
            </w:r>
            <w:r>
              <w:rPr>
                <w:sz w:val="24"/>
                <w:szCs w:val="24"/>
              </w:rPr>
            </w:r>
            <w:r>
              <w:rPr>
                <w:sz w:val="24"/>
                <w:szCs w:val="24"/>
              </w:rPr>
            </w:r>
          </w:p>
        </w:tc>
        <w:tc>
          <w:tcPr>
            <w:tcBorders/>
            <w:tcW w:w="4781" w:type="dxa"/>
            <w:textDirection w:val="lrTb"/>
            <w:noWrap w:val="false"/>
          </w:tcPr>
          <w:p w14:paraId="4E249833" w14:textId="77777777">
            <w:pPr>
              <w:pStyle w:val="1027"/>
              <w:pBdr/>
              <w:tabs>
                <w:tab w:val="left" w:leader="none" w:pos="5103"/>
              </w:tabs>
              <w:spacing w:before="100" w:line="360" w:lineRule="auto"/>
              <w:ind/>
              <w:jc w:val="right"/>
              <w:rPr>
                <w:rStyle w:val="1026"/>
                <w:rFonts w:ascii="Times New Roman" w:hAnsi="Times New Roman"/>
                <w:i/>
                <w:color w:val="auto"/>
              </w:rPr>
            </w:pPr>
            <w:r>
              <w:rPr>
                <w:rFonts w:ascii="Times New Roman" w:hAnsi="Times New Roman"/>
                <w:i/>
                <w:color w:val="auto"/>
              </w:rPr>
            </w:r>
            <w:r>
              <w:rPr>
                <w:rStyle w:val="1026"/>
                <w:rFonts w:ascii="Times New Roman" w:hAnsi="Times New Roman"/>
                <w:i/>
                <w:color w:val="auto"/>
              </w:rPr>
            </w:r>
            <w:r>
              <w:rPr>
                <w:rStyle w:val="1026"/>
                <w:rFonts w:ascii="Times New Roman" w:hAnsi="Times New Roman"/>
                <w:i/>
                <w:color w:val="auto"/>
              </w:rPr>
            </w:r>
          </w:p>
          <w:p w14:paraId="1C1E2870" w14:textId="207F25D6">
            <w:pPr>
              <w:pStyle w:val="1027"/>
              <w:pBdr/>
              <w:tabs>
                <w:tab w:val="left" w:leader="none" w:pos="5103"/>
              </w:tabs>
              <w:spacing w:before="100" w:line="360" w:lineRule="auto"/>
              <w:ind/>
              <w:jc w:val="right"/>
              <w:rPr>
                <w:i/>
                <w:iCs/>
                <w:sz w:val="24"/>
                <w:szCs w:val="24"/>
              </w:rPr>
            </w:pPr>
            <w:r>
              <w:rPr>
                <w:rStyle w:val="1026"/>
                <w:rFonts w:ascii="Times New Roman" w:hAnsi="Times New Roman"/>
                <w:i/>
                <w:color w:val="auto"/>
              </w:rPr>
              <w:t xml:space="preserve">TP</w:t>
            </w:r>
            <w:r>
              <w:rPr>
                <w:rStyle w:val="1026"/>
                <w:rFonts w:ascii="Times New Roman" w:hAnsi="Times New Roman"/>
                <w:color w:val="auto"/>
              </w:rPr>
              <w:t xml:space="preserve">. </w:t>
            </w:r>
            <w:r>
              <w:rPr>
                <w:rStyle w:val="1026"/>
                <w:rFonts w:ascii="Times New Roman" w:hAnsi="Times New Roman"/>
                <w:i/>
                <w:color w:val="auto"/>
              </w:rPr>
              <w:t xml:space="preserve">Hà Nội</w:t>
            </w:r>
            <w:r>
              <w:rPr>
                <w:rStyle w:val="1026"/>
                <w:rFonts w:ascii="Times New Roman" w:hAnsi="Times New Roman"/>
                <w:i/>
                <w:color w:val="auto"/>
                <w:lang w:val="vi-VN"/>
              </w:rPr>
              <w:t xml:space="preserve">, </w:t>
            </w:r>
            <w:r>
              <w:rPr>
                <w:i/>
                <w:iCs/>
                <w:color w:val="000000" w:themeColor="text1"/>
                <w:sz w:val="24"/>
                <w:szCs w:val="24"/>
                <w:lang w:val="pt-BR"/>
              </w:rPr>
              <w:t xml:space="preserve">ngày 21 tháng 11 năm 2025</w:t>
            </w:r>
            <w:r>
              <w:rPr>
                <w:rStyle w:val="1026"/>
                <w:rFonts w:ascii="Times New Roman" w:hAnsi="Times New Roman"/>
                <w:i/>
                <w:color w:val="auto"/>
                <w:lang w:val="vi-VN"/>
              </w:rPr>
              <w:t xml:space="preserve">   </w:t>
            </w:r>
            <w:r>
              <w:rPr>
                <w:rStyle w:val="1026"/>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7"/>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275/2025/1660/VFI-CT.44.A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21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696A12D3">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14:paraId="14E45D84">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29FF0C5B">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b/>
                <w:color w:val="000000"/>
                <w:sz w:val="24"/>
              </w:rPr>
              <w:t xml:space="preserve">Ông Nguyễn Anh Tuấn</w:t>
            </w:r>
            <w:r/>
          </w:p>
        </w:tc>
      </w:tr>
      <w:tr>
        <w:trPr>
          <w:trHeight w:val="20"/>
        </w:trPr>
        <w:tc>
          <w:tcPr>
            <w:tcBorders/>
            <w:tcW w:w="2518" w:type="dxa"/>
            <w:vAlign w:val="center"/>
            <w:textDirection w:val="lrTb"/>
            <w:noWrap w:val="false"/>
          </w:tcPr>
          <w:p w14:paraId="0EFC3EAE">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14:paraId="1CD6F200">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   </w:t>
            </w:r>
            <w:r/>
          </w:p>
        </w:tc>
        <w:tc>
          <w:tcPr>
            <w:tcBorders/>
            <w:tcW w:w="6945" w:type="dxa"/>
            <w:vAlign w:val="center"/>
            <w:textDirection w:val="lrTb"/>
            <w:noWrap w:val="false"/>
          </w:tcPr>
          <w:p w14:paraId="48B824F5">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1973</w:t>
            </w:r>
            <w:r/>
          </w:p>
        </w:tc>
      </w:tr>
      <w:tr>
        <w:trPr>
          <w:trHeight w:val="20"/>
        </w:trPr>
        <w:tc>
          <w:tcPr>
            <w:tcBorders/>
            <w:tcW w:w="2518" w:type="dxa"/>
            <w:vAlign w:val="center"/>
            <w:textDirection w:val="lrTb"/>
            <w:noWrap w:val="false"/>
          </w:tcPr>
          <w:p w14:paraId="1EF36DD3">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14:paraId="2C93AAC6">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202B9C93">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Xã Chương Dương, thành phố Hà Nội</w:t>
            </w:r>
            <w:r/>
          </w:p>
        </w:tc>
      </w:tr>
      <w:tr>
        <w:trPr>
          <w:trHeight w:val="20"/>
        </w:trPr>
        <w:tc>
          <w:tcPr>
            <w:tcBorders/>
            <w:tcW w:w="2518" w:type="dxa"/>
            <w:vAlign w:val="center"/>
            <w:textDirection w:val="lrTb"/>
            <w:noWrap w:val="false"/>
          </w:tcPr>
          <w:p w14:paraId="719968AD">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CMND</w:t>
            </w:r>
            <w:r/>
          </w:p>
        </w:tc>
        <w:tc>
          <w:tcPr>
            <w:tcBorders/>
            <w:tcW w:w="284" w:type="dxa"/>
            <w:vAlign w:val="center"/>
            <w:textDirection w:val="lrTb"/>
            <w:noWrap w:val="false"/>
          </w:tcPr>
          <w:p w14:paraId="4C3A9EE0">
            <w:pPr>
              <w:pBdr>
                <w:top w:val="none" w:color="000000" w:sz="4" w:space="0"/>
                <w:left w:val="none" w:color="000000" w:sz="4" w:space="0"/>
                <w:bottom w:val="none" w:color="000000" w:sz="4" w:space="0"/>
                <w:right w:val="none" w:color="000000" w:sz="4" w:space="0"/>
              </w:pBdr>
              <w:spacing w:after="0" w:before="6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560928B1">
            <w:pPr>
              <w:pBdr>
                <w:top w:val="none" w:color="000000" w:sz="4" w:space="0"/>
                <w:left w:val="none" w:color="000000" w:sz="4" w:space="0"/>
                <w:bottom w:val="none" w:color="000000" w:sz="4" w:space="0"/>
                <w:right w:val="none" w:color="000000" w:sz="4" w:space="0"/>
              </w:pBdr>
              <w:spacing w:before="60"/>
              <w:ind w:right="0" w:firstLine="0" w:left="0"/>
              <w:jc w:val="both"/>
              <w:rPr/>
            </w:pPr>
            <w:r>
              <w:rPr>
                <w:rFonts w:ascii="Times New Roman" w:hAnsi="Times New Roman" w:eastAsia="Times New Roman" w:cs="Times New Roman"/>
                <w:color w:val="000000"/>
                <w:sz w:val="24"/>
              </w:rPr>
              <w:t xml:space="preserve">111357280</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Chương Dương,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20.865444444444, 105.91625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8"/>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8"/>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8"/>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8"/>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8"/>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8"/>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8"/>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8"/>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8"/>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8"/>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8"/>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8"/>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8"/>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8"/>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8"/>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8"/>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HSTD-20251202-0029/HĐTĐ-VFI ngày 18/11/2025 giữa Nguyễn Anh Tuấn với Công ty Cổ phần Thẩm định và Đầu tư Tài chính Hoa Sen.</w:t>
      </w:r>
      <w:r>
        <w:rPr>
          <w:b/>
          <w:lang w:val="pt-BR"/>
        </w:rPr>
      </w:r>
      <w:r>
        <w:rPr>
          <w:b/>
          <w:lang w:val="pt-BR"/>
        </w:rPr>
      </w:r>
    </w:p>
    <w:p w14:paraId="7BDC3A25" w14:textId="77D2CF95">
      <w:pPr>
        <w:pStyle w:val="1028"/>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38BF929">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lang w:val="pt-BR"/>
        </w:rPr>
        <w:tab/>
      </w:r>
      <w:r>
        <w:rPr>
          <w:rFonts w:ascii="Times New Roman" w:hAnsi="Times New Roman" w:eastAsia="Times New Roman" w:cs="Times New Roman"/>
          <w:color w:val="000000"/>
          <w:sz w:val="24"/>
        </w:rPr>
        <w:t xml:space="preserve">Tại họp báo về tổng quan thị trường bất động sản Hà Nội Quý 1/2025, bà Nguyễn Hoài An, Giám đốc cấp cao CBRE Hà Nội, nhận định rằng thời gian qua, phân khúc bất động sản nhà ở đã có nhiều thay đổi.</w:t>
      </w:r>
      <w:r/>
    </w:p>
    <w:p w14:paraId="773B3DB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quý 1/2025, thị trường căn hộ Hà Nội ghi nhận nguồn cung giảm so với một vài quý trước của năm 2024. Tuy nhiên, nếu so với cùng kì quý 1 của các năm trước thì số lượng nguồn cung năm 2025 cũng không phải quá ít. Mặt khác, sau đà tăng mạnh, tốc độ</w:t>
      </w:r>
      <w:r>
        <w:rPr>
          <w:rFonts w:ascii="Times New Roman" w:hAnsi="Times New Roman" w:eastAsia="Times New Roman" w:cs="Times New Roman"/>
          <w:color w:val="000000"/>
          <w:sz w:val="24"/>
        </w:rPr>
        <w:t xml:space="preserve"> tăng giá bán của chung cư bắt đầu chững lại.</w:t>
      </w:r>
      <w:r/>
    </w:p>
    <w:p w14:paraId="2D821172">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đối với thị trường nhà ở gắn liền với đất, bà Hoài An cho biết nguồn cung mở bán mới nhà ở gắn liền với đất Quý 1/2025 tại Hà Nội ổn định với hơn 1.500 căn mở bán từ dự án đô thị lớn ở Đan Phượng. Do sự gián đoạn của dịp Tết Nguyên đán, nguồn cung mới quý </w:t>
      </w:r>
      <w:r>
        <w:rPr>
          <w:rFonts w:ascii="Times New Roman" w:hAnsi="Times New Roman" w:eastAsia="Times New Roman" w:cs="Times New Roman"/>
          <w:color w:val="000000"/>
          <w:sz w:val="24"/>
        </w:rPr>
        <w:t xml:space="preserve">này giảm 46% so với quý trước, nhưng cũng là một trong những quý đầu năm ghi nhận nhiều nguồn cung nhà ở gắn liền với đất nhất từ trước tới nay.</w:t>
      </w:r>
      <w:r/>
    </w:p>
    <w:p w14:paraId="6EDDC768">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Tỷ lệ hấp thụ của thị trường nhà ở gắn liền với đất tại Hà Nội vẫn duy trì ổn định và vượt lượng cung mở bán mới trong quý. Tổng số căn bán được đạt hơn 1.800 căn, tập trung ở các dự án đô thị lớn ở Đông Anh, Đan Phượng và Văn Giang (tỉnh Hưng Yên, giáp ra</w:t>
      </w:r>
      <w:r>
        <w:rPr>
          <w:rFonts w:ascii="Times New Roman" w:hAnsi="Times New Roman" w:eastAsia="Times New Roman" w:cs="Times New Roman"/>
          <w:color w:val="000000"/>
          <w:sz w:val="24"/>
        </w:rPr>
        <w:t xml:space="preserve">nh Hà Nội) với quỹ hàng mở bán lớn.</w:t>
      </w:r>
      <w:r/>
    </w:p>
    <w:p w14:paraId="03313580">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Về giá bán, giá bán sơ cấp trung bình Quý 1/2025 tăng nhẹ so với quý trước, đạt 226 triệu đồng/m2 (bao gồm chi phí xây dựng và chưa bao gồm VAT), tăng 3% theo quý và 17% theo năm. Các dự án mở bán có vị trí thuận lợi, nằm ở những khu vực đang được đầu tư m</w:t>
      </w:r>
      <w:r>
        <w:rPr>
          <w:rFonts w:ascii="Times New Roman" w:hAnsi="Times New Roman" w:eastAsia="Times New Roman" w:cs="Times New Roman"/>
          <w:color w:val="000000"/>
          <w:sz w:val="24"/>
        </w:rPr>
        <w:t xml:space="preserve">ạnh về cơ sở hạ tầng, vì vậy, mức giá chào bán sơ cấp tương đối cao. Trong khi giá bán trung bình thứ cấp vẫn duy trì đà tăng, đạt xấp xỉ 183 triệu đồng/m2  (bao gồm chi phí xây dựng và chưa bao gồm VAT), tăng 5% theo quý.</w:t>
      </w:r>
      <w:r/>
    </w:p>
    <w:p w14:paraId="115A21F9">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Dự báo thị trường bất động sản nhà ở trong thời gian tới, bà Nguyễn Hoài An cho biết năm 2025, Hà Nội sẽ đón nhận khoảng 31.700 căn hộ và 6.700 nhà thấp tầng được mở bán. Sức mua duy trì ổn định trước bối cảnh nguồn cung mới quy mô lớn tiếp tục được mở bán</w:t>
      </w:r>
      <w:r>
        <w:rPr>
          <w:rFonts w:ascii="Times New Roman" w:hAnsi="Times New Roman" w:eastAsia="Times New Roman" w:cs="Times New Roman"/>
          <w:color w:val="000000"/>
          <w:sz w:val="24"/>
        </w:rPr>
        <w:t xml:space="preserve">. Ngoài ra, giá sơ cấp sẽ tăng nhẹ đến cuối năm 2025.</w:t>
      </w:r>
      <w:r/>
    </w:p>
    <w:p w14:paraId="5030EC84">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Trong đó, với thị trường căn hộ Hà Nội, nếu năm 2024, giá sơ cấp của sản phẩm chung cư đã tiệm cận mặt bằng giá sơ cấp của thị trường TP.HCM, thì năm 2025, những dự án có vị trí tương tự, mức giá tăng trưởng nhưng không thể đột biến.</w:t>
      </w:r>
      <w:r/>
    </w:p>
    <w:p w14:paraId="66EA134F">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Theo chuyên gia của CBRE, với nhiều động thái của chủ đầu tư lẫn chính quyền địa phương nhằm thúc đẩy các sản phẩm nhà ở xã hội, kì vọng sẽ làm tăng khả năng tiếp cận cho người dân có nhu cầu nhà ở.</w:t>
      </w:r>
      <w:r/>
    </w:p>
    <w:p w14:paraId="09E04E7E">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Đặc biệt, việc cải tạo những dự án khu tập thể cũ, chung cư cũ tại Hà Nội cũng hứa hẹn bổ sung thêm nguồn cung nhà ở.</w:t>
      </w:r>
      <w:r/>
    </w:p>
    <w:p w14:paraId="3D9AD2A5">
      <w:pPr>
        <w:pBdr>
          <w:top w:val="none" w:color="000000" w:sz="4" w:space="0"/>
          <w:left w:val="none" w:color="000000" w:sz="4" w:space="0"/>
          <w:bottom w:val="none" w:color="000000" w:sz="4" w:space="0"/>
          <w:right w:val="none" w:color="000000" w:sz="4" w:space="0"/>
        </w:pBdr>
        <w:spacing w:after="120" w:before="120"/>
        <w:ind w:right="0" w:firstLine="426" w:left="0"/>
        <w:jc w:val="both"/>
        <w:rPr/>
      </w:pPr>
      <w:r>
        <w:rPr>
          <w:rFonts w:ascii="Times New Roman" w:hAnsi="Times New Roman" w:eastAsia="Times New Roman" w:cs="Times New Roman"/>
          <w:color w:val="000000"/>
          <w:sz w:val="24"/>
        </w:rPr>
        <w:t xml:space="preserve">“Ở các nước khác, vấn đề này không mới, nhất là ở những thị trường phát triển. Đây gần như là nguồn cung nhà ở hiếm hoi của những thành phố lớn khi quỹ đất ngày càng trở nên khan hiếm. Tuy nhiên, tại Hà Nội và TP.HCM, chúng ta cần thêm cơ chế giúp tháo gỡ </w:t>
      </w:r>
      <w:r>
        <w:rPr>
          <w:rFonts w:ascii="Times New Roman" w:hAnsi="Times New Roman" w:eastAsia="Times New Roman" w:cs="Times New Roman"/>
          <w:color w:val="000000"/>
          <w:sz w:val="24"/>
        </w:rPr>
        <w:t xml:space="preserve">các nút thắt, nhằm đẩy nhanh tiến độ di dời, phá dỡ và xây dựng các chung cư cũ hư hỏng, nguy hiểm trong thời gian tới”, bà An chia sẻ.</w:t>
      </w:r>
      <w:r/>
    </w:p>
    <w:p w14:paraId="124CA00C">
      <w:pPr>
        <w:pBdr/>
        <w:tabs>
          <w:tab w:val="left" w:leader="none" w:pos="426"/>
        </w:tabs>
        <w:spacing w:after="120" w:before="120" w:line="276" w:lineRule="auto"/>
        <w:ind/>
        <w:rPr>
          <w:bCs/>
          <w:i/>
          <w:lang w:val="pt-BR"/>
        </w:rPr>
      </w:pPr>
      <w:r>
        <w:rPr>
          <w:rFonts w:ascii="Times New Roman" w:hAnsi="Times New Roman" w:eastAsia="Times New Roman" w:cs="Times New Roman"/>
          <w:i/>
          <w:color w:val="000000"/>
          <w:sz w:val="24"/>
        </w:rPr>
        <w:t xml:space="preserve">(Nguồn:</w:t>
      </w:r>
      <w:hyperlink r:id="rId15" w:tooltip="https://vneconomy.vn/da-tang-gia-chung-cu-ha-noi-chung-lai-trong-quy-1-2025.htm" w:history="1">
        <w:r>
          <w:rPr>
            <w:rStyle w:val="1018"/>
            <w:rFonts w:ascii="Times New Roman" w:hAnsi="Times New Roman" w:eastAsia="Times New Roman" w:cs="Times New Roman"/>
            <w:i/>
            <w:color w:val="000000"/>
            <w:sz w:val="24"/>
            <w:u w:val="single"/>
          </w:rPr>
          <w:t xml:space="preserve">https://vneconomy.vn/da-tang-gia-chung-cu-ha-noi-chung-lai-trong-quy-1-2025.htm</w:t>
        </w:r>
      </w:hyperlink>
      <w:r>
        <w:rPr>
          <w:rFonts w:ascii="Times New Roman" w:hAnsi="Times New Roman" w:eastAsia="Times New Roman" w:cs="Times New Roman"/>
          <w:i/>
          <w:color w:val="000000"/>
          <w:sz w:val="24"/>
        </w:rPr>
        <w:t xml:space="preserve">)</w:t>
      </w:r>
      <w:r>
        <w:rPr>
          <w:i/>
          <w:iCs/>
          <w:lang w:val="pt-BR"/>
        </w:rPr>
      </w:r>
      <w:r>
        <w:rPr>
          <w:bCs/>
          <w:i/>
          <w:lang w:val="pt-BR"/>
        </w:rPr>
      </w:r>
    </w:p>
    <w:p w14:paraId="20BF0D54" w14:textId="312C63AB">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22"/>
        <w:gridCol w:w="2211"/>
        <w:gridCol w:w="1946"/>
        <w:gridCol w:w="2324"/>
        <w:gridCol w:w="225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0D773F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27DA841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b/>
                <w:color w:val="000000"/>
                <w:sz w:val="24"/>
              </w:rPr>
              <w:t xml:space="preserve">số vào sổ cấp GCN: CH00671 do UBND Huyện Thường Tín cấp ngày 01/02/2018; Chủ sử dụng đất là Ông Nguyễn Anh Tuấn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00DCA8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3B2FB8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21DEED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5397D7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0453F6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154</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4980E8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D2131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0D69B1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AE9DF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7A7E013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Đội 2, xã Tự Nhiên, huyện Thường Tín (nay là xã Chương Dương), thành phố Hà Nội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22094B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26A80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223777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53,9</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2A0D7E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199460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4145EB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E7562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7C4329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3DEA22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4E1F2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68F0EA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03649B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4D184F5D">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Cấp lần đầu;</w:t>
              <w:br/>
              <w:t xml:space="preserve"> Số tờ, số thửa và sơ đồ sẽ được điều chỉnh khi có bản đồ địa chính chính quy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1F051F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38CF0AD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7E9121A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7FE326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43940D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5956FDA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qua tham khảo trên ứng dụng Meeymap.com, thửa đât nằm toàn bộ trong quy hoạch đường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6B4169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0315F199">
            <w:pPr>
              <w:pBdr/>
              <w:spacing w:after="0" w:before="0" w:line="240" w:lineRule="auto"/>
              <w:ind/>
              <w:rPr/>
            </w:pPr>
            <w:r>
              <mc:AlternateContent>
                <mc:Choice Requires="wpg">
                  <w:drawing>
                    <wp:inline xmlns:wp="http://schemas.openxmlformats.org/drawingml/2006/wordprocessingDrawing" distT="0" distB="0" distL="0" distR="0">
                      <wp:extent cx="5562600" cy="25908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344517" name=""/>
                              <pic:cNvPicPr>
                                <a:picLocks noChangeAspect="1"/>
                              </pic:cNvPicPr>
                              <pic:nvPr/>
                            </pic:nvPicPr>
                            <pic:blipFill rotWithShape="1">
                              <a:blip r:embed="rId16"/>
                              <a:stretch/>
                            </pic:blipFill>
                            <pic:spPr bwMode="auto">
                              <a:xfrm>
                                <a:off x="0" y="0"/>
                                <a:ext cx="5562599" cy="2590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8.00pt;height:204.00pt;mso-wrap-distance-left:0.00pt;mso-wrap-distance-top:0.00pt;mso-wrap-distance-right:0.00pt;mso-wrap-distance-bottom:0.00pt;z-index:1;" stroked="false">
                      <v:imagedata r:id="rId16"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328D97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32304F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378185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7D4322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3684F8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28444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553B947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Số 48 đường Hùng Vương, đội 2, xã Chương Dương,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0AE7D4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33A4A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7E57E5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Hùng Vương</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76CDAB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F3D17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7C3099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83087C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1B2A18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7,5m</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2DAAC7E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32F72E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5B1FAD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39FDB4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2FCB3C2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Tiếp giáp đường Hùng Vương, cách DT427 Khoảng 250m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7DAF73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39D44F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1A2B802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Bắc : Tiếp giáp đường giao thông;</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6FD1E0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788653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(20.865358220167238, 105.9163633298033)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61A937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62ABF8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62600" cy="24955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182795" name=""/>
                              <pic:cNvPicPr>
                                <a:picLocks noChangeAspect="1"/>
                              </pic:cNvPicPr>
                              <pic:nvPr/>
                            </pic:nvPicPr>
                            <pic:blipFill rotWithShape="1">
                              <a:blip r:embed="rId17"/>
                              <a:stretch/>
                            </pic:blipFill>
                            <pic:spPr bwMode="auto">
                              <a:xfrm>
                                <a:off x="0" y="0"/>
                                <a:ext cx="5562599" cy="2495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8.00pt;height:196.50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2FB90A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43A712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57675F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5AE7B3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0C5EA8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53,9</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75E21B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DF205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03BFFC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FF542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052846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4,30</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04B149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784E0C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12,53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560EFB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6B4CA2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70F111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Thóp hậu</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723884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4C9C6D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3020B4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23D38D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043F25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77B1D18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20A3DC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5B4612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2D2575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21" w:type="dxa"/>
            <w:vAlign w:val="center"/>
            <w:textDirection w:val="lrTb"/>
            <w:noWrap w:val="false"/>
          </w:tcPr>
          <w:p w14:paraId="0343B6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543E60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64EE8E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2D04E2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13ECC3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26671C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27C365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211" w:type="dxa"/>
            <w:vAlign w:val="center"/>
            <w:textDirection w:val="lrTb"/>
            <w:noWrap w:val="false"/>
          </w:tcPr>
          <w:p w14:paraId="55BC7C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46" w:type="dxa"/>
            <w:vAlign w:val="center"/>
            <w:textDirection w:val="lrTb"/>
            <w:noWrap w:val="false"/>
          </w:tcPr>
          <w:p w14:paraId="2B9722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nằm trong Chợ Tự Nhiên, có lợi thế kinh doanh tốt</w:t>
            </w:r>
            <w:r/>
          </w:p>
        </w:tc>
        <w:tc>
          <w:tcPr>
            <w:tcBorders>
              <w:bottom w:val="single" w:color="000000" w:sz="8" w:space="0"/>
              <w:right w:val="single" w:color="000000" w:sz="8" w:space="0"/>
            </w:tcBorders>
            <w:tcMar>
              <w:left w:w="108" w:type="dxa"/>
              <w:top w:w="0" w:type="dxa"/>
              <w:right w:w="108" w:type="dxa"/>
              <w:bottom w:w="0" w:type="dxa"/>
            </w:tcMar>
            <w:tcW w:w="2324" w:type="dxa"/>
            <w:vAlign w:val="center"/>
            <w:textDirection w:val="lrTb"/>
            <w:noWrap w:val="false"/>
          </w:tcPr>
          <w:p w14:paraId="139C122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14:paraId="6E3BB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507156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32" w:type="dxa"/>
            <w:vAlign w:val="center"/>
            <w:textDirection w:val="lrTb"/>
            <w:noWrap w:val="false"/>
          </w:tcPr>
          <w:p w14:paraId="0AB647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 : Nhà ở 02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22" w:type="dxa"/>
            <w:vAlign w:val="center"/>
            <w:textDirection w:val="lrTb"/>
            <w:noWrap w:val="false"/>
          </w:tcPr>
          <w:p w14:paraId="657699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32" w:type="dxa"/>
            <w:vAlign w:val="top"/>
            <w:textDirection w:val="lrTb"/>
            <w:noWrap w:val="false"/>
          </w:tcPr>
          <w:p w14:paraId="52EEB62C">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nhà 02 tầng, diện tích xây dựng khoảng 53,9m2, diện tích sàn khoảng 107,8m2, ngoại quan đã cũ. Theo thông tin từ chủ tài sản, công trình hoàn thiện năm 1994. Công trình chưa được công n</w:t>
            </w:r>
            <w:r>
              <w:rPr>
                <w:rFonts w:ascii="Times New Roman" w:hAnsi="Times New Roman" w:eastAsia="Times New Roman" w:cs="Times New Roman"/>
                <w:color w:val="000000"/>
                <w:sz w:val="24"/>
              </w:rPr>
              <w:t xml:space="preserve">hận trên GCN QSDĐ số: CK 997658</w:t>
            </w: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firstLine="0" w:left="0"/>
        <w:jc w:val="left"/>
        <w:rPr>
          <w:u w:val="single"/>
        </w:rPr>
      </w:pPr>
      <w:r>
        <w:rPr>
          <w:u w:val="single"/>
        </w:rPr>
      </w:r>
      <w:r>
        <w:rPr>
          <w:u w:val="single"/>
        </w:rPr>
      </w:r>
      <w:r>
        <w:rPr>
          <w:u w:val="single"/>
        </w:rPr>
      </w:r>
    </w:p>
    <w:p w14:paraId="34C97D3D" w14:textId="2CA4AAB8">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77180EDD">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nhà 02 tầng, diện tích xây dựng khoảng 53,9m2, diện tích sàn khoảng 107,8m2, ngoại quan đã cũ. Theo thông tin từ chủ tài sản, công trình hoàn thiện năm 1994. Công trình chưa được công n</w:t>
      </w:r>
      <w:r>
        <w:rPr>
          <w:rFonts w:ascii="Times New Roman" w:hAnsi="Times New Roman" w:eastAsia="Times New Roman" w:cs="Times New Roman"/>
          <w:color w:val="000000"/>
          <w:sz w:val="24"/>
        </w:rPr>
        <w:t xml:space="preserve">hận trên GCN QSDĐ số: CK 997658. 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w:t>
      </w:r>
      <w:r>
        <w:rPr>
          <w:rFonts w:ascii="Times New Roman" w:hAnsi="Times New Roman" w:eastAsia="Times New Roman" w:cs="Times New Roman"/>
          <w:color w:val="000000"/>
          <w:sz w:val="24"/>
        </w:rPr>
        <w:t xml:space="preserve"> đó là phần không thể tách rời của tài sản thẩm định.</w:t>
      </w:r>
      <w:r/>
    </w:p>
    <w:p w14:paraId="62BE5A9B">
      <w:pPr>
        <w:pStyle w:val="1028"/>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Theo thông tin tham khảo từ app meeymap, Tổ thẩm định nhận thấy tài sản thẩm định nằm trong Quy hoạch giao thông. Tuy nhiên, đây chỉ là thông tin Quy hoạch chung xây dựng của UBND Huyện Thường Tín, tỉ lệ 1/10.000, và chưa có bất kỳ hồ sơ pháp lý nào thể hi</w:t>
      </w:r>
      <w:r>
        <w:rPr>
          <w:rFonts w:ascii="Times New Roman" w:hAnsi="Times New Roman" w:eastAsia="Times New Roman" w:cs="Times New Roman"/>
          <w:color w:val="000000"/>
          <w:sz w:val="24"/>
        </w:rPr>
        <w:t xml:space="preserve">ện chính xác quy hoạch này. Do vậy, theo đề nghị của Ngân hàng, Tổ thẩm định giả định toàn bộ thửa đất theo thông tin Quy hoạch trên GCN QSDĐ số: CK 997658 và xác định giá trị tài sản thẩm định dựa trên giả định này. Chúng tôi bảo lưu quyền xem xét lại kết</w:t>
      </w:r>
      <w:r>
        <w:rPr>
          <w:rFonts w:ascii="Times New Roman" w:hAnsi="Times New Roman" w:eastAsia="Times New Roman" w:cs="Times New Roman"/>
          <w:color w:val="000000"/>
          <w:sz w:val="24"/>
        </w:rPr>
        <w:t xml:space="preserve"> quả định giá trong trường hợp được cung cấp pháp lý thể hiện sự sai khác với giả định trên. Kính đề nghị đơn vị sử dụng kết quả lưu ý và có biện pháp kiểm tra, xác minh cụ thể hơn</w:t>
      </w:r>
      <w:r>
        <w:rPr>
          <w:highlight w:val="none"/>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8"/>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8"/>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8"/>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8"/>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8"/>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8"/>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14:paraId="03DA67B9">
      <w:pPr>
        <w:pBdr/>
        <w:shd w:val="nil" w:color="auto"/>
        <w:spacing/>
        <w:ind/>
        <w:rPr>
          <w:b/>
          <w:bCs/>
          <w:lang w:val="nl-NL"/>
        </w:rPr>
      </w:pPr>
      <w:r>
        <w:rPr>
          <w:b/>
          <w:bCs/>
          <w:lang w:val="nl-NL"/>
        </w:rPr>
        <w:br w:type="page" w:clear="all"/>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Đội 2, xã Chương Dương,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Tự Nhiên,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Tự Nhiên, Huyện Thường Tín,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Tự Nhiên, Huyện Thường Tín,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trưc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https://alonhadat.com.vn/ban-manh-dat-dep-duong-thong-rong-tu-nhien-thuong-tin-17746884.html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https://alonhadat.com.vn/42-2m-duong-sieu-rong-gia-dau-tu-tu-nhien-thuong-tin-17454471.html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0394.371.640</w:t>
            </w:r>
            <w:r>
              <w:rPr>
                <w:sz w:val="22"/>
                <w:szCs w:val="22"/>
              </w:rPr>
              <w:t xml:space="preserve"> </w:t>
            </w:r>
            <w:r>
              <w:rPr>
                <w:sz w:val="22"/>
                <w:szCs w:val="22"/>
              </w:rPr>
              <w:br/>
              <w:t xml:space="preserve">(</w:t>
            </w:r>
            <w:r>
              <w:rPr>
                <w:sz w:val="22"/>
                <w:szCs w:val="22"/>
              </w:rPr>
              <w:t xml:space="preserve">Thành Vinh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0348.282.216</w:t>
            </w:r>
            <w:r>
              <w:rPr>
                <w:sz w:val="22"/>
                <w:szCs w:val="22"/>
              </w:rPr>
              <w:br/>
            </w:r>
            <w:r>
              <w:rPr>
                <w:sz w:val="22"/>
                <w:szCs w:val="22"/>
              </w:rPr>
              <w:t xml:space="preserve">(</w:t>
            </w:r>
            <w:r>
              <w:rPr>
                <w:sz w:val="22"/>
                <w:szCs w:val="22"/>
              </w:rPr>
              <w:t xml:space="preserve">Thảo Vinh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0394.371.640</w:t>
            </w:r>
            <w:r>
              <w:rPr>
                <w:sz w:val="22"/>
                <w:szCs w:val="22"/>
              </w:rPr>
              <w:br/>
            </w:r>
            <w:r>
              <w:rPr>
                <w:sz w:val="22"/>
                <w:szCs w:val="22"/>
              </w:rPr>
              <w:t xml:space="preserve">(</w:t>
            </w:r>
            <w:r>
              <w:rPr>
                <w:sz w:val="22"/>
                <w:szCs w:val="22"/>
              </w:rPr>
              <w:t xml:space="preserve">Thành Vinh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Đội 2, xã Chương Dương, Thà</w:t>
            </w:r>
            <w:r>
              <w:rPr>
                <w:color w:val="000000" w:themeColor="text1"/>
                <w:sz w:val="22"/>
                <w:szCs w:val="22"/>
              </w:rPr>
              <w:t xml:space="preserve">nh phố Hà Nội, khoảng cách ra đường chính tiếp giáp đường Hùng Vương, cách DT427 khoảng 250mm, độ rộng đường trước mặt tài sản 7.5m, mặt tiền 4.1m, tiếp giáp đường Hùng Vương, cách DT427 khoảng 250m, cách chợ Tự Nhiên khoảng 50m, 20.865444444444, 105.91625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Đội 3, xã Chương Dương, thành phố Hà Nội, khoảng cách ra đường chính Cách TL427 khoảng 300m, độ rộng đường trước mặt tài sản 9m, mặt tiền 4.47m, Cách TL427 khoảng 300, 20.866294080552574, 105.92106992959977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Tự Nhiên, Huyện Thường Tín, Thành phố Hà Nội, khoảng cách ra đường chính Cách TL427 khoảng 300mm, độ rộng đường trước mặt tài sản 5m, mặt tiền 5m, Cách TL427 khoảng 300m, 20.86528654693888, 105.91832200646401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Tự Nhiên, Huyện Thường Tín, Thành phố Hà Nội, khoảng cách ra đường chính Cách TL427 khoảng 300mm, độ rộng đường trước mặt tài sản 5m, mặt tiền 4m, Cách TL427 khoảng 300m, 20.86657227894263, 105.91867605805398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7.315.000.000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2.290.000.000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5.852.000.000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1.832.000.000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7.315.000.000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4.400.000.000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2.290.000.000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5.852.000.000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1.832.000.000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5.852.000.000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1.832.000.000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5.852.000.000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1.832.000.000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44.000.000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Đội 2, xã Chương Dương, Thà</w:t>
            </w:r>
            <w:r>
              <w:rPr>
                <w:color w:val="000000" w:themeColor="text1"/>
                <w:sz w:val="22"/>
                <w:szCs w:val="22"/>
              </w:rPr>
              <w:t xml:space="preserve">nh phố Hà Nội, khoảng cách ra đường chính tiếp giáp đường Hùng Vương, cách DT427 khoảng 250mm, độ rộng đường trước mặt tài sản 7.5m, mặt tiền 4.1m, tiếp giáp đường Hùng Vương, cách DT427 khoảng 250m, cách chợ Tự Nhiên khoảng 50m, 20.865444444444, 105.91625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Đội 3, xã Chương Dương, thành phố Hà Nội, khoảng cách ra đường chính Cách TL427 khoảng 300m, độ rộng đường trước mặt tài sản 9m, mặt tiền 4.47m, Cách TL427 khoảng 300, 20.866294080552574, 105.92106992959977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Tự Nhiên, Huyện Thường Tín, Thành phố Hà Nội, khoảng cách ra đường chính Cách TL427 khoảng 300mm, độ rộng đường trước mặt tài sản 5m, mặt tiền 5m, Cách TL427 khoảng 300m, 20.86528654693888, 105.91832200646401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Tự Nhiên, Huyện Thường Tín, Thành phố Hà Nội, khoảng cách ra đường chính Cách TL427 khoảng 300mm, độ rộng đường trước mặt tài sản 5m, mặt tiền 4m, Cách TL427 khoảng 300m, 20.86657227894263, 105.91867605805398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44.000.000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61.021.898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43.619.048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3.661.314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-872.381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57.360.584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52.800.000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49.289.524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-880.000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57.360.584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49.289.524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3.051.095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60.411.679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49.289.524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60.411.679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49.289.524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60.411.679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49.289.524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60.411.679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51.920.000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49.289.524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3.051.095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8.800.000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8.723.810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63.462.774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60.720.000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58.013.334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63.462.774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60.720.000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58.013.334</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60.732.036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-4.48%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17.086.132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22.880.000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16.139.048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2.440.876</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16.720.000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14.394.286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-4.48</w:t>
      </w:r>
      <w:r>
        <w:t xml:space="preserve">% đến</w:t>
      </w:r>
      <w:r>
        <w:t xml:space="preserve"> </w:t>
      </w:r>
      <w:r>
        <w:t xml:space="preserve"> </w:t>
      </w:r>
      <w:r>
        <w:t xml:space="preserve">4.5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63.462.774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21.158.489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60.720.000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20.237.976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58.013.334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19.335.844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60.732.309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14:paraId="4B506B03" w14:textId="49B8E0F8">
      <w:pPr>
        <w:pStyle w:val="1028"/>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8"/>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01B0332C">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5DE369DF">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4A06D0CC">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5F15B3F0">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EDC3918">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8E44E58">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360255EC">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154, tờ bản đồ số 02 có địa chỉ: Đội 2, xã Tự Nhiên, huyện Thường Tín (nay là xã Chương Dương), thành phố Hà Nội  theo Giấy chứng nhận quyền sử dụng đất, quyền sở hữu nhà ở và tài sản khác gắn liền với đất số: CK 997658, </w:t>
            </w:r>
            <w:r>
              <w:rPr>
                <w:rFonts w:ascii="Times New Roman" w:hAnsi="Times New Roman" w:eastAsia="Times New Roman" w:cs="Times New Roman"/>
                <w:color w:val="000000"/>
                <w:sz w:val="24"/>
              </w:rPr>
              <w:t xml:space="preserve">số vào sổ cấp GCN: CH00671 do UBND Huyện Thường Tín cấp ngày 01/02/2018; Chủ sử dụng đất là Ông Nguyễn Anh Tuấn</w:t>
            </w:r>
            <w:r>
              <w:rPr>
                <w:b/>
                <w:bCs/>
              </w:rPr>
            </w:r>
            <w:r>
              <w:rPr>
                <w:b/>
                <w:bCs/>
              </w:rPr>
            </w:r>
          </w:p>
        </w:tc>
        <w:tc>
          <w:tcPr>
            <w:shd w:val="clear" w:color="000000" w:fill="ffffff"/>
            <w:tcBorders/>
            <w:tcW w:w="1136" w:type="pct"/>
            <w:vAlign w:val="center"/>
            <w:textDirection w:val="lrTb"/>
            <w:noWrap w:val="false"/>
          </w:tcPr>
          <w:p w14:paraId="05361DD5">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20D229A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29961E13">
            <w:pPr>
              <w:pBdr/>
              <w:spacing w:after="40" w:before="40" w:line="288" w:lineRule="auto"/>
              <w:ind/>
              <w:rPr/>
            </w:pPr>
            <w:r>
              <w:rPr>
                <w:b/>
                <w:bCs/>
              </w:rPr>
              <w:t xml:space="preserve">Đất ở nông thôn</w:t>
            </w:r>
            <w:r/>
          </w:p>
        </w:tc>
        <w:tc>
          <w:tcPr>
            <w:tcBorders/>
            <w:tcW w:w="946" w:type="pct"/>
            <w:vAlign w:val="center"/>
            <w:textDirection w:val="lrTb"/>
            <w:noWrap/>
          </w:tcPr>
          <w:p w14:paraId="2D8AF5D6">
            <w:pPr>
              <w:pBdr/>
              <w:spacing w:after="40" w:before="40" w:line="288" w:lineRule="auto"/>
              <w:ind/>
              <w:jc w:val="center"/>
              <w:rPr>
                <w:color w:val="000000"/>
              </w:rPr>
            </w:pPr>
            <w:r>
              <w:rPr>
                <w:color w:val="000000" w:themeColor="text1"/>
              </w:rPr>
              <w:t xml:space="preserve">53.9</w:t>
            </w:r>
            <w:r>
              <w:rPr>
                <w:color w:val="000000"/>
              </w:rPr>
            </w:r>
            <w:r>
              <w:rPr>
                <w:color w:val="000000"/>
              </w:rPr>
            </w:r>
          </w:p>
        </w:tc>
        <w:tc>
          <w:tcPr>
            <w:shd w:val="clear" w:color="000000" w:fill="ffffff"/>
            <w:tcBorders/>
            <w:tcW w:w="1355" w:type="pct"/>
            <w:vAlign w:val="center"/>
            <w:textDirection w:val="lrTb"/>
            <w:noWrap w:val="false"/>
          </w:tcPr>
          <w:p w14:paraId="61BDE7E8">
            <w:pPr>
              <w:pBdr/>
              <w:spacing w:after="40" w:before="40" w:line="288" w:lineRule="auto"/>
              <w:ind/>
              <w:jc w:val="center"/>
              <w:rPr/>
            </w:pPr>
            <w:r>
              <w:rPr>
                <w:color w:val="000000" w:themeColor="text1"/>
              </w:rPr>
              <w:t xml:space="preserve">60.000.000</w:t>
            </w:r>
            <w:r/>
          </w:p>
        </w:tc>
        <w:tc>
          <w:tcPr>
            <w:shd w:val="clear" w:color="000000" w:fill="ffffff"/>
            <w:tcBorders/>
            <w:tcW w:w="1136" w:type="pct"/>
            <w:vAlign w:val="center"/>
            <w:textDirection w:val="lrTb"/>
            <w:noWrap w:val="false"/>
          </w:tcPr>
          <w:p w14:paraId="2FC0F582">
            <w:pPr>
              <w:pBdr/>
              <w:spacing w:after="40" w:before="40" w:line="288" w:lineRule="auto"/>
              <w:ind/>
              <w:jc w:val="center"/>
              <w:rPr/>
            </w:pPr>
            <w:r>
              <w:rPr>
                <w:color w:val="000000" w:themeColor="text1"/>
              </w:rPr>
              <w:t xml:space="preserve">3.234.000.000</w:t>
            </w:r>
            <w:r/>
          </w:p>
        </w:tc>
      </w:tr>
      <w:tr>
        <w:trPr>
          <w:trHeight w:val="20"/>
        </w:trPr>
        <w:tc>
          <w:tcPr>
            <w:gridSpan w:val="4"/>
            <w:tcBorders/>
            <w:tcW w:w="3864" w:type="pct"/>
            <w:vAlign w:val="center"/>
            <w:textDirection w:val="lrTb"/>
            <w:noWrap/>
          </w:tcPr>
          <w:p w14:paraId="7D9726CD">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44ED632F">
            <w:pPr>
              <w:pBdr/>
              <w:spacing w:after="40" w:before="40" w:line="288" w:lineRule="auto"/>
              <w:ind/>
              <w:jc w:val="center"/>
              <w:rPr>
                <w:b/>
                <w:bCs/>
                <w:color w:val="000000"/>
              </w:rPr>
            </w:pPr>
            <w:r>
              <w:t xml:space="preserve">3.234.000.000</w:t>
            </w:r>
            <w:r>
              <w:rPr>
                <w:b/>
                <w:bCs/>
                <w:color w:val="000000"/>
              </w:rPr>
            </w:r>
            <w:r>
              <w:rPr>
                <w:b/>
                <w:bCs/>
                <w:color w:val="000000"/>
              </w:rPr>
            </w:r>
          </w:p>
        </w:tc>
      </w:tr>
      <w:tr>
        <w:trPr>
          <w:trHeight w:val="20"/>
        </w:trPr>
        <w:tc>
          <w:tcPr>
            <w:gridSpan w:val="4"/>
            <w:tcBorders/>
            <w:tcW w:w="3864" w:type="pct"/>
            <w:vAlign w:val="center"/>
            <w:textDirection w:val="lrTb"/>
            <w:noWrap/>
          </w:tcPr>
          <w:p w14:paraId="4CB10E33">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0BF6F679">
            <w:pPr>
              <w:pBdr/>
              <w:spacing w:after="40" w:before="40" w:line="288" w:lineRule="auto"/>
              <w:ind/>
              <w:jc w:val="center"/>
              <w:rPr>
                <w:b/>
                <w:bCs/>
                <w:color w:val="000000"/>
              </w:rPr>
            </w:pPr>
            <w:r>
              <w:rPr>
                <w:b/>
                <w:bCs/>
                <w:color w:val="000000"/>
              </w:rPr>
              <w:t xml:space="preserve">3.234.000.000</w:t>
            </w:r>
            <w:r>
              <w:rPr>
                <w:b/>
                <w:bCs/>
                <w:color w:val="000000"/>
              </w:rPr>
            </w:r>
            <w:r>
              <w:rPr>
                <w:b/>
                <w:bCs/>
                <w:color w:val="000000"/>
              </w:rPr>
            </w:r>
          </w:p>
        </w:tc>
      </w:tr>
      <w:tr>
        <w:trPr>
          <w:trHeight w:val="20"/>
        </w:trPr>
        <w:tc>
          <w:tcPr>
            <w:gridSpan w:val="5"/>
            <w:tcBorders/>
            <w:tcW w:w="5000" w:type="pct"/>
            <w:vAlign w:val="center"/>
            <w:textDirection w:val="lrTb"/>
            <w:noWrap w:val="false"/>
          </w:tcPr>
          <w:p w14:paraId="0908944D">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hai trăm ba mươi bốn triệu đồng</w:t>
            </w:r>
            <w:r>
              <w:rPr>
                <w:b/>
                <w:bCs/>
                <w:i/>
                <w:iCs/>
                <w:color w:val="000000"/>
              </w:rPr>
              <w:t xml:space="preserve">./.)</w:t>
            </w:r>
            <w:r>
              <w:rPr>
                <w:b/>
                <w:bCs/>
                <w:i/>
                <w:iCs/>
                <w:color w:val="000000"/>
              </w:rPr>
            </w:r>
            <w:r>
              <w:rPr>
                <w:b/>
                <w:bCs/>
                <w:i/>
                <w:iCs/>
                <w:color w:val="000000"/>
              </w:rPr>
            </w:r>
          </w:p>
        </w:tc>
      </w:tr>
    </w:tbl>
    <w:p w14:paraId="187E2E91" w14:textId="56B58432">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8"/>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8"/>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8"/>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8"/>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8"/>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8"/>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8"/>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8"/>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5D52B61">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khảo sát, dưới sự hướng dẫn của chủ tài sản, trên đất có nhà 02 tầng, diện tích xây dựng khoảng 53,9m2, diện tích sàn khoảng 107,8m2, ngoại quan đã cũ. Theo thông tin từ chủ tài sản, công trình hoàn thiện năm 1994. Công trình chưa được công n</w:t>
      </w:r>
      <w:r>
        <w:rPr>
          <w:rFonts w:ascii="Times New Roman" w:hAnsi="Times New Roman" w:eastAsia="Times New Roman" w:cs="Times New Roman"/>
          <w:color w:val="000000"/>
          <w:sz w:val="24"/>
        </w:rPr>
        <w:t xml:space="preserve">hận trên GCN QSDĐ số: CK 997658. 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w:t>
      </w:r>
      <w:r>
        <w:rPr>
          <w:rFonts w:ascii="Times New Roman" w:hAnsi="Times New Roman" w:eastAsia="Times New Roman" w:cs="Times New Roman"/>
          <w:color w:val="000000"/>
          <w:sz w:val="24"/>
        </w:rPr>
        <w:t xml:space="preserve"> đó là phần không thể tách rời của tài sản thẩm định.</w:t>
      </w:r>
      <w:r/>
    </w:p>
    <w:p w14:paraId="111FC4CE">
      <w:pPr>
        <w:pStyle w:val="1028"/>
        <w:numPr>
          <w:ilvl w:val="0"/>
          <w:numId w:val="5"/>
        </w:numPr>
        <w:pBdr/>
        <w:tabs>
          <w:tab w:val="left" w:leader="none" w:pos="993"/>
        </w:tabs>
        <w:spacing w:after="120" w:before="120" w:line="288" w:lineRule="auto"/>
        <w:ind w:hanging="357" w:left="357"/>
        <w:jc w:val="both"/>
        <w:rPr>
          <w:lang w:val="pt-BR"/>
        </w:rPr>
      </w:pPr>
      <w:r>
        <w:rPr>
          <w:rFonts w:ascii="Times New Roman" w:hAnsi="Times New Roman" w:eastAsia="Times New Roman" w:cs="Times New Roman"/>
          <w:color w:val="000000"/>
          <w:sz w:val="24"/>
        </w:rPr>
        <w:t xml:space="preserve">Theo thông tin tham khảo từ app meeymap, Tổ thẩm định nhận thấy tài sản thẩm định nằm trong Quy hoạch giao thông. Tuy nhiên, đây chỉ là thông tin Quy hoạch chung xây dựng của UBND Huyện Thường Tín, tỉ lệ 1/10.000, và chưa có bất kỳ hồ sơ pháp lý nào thể hi</w:t>
      </w:r>
      <w:r>
        <w:rPr>
          <w:rFonts w:ascii="Times New Roman" w:hAnsi="Times New Roman" w:eastAsia="Times New Roman" w:cs="Times New Roman"/>
          <w:color w:val="000000"/>
          <w:sz w:val="24"/>
        </w:rPr>
        <w:t xml:space="preserve">ện chính xác quy hoạch này. Do vậy, theo đề nghị của Ngân hàng, Tổ thẩm định giả định toàn bộ thửa đất theo thông tin Quy hoạch trên GCN QSDĐ số: CK 997658 và xác định giá trị tài sản thẩm định dựa trên giả định này. Chúng tôi bảo lưu quyền xem xét lại kết</w:t>
      </w:r>
      <w:r>
        <w:rPr>
          <w:rFonts w:ascii="Times New Roman" w:hAnsi="Times New Roman" w:eastAsia="Times New Roman" w:cs="Times New Roman"/>
          <w:color w:val="000000"/>
          <w:sz w:val="24"/>
        </w:rPr>
        <w:t xml:space="preserve"> quả định giá trong trường hợp được cung cấp pháp lý thể hiện sự sai khác với giả định trên. Kính đề nghị đơn vị sử dụng kết quả lưu ý và có biện pháp kiểm tra, xác minh cụ thể hơn</w:t>
      </w:r>
      <w:r>
        <w:rPr>
          <w:highlight w:val="none"/>
          <w:lang w:val="pt-BR"/>
        </w:rPr>
      </w:r>
      <w:r>
        <w:rPr>
          <w:lang w:val="pt-BR"/>
        </w:rPr>
      </w:r>
    </w:p>
    <w:p w14:paraId="4CDAC0E9" w14:textId="77777777">
      <w:pPr>
        <w:pStyle w:val="1028"/>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8"/>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8"/>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1B4D1C5D">
      <w:pPr>
        <w:pBdr/>
        <w:shd w:val="nil" w:color="auto"/>
        <w:spacing/>
        <w:ind/>
        <w:rPr>
          <w:lang w:val="pt-BR"/>
        </w:rPr>
      </w:pPr>
      <w:r>
        <w:rPr>
          <w:lang w:val="pt-BR"/>
        </w:rPr>
        <w:br w:type="page" w:clear="all"/>
      </w:r>
      <w:r>
        <w:rPr>
          <w:lang w:val="pt-BR"/>
        </w:rPr>
      </w:r>
      <w:r>
        <w:rPr>
          <w:lang w:val="pt-BR"/>
        </w:rPr>
      </w:r>
    </w:p>
    <w:p w14:paraId="699F9D9D" w14:textId="4418D349">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275/2025/1660/VFI-CT.44.A</w:t>
      </w:r>
      <w:r>
        <w:rPr>
          <w:color w:val="ff0000"/>
          <w:lang w:val="vi-VN"/>
        </w:rPr>
        <w:t xml:space="preserve"> </w:t>
      </w:r>
      <w:r>
        <w:rPr>
          <w:color w:val="000000" w:themeColor="text1"/>
        </w:rPr>
        <w:t xml:space="preserve">ngày 21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8"/>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8"/>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8"/>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6416202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r/>
          </w:p>
          <w:p w14:paraId="4D287DD7">
            <w:pPr>
              <w:pBdr/>
              <w:spacing w:line="276" w:lineRule="auto"/>
              <w:ind/>
              <w:jc w:val="center"/>
              <w:rPr>
                <w:rFonts w:eastAsia="Calibri"/>
                <w:b/>
                <w:lang w:val="pt-BR"/>
              </w:rPr>
            </w:pPr>
            <w:r>
              <w:rPr>
                <w:rFonts w:ascii="Times New Roman" w:hAnsi="Times New Roman" w:eastAsia="Times New Roman" w:cs="Times New Roman"/>
                <w:b/>
                <w:color w:val="000000"/>
                <w:sz w:val="24"/>
              </w:rPr>
              <w:t xml:space="preserve">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2A1AC2A8">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7A0DFA76">
            <w:pPr>
              <w:pBdr>
                <w:top w:val="none" w:color="000000" w:sz="4" w:space="0"/>
                <w:left w:val="none" w:color="000000" w:sz="4" w:space="0"/>
                <w:bottom w:val="none" w:color="000000" w:sz="4" w:space="0"/>
                <w:right w:val="none" w:color="000000" w:sz="4" w:space="0"/>
              </w:pBdr>
              <w:spacing w:line="312" w:lineRule="auto"/>
              <w:ind w:right="0" w:firstLine="0" w:left="0"/>
              <w:jc w:val="center"/>
              <w:rPr/>
            </w:pPr>
            <w:r>
              <w:rPr>
                <w:rFonts w:ascii="Times New Roman" w:hAnsi="Times New Roman" w:eastAsia="Times New Roman" w:cs="Times New Roman"/>
                <w:b/>
                <w:color w:val="000000"/>
                <w:sz w:val="24"/>
              </w:rPr>
              <w:t xml:space="preserve">Nguyễn Trọng Điệp</w:t>
            </w:r>
            <w:r/>
            <w:r/>
          </w:p>
          <w:p w14:paraId="468402AF">
            <w:pPr>
              <w:pBdr/>
              <w:spacing w:line="276" w:lineRule="auto"/>
              <w:ind/>
              <w:jc w:val="center"/>
              <w:rPr>
                <w:rFonts w:eastAsia="Calibri"/>
                <w:b/>
                <w:lang w:val="pt-BR"/>
              </w:rPr>
            </w:pPr>
            <w:r>
              <w:rPr>
                <w:rFonts w:ascii="Times New Roman" w:hAnsi="Times New Roman" w:eastAsia="Times New Roman" w:cs="Times New Roman"/>
                <w:color w:val="000000"/>
                <w:sz w:val="24"/>
              </w:rPr>
              <w:t xml:space="preserve">Số thẻ thẩm định viên về giá: X15.1272</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Trọng Điệp</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275/2025/1660/VFI-BC.44.A</w:t>
      </w:r>
      <w:r>
        <w:rPr>
          <w:i/>
          <w:lang w:val="pt-BR"/>
        </w:rPr>
        <w:t xml:space="preserve"> </w:t>
      </w:r>
      <w:r>
        <w:rPr>
          <w:i/>
          <w:lang w:val="pt-BR"/>
        </w:rPr>
        <w:t xml:space="preserve">21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03"/>
        <w:gridCol w:w="4822"/>
      </w:tblGrid>
      <w:tr>
        <w:trPr/>
        <w:tc>
          <w:tcPr>
            <w:tcBorders/>
            <w:tcW w:w="4703"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62225" cy="19240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42105" name=""/>
                              <pic:cNvPicPr>
                                <a:picLocks noChangeAspect="1"/>
                              </pic:cNvPicPr>
                              <pic:nvPr/>
                            </pic:nvPicPr>
                            <pic:blipFill rotWithShape="1">
                              <a:blip r:embed="rId18"/>
                              <a:stretch/>
                            </pic:blipFill>
                            <pic:spPr bwMode="auto">
                              <a:xfrm>
                                <a:off x="0" y="0"/>
                                <a:ext cx="2562224" cy="1924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1.75pt;height:151.50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822"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90800" cy="21240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66708" name=""/>
                              <pic:cNvPicPr>
                                <a:picLocks noChangeAspect="1"/>
                              </pic:cNvPicPr>
                              <pic:nvPr/>
                            </pic:nvPicPr>
                            <pic:blipFill rotWithShape="1">
                              <a:blip r:embed="rId19"/>
                              <a:stretch/>
                            </pic:blipFill>
                            <pic:spPr bwMode="auto">
                              <a:xfrm>
                                <a:off x="0" y="0"/>
                                <a:ext cx="2590799" cy="2124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00pt;height:167.25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03"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825" cy="20955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234417" name=""/>
                              <pic:cNvPicPr>
                                <a:picLocks noChangeAspect="1"/>
                              </pic:cNvPicPr>
                              <pic:nvPr/>
                            </pic:nvPicPr>
                            <pic:blipFill rotWithShape="1">
                              <a:blip r:embed="rId20"/>
                              <a:stretch/>
                            </pic:blipFill>
                            <pic:spPr bwMode="auto">
                              <a:xfrm>
                                <a:off x="0" y="0"/>
                                <a:ext cx="2790824" cy="209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75pt;height:165.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822"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0825" cy="20955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260056" name=""/>
                              <pic:cNvPicPr>
                                <a:picLocks noChangeAspect="1"/>
                              </pic:cNvPicPr>
                              <pic:nvPr/>
                            </pic:nvPicPr>
                            <pic:blipFill rotWithShape="1">
                              <a:blip r:embed="rId21"/>
                              <a:stretch/>
                            </pic:blipFill>
                            <pic:spPr bwMode="auto">
                              <a:xfrm>
                                <a:off x="0" y="0"/>
                                <a:ext cx="2790824" cy="2095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75pt;height:165.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03" w:type="dxa"/>
            <w:vAlign w:val="center"/>
            <w:textDirection w:val="lrTb"/>
            <w:noWrap w:val="false"/>
          </w:tcPr>
          <w:p w14:paraId="5AC0874D" w14:textId="15ABBD8F">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7025" cy="215265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54999" name=""/>
                              <pic:cNvPicPr>
                                <a:picLocks noChangeAspect="1"/>
                              </pic:cNvPicPr>
                              <pic:nvPr/>
                            </pic:nvPicPr>
                            <pic:blipFill rotWithShape="1">
                              <a:blip r:embed="rId22"/>
                              <a:stretch/>
                            </pic:blipFill>
                            <pic:spPr bwMode="auto">
                              <a:xfrm>
                                <a:off x="0" y="0"/>
                                <a:ext cx="2867024" cy="2152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75pt;height:169.5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822"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86075" cy="20193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5823" name=""/>
                              <pic:cNvPicPr>
                                <a:picLocks noChangeAspect="1"/>
                              </pic:cNvPicPr>
                              <pic:nvPr/>
                            </pic:nvPicPr>
                            <pic:blipFill rotWithShape="1">
                              <a:blip r:embed="rId23"/>
                              <a:stretch/>
                            </pic:blipFill>
                            <pic:spPr bwMode="auto">
                              <a:xfrm flipH="0" flipV="0">
                                <a:off x="0" y="0"/>
                                <a:ext cx="2886075" cy="20192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7.25pt;height:159.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highlight w:val="none"/>
        </w:rPr>
      </w:pPr>
      <w:r>
        <w:br w:type="page" w:clear="all"/>
      </w:r>
      <w:r>
        <w:rPr>
          <w:highlight w:val="none"/>
        </w:rPr>
      </w:r>
      <w:r>
        <w:rPr>
          <w:highlight w:val="none"/>
        </w:rPr>
      </w:r>
    </w:p>
    <w:p w14:paraId="780B357E">
      <w:pPr>
        <w:pBdr/>
        <w:spacing w:after="200" w:line="276" w:lineRule="auto"/>
        <w:ind/>
        <w:jc w:val="center"/>
        <w:rPr>
          <w:b/>
          <w:bCs/>
          <w:highlight w:val="none"/>
        </w:rPr>
      </w:pPr>
      <w:r>
        <w:rPr>
          <w:b/>
          <w:bCs/>
          <w:highlight w:val="none"/>
        </w:rPr>
        <w:t xml:space="preserve">PHÁP LÝ</w:t>
      </w:r>
      <w:r>
        <w:rPr>
          <w:b/>
          <w:bCs/>
        </w:rPr>
      </w:r>
      <w:r>
        <w:rPr>
          <w:b/>
          <w:bCs/>
          <w:highlight w:val="none"/>
        </w:rPr>
      </w:r>
    </w:p>
    <w:p w14:paraId="35556531">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48751" name=""/>
                        <pic:cNvPicPr>
                          <a:picLocks noChangeAspect="1"/>
                        </pic:cNvPicPr>
                        <pic:nvPr/>
                      </pic:nvPicPr>
                      <pic:blipFill rotWithShape="1">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14:paraId="06019368">
      <w:pPr>
        <w:pBdr/>
        <w:shd w:val="nil" w:color="auto"/>
        <w:spacing/>
        <w:ind/>
        <w:rPr/>
      </w:pPr>
      <w:r>
        <w:br w:type="page" w:clear="all"/>
      </w:r>
      <w:r/>
    </w:p>
    <w:p w14:paraId="52097DE7">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35211" name=""/>
                        <pic:cNvPicPr>
                          <a:picLocks noChangeAspect="1"/>
                        </pic:cNvPicPr>
                        <pic:nvPr/>
                      </pic:nvPicPr>
                      <pic:blipFill rotWithShape="1">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5" o:title=""/>
                <o:lock v:ext="edit" rotation="t"/>
              </v:shape>
            </w:pict>
          </mc:Fallback>
        </mc:AlternateContent>
      </w:r>
      <w:r>
        <w:rPr>
          <w:highlight w:val="none"/>
        </w:rPr>
      </w:r>
      <w:r/>
    </w:p>
    <w:p w14:paraId="1B1E65E7">
      <w:pPr>
        <w:pBdr/>
        <w:shd w:val="nil" w:color="auto"/>
        <w:spacing/>
        <w:ind/>
        <w:rPr>
          <w:bCs/>
          <w:i/>
          <w:lang w:val="pt-BR"/>
        </w:rPr>
      </w:pPr>
      <w:r>
        <w:rPr>
          <w:b/>
          <w:highlight w:val="none"/>
        </w:rPr>
        <w:br w:type="page" w:clear="all"/>
      </w:r>
      <w:r>
        <w:rPr>
          <w:b/>
          <w:highlight w:val="none"/>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275/2025/1660/VFI-BC.44.A</w:t>
      </w:r>
      <w:r>
        <w:rPr>
          <w:i/>
          <w:lang w:val="pt-BR"/>
        </w:rPr>
        <w:t xml:space="preserve"> </w:t>
      </w:r>
      <w:r>
        <w:rPr>
          <w:i/>
          <w:lang w:val="pt-BR"/>
        </w:rPr>
        <w:t xml:space="preserve">21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510"/>
        <w:gridCol w:w="524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10"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4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trưc tiếp</w:t>
            </w:r>
            <w:r>
              <w:rPr>
                <w:color w:val="000000" w:themeColor="text1"/>
                <w:sz w:val="22"/>
                <w:szCs w:val="22"/>
              </w:rPr>
              <w:br/>
              <w:t xml:space="preserve">0394.371.640</w:t>
            </w:r>
            <w:r>
              <w:rPr>
                <w:sz w:val="22"/>
                <w:szCs w:val="22"/>
              </w:rPr>
              <w:t xml:space="preserve"> </w:t>
            </w:r>
            <w:r>
              <w:rPr>
                <w:sz w:val="22"/>
                <w:szCs w:val="22"/>
              </w:rPr>
              <w:br/>
              <w:t xml:space="preserve">(Thành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7.315.000.000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5.852.000.000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(95.9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Đội 3, xã Chương Dương, thành phố Hà Nội, khoảng cách ra đường chính Cách TL427 khoảng 300m, độ rộng đường trước mặt tài sản 9m, mặt tiền 4.47m, Cách TL427 khoảng 300, 20.866294080552574, 105.92106992959977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10"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8804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9880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2.7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Đình Duy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527" w:type="dxa"/>
        <w:tblBorders/>
        <w:tblLayout w:type="fixed"/>
        <w:tblLook w:val="04A0" w:firstRow="1" w:lastRow="0" w:firstColumn="1" w:lastColumn="0" w:noHBand="0" w:noVBand="1"/>
      </w:tblPr>
      <w:tblGrid>
        <w:gridCol w:w="632"/>
        <w:gridCol w:w="3651"/>
        <w:gridCol w:w="524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651"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4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https://alonhadat.com.vn/ban-manh-dat-dep-duong-thong-rong-tu-nhien-thuong-tin-17746884.html</w:t>
            </w:r>
            <w:r>
              <w:rPr>
                <w:color w:val="000000" w:themeColor="text1"/>
                <w:sz w:val="22"/>
                <w:szCs w:val="22"/>
              </w:rPr>
              <w:br/>
              <w:t xml:space="preserve">0348.282.216</w:t>
            </w:r>
            <w:r>
              <w:rPr>
                <w:sz w:val="22"/>
                <w:szCs w:val="22"/>
              </w:rPr>
              <w:t xml:space="preserve"> </w:t>
            </w:r>
            <w:r>
              <w:rPr>
                <w:sz w:val="22"/>
                <w:szCs w:val="22"/>
              </w:rPr>
              <w:br/>
              <w:t xml:space="preserve">(Thảo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Tự Nhiên, Huyện Thường Tín, Thành phố Hà Nội, khoảng cách ra đường chính Cách TL427 khoảng 300mm, độ rộng đường trước mặt tài sản 5m, mặt tiền 5m, Cách TL427 khoảng 300m, 20.86528654693888, 105.91832200646401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651"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24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95"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6048375" cy="39097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78267" name=""/>
                              <pic:cNvPicPr>
                                <a:picLocks noChangeAspect="1"/>
                              </pic:cNvPicPr>
                              <pic:nvPr/>
                            </pic:nvPicPr>
                            <pic:blipFill rotWithShape="1">
                              <a:blip r:embed="rId28"/>
                              <a:stretch/>
                            </pic:blipFill>
                            <pic:spPr bwMode="auto">
                              <a:xfrm>
                                <a:off x="0" y="0"/>
                                <a:ext cx="6048374" cy="3909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307.86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Đình Duy</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386" w:type="dxa"/>
        <w:tblBorders/>
        <w:tblLayout w:type="fixed"/>
        <w:tblLook w:val="04A0" w:firstRow="1" w:lastRow="0" w:firstColumn="1" w:lastColumn="0" w:noHBand="0" w:noVBand="1"/>
      </w:tblPr>
      <w:tblGrid>
        <w:gridCol w:w="632"/>
        <w:gridCol w:w="2943"/>
        <w:gridCol w:w="581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4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811"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https://alonhadat.com.vn/42-2m-duong-sieu-rong-gia-dau-tu-tu-nhien-thuong-tin-17454471.html</w:t>
            </w:r>
            <w:r>
              <w:rPr>
                <w:color w:val="000000" w:themeColor="text1"/>
                <w:sz w:val="22"/>
                <w:szCs w:val="22"/>
              </w:rPr>
              <w:br/>
            </w:r>
            <w:r>
              <w:rPr>
                <w:sz w:val="22"/>
                <w:szCs w:val="22"/>
              </w:rPr>
              <w:t xml:space="preserve">SĐT: </w:t>
            </w:r>
            <w:r>
              <w:rPr>
                <w:color w:val="000000" w:themeColor="text1"/>
                <w:sz w:val="22"/>
                <w:szCs w:val="22"/>
              </w:rPr>
              <w:t xml:space="preserve">0394.371.640</w:t>
            </w:r>
            <w:r>
              <w:rPr>
                <w:sz w:val="22"/>
                <w:szCs w:val="22"/>
              </w:rPr>
              <w:t xml:space="preserve"> </w:t>
            </w:r>
            <w:r>
              <w:rPr>
                <w:sz w:val="22"/>
                <w:szCs w:val="22"/>
              </w:rPr>
              <w:br/>
              <w:t xml:space="preserve">(Thành Vinh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2.290.000.000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1.832.000.000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(42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Tự Nhiên, Huyện Thường Tín, Thành phố Hà Nội, khoảng cách ra đường chính Cách TL427 khoảng 300mm, độ rộng đường trước mặt tài sản 5m, mặt tiền 4m, Cách TL427 khoảng 300m, 20.86657227894263, 105.91867605805398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4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811"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754"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mc:AlternateContent>
                <mc:Choice Requires="wpg">
                  <w:drawing>
                    <wp:inline xmlns:wp="http://schemas.openxmlformats.org/drawingml/2006/wordprocessingDrawing" distT="0" distB="0" distL="0" distR="0">
                      <wp:extent cx="4082707" cy="248364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53835" name=""/>
                              <pic:cNvPicPr>
                                <a:picLocks noChangeAspect="1"/>
                              </pic:cNvPicPr>
                              <pic:nvPr/>
                            </pic:nvPicPr>
                            <pic:blipFill rotWithShape="1">
                              <a:blip r:embed="rId29"/>
                              <a:stretch/>
                            </pic:blipFill>
                            <pic:spPr bwMode="auto">
                              <a:xfrm flipH="0" flipV="0">
                                <a:off x="0" y="0"/>
                                <a:ext cx="4082706" cy="24836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21.47pt;height:195.56pt;mso-wrap-distance-left:0.00pt;mso-wrap-distance-top:0.00pt;mso-wrap-distance-right:0.00pt;mso-wrap-distance-bottom:0.00pt;z-index:1;" stroked="false">
                      <v:imagedata r:id="rId29" o:title=""/>
                      <o:lock v:ext="edit" rotation="t"/>
                    </v:shape>
                  </w:pict>
                </mc:Fallback>
              </mc:AlternateContent>
            </w:r>
            <w:r>
              <w:rPr>
                <w:b/>
                <w:bCs/>
                <w:color w:val="000000"/>
                <w:sz w:val="22"/>
                <w:szCs w:val="22"/>
              </w:rPr>
            </w:r>
            <w:r>
              <w:rPr>
                <w:b/>
                <w:bCs/>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34C78336">
      <w:pPr>
        <w:pBdr/>
        <w:shd w:val="nil" w:color="auto"/>
        <w:spacing/>
        <w:ind/>
        <w:rPr>
          <w:lang w:val="pt-BR"/>
        </w:rPr>
      </w:pPr>
      <w:r>
        <w:rPr>
          <w:iCs/>
          <w:highlight w:val="none"/>
          <w:lang w:val="pt-BR"/>
        </w:rPr>
        <w:br w:type="page" w:clear="all"/>
      </w:r>
      <w:r>
        <w:rPr>
          <w:iCs/>
          <w:highlight w:val="none"/>
          <w:lang w:val="pt-BR"/>
        </w:rPr>
      </w:r>
      <w:r>
        <w:rPr>
          <w:lang w:val="pt-BR"/>
        </w:rPr>
      </w:r>
    </w:p>
    <w:p w14:paraId="1EAD3878" w14:textId="77777777">
      <w:pPr>
        <w:pBdr/>
        <w:spacing w:after="200" w:line="276" w:lineRule="auto"/>
        <w:ind/>
        <w:jc w:val="center"/>
        <w:rPr>
          <w:iCs/>
          <w:highlight w:val="none"/>
          <w:lang w:val="pt-BR"/>
        </w:rPr>
      </w:pPr>
      <w:r>
        <w:rPr>
          <w:iCs/>
          <w:lang w:val="pt-BR"/>
        </w:rPr>
        <w:t xml:space="preserve">BIÊN BẢN KHẢO SÁT</w:t>
      </w:r>
      <w:r>
        <w:rPr>
          <w:iCs/>
          <w:highlight w:val="none"/>
          <w:lang w:val="pt-BR"/>
        </w:rPr>
      </w:r>
      <w:r>
        <w:rPr>
          <w:iCs/>
          <w:highlight w:val="none"/>
          <w:lang w:val="pt-BR"/>
        </w:rPr>
      </w:r>
    </w:p>
    <w:p w14:paraId="7E08E060">
      <w:pPr>
        <w:pBdr/>
        <w:spacing w:after="200" w:line="276" w:lineRule="auto"/>
        <w:ind/>
        <w:jc w:val="center"/>
        <w:rPr>
          <w:highlight w:val="none"/>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57476"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0" o:title=""/>
                <o:lock v:ext="edit" rotation="t"/>
              </v:shape>
            </w:pict>
          </mc:Fallback>
        </mc:AlternateContent>
      </w:r>
      <w:r>
        <w:rPr>
          <w:iCs/>
          <w:highlight w:val="none"/>
          <w:lang w:val="pt-BR"/>
        </w:rPr>
      </w:r>
      <w:r>
        <w:rPr>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ECEFF6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D01205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vneconomy.vn/da-tang-gia-chung-cu-ha-noi-chung-lai-trong-quy-1-2025.htm" TargetMode="External"/><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270</cp:revision>
  <dcterms:created xsi:type="dcterms:W3CDTF">2025-09-15T09:58:00Z</dcterms:created>
  <dcterms:modified xsi:type="dcterms:W3CDTF">2025-12-11T03:07:06Z</dcterms:modified>
</cp:coreProperties>
</file>