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275/2025/1701/VFI-CT.53.A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QUẢN HỮU ĐỨC</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(1)-17; (2)-17a;, tờ bản đồ số: 42 có địa chỉ: Tiểu khu Chè Đen 1, Thị trấn Nông trường Mộc Châu, Huyện Mộc Châu, tỉnh Sơn La ( nay là phường </w:t>
                            </w:r>
                            <w:r>
                              <w:rPr>
                                <w:color w:val="000000"/>
                              </w:rPr>
                              <w:t xml:space="preserve">Vân Sơn, tỉnh Sơn La) theo Giấy chứng nhận quyền sử dụng đất, quyền sở hữu nhà ở và tài sản khác gắn liền với đất  số: BA 686507, số vào sổ cấp GCN: H 01019 do Uỷ ban Nhân dân Huyện Mộc Châu cấp ngày 10/02/2010 cho Ông  Quản Hữu Đức và Bà Lê Thị Hồng Hạnh.</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275/2025/1701/VFI-CT.53.A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QUẢN HỮU ĐỨC</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(1)-17; (2)-17a;, tờ bản đồ số: 42 có địa chỉ: Tiểu khu Chè Đen 1, Thị trấn Nông trường Mộc Châu, Huyện Mộc Châu, tỉnh Sơn La ( nay là phường </w:t>
                      </w:r>
                      <w:r>
                        <w:rPr>
                          <w:color w:val="000000"/>
                        </w:rPr>
                        <w:t xml:space="preserve">Vân Sơn, tỉnh Sơn La) theo Giấy chứng nhận quyền sử dụng đất, quyền sở hữu nhà ở và tài sản khác gắn liền với đất  số: BA 686507, số vào sổ cấp GCN: H 01019 do Uỷ ban Nhân dân Huyện Mộc Châu cấp ngày 10/02/2010 cho Ông  Quản Hữu Đức và Bà Lê Thị Hồng Hạnh.</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4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4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4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44"/>
              <w:pBdr/>
              <w:spacing w:after="60" w:before="200"/>
              <w:ind/>
              <w:rPr>
                <w:rStyle w:val="1043"/>
                <w:rFonts w:ascii="Times New Roman" w:hAnsi="Times New Roman"/>
                <w:color w:val="auto"/>
                <w:lang w:val="pt-BR"/>
              </w:rPr>
            </w:pPr>
            <w:r>
              <w:rPr>
                <w:rFonts w:ascii="Times New Roman" w:hAnsi="Times New Roman"/>
                <w:color w:val="auto"/>
                <w:lang w:val="pt-BR"/>
              </w:rPr>
            </w:r>
            <w:r>
              <w:rPr>
                <w:rStyle w:val="1043"/>
                <w:rFonts w:ascii="Times New Roman" w:hAnsi="Times New Roman"/>
                <w:color w:val="auto"/>
                <w:lang w:val="pt-BR"/>
              </w:rPr>
            </w:r>
            <w:r>
              <w:rPr>
                <w:rStyle w:val="1043"/>
                <w:rFonts w:ascii="Times New Roman" w:hAnsi="Times New Roman"/>
                <w:color w:val="auto"/>
                <w:lang w:val="pt-BR"/>
              </w:rPr>
            </w:r>
          </w:p>
          <w:p w14:paraId="189019A0" w14:textId="50D2DFCA">
            <w:pPr>
              <w:pStyle w:val="1044"/>
              <w:pBdr/>
              <w:spacing w:after="60" w:before="200"/>
              <w:ind/>
              <w:rPr>
                <w:sz w:val="24"/>
                <w:szCs w:val="24"/>
              </w:rPr>
            </w:pPr>
            <w:r>
              <w:rPr>
                <w:rStyle w:val="1043"/>
                <w:rFonts w:ascii="Times New Roman" w:hAnsi="Times New Roman"/>
                <w:color w:val="auto"/>
                <w:lang w:val="pt-BR"/>
              </w:rPr>
              <w:t xml:space="preserve">Số:</w:t>
            </w:r>
            <w:r>
              <w:rPr>
                <w:rStyle w:val="1043"/>
                <w:rFonts w:ascii="Times New Roman" w:hAnsi="Times New Roman"/>
                <w:color w:val="auto"/>
                <w:lang w:val="pt-BR"/>
              </w:rPr>
              <w:t xml:space="preserve"> </w:t>
            </w:r>
            <w:r>
              <w:rPr>
                <w:rStyle w:val="1043"/>
                <w:rFonts w:ascii="Times New Roman" w:hAnsi="Times New Roman"/>
                <w:color w:val="000000" w:themeColor="text1"/>
                <w:lang w:val="pt-BR"/>
              </w:rPr>
              <w:t xml:space="preserve">275/2025/1701/VFI-CT.53.A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44"/>
              <w:pBdr/>
              <w:spacing w:after="60" w:before="200"/>
              <w:ind w:right="-56"/>
              <w:rPr>
                <w:rStyle w:val="1043"/>
                <w:rFonts w:ascii="Times New Roman" w:hAnsi="Times New Roman"/>
                <w:i/>
                <w:color w:val="auto"/>
              </w:rPr>
            </w:pPr>
            <w:r>
              <w:rPr>
                <w:rFonts w:ascii="Times New Roman" w:hAnsi="Times New Roman"/>
                <w:i/>
                <w:color w:val="auto"/>
              </w:rPr>
            </w:r>
            <w:r>
              <w:rPr>
                <w:rStyle w:val="1043"/>
                <w:rFonts w:ascii="Times New Roman" w:hAnsi="Times New Roman"/>
                <w:i/>
                <w:color w:val="auto"/>
              </w:rPr>
            </w:r>
            <w:r>
              <w:rPr>
                <w:rStyle w:val="1043"/>
                <w:rFonts w:ascii="Times New Roman" w:hAnsi="Times New Roman"/>
                <w:i/>
                <w:color w:val="auto"/>
              </w:rPr>
            </w:r>
          </w:p>
          <w:p w14:paraId="6B33CD77" w14:textId="29BAA06D">
            <w:pPr>
              <w:pStyle w:val="1044"/>
              <w:pBdr/>
              <w:spacing w:after="60" w:before="200"/>
              <w:ind w:right="-56"/>
              <w:jc w:val="right"/>
              <w:rPr>
                <w:sz w:val="24"/>
                <w:szCs w:val="24"/>
                <w:lang w:val="vi-VN"/>
              </w:rPr>
            </w:pPr>
            <w:r>
              <w:rPr>
                <w:rStyle w:val="1043"/>
                <w:rFonts w:ascii="Times New Roman" w:hAnsi="Times New Roman"/>
                <w:i/>
                <w:color w:val="auto"/>
              </w:rPr>
              <w:t xml:space="preserve">TP. </w:t>
            </w:r>
            <w:r>
              <w:rPr>
                <w:rStyle w:val="1043"/>
                <w:rFonts w:ascii="Times New Roman" w:hAnsi="Times New Roman"/>
                <w:i/>
                <w:color w:val="auto"/>
              </w:rPr>
              <w:t xml:space="preserve">Hà 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01 tháng 12 năm 2025</w:t>
            </w:r>
            <w:r>
              <w:rPr>
                <w:rStyle w:val="1043"/>
                <w:rFonts w:ascii="Times New Roman" w:hAnsi="Times New Roman"/>
                <w:i/>
                <w:color w:val="auto"/>
                <w:lang w:val="vi-VN"/>
              </w:rPr>
              <w:t xml:space="preserve">   </w:t>
            </w:r>
            <w:r>
              <w:rPr>
                <w:rStyle w:val="104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44"/>
        <w:pBdr/>
        <w:spacing w:after="120" w:before="200" w:line="288" w:lineRule="auto"/>
        <w:ind/>
        <w:jc w:val="center"/>
        <w:rPr>
          <w:rStyle w:val="104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43"/>
          <w:rFonts w:ascii="Times New Roman" w:hAnsi="Times New Roman"/>
          <w:b/>
          <w:bCs/>
          <w:color w:val="auto"/>
          <w:sz w:val="30"/>
          <w:szCs w:val="30"/>
          <w:lang w:val="vi-VN"/>
        </w:rPr>
        <w:t xml:space="preserve">CHỨNG THƯ THẨM ĐỊNH GIÁ</w:t>
      </w:r>
      <w:r>
        <w:rPr>
          <w:rStyle w:val="1043"/>
          <w:rFonts w:ascii="Times New Roman" w:hAnsi="Times New Roman"/>
          <w:b/>
          <w:bCs/>
          <w:color w:val="auto"/>
          <w:sz w:val="30"/>
          <w:szCs w:val="30"/>
          <w:lang w:val="vi-VN"/>
        </w:rPr>
      </w:r>
      <w:r>
        <w:rPr>
          <w:rStyle w:val="104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QUẢN HỮU ĐỨC</w:t>
      </w:r>
      <w:r>
        <w:rPr>
          <w:rFonts w:ascii="Times New Roman Bold" w:hAnsi="Times New Roman Bold"/>
          <w:b/>
          <w:lang w:val="pt-BR"/>
        </w:rPr>
      </w:r>
      <w:r>
        <w:rPr>
          <w:rFonts w:ascii="Times New Roman Bold" w:hAnsi="Times New Roman Bold"/>
          <w:b/>
          <w:lang w:val="pt-BR"/>
        </w:rPr>
      </w:r>
    </w:p>
    <w:p w14:paraId="5BB29D21">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275/2025/1701/VFI-HĐTĐ.53.A</w:t>
      </w:r>
      <w:r>
        <w:rPr>
          <w:spacing w:val="-4"/>
          <w:lang w:val="vi-VN"/>
        </w:rPr>
        <w:t xml:space="preserve"> ký </w:t>
      </w:r>
      <w:r>
        <w:rPr>
          <w:rFonts w:ascii="Times New Roman" w:hAnsi="Times New Roman" w:eastAsia="Times New Roman" w:cs="Times New Roman"/>
          <w:color w:val="000000"/>
          <w:spacing w:val="-4"/>
          <w:sz w:val="24"/>
        </w:rPr>
        <w:t xml:space="preserve"> 28/11/2025 giữa </w:t>
      </w:r>
      <w:r>
        <w:rPr>
          <w:rFonts w:ascii="Times New Roman" w:hAnsi="Times New Roman" w:eastAsia="Times New Roman" w:cs="Times New Roman"/>
          <w:color w:val="000000"/>
          <w:sz w:val="24"/>
        </w:rPr>
        <w:t xml:space="preserve">Ông Quản Hữu Đức </w:t>
      </w:r>
      <w:r>
        <w:rPr>
          <w:rFonts w:ascii="Times New Roman" w:hAnsi="Times New Roman" w:eastAsia="Times New Roman" w:cs="Times New Roman"/>
          <w:color w:val="000000"/>
          <w:spacing w:val="-6"/>
          <w:sz w:val="24"/>
        </w:rPr>
        <w:t xml:space="preserve">với Công ty Cổ phần Thẩm định và Đầu tư Tài chính Hoa Sen</w:t>
      </w:r>
      <w:r>
        <w:rPr>
          <w:rFonts w:ascii="Times New Roman" w:hAnsi="Times New Roman" w:eastAsia="Times New Roman" w:cs="Times New Roman"/>
          <w:color w:val="000000"/>
          <w:spacing w:val="-4"/>
          <w:sz w:val="24"/>
        </w:rPr>
        <w:t xml:space="preserve">;</w:t>
      </w:r>
      <w:r>
        <w:rPr>
          <w:rFonts w:ascii="Times New Roman" w:hAnsi="Times New Roman" w:eastAsia="Times New Roman" w:cs="Times New Roman"/>
          <w:sz w:val="24"/>
        </w:rPr>
      </w: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275/2025/1701/VFI-BC.53.A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01/12/2025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76"/>
        <w:gridCol w:w="311"/>
        <w:gridCol w:w="6768"/>
      </w:tblGrid>
      <w:tr>
        <w:trPr>
          <w:trHeight w:val="182"/>
        </w:trPr>
        <w:tc>
          <w:tcPr>
            <w:tcBorders/>
            <w:tcMar>
              <w:left w:w="108" w:type="dxa"/>
              <w:top w:w="0" w:type="dxa"/>
              <w:right w:w="108" w:type="dxa"/>
              <w:bottom w:w="0" w:type="dxa"/>
            </w:tcMar>
            <w:tcW w:w="2276" w:type="dxa"/>
            <w:vAlign w:val="center"/>
            <w:textDirection w:val="lrTb"/>
            <w:noWrap w:val="false"/>
          </w:tcPr>
          <w:p w14:paraId="60193169">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311" w:type="dxa"/>
            <w:vAlign w:val="center"/>
            <w:textDirection w:val="lrTb"/>
            <w:noWrap w:val="false"/>
          </w:tcPr>
          <w:p w14:paraId="23856509">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68" w:type="dxa"/>
            <w:vAlign w:val="center"/>
            <w:textDirection w:val="lrTb"/>
            <w:noWrap w:val="false"/>
          </w:tcPr>
          <w:p w14:paraId="71542A45">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b/>
                <w:color w:val="000000"/>
                <w:sz w:val="24"/>
              </w:rPr>
              <w:t xml:space="preserve">ÔNG QUẢN HỮU ĐỨC</w:t>
            </w:r>
            <w:r/>
          </w:p>
        </w:tc>
      </w:tr>
      <w:tr>
        <w:trPr>
          <w:trHeight w:val="20"/>
        </w:trPr>
        <w:tc>
          <w:tcPr>
            <w:tcBorders/>
            <w:tcMar>
              <w:left w:w="108" w:type="dxa"/>
              <w:top w:w="0" w:type="dxa"/>
              <w:right w:w="108" w:type="dxa"/>
              <w:bottom w:w="0" w:type="dxa"/>
            </w:tcMar>
            <w:tcW w:w="2276" w:type="dxa"/>
            <w:vAlign w:val="center"/>
            <w:textDirection w:val="lrTb"/>
            <w:noWrap w:val="false"/>
          </w:tcPr>
          <w:p w14:paraId="52B1E3A4">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311" w:type="dxa"/>
            <w:vAlign w:val="center"/>
            <w:textDirection w:val="lrTb"/>
            <w:noWrap w:val="false"/>
          </w:tcPr>
          <w:p w14:paraId="17695261">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68" w:type="dxa"/>
            <w:vAlign w:val="center"/>
            <w:textDirection w:val="lrTb"/>
            <w:noWrap w:val="false"/>
          </w:tcPr>
          <w:p w14:paraId="27963E10">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038072013937</w:t>
            </w:r>
            <w:r/>
          </w:p>
        </w:tc>
      </w:tr>
      <w:tr>
        <w:trPr>
          <w:trHeight w:val="20"/>
        </w:trPr>
        <w:tc>
          <w:tcPr>
            <w:tcBorders/>
            <w:tcMar>
              <w:left w:w="108" w:type="dxa"/>
              <w:top w:w="0" w:type="dxa"/>
              <w:right w:w="108" w:type="dxa"/>
              <w:bottom w:w="0" w:type="dxa"/>
            </w:tcMar>
            <w:tcW w:w="2276" w:type="dxa"/>
            <w:vAlign w:val="center"/>
            <w:textDirection w:val="lrTb"/>
            <w:noWrap w:val="false"/>
          </w:tcPr>
          <w:p w14:paraId="3FE1EC9E">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311" w:type="dxa"/>
            <w:vAlign w:val="center"/>
            <w:textDirection w:val="lrTb"/>
            <w:noWrap w:val="false"/>
          </w:tcPr>
          <w:p w14:paraId="4797DD99">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768" w:type="dxa"/>
            <w:vAlign w:val="center"/>
            <w:textDirection w:val="lrTb"/>
            <w:noWrap w:val="false"/>
          </w:tcPr>
          <w:p w14:paraId="2833C5FF">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TK Chè Đen 1, Thị trấn NT Mộc Châu, Mộc Châu, Sơn La</w:t>
            </w:r>
            <w:r/>
          </w:p>
        </w:tc>
      </w:tr>
    </w:tbl>
    <w:p w14:paraId="19D91942">
      <w:pPr>
        <w:pBdr/>
        <w:tabs>
          <w:tab w:val="left" w:leader="none" w:pos="851"/>
        </w:tabs>
        <w:spacing w:after="120" w:before="120" w:line="288" w:lineRule="auto"/>
        <w:ind/>
        <w:jc w:val="both"/>
        <w:rPr>
          <w:b/>
          <w:bCs/>
        </w:rPr>
      </w:pPr>
      <w:r>
        <w:rPr>
          <w:b/>
          <w:bCs/>
          <w:highlight w:val="none"/>
          <w:lang w:val="vi-VN"/>
        </w:rPr>
      </w:r>
      <w:r>
        <w:rPr>
          <w:b/>
          <w:bCs/>
        </w:rPr>
      </w:r>
      <w:r>
        <w:rPr>
          <w:b/>
          <w:bCs/>
        </w:rPr>
      </w:r>
    </w:p>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30D88AE6">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Số 275/TĐG của Bộ Tài Chính cấp lần đầu ngày 22/01/2018, cấp lại lần thứ 6 ngày 01/8/2024</w:t>
            </w: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Nguyễn Trọng Điệp</w:t>
            </w:r>
            <w:r>
              <w:rPr>
                <w:b/>
                <w:bCs/>
                <w:lang w:val="vi-VN"/>
              </w:rPr>
              <w:tab/>
            </w:r>
            <w:r>
              <w:rPr>
                <w:b/>
                <w:bCs/>
              </w:rPr>
              <w:t xml:space="preserve">        </w:t>
            </w:r>
            <w:r>
              <w:rPr>
                <w:b/>
                <w:bCs/>
                <w:lang w:val="vi-VN"/>
              </w:rPr>
              <w:t xml:space="preserve">Chức vụ: </w:t>
            </w:r>
            <w:r>
              <w:rPr>
                <w:b/>
                <w:bCs/>
              </w:rPr>
              <w:t xml:space="preserve">Phó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(1)-17; (2)-17a;, tờ bản đồ số: 42 có địa chỉ: Tiểu khu Chè Đen 1, Thị trấn Nông trường Mộc Châu, Huyện Mộc Châu, tỉnh Sơn La ( nay là phường </w:t>
      </w:r>
      <w:r>
        <w:rPr>
          <w:color w:val="000000" w:themeColor="text1"/>
        </w:rPr>
        <w:t xml:space="preserve">Vân Sơn, tỉnh Sơn La) theo Giấy chứng nhận quyền sử dụng đất, quyền sở hữu nhà ở và tài sản khác gắn liền với đất  số: BA 686507, số vào sổ cấp GCN: H 01019 do Uỷ ban Nhân dân Huyện Mộc Châu cấp ngày 10/02/2010 cho Ông  Quản Hữu Đức và Bà Lê Thị Hồng Hạnh.</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1"/>
        <w:gridCol w:w="2760"/>
        <w:gridCol w:w="1244"/>
        <w:gridCol w:w="1343"/>
        <w:gridCol w:w="997"/>
        <w:gridCol w:w="1537"/>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71" w:type="dxa"/>
            <w:vAlign w:val="center"/>
            <w:textDirection w:val="lrTb"/>
            <w:noWrap w:val="false"/>
          </w:tcPr>
          <w:p w14:paraId="483E45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60" w:type="dxa"/>
            <w:vAlign w:val="center"/>
            <w:textDirection w:val="lrTb"/>
            <w:noWrap w:val="false"/>
          </w:tcPr>
          <w:p w14:paraId="5E554D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44" w:type="dxa"/>
            <w:vAlign w:val="center"/>
            <w:textDirection w:val="lrTb"/>
            <w:noWrap w:val="false"/>
          </w:tcPr>
          <w:p w14:paraId="4EDD1B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43" w:type="dxa"/>
            <w:vAlign w:val="center"/>
            <w:textDirection w:val="lrTb"/>
            <w:noWrap w:val="false"/>
          </w:tcPr>
          <w:p w14:paraId="1C4B80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 mặt tiền)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97" w:type="dxa"/>
            <w:vAlign w:val="center"/>
            <w:textDirection w:val="lrTb"/>
            <w:noWrap w:val="false"/>
          </w:tcPr>
          <w:p w14:paraId="6033F5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7" w:type="dxa"/>
            <w:vAlign w:val="center"/>
            <w:textDirection w:val="lrTb"/>
            <w:noWrap w:val="false"/>
          </w:tcPr>
          <w:p w14:paraId="53A631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50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1" w:type="dxa"/>
            <w:vAlign w:val="center"/>
            <w:textDirection w:val="lrTb"/>
            <w:noWrap w:val="false"/>
          </w:tcPr>
          <w:p w14:paraId="76C77B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345" w:type="dxa"/>
            <w:vAlign w:val="center"/>
            <w:textDirection w:val="lrTb"/>
            <w:noWrap w:val="false"/>
          </w:tcPr>
          <w:p w14:paraId="11980A8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(1)-17; (2)-17a; tờ bản đồ số: 42 có địa chỉ: Tiểu khu Chè Đen 1, Thị trấn Nông trường Mộc Châu, Huyện Mộc Châu, tỉnh Sơn La (nay là phường Vân Sơn, tỉnh Sơn La) theo Giấy chứng nhận quyền sử dụng đất, quyền sở hữu nhà </w:t>
            </w:r>
            <w:r>
              <w:rPr>
                <w:rFonts w:ascii="Times New Roman" w:hAnsi="Times New Roman" w:eastAsia="Times New Roman" w:cs="Times New Roman"/>
                <w:b/>
                <w:color w:val="000000"/>
                <w:sz w:val="24"/>
              </w:rPr>
              <w:t xml:space="preserve">ở và tài sản khác gắn liền với đất  số: BA 686507, số vào sổ cấp GCN: H 01019 do Uỷ ban Nhân dân Huyện Mộc Châu cấp ngày 10/02/2010 cho Ông  Quản Hữu Đức và Bà Lê Thị Hồng Hạnh.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7" w:type="dxa"/>
            <w:vAlign w:val="center"/>
            <w:textDirection w:val="lrTb"/>
            <w:noWrap w:val="false"/>
          </w:tcPr>
          <w:p w14:paraId="66C6151B">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93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1" w:type="dxa"/>
            <w:vAlign w:val="center"/>
            <w:textDirection w:val="lrTb"/>
            <w:noWrap w:val="false"/>
          </w:tcPr>
          <w:p w14:paraId="62BCDE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60" w:type="dxa"/>
            <w:vAlign w:val="center"/>
            <w:textDirection w:val="lrTb"/>
            <w:noWrap w:val="false"/>
          </w:tcPr>
          <w:p w14:paraId="7D88612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đô thị: 150m2; Đất trồng cây hàng năm: 290m2</w:t>
            </w:r>
            <w:r/>
          </w:p>
        </w:tc>
        <w:tc>
          <w:tcPr>
            <w:tcBorders>
              <w:bottom w:val="single" w:color="000000" w:sz="8" w:space="0"/>
              <w:right w:val="single" w:color="000000" w:sz="8" w:space="0"/>
            </w:tcBorders>
            <w:tcMar>
              <w:left w:w="108" w:type="dxa"/>
              <w:top w:w="0" w:type="dxa"/>
              <w:right w:w="108" w:type="dxa"/>
              <w:bottom w:w="0" w:type="dxa"/>
            </w:tcMar>
            <w:tcW w:w="1244" w:type="dxa"/>
            <w:vAlign w:val="center"/>
            <w:textDirection w:val="lrTb"/>
            <w:noWrap/>
          </w:tcPr>
          <w:p w14:paraId="228FA8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3" w:type="dxa"/>
            <w:vAlign w:val="center"/>
            <w:textDirection w:val="lrTb"/>
            <w:noWrap w:val="false"/>
          </w:tcPr>
          <w:p w14:paraId="1E0359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21.000.000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7" w:type="dxa"/>
            <w:vAlign w:val="center"/>
            <w:textDirection w:val="lrTb"/>
            <w:noWrap w:val="false"/>
          </w:tcPr>
          <w:p w14:paraId="12EC81FC">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7" w:type="dxa"/>
            <w:vAlign w:val="center"/>
            <w:textDirection w:val="lrTb"/>
            <w:noWrap w:val="false"/>
          </w:tcPr>
          <w:p w14:paraId="405A4B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9.240.000.000</w:t>
            </w:r>
            <w:r/>
          </w:p>
        </w:tc>
      </w:tr>
      <w:tr>
        <w:trPr>
          <w:trHeight w:val="331"/>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1" w:type="dxa"/>
            <w:vAlign w:val="center"/>
            <w:textDirection w:val="lrTb"/>
            <w:noWrap w:val="false"/>
          </w:tcPr>
          <w:p w14:paraId="67A952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60" w:type="dxa"/>
            <w:vAlign w:val="center"/>
            <w:textDirection w:val="lrTb"/>
            <w:noWrap w:val="false"/>
          </w:tcPr>
          <w:p w14:paraId="12F6BB5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biệt thự 4 tầng </w:t>
            </w:r>
            <w:r/>
          </w:p>
        </w:tc>
        <w:tc>
          <w:tcPr>
            <w:tcBorders>
              <w:bottom w:val="single" w:color="000000" w:sz="8" w:space="0"/>
              <w:right w:val="single" w:color="000000" w:sz="8" w:space="0"/>
            </w:tcBorders>
            <w:tcMar>
              <w:left w:w="108" w:type="dxa"/>
              <w:top w:w="0" w:type="dxa"/>
              <w:right w:w="108" w:type="dxa"/>
              <w:bottom w:w="0" w:type="dxa"/>
            </w:tcMar>
            <w:tcW w:w="1244" w:type="dxa"/>
            <w:vAlign w:val="center"/>
            <w:textDirection w:val="lrTb"/>
            <w:noWrap/>
          </w:tcPr>
          <w:p w14:paraId="567EF4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530,00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3" w:type="dxa"/>
            <w:vAlign w:val="center"/>
            <w:textDirection w:val="lrTb"/>
            <w:noWrap w:val="false"/>
          </w:tcPr>
          <w:p w14:paraId="0A68C2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9.662.290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7" w:type="dxa"/>
            <w:vAlign w:val="center"/>
            <w:textDirection w:val="lrTb"/>
            <w:noWrap w:val="false"/>
          </w:tcPr>
          <w:p w14:paraId="3E2049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7" w:type="dxa"/>
            <w:vAlign w:val="center"/>
            <w:textDirection w:val="lrTb"/>
            <w:noWrap w:val="false"/>
          </w:tcPr>
          <w:p w14:paraId="1B304F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3.994.390.686</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1" w:type="dxa"/>
            <w:vAlign w:val="center"/>
            <w:textDirection w:val="lrTb"/>
            <w:noWrap w:val="false"/>
          </w:tcPr>
          <w:p w14:paraId="1A6F19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348" w:type="dxa"/>
            <w:vAlign w:val="center"/>
            <w:textDirection w:val="lrTb"/>
            <w:noWrap w:val="false"/>
          </w:tcPr>
          <w:p w14:paraId="0154B5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7" w:type="dxa"/>
            <w:vAlign w:val="center"/>
            <w:textDirection w:val="lrTb"/>
            <w:noWrap w:val="false"/>
          </w:tcPr>
          <w:p w14:paraId="45BE91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7" w:type="dxa"/>
            <w:vAlign w:val="center"/>
            <w:textDirection w:val="lrTb"/>
            <w:noWrap w:val="false"/>
          </w:tcPr>
          <w:p w14:paraId="32550C3A">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13.234.390.686</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1" w:type="dxa"/>
            <w:vAlign w:val="center"/>
            <w:textDirection w:val="lrTb"/>
            <w:noWrap w:val="false"/>
          </w:tcPr>
          <w:p w14:paraId="0A0804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348" w:type="dxa"/>
            <w:vAlign w:val="center"/>
            <w:textDirection w:val="lrTb"/>
            <w:noWrap w:val="false"/>
          </w:tcPr>
          <w:p w14:paraId="2F35C3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7" w:type="dxa"/>
            <w:vAlign w:val="center"/>
            <w:textDirection w:val="lrTb"/>
            <w:noWrap w:val="false"/>
          </w:tcPr>
          <w:p w14:paraId="6A2D6E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7" w:type="dxa"/>
            <w:vAlign w:val="center"/>
            <w:textDirection w:val="lrTb"/>
            <w:noWrap w:val="false"/>
          </w:tcPr>
          <w:p w14:paraId="59FCE06A">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13.234.000.000</w:t>
            </w:r>
            <w:r/>
          </w:p>
        </w:tc>
      </w:tr>
      <w:tr>
        <w:trPr>
          <w:trHeight w:val="309"/>
        </w:trPr>
        <w:tc>
          <w:tcPr>
            <w:gridSpan w:val="6"/>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353" w:type="dxa"/>
            <w:vAlign w:val="center"/>
            <w:textDirection w:val="lrTb"/>
            <w:noWrap w:val="false"/>
          </w:tcPr>
          <w:p w14:paraId="1F32DB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Mười ba tỷ, hai trăm ba mươi tư triệu đồng chẵn ./.</w:t>
            </w:r>
            <w:r/>
          </w:p>
        </w:tc>
      </w:tr>
    </w:tbl>
    <w:p w14:paraId="2991A161">
      <w:pPr>
        <w:pBdr/>
        <w:spacing w:after="120" w:before="120" w:line="312" w:lineRule="auto"/>
        <w:ind/>
        <w:jc w:val="both"/>
        <w:rPr/>
      </w:pPr>
      <w:r>
        <w:rPr>
          <w:highlight w:val="none"/>
          <w:lang w:val="vi-VN"/>
        </w:rPr>
      </w:r>
      <w:r>
        <w:rPr>
          <w:highlight w:val="none"/>
          <w:lang w:val="vi-VN"/>
        </w:rPr>
      </w:r>
      <w:r/>
    </w:p>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B1F9480">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2192A2D6">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p w14:paraId="6838A117" w14:textId="20F3E5D9">
            <w:pPr>
              <w:pBdr/>
              <w:spacing w:line="276" w:lineRule="auto"/>
              <w:ind/>
              <w:jc w:val="center"/>
              <w:rPr>
                <w:rFonts w:eastAsia="Calibri"/>
                <w:b/>
                <w:lang w:val="pt-BR"/>
              </w:rPr>
            </w:pPr>
            <w:r>
              <w:rPr>
                <w:rFonts w:eastAsia="Calibri"/>
                <w:lang w:val="pt-BR"/>
              </w:rPr>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4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4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275/2025/1701/VFI-BC.53.A</w:t>
            </w:r>
            <w:r>
              <w:rPr>
                <w:sz w:val="24"/>
                <w:szCs w:val="24"/>
              </w:rPr>
            </w:r>
            <w:r>
              <w:rPr>
                <w:sz w:val="24"/>
                <w:szCs w:val="24"/>
              </w:rPr>
            </w:r>
          </w:p>
        </w:tc>
        <w:tc>
          <w:tcPr>
            <w:tcBorders/>
            <w:tcW w:w="4781" w:type="dxa"/>
            <w:textDirection w:val="lrTb"/>
            <w:noWrap w:val="false"/>
          </w:tcPr>
          <w:p w14:paraId="4E249833" w14:textId="77777777">
            <w:pPr>
              <w:pStyle w:val="1044"/>
              <w:pBdr/>
              <w:tabs>
                <w:tab w:val="left" w:leader="none" w:pos="5103"/>
              </w:tabs>
              <w:spacing w:before="100" w:line="360" w:lineRule="auto"/>
              <w:ind/>
              <w:jc w:val="right"/>
              <w:rPr>
                <w:rStyle w:val="1043"/>
                <w:rFonts w:ascii="Times New Roman" w:hAnsi="Times New Roman"/>
                <w:i/>
                <w:color w:val="auto"/>
              </w:rPr>
            </w:pPr>
            <w:r>
              <w:rPr>
                <w:rFonts w:ascii="Times New Roman" w:hAnsi="Times New Roman"/>
                <w:i/>
                <w:color w:val="auto"/>
              </w:rPr>
            </w:r>
            <w:r>
              <w:rPr>
                <w:rStyle w:val="1043"/>
                <w:rFonts w:ascii="Times New Roman" w:hAnsi="Times New Roman"/>
                <w:i/>
                <w:color w:val="auto"/>
              </w:rPr>
            </w:r>
            <w:r>
              <w:rPr>
                <w:rStyle w:val="1043"/>
                <w:rFonts w:ascii="Times New Roman" w:hAnsi="Times New Roman"/>
                <w:i/>
                <w:color w:val="auto"/>
              </w:rPr>
            </w:r>
          </w:p>
          <w:p w14:paraId="1C1E2870" w14:textId="207F25D6">
            <w:pPr>
              <w:pStyle w:val="1044"/>
              <w:pBdr/>
              <w:tabs>
                <w:tab w:val="left" w:leader="none" w:pos="5103"/>
              </w:tabs>
              <w:spacing w:before="100" w:line="360" w:lineRule="auto"/>
              <w:ind/>
              <w:jc w:val="right"/>
              <w:rPr>
                <w:i/>
                <w:iCs/>
                <w:sz w:val="24"/>
                <w:szCs w:val="24"/>
              </w:rPr>
            </w:pPr>
            <w:r>
              <w:rPr>
                <w:rStyle w:val="1043"/>
                <w:rFonts w:ascii="Times New Roman" w:hAnsi="Times New Roman"/>
                <w:i/>
                <w:color w:val="auto"/>
              </w:rPr>
              <w:t xml:space="preserve">TP</w:t>
            </w:r>
            <w:r>
              <w:rPr>
                <w:rStyle w:val="1043"/>
                <w:rFonts w:ascii="Times New Roman" w:hAnsi="Times New Roman"/>
                <w:color w:val="auto"/>
              </w:rPr>
              <w:t xml:space="preserve">. </w:t>
            </w:r>
            <w:r>
              <w:rPr>
                <w:rStyle w:val="1043"/>
                <w:rFonts w:ascii="Times New Roman" w:hAnsi="Times New Roman"/>
                <w:i/>
                <w:color w:val="auto"/>
              </w:rPr>
              <w:t xml:space="preserve">Hà Nội</w:t>
            </w:r>
            <w:r>
              <w:rPr>
                <w:rStyle w:val="1043"/>
                <w:rFonts w:ascii="Times New Roman" w:hAnsi="Times New Roman"/>
                <w:i/>
                <w:color w:val="auto"/>
                <w:lang w:val="vi-VN"/>
              </w:rPr>
              <w:t xml:space="preserve">, </w:t>
            </w:r>
            <w:r>
              <w:rPr>
                <w:i/>
                <w:iCs/>
                <w:color w:val="000000" w:themeColor="text1"/>
                <w:sz w:val="24"/>
                <w:szCs w:val="24"/>
                <w:lang w:val="pt-BR"/>
              </w:rPr>
              <w:t xml:space="preserve">ngày 01 tháng 12 năm 2025</w:t>
            </w:r>
            <w:r>
              <w:rPr>
                <w:rStyle w:val="1043"/>
                <w:rFonts w:ascii="Times New Roman" w:hAnsi="Times New Roman"/>
                <w:i/>
                <w:color w:val="auto"/>
                <w:lang w:val="vi-VN"/>
              </w:rPr>
              <w:t xml:space="preserve">   </w:t>
            </w:r>
            <w:r>
              <w:rPr>
                <w:rStyle w:val="104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4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2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275/2025/1701/VFI-CT.53.A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01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2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r>
            <w:r>
              <w:rPr>
                <w:rFonts w:ascii="Times New Roman" w:hAnsi="Times New Roman" w:eastAsia="Times New Roman" w:cs="Times New Roman"/>
                <w:color w:val="000000"/>
                <w:sz w:val="24"/>
              </w:rPr>
              <w:t xml:space="preserve">Số 275/TĐG của Bộ Tài Chính cấp lần đầu ngày 22/01/2018, cấp lại lần thứ 6 ngày 01/8/2024</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Nguyễn Trọng Điệp </w:t>
            </w:r>
            <w:r>
              <w:rPr>
                <w:b/>
                <w:bCs/>
                <w:lang w:val="vi-VN"/>
              </w:rPr>
              <w:tab/>
              <w:t xml:space="preserve">Chức vụ: </w:t>
            </w:r>
            <w:r>
              <w:rPr>
                <w:b/>
                <w:bCs/>
              </w:rPr>
              <w:t xml:space="preserve">Phó Tổng giám đốc</w:t>
            </w:r>
            <w:r>
              <w:rPr>
                <w:b/>
                <w:bCs/>
                <w:lang w:val="vi-VN"/>
              </w:rPr>
            </w:r>
            <w:r>
              <w:rPr>
                <w:b/>
                <w:bCs/>
                <w:lang w:val="vi-VN"/>
              </w:rPr>
            </w:r>
          </w:p>
        </w:tc>
      </w:tr>
    </w:tbl>
    <w:p w14:paraId="621972A2" w14:textId="7EAC10D2">
      <w:pPr>
        <w:pStyle w:val="104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(1)-17; (2)-17a;, tờ bản đồ số: 42 có địa chỉ: Tiểu khu Chè Đen 1, Thị trấn Nông trường Mộc Châu, Huyện Mộc Châu, tỉnh Sơn La ( nay là phường </w:t>
            </w:r>
            <w:r>
              <w:rPr>
                <w:bCs/>
                <w:color w:val="000000" w:themeColor="text1"/>
                <w:lang w:val="pt-BR"/>
              </w:rPr>
              <w:t xml:space="preserve">Vân Sơn, tỉnh Sơn La) theo Giấy chứng nhận quyền sử dụng đất, quyền sở hữu nhà ở và tài sản khác gắn liền với đất  số: BA 686507, số vào sổ cấp GCN: H 01019 do Uỷ ban Nhân dân Huyện Mộc Châu cấp ngày 10/02/2010 cho Ông  Quản Hữu Đức và Bà Lê Thị Hồng Hạnh.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Tiểu khu Chè Đen 1, Thị trấn Nông trường Mộc Châu, Huyện Mộc Châu, tỉnh Sơn La</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2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eastAsia="Times New Roman" w:cs="Times New Roman"/>
                <w:color w:val="000000"/>
                <w:sz w:val="24"/>
              </w:rPr>
              <w:t xml:space="preserve">20.834942311210177, 104.69173392013737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4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4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4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4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4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4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4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4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4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4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4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4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4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4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4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4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4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4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4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4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4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4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4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4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4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4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45"/>
        <w:pBdr/>
        <w:tabs>
          <w:tab w:val="left" w:leader="none" w:pos="993"/>
        </w:tabs>
        <w:spacing w:after="120" w:before="120" w:line="276" w:lineRule="auto"/>
        <w:ind w:left="0"/>
        <w:jc w:val="both"/>
        <w:rPr>
          <w:b/>
          <w:bCs/>
          <w:lang w:val="pt-BR"/>
        </w:rPr>
      </w:pPr>
      <w:r>
        <w:rPr>
          <w:b/>
          <w:lang w:val="pt-BR"/>
        </w:rPr>
        <w:t xml:space="preserve">a. </w:t>
      </w:r>
      <w:r>
        <w:rPr>
          <w:b/>
          <w:lang w:val="pt-BR"/>
        </w:rPr>
        <w:t xml:space="preserve">Hồ sơ pháp lý của tài sản</w:t>
      </w:r>
      <w:r>
        <w:rPr>
          <w:b/>
          <w:lang w:val="pt-BR"/>
        </w:rPr>
        <w:t xml:space="preserve">: </w:t>
      </w:r>
      <w:r>
        <w:rPr>
          <w:b/>
          <w:bCs/>
          <w:lang w:val="pt-BR"/>
        </w:rPr>
      </w:r>
      <w:r>
        <w:rPr>
          <w:b/>
          <w:bCs/>
          <w:lang w:val="pt-BR"/>
        </w:rPr>
      </w:r>
    </w:p>
    <w:p w14:paraId="30CDA543">
      <w:pPr>
        <w:pStyle w:val="1045"/>
        <w:pBdr/>
        <w:tabs>
          <w:tab w:val="left" w:leader="none" w:pos="993"/>
        </w:tabs>
        <w:spacing w:after="120" w:before="120" w:line="276" w:lineRule="auto"/>
        <w:ind w:left="0"/>
        <w:jc w:val="both"/>
        <w:rPr>
          <w:b/>
          <w:bCs/>
          <w:lang w:val="pt-BR"/>
        </w:rPr>
      </w:pPr>
      <w:r>
        <w:rPr>
          <w:b/>
          <w:lang w:val="pt-BR"/>
        </w:rPr>
      </w:r>
      <w:r>
        <w:rPr>
          <w:rFonts w:ascii="Times New Roman" w:hAnsi="Times New Roman" w:eastAsia="Times New Roman" w:cs="Times New Roman"/>
          <w:color w:val="000000"/>
          <w:sz w:val="24"/>
        </w:rPr>
        <w:t xml:space="preserve">-   Giấy chứng nhận quyền sử dụng đất, quyền sở hữu nhà ở và tài sản khác gắn liền với đất  số: BA 686507, số vào sổ cấp GCN: H 01019 do Uỷ ban Nhân dân Huyện Mộc Châu cấp ngày 10/02/2010 cho Ông  Quản Hữu Đức và Bà Lê Thị Hồng Hạnh.</w:t>
      </w:r>
      <w:r>
        <w:rPr>
          <w:b/>
          <w:bCs/>
          <w:lang w:val="pt-BR"/>
        </w:rPr>
      </w:r>
      <w:r>
        <w:rPr>
          <w:b/>
          <w:b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19F8828A">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dịch vụ thẩm định giá số: 275/2025/1701/VFI-HĐTĐ.53.A ký ngày 28/11/2025 giữa Ông Quản Hữu Đức </w:t>
      </w:r>
      <w:r>
        <w:rPr>
          <w:rFonts w:ascii="Times New Roman" w:hAnsi="Times New Roman" w:eastAsia="Times New Roman" w:cs="Times New Roman"/>
          <w:color w:val="000000"/>
          <w:spacing w:val="-6"/>
          <w:sz w:val="24"/>
        </w:rPr>
        <w:t xml:space="preserve">với Công ty Cổ phần Thẩm định và Đầu tư Tài chính Hoa Sen</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14:paraId="7BDC3A25" w14:textId="77D2CF95">
      <w:pPr>
        <w:pStyle w:val="104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EF9333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lang w:val="pt-BR"/>
        </w:rPr>
        <w:tab/>
      </w:r>
      <w:r>
        <w:rPr>
          <w:rFonts w:ascii="Times New Roman" w:hAnsi="Times New Roman" w:eastAsia="Times New Roman" w:cs="Times New Roman"/>
          <w:color w:val="000000"/>
          <w:sz w:val="24"/>
        </w:rPr>
        <w:t xml:space="preserve">Dự án cao tốc có chiều dài 105km, được thiết kế với quy mô 4 làn xe hoàn chỉnh, đồng bộ với các hạng mục phụ trợ như cầu, hầm, nút giao và hệ thống an toàn giao thông.</w:t>
      </w:r>
      <w:r/>
    </w:p>
    <w:p w14:paraId="2E6AD27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rFonts w:ascii="Times New Roman" w:hAnsi="Times New Roman" w:eastAsia="Times New Roman" w:cs="Times New Roman"/>
          <w:color w:val="000000"/>
          <w:sz w:val="24"/>
        </w:rPr>
        <w:t xml:space="preserve">Tổng vốn đầu tư dự kiến lên tới 25.000 tỷ đồng, sử dụng nguồn vốn ngân sách Trung ương. Tuyến cao tốc bắt đầu tại Km85+300 (giao với quốc lộ 43, nối tiếp cao tốc Hòa Bình – Mộc Châu) và kết thúc tại điểm giao với quốc lộ 4G (huyện Mai Sơn, TP. Sơn La).</w:t>
      </w:r>
      <w:r/>
    </w:p>
    <w:p w14:paraId="36AFF62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Sơn La từ lâu đã nổi tiếng với cảnh quan thiên nhiên hùng vĩ, khí hậu mát mẻ và các điểm du lịch nổi bật như cao nguyên Mộc Châu, đồi chè xanh mướt, hay các lễ hội văn hóa đặc sắc của đồng bào dân tộc thiểu số. Tuy nhiên, hạn chế về hạ tầng g</w:t>
      </w:r>
      <w:r>
        <w:rPr>
          <w:rFonts w:ascii="Times New Roman" w:hAnsi="Times New Roman" w:eastAsia="Times New Roman" w:cs="Times New Roman"/>
          <w:color w:val="000000"/>
          <w:sz w:val="24"/>
        </w:rPr>
        <w:t xml:space="preserve">iao thông đã khiến du lịch Sơn La chưa phát triển tương xứng với tiềm năng. </w:t>
      </w:r>
      <w:r/>
    </w:p>
    <w:p w14:paraId="1070851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Cao tốc Mộc Châu - TP. Sơn La sẽ là cú hích mạnh mẽ, giúp thu hút du khách trong và ngoài nước, đặc biệt là từ các đô thị lớn như Hà Nội.</w:t>
      </w:r>
      <w:r/>
    </w:p>
    <w:p w14:paraId="1EA3877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Khi thời gian di chuyển được rút ngắn, các khu du lịch tại Mộc Châu và TP. Sơn La sẽ trở nên dễ tiếp cận hơn, tạo điều kiện để phát triển các sản phẩm du lịch mới như du lịch sinh thái, du lịch nông nghiệp hay du lịch văn hóa. Đồng thời, hạ t</w:t>
      </w:r>
      <w:r>
        <w:rPr>
          <w:rFonts w:ascii="Times New Roman" w:hAnsi="Times New Roman" w:eastAsia="Times New Roman" w:cs="Times New Roman"/>
          <w:color w:val="000000"/>
          <w:sz w:val="24"/>
        </w:rPr>
        <w:t xml:space="preserve">ầng giao thông hiện đại cũng sẽ khuyến khích các nhà đầu tư xây dựng các khu nghỉ dưỡng, khách sạn cao cấp, đáp ứng nhu cầu ngày càng cao của du khách.</w:t>
      </w:r>
      <w:r/>
    </w:p>
    <w:p w14:paraId="1E2D7C2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Định hướng phát triển bao gồm việc xây dựng hạ tầng đô thị đồng bộ, tạo lập các khu đô thị mới hiện đại, phát triển các khu chức năng đa dạng như khu thương mại, dịch vụ, công nghiệp. Quy hoạch cũng chú trọng bảo tồn và phát huy cảnh quan thi</w:t>
      </w:r>
      <w:r>
        <w:rPr>
          <w:rFonts w:ascii="Times New Roman" w:hAnsi="Times New Roman" w:eastAsia="Times New Roman" w:cs="Times New Roman"/>
          <w:color w:val="000000"/>
          <w:sz w:val="24"/>
        </w:rPr>
        <w:t xml:space="preserve">ên nhiên, văn hóa bản địa, đặc biệt là các khu vực đồi chè và đồng cỏ đặc trưng của Mộc Châu. </w:t>
      </w:r>
      <w:r/>
    </w:p>
    <w:p w14:paraId="7406C6E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Hệ thống giao thông được nâng cấp với các tuyến đường kết nối vùng trung tâm với các khu vực lân cận, nhằm tạo điều kiện thuận lợi cho việc phát triển du lịch và thu hút đầu tư. Ngoài ra, quy hoạch chú trọng đến phát triển nông nghiệp công nghệ </w:t>
      </w:r>
      <w:r>
        <w:rPr>
          <w:rFonts w:ascii="Times New Roman" w:hAnsi="Times New Roman" w:eastAsia="Times New Roman" w:cs="Times New Roman"/>
          <w:color w:val="000000"/>
          <w:sz w:val="24"/>
        </w:rPr>
        <w:t xml:space="preserve">cao và bảo vệ môi trường, đảm bảo sự phát triển bền vững cho đô thị Mộc Châu.</w:t>
      </w:r>
      <w:r/>
    </w:p>
    <w:p w14:paraId="0AA56BC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14:paraId="7E56700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Công tác tra cứu quy hoạch huyện Mộc Châu không chỉ giúp bạn hiểu rõ hơn về các định hướng phát triển của khu vực mà còn hỗ trợ trong việc lập kế hoạch đầu tư, xây dựng và phát triển kinh tế. Bản đồ quy hoạch Sơn La, huyện Mộc Châu mới nhất sẽ là </w:t>
      </w:r>
      <w:r>
        <w:rPr>
          <w:rFonts w:ascii="Times New Roman" w:hAnsi="Times New Roman" w:eastAsia="Times New Roman" w:cs="Times New Roman"/>
          <w:color w:val="000000"/>
          <w:sz w:val="24"/>
        </w:rPr>
        <w:t xml:space="preserve">công cụ đắc lực cho các nhà quản lý, doanh nghiệp và người dân trong việc đảm bảo sự phát triển đồng bộ và bền vững, tạo nên một diện mạo mới cho Mộc Châu trong tương lai.    </w:t>
      </w:r>
      <w:r/>
    </w:p>
    <w:p w14:paraId="4034C06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u w:val="single"/>
        </w:rPr>
        <w:t xml:space="preserve">  </w:t>
      </w:r>
      <w:r>
        <w:rPr>
          <w:rFonts w:ascii="Times New Roman" w:hAnsi="Times New Roman" w:eastAsia="Times New Roman" w:cs="Times New Roman"/>
          <w:i/>
          <w:color w:val="000000"/>
          <w:sz w:val="24"/>
          <w:u w:val="single"/>
        </w:rPr>
        <w:t xml:space="preserve">(Nguồn tham khảo:</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u w:val="single"/>
        </w:rPr>
        <w:t xml:space="preserve">https://onehousing.vn/blog/cap-nhat-ban-do-quy-hoach-huyen-moc-chau-son-la-moi-nhat-n17t</w:t>
      </w:r>
      <w:r>
        <w:rPr>
          <w:rFonts w:ascii="Times New Roman" w:hAnsi="Times New Roman" w:eastAsia="Times New Roman" w:cs="Times New Roman"/>
          <w:i/>
          <w:color w:val="000000"/>
          <w:sz w:val="24"/>
          <w:u w:val="single"/>
        </w:rPr>
        <w:t xml:space="preserve">)</w:t>
      </w:r>
      <w:r>
        <w:rPr>
          <w:rFonts w:ascii="Times New Roman" w:hAnsi="Times New Roman" w:eastAsia="Times New Roman" w:cs="Times New Roman"/>
          <w:sz w:val="24"/>
        </w:rPr>
      </w:r>
      <w:r/>
    </w:p>
    <w:p w14:paraId="20BF0D54" w14:textId="312C63AB">
      <w:pPr>
        <w:pStyle w:val="104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5"/>
        <w:gridCol w:w="2067"/>
        <w:gridCol w:w="2064"/>
        <w:gridCol w:w="1977"/>
        <w:gridCol w:w="2532"/>
      </w:tblGrid>
      <w:tr>
        <w:trPr>
          <w:trHeight w:val="169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63485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5DF732D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(1)-17; (2)-17a;, tờ bản đồ số: 42 có địa chỉ: Tiểu khu Chè Đen 1, Thị trấn Nông trường Mộc Châu, Huyện Mộc Châu, tỉnh Sơn La ( nay là phường Vân Sơn, tỉnh Sơn La) theo Giấy chứng nhận quyền sử dụng đất, quyền sở hữu nhà</w:t>
            </w:r>
            <w:r>
              <w:rPr>
                <w:rFonts w:ascii="Times New Roman" w:hAnsi="Times New Roman" w:eastAsia="Times New Roman" w:cs="Times New Roman"/>
                <w:b/>
                <w:color w:val="000000"/>
                <w:sz w:val="24"/>
              </w:rPr>
              <w:t xml:space="preserve"> ở và tài sản khác gắn liền với đất  số: BA 686507, số vào sổ cấp GCN: H 01019 do Uỷ ban Nhân dân Huyện Mộc Châu cấp ngày 10/02/2010 cho Ông  Quản Hữu Đức và Bà Lê Thị Hồng Hạnh.</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07027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5D7762F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1DA68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110F3B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36868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053CDC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28738B9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(1)-17; (2)-17a;</w:t>
            </w:r>
            <w:r/>
          </w:p>
        </w:tc>
        <w:tc>
          <w:tcPr>
            <w:tcBorders>
              <w:bottom w:val="single" w:color="000000" w:sz="8" w:space="0"/>
              <w:right w:val="single" w:color="000000" w:sz="8" w:space="0"/>
            </w:tcBorders>
            <w:tcMar>
              <w:left w:w="108" w:type="dxa"/>
              <w:top w:w="0" w:type="dxa"/>
              <w:right w:w="108" w:type="dxa"/>
              <w:bottom w:w="0" w:type="dxa"/>
            </w:tcMar>
            <w:tcW w:w="1977" w:type="dxa"/>
            <w:vAlign w:val="center"/>
            <w:textDirection w:val="lrTb"/>
            <w:noWrap w:val="false"/>
          </w:tcPr>
          <w:p w14:paraId="0780E8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532" w:type="dxa"/>
            <w:vAlign w:val="center"/>
            <w:textDirection w:val="lrTb"/>
            <w:noWrap w:val="false"/>
          </w:tcPr>
          <w:p w14:paraId="181F349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42</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FB546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47F0E4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43BC3D4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Tiểu khu Chè Đen 1, Thị trấn Nông trường Mộc Châu, Huyện Mộc Châu, tỉnh Sơn La ( nay là phường Vân Sơn, tỉnh Sơn La)</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053FA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499AC6A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5CA30E4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440,0 </w:t>
            </w:r>
            <w:r/>
          </w:p>
        </w:tc>
        <w:tc>
          <w:tcPr>
            <w:tcBorders>
              <w:bottom w:val="single" w:color="000000" w:sz="8" w:space="0"/>
              <w:right w:val="single" w:color="000000" w:sz="8" w:space="0"/>
            </w:tcBorders>
            <w:tcMar>
              <w:left w:w="108" w:type="dxa"/>
              <w:top w:w="0" w:type="dxa"/>
              <w:right w:w="108" w:type="dxa"/>
              <w:bottom w:w="0" w:type="dxa"/>
            </w:tcMar>
            <w:tcW w:w="1977" w:type="dxa"/>
            <w:vAlign w:val="center"/>
            <w:textDirection w:val="lrTb"/>
            <w:noWrap w:val="false"/>
          </w:tcPr>
          <w:p w14:paraId="2CE3DB6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532" w:type="dxa"/>
            <w:vAlign w:val="center"/>
            <w:textDirection w:val="lrTb"/>
            <w:noWrap w:val="false"/>
          </w:tcPr>
          <w:p w14:paraId="547477C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8D9EB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7E0F0B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3CAF2C6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đô thị: 150m2, Đất trồng cây hàng năm: 290m2</w:t>
            </w:r>
            <w:r/>
          </w:p>
        </w:tc>
        <w:tc>
          <w:tcPr>
            <w:tcBorders>
              <w:bottom w:val="single" w:color="000000" w:sz="8" w:space="0"/>
              <w:right w:val="single" w:color="000000" w:sz="8" w:space="0"/>
            </w:tcBorders>
            <w:tcMar>
              <w:left w:w="108" w:type="dxa"/>
              <w:top w:w="0" w:type="dxa"/>
              <w:right w:w="108" w:type="dxa"/>
              <w:bottom w:w="0" w:type="dxa"/>
            </w:tcMar>
            <w:tcW w:w="1977" w:type="dxa"/>
            <w:vAlign w:val="center"/>
            <w:textDirection w:val="lrTb"/>
            <w:noWrap w:val="false"/>
          </w:tcPr>
          <w:p w14:paraId="5E76E51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532" w:type="dxa"/>
            <w:vAlign w:val="center"/>
            <w:textDirection w:val="lrTb"/>
            <w:noWrap w:val="false"/>
          </w:tcPr>
          <w:p w14:paraId="104BBA6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đô thị: Lâu dài; Đất trồng cây hàng năm: Thời hạn sử dụng đến 23/11/2022</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2B3B3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5A97339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FD8BE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06B7B0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28499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528985D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0CA320E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Tiểu khu Chè Đen 1, Thị trấn Nông trường Mộc Châu, Huyện Mộc Châu, tỉnh Sơn La ( nay là phường Vân Sơn, tỉnh Sơn La)</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4F4B8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325F7D1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20CE9F2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nhựa </w:t>
            </w:r>
            <w:r/>
          </w:p>
        </w:tc>
        <w:tc>
          <w:tcPr>
            <w:tcBorders>
              <w:bottom w:val="single" w:color="000000" w:sz="8" w:space="0"/>
              <w:right w:val="single" w:color="000000" w:sz="8" w:space="0"/>
            </w:tcBorders>
            <w:tcMar>
              <w:left w:w="108" w:type="dxa"/>
              <w:top w:w="0" w:type="dxa"/>
              <w:right w:w="108" w:type="dxa"/>
              <w:bottom w:w="0" w:type="dxa"/>
            </w:tcMar>
            <w:tcW w:w="1977" w:type="dxa"/>
            <w:vAlign w:val="center"/>
            <w:textDirection w:val="lrTb"/>
            <w:noWrap w:val="false"/>
          </w:tcPr>
          <w:p w14:paraId="7BC2E67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532" w:type="dxa"/>
            <w:vAlign w:val="center"/>
            <w:textDirection w:val="lrTb"/>
            <w:noWrap/>
          </w:tcPr>
          <w:p w14:paraId="26257B8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C0BBA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47764EAD">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772F938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10m</w:t>
            </w:r>
            <w:r/>
          </w:p>
        </w:tc>
        <w:tc>
          <w:tcPr>
            <w:tcBorders>
              <w:bottom w:val="single" w:color="000000" w:sz="8" w:space="0"/>
              <w:right w:val="single" w:color="000000" w:sz="8" w:space="0"/>
            </w:tcBorders>
            <w:tcMar>
              <w:left w:w="108" w:type="dxa"/>
              <w:top w:w="0" w:type="dxa"/>
              <w:right w:w="108" w:type="dxa"/>
              <w:bottom w:w="0" w:type="dxa"/>
            </w:tcMar>
            <w:tcW w:w="1977" w:type="dxa"/>
            <w:vAlign w:val="center"/>
            <w:textDirection w:val="lrTb"/>
            <w:noWrap w:val="false"/>
          </w:tcPr>
          <w:p w14:paraId="503CB8B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532" w:type="dxa"/>
            <w:vAlign w:val="center"/>
            <w:textDirection w:val="lrTb"/>
            <w:noWrap w:val="false"/>
          </w:tcPr>
          <w:p w14:paraId="0B909F7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10m</w:t>
            </w:r>
            <w:r/>
          </w:p>
        </w:tc>
      </w:tr>
      <w:tr>
        <w:trPr>
          <w:trHeight w:val="97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A41E4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2385CEE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37E864C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tiếp giáp đường nhựa rộng khoảng 10m </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A668F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3F57BC0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1F3D823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tiếp giáp mặt đường Thảo Nguyên ( QL43)</w:t>
            </w:r>
            <w:r/>
          </w:p>
        </w:tc>
      </w:tr>
      <w:tr>
        <w:trPr>
          <w:trHeight w:val="86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3099D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2447348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0D3983E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Đông Bắc: Tiếp giáp đường nhựa rộng khoảng 10m                              </w:t>
              <w:br/>
              <w:t xml:space="preserve"> - Các hướng khác: Tiếp giáp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42435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5D7D948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268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B5790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bottom"/>
            <w:textDirection w:val="lrTb"/>
            <w:noWrap/>
          </w:tcPr>
          <w:p w14:paraId="097B92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49"/>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281"/>
            </w:tblGrid>
            <w:tr>
              <w:trPr>
                <w:trHeight w:val="2688"/>
              </w:trPr>
              <w:tc>
                <w:tcPr>
                  <w:tcBorders>
                    <w:top w:val="single" w:color="000000" w:sz="8" w:space="0"/>
                    <w:bottom w:val="single" w:color="000000" w:sz="8" w:space="0"/>
                    <w:right w:val="single" w:color="000000" w:sz="8" w:space="0"/>
                  </w:tcBorders>
                  <w:tcMar>
                    <w:left w:w="0" w:type="dxa"/>
                    <w:top w:w="0" w:type="dxa"/>
                    <w:right w:w="0" w:type="dxa"/>
                    <w:bottom w:w="0" w:type="dxa"/>
                  </w:tcMar>
                  <w:tcW w:w="8281" w:type="dxa"/>
                  <w:vAlign w:val="center"/>
                  <w:textDirection w:val="lrTb"/>
                  <w:noWrap w:val="false"/>
                </w:tcPr>
                <w:p w14:paraId="49D6AF3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124450" cy="263842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75215" name=""/>
                                    <pic:cNvPicPr>
                                      <a:picLocks noChangeAspect="1"/>
                                    </pic:cNvPicPr>
                                    <pic:nvPr/>
                                  </pic:nvPicPr>
                                  <pic:blipFill rotWithShape="1">
                                    <a:blip r:embed="rId15"/>
                                    <a:stretch/>
                                  </pic:blipFill>
                                  <pic:spPr bwMode="auto">
                                    <a:xfrm>
                                      <a:off x="0" y="0"/>
                                      <a:ext cx="5124449" cy="2638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3.50pt;height:207.75pt;mso-wrap-distance-left:0.00pt;mso-wrap-distance-top:0.00pt;mso-wrap-distance-right:0.00pt;mso-wrap-distance-bottom:0.00pt;z-index:1;" stroked="false">
                            <v:imagedata r:id="rId15" o:title=""/>
                            <o:lock v:ext="edit" rotation="t"/>
                          </v:shape>
                        </w:pict>
                      </mc:Fallback>
                    </mc:AlternateContent>
                  </w:r>
                  <w:r>
                    <w:rPr>
                      <w:rFonts w:ascii="Times New Roman" w:hAnsi="Times New Roman" w:eastAsia="Times New Roman" w:cs="Times New Roman"/>
                      <w:color w:val="000000"/>
                      <w:sz w:val="24"/>
                    </w:rPr>
                  </w:r>
                  <w:r/>
                </w:p>
              </w:tc>
            </w:tr>
          </w:tbl>
          <w:p w14:paraId="1B5AB81B">
            <w:pPr>
              <w:pBdr/>
              <w:spacing/>
              <w:ind/>
              <w:rPr/>
            </w:pPr>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435CC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2BBDB2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D02E0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37CC38C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47C08B0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440,0 </w:t>
            </w:r>
            <w:r/>
          </w:p>
        </w:tc>
        <w:tc>
          <w:tcPr>
            <w:tcBorders>
              <w:bottom w:val="single" w:color="000000" w:sz="8" w:space="0"/>
              <w:right w:val="single" w:color="000000" w:sz="8" w:space="0"/>
            </w:tcBorders>
            <w:tcMar>
              <w:left w:w="108" w:type="dxa"/>
              <w:top w:w="0" w:type="dxa"/>
              <w:right w:w="108" w:type="dxa"/>
              <w:bottom w:w="0" w:type="dxa"/>
            </w:tcMar>
            <w:tcW w:w="1977" w:type="dxa"/>
            <w:vAlign w:val="center"/>
            <w:textDirection w:val="lrTb"/>
            <w:noWrap w:val="false"/>
          </w:tcPr>
          <w:p w14:paraId="5DA05B5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532" w:type="dxa"/>
            <w:vAlign w:val="center"/>
            <w:textDirection w:val="lrTb"/>
            <w:noWrap w:val="false"/>
          </w:tcPr>
          <w:p w14:paraId="4E1DF45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9B227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367A561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37B1BFB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13,20</w:t>
            </w:r>
            <w:r/>
          </w:p>
        </w:tc>
        <w:tc>
          <w:tcPr>
            <w:tcBorders>
              <w:bottom w:val="single" w:color="000000" w:sz="8" w:space="0"/>
              <w:right w:val="single" w:color="000000" w:sz="8" w:space="0"/>
            </w:tcBorders>
            <w:tcMar>
              <w:left w:w="108" w:type="dxa"/>
              <w:top w:w="0" w:type="dxa"/>
              <w:right w:w="108" w:type="dxa"/>
              <w:bottom w:w="0" w:type="dxa"/>
            </w:tcMar>
            <w:tcW w:w="1977" w:type="dxa"/>
            <w:vAlign w:val="center"/>
            <w:textDirection w:val="lrTb"/>
            <w:noWrap w:val="false"/>
          </w:tcPr>
          <w:p w14:paraId="51CAB2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w:t>
            </w:r>
            <w:r/>
          </w:p>
        </w:tc>
        <w:tc>
          <w:tcPr>
            <w:tcBorders>
              <w:bottom w:val="single" w:color="000000" w:sz="8" w:space="0"/>
              <w:right w:val="single" w:color="000000" w:sz="8" w:space="0"/>
            </w:tcBorders>
            <w:tcMar>
              <w:left w:w="108" w:type="dxa"/>
              <w:top w:w="0" w:type="dxa"/>
              <w:right w:w="108" w:type="dxa"/>
              <w:bottom w:w="0" w:type="dxa"/>
            </w:tcMar>
            <w:tcW w:w="2532" w:type="dxa"/>
            <w:vAlign w:val="center"/>
            <w:textDirection w:val="lrTb"/>
            <w:noWrap w:val="false"/>
          </w:tcPr>
          <w:p w14:paraId="514A0C8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28,2m và 30,8m </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85344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08BB78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5E9E2EB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15,20</w:t>
            </w:r>
            <w:r/>
          </w:p>
        </w:tc>
        <w:tc>
          <w:tcPr>
            <w:tcBorders>
              <w:bottom w:val="single" w:color="000000" w:sz="8" w:space="0"/>
              <w:right w:val="single" w:color="000000" w:sz="8" w:space="0"/>
            </w:tcBorders>
            <w:tcMar>
              <w:left w:w="108" w:type="dxa"/>
              <w:top w:w="0" w:type="dxa"/>
              <w:right w:w="108" w:type="dxa"/>
              <w:bottom w:w="0" w:type="dxa"/>
            </w:tcMar>
            <w:tcW w:w="1977" w:type="dxa"/>
            <w:vAlign w:val="center"/>
            <w:textDirection w:val="lrTb"/>
            <w:noWrap w:val="false"/>
          </w:tcPr>
          <w:p w14:paraId="74DBA3A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532" w:type="dxa"/>
            <w:vAlign w:val="center"/>
            <w:textDirection w:val="lrTb"/>
            <w:noWrap w:val="false"/>
          </w:tcPr>
          <w:p w14:paraId="335C133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Tương đối vuông vức</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79A82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1CA3BC2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213EAD1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Bắc </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3B6F7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6F81EAB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D6B34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2EB68F9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5ABEF8E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376AA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4627B46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1ECF756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3DF36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77DB71A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546D1A9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977" w:type="dxa"/>
            <w:vAlign w:val="center"/>
            <w:textDirection w:val="lrTb"/>
            <w:noWrap w:val="false"/>
          </w:tcPr>
          <w:p w14:paraId="5C86A06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532" w:type="dxa"/>
            <w:vAlign w:val="center"/>
            <w:textDirection w:val="lrTb"/>
            <w:noWrap w:val="false"/>
          </w:tcPr>
          <w:p w14:paraId="0334482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3673B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7" w:type="dxa"/>
            <w:vAlign w:val="center"/>
            <w:textDirection w:val="lrTb"/>
            <w:noWrap w:val="false"/>
          </w:tcPr>
          <w:p w14:paraId="35973AD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5E3CCE3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Thích hợp để ở/kinh doanh </w:t>
            </w:r>
            <w:r/>
          </w:p>
        </w:tc>
        <w:tc>
          <w:tcPr>
            <w:tcBorders>
              <w:bottom w:val="single" w:color="000000" w:sz="8" w:space="0"/>
              <w:right w:val="single" w:color="000000" w:sz="8" w:space="0"/>
            </w:tcBorders>
            <w:tcMar>
              <w:left w:w="108" w:type="dxa"/>
              <w:top w:w="0" w:type="dxa"/>
              <w:right w:w="108" w:type="dxa"/>
              <w:bottom w:w="0" w:type="dxa"/>
            </w:tcMar>
            <w:tcW w:w="1977" w:type="dxa"/>
            <w:vAlign w:val="center"/>
            <w:textDirection w:val="lrTb"/>
            <w:noWrap w:val="false"/>
          </w:tcPr>
          <w:p w14:paraId="4431B58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532" w:type="dxa"/>
            <w:vAlign w:val="center"/>
            <w:textDirection w:val="lrTb"/>
            <w:noWrap w:val="false"/>
          </w:tcPr>
          <w:p w14:paraId="25D53A5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4A1E5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67482B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1176"/>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D5188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6DA1A68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Theo thông tin trên giấy chứng nhận, trên đất có 01 nhà 1 tầng, diện tích xây dựng là 60m2, kết cấu tường gạch chịu lực, mái BTCT, nền láng xi măng. Xây dựng năm 1993.</w:t>
            </w:r>
            <w:r/>
          </w:p>
          <w:p w14:paraId="07D9A4F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Tại thời điểm thẩm định giá, trên đất có công trình xây dựng là:       </w:t>
            </w:r>
            <w:r/>
          </w:p>
          <w:p w14:paraId="0B5D15C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+01 Nhà biệt thự 4 tầng (Diện tích xây dựng là 140m2, tổng diện tích xây dựng khoảng 530m2 sàn, xây dựng khoảng năm 2015. Xây dựng toàn bộ trên đất cây hàng năm.</w:t>
              <w:br/>
              <w:t xml:space="preserve"> +  Hiện công trình này chưa được chứng nhận trên GCN số BA 686507.</w:t>
            </w: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4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4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4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4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4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4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4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4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4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4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4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4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65A61B5F">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Qua khảo sát thị trường, Tổ thẩm định thấy thị trường đang giao dịch bán theo mét ngang mặt tiền, là kích thước mặt tiếp giáp với đường giao thông, các yếu tố khác cũng một phần ảnh hưởng đến đơn giá mét ngang, do đó, tổ thẩm định thực hiện điều chỉnh đ</w:t>
      </w:r>
      <w:r>
        <w:rPr>
          <w:rFonts w:ascii="Times New Roman" w:hAnsi="Times New Roman" w:eastAsia="Times New Roman" w:cs="Times New Roman"/>
          <w:color w:val="000000"/>
          <w:sz w:val="24"/>
        </w:rPr>
        <w:t xml:space="preserve">ơn giá mét ngang theo thị trường rao bán, sau đó quy đổi sang đơn vị mét vuông. Tổ thẩm định thu thập được 03 giao dịch được cho là tương đồng về đặc điểm vị trí, giao thông, kích thước, mặt tiền, điều kiện hạ tầng và điều kiện xã hội,… với tài sản thẩm đị</w:t>
      </w:r>
      <w:r>
        <w:rPr>
          <w:rFonts w:ascii="Times New Roman" w:hAnsi="Times New Roman" w:eastAsia="Times New Roman" w:cs="Times New Roman"/>
          <w:color w:val="000000"/>
          <w:sz w:val="24"/>
        </w:rPr>
        <w:t xml:space="preserve">nh giá, cụ thể như sau:</w:t>
      </w:r>
      <w:r>
        <w:rPr>
          <w:rFonts w:ascii="Times New Roman" w:hAnsi="Times New Roman" w:eastAsia="Times New Roman" w:cs="Times New Roman"/>
          <w:sz w:val="24"/>
        </w:rPr>
      </w:r>
      <w:r/>
    </w:p>
    <w:p w14:paraId="2A05C283" w14:textId="4A078C0D">
      <w:pPr>
        <w:pStyle w:val="104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85"/>
        <w:gridCol w:w="1994"/>
        <w:gridCol w:w="1736"/>
        <w:gridCol w:w="1736"/>
        <w:gridCol w:w="1736"/>
        <w:gridCol w:w="1736"/>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85" w:type="dxa"/>
            <w:vAlign w:val="top"/>
            <w:textDirection w:val="lrTb"/>
            <w:noWrap w:val="false"/>
          </w:tcPr>
          <w:p w14:paraId="5141AE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94" w:type="dxa"/>
            <w:vAlign w:val="top"/>
            <w:textDirection w:val="lrTb"/>
            <w:noWrap w:val="false"/>
          </w:tcPr>
          <w:p w14:paraId="06DEA45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444F7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73D4F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6DC6D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F1B87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top"/>
            <w:textDirection w:val="lrTb"/>
            <w:noWrap w:val="false"/>
          </w:tcPr>
          <w:p w14:paraId="4E4C8C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994" w:type="dxa"/>
            <w:vAlign w:val="top"/>
            <w:textDirection w:val="lrTb"/>
            <w:noWrap w:val="false"/>
          </w:tcPr>
          <w:p w14:paraId="3E5F513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12DDFA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510A4B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022D4E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A8C84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r>
      <w:tr>
        <w:trPr>
          <w:trHeight w:val="791"/>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3D0F2F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5C38F5E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219ECB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Tiểu khu chè đen 1, Mộc Châu, huyện Mộc Châu, Sơn La</w:t>
            </w:r>
            <w:r/>
          </w:p>
        </w:tc>
        <w:tc>
          <w:tcPr>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3E8822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Tiểu khu chè đen 1, Mộc Châu, huyện Mộc Châu, Sơn La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60FA62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Phường Thảo Nguyên, Vân Sơn, Sơn La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4547F0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Tiểu khu 19/8, Thị trấn Mộc Châu, Môc Châu, Sơn La</w:t>
            </w:r>
            <w:r/>
          </w:p>
        </w:tc>
      </w:tr>
      <w:tr>
        <w:trPr>
          <w:trHeight w:val="1080"/>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3753BF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6A7A820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1151A37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u w:val="single"/>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32AD1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u w:val="single"/>
              </w:rPr>
              <w:t xml:space="preserve">Cần bán lô đất đẹp tiểu khu 68 thị trấn NT Mộc Châu diện tích: 387m2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C967C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u w:val="single"/>
              </w:rPr>
              <w:t xml:space="preserve">Liên hệ trực tiếp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206595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hyperlink r:id="rId16" w:tooltip="https://batdongsan.com.vn/ban-dat-duong-quoc-lo-43-thi-tran-nong-truong-moc-chau/ban-mat-ql43-tdp-19-8-khu-19-8-cu-phuong-thao-nguyen-chau-pr44562759" w:history="1">
              <w:r>
                <w:rPr>
                  <w:rStyle w:val="1035"/>
                  <w:rFonts w:ascii="Times New Roman" w:hAnsi="Times New Roman" w:eastAsia="Times New Roman" w:cs="Times New Roman"/>
                  <w:color w:val="000000"/>
                  <w:sz w:val="24"/>
                  <w:u w:val="none"/>
                </w:rPr>
                <w:t xml:space="preserve">Bán lô mặt đường QL43 TDP 19/8 (khu 19/8 cũ) Phường Thảo Nguyên, Mộc Châu</w:t>
              </w:r>
            </w:hyperlink>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007842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2ED4202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749FC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16B4BB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Môi giới: 0904556146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6EEE74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Môi giới: 0904556146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6F5FEA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Môi giới: 0338087734</w:t>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66A49D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3925FDE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23F68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A9891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FDF6A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3E927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Đang giao dịch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7E750C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0DE42C7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5A749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B21AA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Tháng 12/2025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59DA6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Tháng 12/2025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552CF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Tháng 12/2025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5C911B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6F50FAF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3EC69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B3E3C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B8D1E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4F27B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Giao dịch bình thường trên thị trường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5C546D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54C39E6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BE99C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6A8A2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1BF89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64C1E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462"/>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0C0AC2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6EA8A6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2EF7E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22C98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Đất ở tại đô thị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E333F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Đất ở tại đô thị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40C15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Đất ở tại đô thị </w:t>
            </w: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5AE968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72DCE4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575B1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3A29A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B3EFC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DFDB0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Lâu dài</w:t>
            </w:r>
            <w:r/>
          </w:p>
        </w:tc>
      </w:tr>
      <w:tr>
        <w:trPr>
          <w:trHeight w:val="1500"/>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46806E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35F866F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D7CF2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tiếp giáp đường QL43</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B619F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tiếp giáp đường QL43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1C504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Tài sản nằm tiếp giáp đường QL43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C8B8B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Tài sản nằm tiếp giáp đường QL43</w:t>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21C430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26A580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14DE1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tiếp giáp đường nhựa rộng khoảng 10m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F25E4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tiếp giáp đường nhựa rộng khoảng 10m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60E01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Tài sản nằm tiếp giáp đường nhựa rộng khoảng 10m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98C36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Tài sản nằm tiếp giáp đường nhựa rộng khoảng 10m</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vMerge w:val="restart"/>
            <w:textDirection w:val="lrTb"/>
            <w:noWrap/>
          </w:tcPr>
          <w:p w14:paraId="539B4E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582DB12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Tổng 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4691F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440,0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1719D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387,0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2EF4E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523,0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7522C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164,0 m²</w:t>
            </w:r>
            <w:r/>
          </w:p>
        </w:tc>
      </w:tr>
      <w:tr>
        <w:trPr>
          <w:trHeight w:val="720"/>
        </w:trPr>
        <w:tc>
          <w:tcPr>
            <w:tcBorders>
              <w:left w:val="single" w:color="000000" w:sz="8" w:space="0"/>
              <w:bottom w:val="single" w:color="000000" w:sz="8" w:space="0"/>
              <w:right w:val="single" w:color="000000" w:sz="8" w:space="0"/>
            </w:tcBorders>
            <w:vMerge w:val="continue"/>
            <w:textDirection w:val="lrTb"/>
            <w:noWrap w:val="false"/>
          </w:tcPr>
          <w:p w14:paraId="1B12D56A">
            <w:pPr>
              <w:pBdr/>
              <w:spacing/>
              <w:ind/>
              <w:rPr/>
            </w:pPr>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6DA0BE8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đất ở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CD8B2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150,0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F0E41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96976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350,0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127FF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 m²</w:t>
            </w:r>
            <w:r/>
          </w:p>
        </w:tc>
      </w:tr>
      <w:tr>
        <w:trPr>
          <w:trHeight w:val="672"/>
        </w:trPr>
        <w:tc>
          <w:tcPr>
            <w:tcBorders>
              <w:left w:val="single" w:color="000000" w:sz="8" w:space="0"/>
              <w:bottom w:val="single" w:color="000000" w:sz="8" w:space="0"/>
              <w:right w:val="single" w:color="000000" w:sz="8" w:space="0"/>
            </w:tcBorders>
            <w:vMerge w:val="continue"/>
            <w:textDirection w:val="lrTb"/>
            <w:noWrap w:val="false"/>
          </w:tcPr>
          <w:p w14:paraId="77DC6712">
            <w:pPr>
              <w:pBdr/>
              <w:spacing/>
              <w:ind/>
              <w:rPr/>
            </w:pPr>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0F3DEA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đất trồng cây lâu năm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84A13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290,0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8D1D0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237,0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A63C5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173,0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4F086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14,0 m²</w:t>
            </w:r>
            <w:r/>
          </w:p>
        </w:tc>
      </w:tr>
      <w:tr>
        <w:trPr>
          <w:trHeight w:val="660"/>
        </w:trPr>
        <w:tc>
          <w:tcPr>
            <w:tcBorders>
              <w:left w:val="single" w:color="000000" w:sz="8" w:space="0"/>
              <w:bottom w:val="single" w:color="000000" w:sz="8" w:space="0"/>
              <w:right w:val="single" w:color="000000" w:sz="8" w:space="0"/>
            </w:tcBorders>
            <w:vMerge w:val="continue"/>
            <w:textDirection w:val="lrTb"/>
            <w:noWrap w:val="false"/>
          </w:tcPr>
          <w:p w14:paraId="5F7359FA">
            <w:pPr>
              <w:pBdr/>
              <w:spacing/>
              <w:ind/>
              <w:rPr/>
            </w:pPr>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4A0E5F7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Tỷ lệ đất ở/ tổng diện tích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E20FF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9F0CC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BB304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FB804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91%</w:t>
            </w:r>
            <w:r/>
          </w:p>
        </w:tc>
      </w:tr>
      <w:tr>
        <w:trPr>
          <w:trHeight w:val="420"/>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239171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365C652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4AF13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13,20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47886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17,30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4DD4E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664A1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7,60 m</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7C6CD5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0F33E35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diện tích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6059F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0,09</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DBB13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A353EC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353CD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0,05</w:t>
            </w:r>
            <w:r/>
          </w:p>
        </w:tc>
      </w:tr>
      <w:tr>
        <w:trPr>
          <w:trHeight w:val="1080"/>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4E5814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2C580FA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3272B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95C9F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 mặt đường, 1 mặt ngõ</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19D60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649DD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 mặt tiền trước sau </w:t>
            </w:r>
            <w:r/>
          </w:p>
        </w:tc>
      </w:tr>
      <w:tr>
        <w:trPr>
          <w:trHeight w:val="522"/>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690C16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3DA60AF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15560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vưcs</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891B2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Vuông vức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9797E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Vuông vức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24671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vuông vức</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5D0D67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361D5CC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60BF8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825FF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Phù hợp để ở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7EF18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Phù hợp để ở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FB5D5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Phù hợp để ở </w:t>
            </w:r>
            <w:r/>
          </w:p>
        </w:tc>
      </w:tr>
      <w:tr>
        <w:trPr>
          <w:trHeight w:val="455"/>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5E470E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79C159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51C63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60929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22,37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58443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34,87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3DE7B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21,58</w:t>
            </w:r>
            <w:r/>
          </w:p>
        </w:tc>
      </w:tr>
      <w:tr>
        <w:trPr>
          <w:trHeight w:val="1581"/>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0E00DB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767361F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AA73B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94167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59DDB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B73E2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1B5AF1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4CF7F16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93D8E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81C14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6CA19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61C3A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Tốt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285F7E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3916DF5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85B17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50D70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Đất trống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D62C3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Đất trống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55EA5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Đất trống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447AA1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1309904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B1AE9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E19B9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14.600.000.000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1E861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12.500.000.000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F7D4C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9.000.000.000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327089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507BEDE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0B4AA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6626B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12.410.000.000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4ADFF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11.250.000.000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FB74F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7.200.000.000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1E74FF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1BEADCF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2A99B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EBC23CC">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9DE0A03">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C8BFEE2">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r>
      <w:tr>
        <w:trPr>
          <w:trHeight w:val="801"/>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56B94F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0A1E4C4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AC334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1D62771">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6CB5B59">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B760D7D">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399C77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527D62E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Giá trị đất ở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C3E3C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D2AEA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12.410.000.000  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1695D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11.250.000.000  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795F6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7.200.000.000  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436D70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1FC5EB8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Đơn giá QSDĐ (Đồng/m mặt t</w:t>
            </w:r>
            <w:r>
              <w:rPr>
                <w:rFonts w:ascii="Times New Roman" w:hAnsi="Times New Roman" w:eastAsia="Times New Roman" w:cs="Times New Roman"/>
                <w:b/>
                <w:color w:val="000000" w:themeColor="text1"/>
                <w:sz w:val="24"/>
              </w:rPr>
              <w:t xml:space="preserve">iền</w:t>
            </w:r>
            <w:r>
              <w:rPr>
                <w:rFonts w:ascii="Times New Roman" w:hAnsi="Times New Roman" w:eastAsia="Times New Roman" w:cs="Times New Roman"/>
                <w:b/>
                <w:color w:val="000000" w:themeColor="text1"/>
                <w:sz w:val="24"/>
              </w:rPr>
              <w:t xml:space="preserve">)</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2DC13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27E065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717.341.040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567C07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750.000.000  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26BA2C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947.368.421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013502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4A251F2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NHẬN XÉT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A90B4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F78EE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B0BC8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15C87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14A33A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664C283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1C348D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045C3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8B466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31E78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152196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008D301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1284A6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8781C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2DDCE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980A5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0F2058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703547C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151786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DB8F8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A6EF6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C6FCD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6DE63B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0B56D7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đất ở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08C258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93A88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6EEBE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B1F09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3DD836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0549EBB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5D8F43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A5572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Kém lợi thế hơn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A8150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2F3B9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Kém lợi thế hơn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0DB101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7F834F5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Tỷ lệ đất ở/ tổng diện tích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0CCDB2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C8FA0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3C407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98CA9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0ADF9A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3F90D46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76D364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9EF13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DCE7E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C7B84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1311BD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779D513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29817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5DAD2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16F92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F72B6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0810C4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6F75394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0CBB46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6714A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BD987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0EDA1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1405CF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22C4433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AED23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DC488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B57C0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C5D88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85" w:type="dxa"/>
            <w:vAlign w:val="center"/>
            <w:textDirection w:val="lrTb"/>
            <w:noWrap/>
          </w:tcPr>
          <w:p w14:paraId="6C5ADF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c>
          <w:tcPr>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2FA9ED7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A282E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1BB4E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46A04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6C890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r>
    </w:tbl>
    <w:p w14:paraId="33B10C07">
      <w:pPr>
        <w:pBdr/>
        <w:tabs>
          <w:tab w:val="left" w:leader="none" w:pos="720"/>
        </w:tabs>
        <w:spacing w:after="120" w:before="120" w:line="276" w:lineRule="auto"/>
        <w:ind/>
        <w:jc w:val="both"/>
        <w:rPr>
          <w:b/>
          <w:bCs/>
          <w:lang w:val="nl-NL"/>
        </w:rPr>
      </w:pPr>
      <w:r>
        <w:rPr>
          <w:b/>
          <w:highlight w:val="none"/>
          <w:lang w:val="nl-NL" w:bidi="nl-NL"/>
        </w:rPr>
      </w:r>
      <w:r>
        <w:rPr>
          <w:b/>
          <w:bCs/>
          <w:lang w:val="nl-NL"/>
        </w:rPr>
      </w:r>
      <w:r>
        <w:rPr>
          <w:b/>
          <w:bCs/>
          <w:lang w:val="nl-NL"/>
        </w:rPr>
      </w:r>
    </w:p>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4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97"/>
        <w:gridCol w:w="2039"/>
        <w:gridCol w:w="1281"/>
        <w:gridCol w:w="1098"/>
        <w:gridCol w:w="1117"/>
        <w:gridCol w:w="1296"/>
        <w:gridCol w:w="1099"/>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textDirection w:val="lrTb"/>
            <w:noWrap w:val="false"/>
          </w:tcPr>
          <w:p w14:paraId="2F7C6E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193093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1C1C23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110892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446A46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73704B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378DDC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textDirection w:val="lrTb"/>
            <w:noWrap w:val="false"/>
          </w:tcPr>
          <w:p w14:paraId="3ECE5A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673EFC7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5CEFF9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780245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58D4D8D5">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12.410.000.000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6F3296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11.250.000.000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6D9EDB32">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7.200.000.000 </w:t>
            </w:r>
            <w:r/>
          </w:p>
        </w:tc>
      </w:tr>
      <w:tr>
        <w:trPr>
          <w:trHeight w:val="39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textDirection w:val="lrTb"/>
            <w:noWrap w:val="false"/>
          </w:tcPr>
          <w:p w14:paraId="6A129F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5C40CEF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11D7E1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66D616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6BDBED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717.341.040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7B749E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750.000.000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38DDD6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947.368.421 </w:t>
            </w: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textDirection w:val="lrTb"/>
            <w:noWrap w:val="false"/>
          </w:tcPr>
          <w:p w14:paraId="47D826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6986E04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517FF6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2788E5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5D9B92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14BBC6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160745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93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vMerge w:val="restart"/>
            <w:textDirection w:val="lrTb"/>
            <w:noWrap w:val="false"/>
          </w:tcPr>
          <w:p w14:paraId="2FBE81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73D0D37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16C62B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392041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4EDD64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2C515B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62E5AB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3F86290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433D056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0785A9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25CCB9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5F9BBF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299E4B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4DD31C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72"/>
        </w:trPr>
        <w:tc>
          <w:tcPr>
            <w:tcBorders>
              <w:left w:val="single" w:color="000000" w:sz="8" w:space="0"/>
              <w:bottom w:val="single" w:color="000000" w:sz="8" w:space="0"/>
              <w:right w:val="single" w:color="000000" w:sz="8" w:space="0"/>
            </w:tcBorders>
            <w:vMerge w:val="continue"/>
            <w:textDirection w:val="lrTb"/>
            <w:noWrap w:val="false"/>
          </w:tcPr>
          <w:p w14:paraId="2565FA4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5809212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6505EA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617C37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7EE70C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4C6697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68338D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063F378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71BD56E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1CA603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00A53F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6A4D06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717.341.040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79CCEB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52C9B4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947.368.421 </w:t>
            </w:r>
            <w:r/>
          </w:p>
        </w:tc>
      </w:tr>
      <w:tr>
        <w:trPr>
          <w:trHeight w:val="165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vMerge w:val="restart"/>
            <w:textDirection w:val="lrTb"/>
            <w:noWrap w:val="false"/>
          </w:tcPr>
          <w:p w14:paraId="1645A0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61C10C2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196DE4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737866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QL43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4FA904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QL43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7D6689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QL43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2935AE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QL43</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2A5FC67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56AEAA9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67FB81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247947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5B7C75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188F97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7A3AC1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5362242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31E5391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18E51C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4464B4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11E81C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16FF38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1D2438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26E8863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146714C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7B755F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5A320D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7245D9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717.341.040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526E4D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5C8B8C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947.368.421 </w:t>
            </w:r>
            <w:r/>
          </w:p>
        </w:tc>
      </w:tr>
      <w:tr>
        <w:trPr>
          <w:trHeight w:val="14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vMerge w:val="restart"/>
            <w:textDirection w:val="lrTb"/>
            <w:noWrap w:val="false"/>
          </w:tcPr>
          <w:p w14:paraId="751840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68B3B86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140202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0418C8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nhựa rộng khoảng 10m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097285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nhựa rộng khoảng 10m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359DDF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nhựa rộng khoảng 10m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0776D8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nhựa rộng khoảng 10m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2E06710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5AE5410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2FA601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6EC9C1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22D041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7F3C10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5BA62F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2CAB797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5FF0680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39DFE7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4D33A0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207701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45F1FB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7AE76B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035FD4A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1521F82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086045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2F5928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77165B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717.341.040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18483D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11FA8D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947.368.421 </w:t>
            </w:r>
            <w:r/>
          </w:p>
        </w:tc>
      </w:tr>
      <w:tr>
        <w:trPr>
          <w:trHeight w:val="6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vMerge w:val="restart"/>
            <w:textDirection w:val="lrTb"/>
            <w:noWrap w:val="false"/>
          </w:tcPr>
          <w:p w14:paraId="7DB1DA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71F25D1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diện tích đất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71442C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52FEF9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684736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387,0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62390D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523,0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2744CF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164,0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5FDD5E4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140CC28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428B67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2EC6BC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437FDB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3C9094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02C013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2D5726F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4A5B84D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121B8C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0999B2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2DE6F3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-14.346.821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5B88DC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43F241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-94.736.842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55A35F2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2DF83B0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5BC8B4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067D78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204728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702.994.220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48B6CB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765.000.000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1C0EC4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852.631.579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vMerge w:val="restart"/>
            <w:textDirection w:val="lrTb"/>
            <w:noWrap w:val="false"/>
          </w:tcPr>
          <w:p w14:paraId="03EAF7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tcPr>
          <w:p w14:paraId="0E62967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3881681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431167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20CC2C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0146DF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05C87E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7,60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4FC500A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0AC34F8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478902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6155B3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3BCA1B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4E69C2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6E4C13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8,00%</w:t>
            </w:r>
            <w:r/>
          </w:p>
        </w:tc>
      </w:tr>
      <w:tr>
        <w:trPr>
          <w:trHeight w:val="468"/>
        </w:trPr>
        <w:tc>
          <w:tcPr>
            <w:tcBorders>
              <w:left w:val="single" w:color="000000" w:sz="8" w:space="0"/>
              <w:bottom w:val="single" w:color="000000" w:sz="8" w:space="0"/>
              <w:right w:val="single" w:color="000000" w:sz="8" w:space="0"/>
            </w:tcBorders>
            <w:vMerge w:val="continue"/>
            <w:textDirection w:val="lrTb"/>
            <w:noWrap w:val="false"/>
          </w:tcPr>
          <w:p w14:paraId="1A59A78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43CBC24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539375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782C5F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10CCF6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-35.867.052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3C16EC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368C40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75.789.474 </w:t>
            </w:r>
            <w:r/>
          </w:p>
        </w:tc>
      </w:tr>
      <w:tr>
        <w:trPr>
          <w:trHeight w:val="408"/>
        </w:trPr>
        <w:tc>
          <w:tcPr>
            <w:tcBorders>
              <w:left w:val="single" w:color="000000" w:sz="8" w:space="0"/>
              <w:bottom w:val="single" w:color="000000" w:sz="8" w:space="0"/>
              <w:right w:val="single" w:color="000000" w:sz="8" w:space="0"/>
            </w:tcBorders>
            <w:vMerge w:val="continue"/>
            <w:textDirection w:val="lrTb"/>
            <w:noWrap w:val="false"/>
          </w:tcPr>
          <w:p w14:paraId="35444AB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59757D4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59442D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46FE7E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167ABE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667.127.168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6C3092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7CAB4F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928.421.053 </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vMerge w:val="restart"/>
            <w:textDirection w:val="lrTb"/>
            <w:noWrap w:val="false"/>
          </w:tcPr>
          <w:p w14:paraId="67F51F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tcPr>
          <w:p w14:paraId="6548102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Tỷ lệ đất ở/ tổng diện tích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1F8C22A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1A7E1C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254A21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3B78E4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37B194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91%</w:t>
            </w:r>
            <w:r/>
          </w:p>
        </w:tc>
      </w:tr>
      <w:tr>
        <w:trPr>
          <w:trHeight w:val="684"/>
        </w:trPr>
        <w:tc>
          <w:tcPr>
            <w:tcBorders>
              <w:left w:val="single" w:color="000000" w:sz="8" w:space="0"/>
              <w:bottom w:val="single" w:color="000000" w:sz="8" w:space="0"/>
              <w:right w:val="single" w:color="000000" w:sz="8" w:space="0"/>
            </w:tcBorders>
            <w:vMerge w:val="continue"/>
            <w:textDirection w:val="lrTb"/>
            <w:noWrap w:val="false"/>
          </w:tcPr>
          <w:p w14:paraId="1A4F12B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5657C7C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58B040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0EA9BC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4862E5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1670A5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1082A8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-14,00%</w:t>
            </w:r>
            <w:r/>
          </w:p>
        </w:tc>
      </w:tr>
      <w:tr>
        <w:trPr>
          <w:trHeight w:val="612"/>
        </w:trPr>
        <w:tc>
          <w:tcPr>
            <w:tcBorders>
              <w:left w:val="single" w:color="000000" w:sz="8" w:space="0"/>
              <w:bottom w:val="single" w:color="000000" w:sz="8" w:space="0"/>
              <w:right w:val="single" w:color="000000" w:sz="8" w:space="0"/>
            </w:tcBorders>
            <w:vMerge w:val="continue"/>
            <w:textDirection w:val="lrTb"/>
            <w:noWrap w:val="false"/>
          </w:tcPr>
          <w:p w14:paraId="3CCE821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7E46971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14E420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2DE7F8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3A5381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3519A5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099861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132.631.579 </w:t>
            </w:r>
            <w:r/>
          </w:p>
        </w:tc>
      </w:tr>
      <w:tr>
        <w:trPr>
          <w:trHeight w:val="816"/>
        </w:trPr>
        <w:tc>
          <w:tcPr>
            <w:tcBorders>
              <w:left w:val="single" w:color="000000" w:sz="8" w:space="0"/>
              <w:bottom w:val="single" w:color="000000" w:sz="8" w:space="0"/>
              <w:right w:val="single" w:color="000000" w:sz="8" w:space="0"/>
            </w:tcBorders>
            <w:vMerge w:val="continue"/>
            <w:textDirection w:val="lrTb"/>
            <w:noWrap w:val="false"/>
          </w:tcPr>
          <w:p w14:paraId="2500D53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6A4D64B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723755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7E150A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260ABC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667.127.168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16D47D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046709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795.789.474 </w:t>
            </w:r>
            <w:r/>
          </w:p>
        </w:tc>
      </w:tr>
      <w:tr>
        <w:trPr>
          <w:trHeight w:val="741"/>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vMerge w:val="restart"/>
            <w:textDirection w:val="lrTb"/>
            <w:noWrap w:val="false"/>
          </w:tcPr>
          <w:p w14:paraId="02DE46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5C014A4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0C84C7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5E8A7D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162375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đường, 1 mặt ngõ</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353E36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45A70C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mặt tiền trước sau </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14:paraId="04E0C21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0031FAB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6B1550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5FF503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655C84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5FAE6F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1943AD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-2,00%</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14:paraId="1016256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0D52E46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49A5E4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149551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1D17A8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-14.346.821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5872C5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0402F5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-18.947.368 </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14:paraId="04F1E3D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1366863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03F235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056E1D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388902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652.780.347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365FDB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210D0A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776.842.105 </w:t>
            </w:r>
            <w:r/>
          </w:p>
        </w:tc>
      </w:tr>
      <w:tr>
        <w:trPr>
          <w:trHeight w:val="44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vMerge w:val="restart"/>
            <w:textDirection w:val="lrTb"/>
            <w:noWrap w:val="false"/>
          </w:tcPr>
          <w:p w14:paraId="54EACB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0345EA3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2C94F8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22278A5E">
            <w:pPr>
              <w:pBdr>
                <w:top w:val="none" w:color="000000" w:sz="4" w:space="0"/>
                <w:left w:val="none" w:color="000000" w:sz="4" w:space="0"/>
                <w:bottom w:val="none" w:color="000000" w:sz="4" w:space="0"/>
                <w:right w:val="none" w:color="000000" w:sz="4" w:space="0"/>
              </w:pBdr>
              <w:shd w:val="clear" w:color="ffffff" w:fill="ffffff"/>
              <w:spacing/>
              <w:ind w:right="0" w:firstLine="396" w:left="-396"/>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3B2457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76F441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49CE4F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r>
      <w:tr>
        <w:trPr>
          <w:trHeight w:val="447"/>
        </w:trPr>
        <w:tc>
          <w:tcPr>
            <w:tcBorders>
              <w:left w:val="single" w:color="000000" w:sz="8" w:space="0"/>
              <w:bottom w:val="single" w:color="000000" w:sz="8" w:space="0"/>
              <w:right w:val="single" w:color="000000" w:sz="8" w:space="0"/>
            </w:tcBorders>
            <w:vMerge w:val="continue"/>
            <w:textDirection w:val="lrTb"/>
            <w:noWrap w:val="false"/>
          </w:tcPr>
          <w:p w14:paraId="6EA0DD4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39E8563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28767C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593192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234CA9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7DC061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4F84C5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-1,00%</w:t>
            </w:r>
            <w:r/>
          </w:p>
        </w:tc>
      </w:tr>
      <w:tr>
        <w:trPr>
          <w:trHeight w:val="447"/>
        </w:trPr>
        <w:tc>
          <w:tcPr>
            <w:tcBorders>
              <w:left w:val="single" w:color="000000" w:sz="8" w:space="0"/>
              <w:bottom w:val="single" w:color="000000" w:sz="8" w:space="0"/>
              <w:right w:val="single" w:color="000000" w:sz="8" w:space="0"/>
            </w:tcBorders>
            <w:vMerge w:val="continue"/>
            <w:textDirection w:val="lrTb"/>
            <w:noWrap w:val="false"/>
          </w:tcPr>
          <w:p w14:paraId="5CDF254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78EBFFB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6BA4FD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1EDD0F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27A600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-7.173.410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23005B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279B1F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-9.473.684 </w:t>
            </w:r>
            <w:r/>
          </w:p>
        </w:tc>
      </w:tr>
      <w:tr>
        <w:trPr>
          <w:trHeight w:val="447"/>
        </w:trPr>
        <w:tc>
          <w:tcPr>
            <w:tcBorders>
              <w:left w:val="single" w:color="000000" w:sz="8" w:space="0"/>
              <w:bottom w:val="single" w:color="000000" w:sz="8" w:space="0"/>
              <w:right w:val="single" w:color="000000" w:sz="8" w:space="0"/>
            </w:tcBorders>
            <w:vMerge w:val="continue"/>
            <w:textDirection w:val="lrTb"/>
            <w:noWrap w:val="false"/>
          </w:tcPr>
          <w:p w14:paraId="69B7025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60AEDB7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2247E5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14EC63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6683A9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645.606.936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662EEA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682.500.000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1D27E5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767.368.421 </w:t>
            </w:r>
            <w:r/>
          </w:p>
        </w:tc>
      </w:tr>
      <w:tr>
        <w:trPr>
          <w:trHeight w:val="8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vMerge w:val="restart"/>
            <w:textDirection w:val="lrTb"/>
            <w:noWrap w:val="false"/>
          </w:tcPr>
          <w:p w14:paraId="5F58F1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5048C9E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4E5CCC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44D076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1A536B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628639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52E11E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7DBFBB1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5296935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36FECD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6318BF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2F2D74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451EEB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1EA760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4F2369F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356295D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0A829F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3FA22D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3A8628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64D9B6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4A2430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1A33B8E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29FB1CF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1F4399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0912BA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238C65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645.606.936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221CE5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682.500.000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5854C1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767.368.421 </w:t>
            </w:r>
            <w:r/>
          </w:p>
        </w:tc>
      </w:tr>
      <w:tr>
        <w:trPr>
          <w:trHeight w:val="157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vMerge w:val="restart"/>
            <w:textDirection w:val="lrTb"/>
            <w:noWrap w:val="false"/>
          </w:tcPr>
          <w:p w14:paraId="0CF486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4D66B39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4BC8C9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44A0A9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425B91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18683F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483FFA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67A0732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049B95E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6C05D0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12C576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6DF927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7245BE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64CC8C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2C745D0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4B10549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20BB51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6CC954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24D00B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280BC6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2E3558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74F7E3B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28BFA03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787C43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6F43DD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003615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645.606.936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2BF67C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682.500.000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346742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767.368.421 </w:t>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textDirection w:val="lrTb"/>
            <w:noWrap/>
          </w:tcPr>
          <w:p w14:paraId="70F111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tcPr>
          <w:p w14:paraId="32DC010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189686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tcPr>
          <w:p w14:paraId="3FD03A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6DD187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645.606.936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34B462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682.500.000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66B6DC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767.368.421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textDirection w:val="lrTb"/>
            <w:noWrap/>
          </w:tcPr>
          <w:p w14:paraId="5F2461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4415CAA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2CA09E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4611" w:type="dxa"/>
            <w:vAlign w:val="center"/>
            <w:textDirection w:val="lrTb"/>
            <w:noWrap/>
          </w:tcPr>
          <w:p w14:paraId="1BDF1E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p w14:paraId="54776C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ff0000"/>
                <w:sz w:val="22"/>
              </w:rPr>
              <w:t xml:space="preserve">698.491.786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textDirection w:val="lrTb"/>
            <w:noWrap/>
          </w:tcPr>
          <w:p w14:paraId="0B8341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F</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456CD43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cho tài sản thẩm định (làm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4D8BEB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 mặt tiền</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4611" w:type="dxa"/>
            <w:vAlign w:val="center"/>
            <w:textDirection w:val="lrTb"/>
            <w:noWrap/>
          </w:tcPr>
          <w:p w14:paraId="746A1F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p w14:paraId="2CED0A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698.000.000 </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textDirection w:val="lrTb"/>
            <w:noWrap/>
          </w:tcPr>
          <w:p w14:paraId="5A1EC8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17EE835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129D9B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tcPr>
          <w:p w14:paraId="54BF4D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5EBED9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326747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3A9C82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9,9%</w:t>
            </w:r>
            <w:r/>
          </w:p>
        </w:tc>
      </w:tr>
      <w:tr>
        <w:trPr>
          <w:trHeight w:val="39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textDirection w:val="lrTb"/>
            <w:noWrap/>
          </w:tcPr>
          <w:p w14:paraId="00539C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7930" w:type="dxa"/>
            <w:vAlign w:val="center"/>
            <w:textDirection w:val="lrTb"/>
            <w:noWrap w:val="false"/>
          </w:tcPr>
          <w:p w14:paraId="4CBC260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textDirection w:val="lrTb"/>
            <w:noWrap/>
          </w:tcPr>
          <w:p w14:paraId="59538F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5FEE2AD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6D2E9D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tcPr>
          <w:p w14:paraId="451088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61E276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71.734.104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14:paraId="7D38A8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97.500.000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val="false"/>
          </w:tcPr>
          <w:p w14:paraId="32C437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331.578.947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textDirection w:val="lrTb"/>
            <w:noWrap/>
          </w:tcPr>
          <w:p w14:paraId="17ABF0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602A407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61ECB6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619656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4EB63B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64C1C5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14EB05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textDirection w:val="lrTb"/>
            <w:noWrap/>
          </w:tcPr>
          <w:p w14:paraId="71D5A7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6827E47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val="false"/>
          </w:tcPr>
          <w:p w14:paraId="56230D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2493EB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1215DE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337342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3A8894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1%-14%</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97" w:type="dxa"/>
            <w:vAlign w:val="center"/>
            <w:textDirection w:val="lrTb"/>
            <w:noWrap/>
          </w:tcPr>
          <w:p w14:paraId="24267A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185FCEF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81" w:type="dxa"/>
            <w:vAlign w:val="center"/>
            <w:textDirection w:val="lrTb"/>
            <w:noWrap/>
          </w:tcPr>
          <w:p w14:paraId="4E1B5E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tcPr>
          <w:p w14:paraId="7A1F53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tcPr>
          <w:p w14:paraId="315257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(71.734.104)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14:paraId="476AF0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99" w:type="dxa"/>
            <w:vAlign w:val="center"/>
            <w:textDirection w:val="lrTb"/>
            <w:noWrap/>
          </w:tcPr>
          <w:p w14:paraId="73270F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(180.000.000)</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2,3</w:t>
      </w:r>
      <w:r>
        <w:t xml:space="preserve">% đến</w:t>
      </w:r>
      <w:r>
        <w:t xml:space="preserve"> </w:t>
      </w:r>
      <w:r>
        <w:t xml:space="preserve"> </w:t>
      </w:r>
      <w:r>
        <w:t xml:space="preserve">9,9%,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0ED19D31">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698.000.000 Đồng/m mặt tiền .</w:t>
      </w:r>
      <w:r/>
    </w:p>
    <w:p w14:paraId="2FC3B280">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Xác định giá trị tài sản theo m2 thì ta được kết quả như sau:</w:t>
      </w:r>
      <w:r/>
    </w:p>
    <w:tbl>
      <w:tblPr>
        <w:tblStyle w:val="104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shd w:val="clear" w:color="ffffff" w:fill="ffffff"/>
        <w:tblLayout w:type="autofit"/>
        <w:tblLook w:val="04A0" w:firstRow="1" w:lastRow="0" w:firstColumn="1" w:lastColumn="0" w:noHBand="0" w:noVBand="1"/>
      </w:tblPr>
      <w:tblGrid>
        <w:gridCol w:w="1191"/>
        <w:gridCol w:w="1191"/>
        <w:gridCol w:w="1191"/>
        <w:gridCol w:w="1191"/>
        <w:gridCol w:w="1191"/>
        <w:gridCol w:w="1191"/>
        <w:gridCol w:w="1191"/>
        <w:gridCol w:w="1191"/>
      </w:tblGrid>
      <w:tr>
        <w:trPr>
          <w:trHeight w:val="31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91" w:type="dxa"/>
            <w:vAlign w:val="center"/>
            <w:textDirection w:val="lrTb"/>
            <w:noWrap/>
          </w:tcPr>
          <w:p w14:paraId="77A718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91" w:type="dxa"/>
            <w:vAlign w:val="center"/>
            <w:textDirection w:val="lrTb"/>
            <w:noWrap/>
          </w:tcPr>
          <w:p w14:paraId="03783B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91" w:type="dxa"/>
            <w:vAlign w:val="center"/>
            <w:textDirection w:val="lrTb"/>
            <w:noWrap/>
          </w:tcPr>
          <w:p w14:paraId="2D34F9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Mặt tiền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91" w:type="dxa"/>
            <w:vAlign w:val="center"/>
            <w:textDirection w:val="lrTb"/>
            <w:noWrap w:val="false"/>
          </w:tcPr>
          <w:p w14:paraId="73069B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 mặt tiền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91" w:type="dxa"/>
            <w:vAlign w:val="center"/>
            <w:textDirection w:val="lrTb"/>
            <w:noWrap/>
          </w:tcPr>
          <w:p w14:paraId="5A78FD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đất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91" w:type="dxa"/>
            <w:vAlign w:val="center"/>
            <w:textDirection w:val="lrTb"/>
            <w:noWrap/>
          </w:tcPr>
          <w:p w14:paraId="61396C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91" w:type="dxa"/>
            <w:vAlign w:val="center"/>
            <w:textDirection w:val="lrTb"/>
            <w:noWrap/>
          </w:tcPr>
          <w:p w14:paraId="60414C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Đơn giá quy đổi (Đồng/m2)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91" w:type="dxa"/>
            <w:vAlign w:val="center"/>
            <w:textDirection w:val="lrTb"/>
            <w:noWrap/>
          </w:tcPr>
          <w:p w14:paraId="2B4DCE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Làm tròn </w:t>
            </w:r>
            <w:r/>
          </w:p>
          <w:p w14:paraId="7D9347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(Đồng/m2)</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91" w:type="dxa"/>
            <w:vAlign w:val="center"/>
            <w:textDirection w:val="lrTb"/>
            <w:noWrap/>
          </w:tcPr>
          <w:p w14:paraId="782FEE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191" w:type="dxa"/>
            <w:vAlign w:val="center"/>
            <w:textDirection w:val="lrTb"/>
            <w:noWrap/>
          </w:tcPr>
          <w:p w14:paraId="7609A3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Đất ở và Đất CLN</w:t>
            </w:r>
            <w:r/>
          </w:p>
        </w:tc>
        <w:tc>
          <w:tcPr>
            <w:tcBorders>
              <w:bottom w:val="single" w:color="000000" w:sz="8" w:space="0"/>
              <w:right w:val="single" w:color="000000" w:sz="8" w:space="0"/>
            </w:tcBorders>
            <w:tcMar>
              <w:left w:w="108" w:type="dxa"/>
              <w:top w:w="0" w:type="dxa"/>
              <w:right w:w="108" w:type="dxa"/>
              <w:bottom w:w="0" w:type="dxa"/>
            </w:tcMar>
            <w:tcW w:w="1191" w:type="dxa"/>
            <w:vAlign w:val="center"/>
            <w:textDirection w:val="lrTb"/>
            <w:noWrap/>
          </w:tcPr>
          <w:p w14:paraId="618D11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13,2</w:t>
            </w:r>
            <w:r/>
          </w:p>
        </w:tc>
        <w:tc>
          <w:tcPr>
            <w:tcBorders>
              <w:bottom w:val="single" w:color="000000" w:sz="8" w:space="0"/>
              <w:right w:val="single" w:color="000000" w:sz="8" w:space="0"/>
            </w:tcBorders>
            <w:tcMar>
              <w:left w:w="108" w:type="dxa"/>
              <w:top w:w="0" w:type="dxa"/>
              <w:right w:w="108" w:type="dxa"/>
              <w:bottom w:w="0" w:type="dxa"/>
            </w:tcMar>
            <w:tcW w:w="1191" w:type="dxa"/>
            <w:vAlign w:val="center"/>
            <w:textDirection w:val="lrTb"/>
            <w:noWrap w:val="false"/>
          </w:tcPr>
          <w:p w14:paraId="047966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698.000.000</w:t>
            </w:r>
            <w:r/>
          </w:p>
        </w:tc>
        <w:tc>
          <w:tcPr>
            <w:tcBorders>
              <w:bottom w:val="single" w:color="000000" w:sz="8" w:space="0"/>
              <w:right w:val="single" w:color="000000" w:sz="8" w:space="0"/>
            </w:tcBorders>
            <w:tcMar>
              <w:left w:w="108" w:type="dxa"/>
              <w:top w:w="0" w:type="dxa"/>
              <w:right w:w="108" w:type="dxa"/>
              <w:bottom w:w="0" w:type="dxa"/>
            </w:tcMar>
            <w:tcW w:w="1191" w:type="dxa"/>
            <w:vAlign w:val="center"/>
            <w:textDirection w:val="lrTb"/>
            <w:noWrap/>
          </w:tcPr>
          <w:p w14:paraId="2B7F1A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9.213.600.000</w:t>
            </w:r>
            <w:r/>
          </w:p>
        </w:tc>
        <w:tc>
          <w:tcPr>
            <w:tcBorders>
              <w:bottom w:val="single" w:color="000000" w:sz="8" w:space="0"/>
              <w:right w:val="single" w:color="000000" w:sz="8" w:space="0"/>
            </w:tcBorders>
            <w:tcMar>
              <w:left w:w="108" w:type="dxa"/>
              <w:top w:w="0" w:type="dxa"/>
              <w:right w:w="108" w:type="dxa"/>
              <w:bottom w:w="0" w:type="dxa"/>
            </w:tcMar>
            <w:tcW w:w="1191" w:type="dxa"/>
            <w:vAlign w:val="center"/>
            <w:textDirection w:val="lrTb"/>
            <w:noWrap/>
          </w:tcPr>
          <w:p w14:paraId="74EFA0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440</w:t>
            </w:r>
            <w:r/>
          </w:p>
        </w:tc>
        <w:tc>
          <w:tcPr>
            <w:tcBorders>
              <w:bottom w:val="single" w:color="000000" w:sz="8" w:space="0"/>
              <w:right w:val="single" w:color="000000" w:sz="8" w:space="0"/>
            </w:tcBorders>
            <w:tcMar>
              <w:left w:w="108" w:type="dxa"/>
              <w:top w:w="0" w:type="dxa"/>
              <w:right w:w="108" w:type="dxa"/>
              <w:bottom w:w="0" w:type="dxa"/>
            </w:tcMar>
            <w:tcW w:w="1191" w:type="dxa"/>
            <w:vAlign w:val="center"/>
            <w:textDirection w:val="lrTb"/>
            <w:noWrap/>
          </w:tcPr>
          <w:p w14:paraId="5F50FB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20.940.000</w:t>
            </w:r>
            <w:r/>
          </w:p>
        </w:tc>
        <w:tc>
          <w:tcPr>
            <w:tcBorders>
              <w:bottom w:val="single" w:color="000000" w:sz="8" w:space="0"/>
              <w:right w:val="single" w:color="000000" w:sz="8" w:space="0"/>
            </w:tcBorders>
            <w:tcMar>
              <w:left w:w="108" w:type="dxa"/>
              <w:top w:w="0" w:type="dxa"/>
              <w:right w:w="108" w:type="dxa"/>
              <w:bottom w:w="0" w:type="dxa"/>
            </w:tcMar>
            <w:tcW w:w="1191" w:type="dxa"/>
            <w:vAlign w:val="center"/>
            <w:textDirection w:val="lrTb"/>
            <w:noWrap/>
          </w:tcPr>
          <w:p w14:paraId="629E47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21.000.000</w:t>
            </w:r>
            <w:r/>
          </w:p>
        </w:tc>
      </w:tr>
    </w:tbl>
    <w:p w14:paraId="1D577442">
      <w:pPr>
        <w:pBdr>
          <w:top w:val="none" w:color="000000" w:sz="4" w:space="0"/>
          <w:left w:val="none" w:color="000000" w:sz="4" w:space="0"/>
          <w:bottom w:val="none" w:color="000000" w:sz="4" w:space="0"/>
          <w:right w:val="none" w:color="000000" w:sz="4" w:space="0"/>
        </w:pBdr>
        <w:spacing w:after="120" w:before="120" w:line="276" w:lineRule="auto"/>
        <w:ind w:right="29" w:firstLine="0" w:left="0"/>
        <w:jc w:val="both"/>
        <w:rPr/>
      </w:pPr>
      <w:r>
        <w:rPr>
          <w:rFonts w:ascii="Times New Roman" w:hAnsi="Times New Roman" w:eastAsia="Times New Roman" w:cs="Times New Roman"/>
          <w:b/>
          <w:color w:val="000000"/>
          <w:sz w:val="24"/>
        </w:rPr>
        <w:t xml:space="preserve">2. Xác định giá trị công trình xây dựng trên đất (nhà biệt thự 4 tầng)</w:t>
      </w:r>
      <w:r/>
    </w:p>
    <w:p w14:paraId="63792239">
      <w:pPr>
        <w:numPr>
          <w:ilvl w:val="0"/>
          <w:numId w:val="40"/>
        </w:numPr>
        <w:pBdr>
          <w:top w:val="none" w:color="000000" w:sz="4" w:space="0"/>
          <w:left w:val="none" w:color="000000" w:sz="4" w:space="0"/>
          <w:bottom w:val="none" w:color="000000" w:sz="4" w:space="0"/>
          <w:right w:val="none" w:color="000000" w:sz="4" w:space="0"/>
        </w:pBdr>
        <w:spacing w:after="120" w:before="288"/>
        <w:ind/>
        <w:jc w:val="both"/>
        <w:rPr/>
      </w:pPr>
      <w:r>
        <w:rPr>
          <w:rFonts w:ascii="Times New Roman" w:hAnsi="Times New Roman" w:eastAsia="Times New Roman" w:cs="Times New Roman"/>
          <w:b/>
          <w:color w:val="000000"/>
          <w:sz w:val="24"/>
        </w:rPr>
        <w:t xml:space="preserve">Xác định đơn giá xây mới của công trình xây dựng trên đất:</w:t>
      </w:r>
      <w:r/>
    </w:p>
    <w:p w14:paraId="659025DE">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Nhà biệt thự 4 tầng, đối chiếu với kết cấu của công trình xây dựng hiện có, Tổ thẩm định nhận thấy đơn giá vận dụng theo Quyết định số 409/QĐ-BXD ngày 11/4/2025 của Bộ Xây dựng về việc cô</w:t>
      </w:r>
      <w:r>
        <w:rPr>
          <w:rFonts w:ascii="Times New Roman" w:hAnsi="Times New Roman" w:eastAsia="Times New Roman" w:cs="Times New Roman"/>
          <w:color w:val="000000"/>
          <w:sz w:val="24"/>
        </w:rPr>
        <w:t xml:space="preserve">ng bố suất vốn đầu tư xây dựng và giá xây dựng tổng hợp bộ phận kết cấu công trình năm 2024 là khá phù hợp với thị trường, theo đó: </w:t>
      </w:r>
      <w:r/>
    </w:p>
    <w:p w14:paraId="7B4505EE">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color w:val="000000"/>
          <w:sz w:val="24"/>
        </w:rPr>
        <w:t xml:space="preserve">“Suất vốn đầu tư xây dựng của Nhà kiểu biệt thự từ 2 đến 3 tầng, kết cấu khung chịu lực BTCT; tường bao xây gạch; sàn, mái BTCT đổ tại chỗ không có tầng hầm là :10.334.000 Đồng/m mặt tiền (bao gồm VAT); hệ số điều chỉnh Vùng 1 – Tỉnh Sơn La là: 0,935”</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195B9A98">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color w:val="000000"/>
          <w:sz w:val="24"/>
          <w:highlight w:val="none"/>
        </w:rPr>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7B312C87">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bCs w:val="0"/>
          <w:i w:val="0"/>
          <w:color w:val="000000" w:themeColor="text1"/>
          <w:sz w:val="24"/>
          <w:szCs w:val="24"/>
        </w:rPr>
      </w:pPr>
      <w:r>
        <w:rPr>
          <w:rFonts w:ascii="Times New Roman" w:hAnsi="Times New Roman" w:eastAsia="Times New Roman" w:cs="Times New Roman"/>
          <w:i w:val="0"/>
          <w:iCs w:val="0"/>
          <w:color w:val="000000" w:themeColor="text1"/>
          <w:sz w:val="24"/>
          <w:szCs w:val="24"/>
          <w:highlight w:val="none"/>
        </w:rPr>
      </w:r>
      <w:r>
        <w:rPr>
          <w:rFonts w:ascii="Times New Roman" w:hAnsi="Times New Roman" w:eastAsia="Times New Roman" w:cs="Times New Roman"/>
          <w:i w:val="0"/>
          <w:iCs w:val="0"/>
          <w:color w:val="000000" w:themeColor="text1"/>
          <w:spacing w:val="3"/>
          <w:sz w:val="24"/>
          <w:szCs w:val="24"/>
          <w:highlight w:val="white"/>
        </w:rPr>
        <w:t xml:space="preserve">Trong quá trình khảo sát thị trường hạn chế thông tin, nên tổ thẩm định giả định chỉ số giá bằng 1</w:t>
      </w:r>
      <w:r>
        <w:rPr>
          <w:rFonts w:ascii="Times New Roman" w:hAnsi="Times New Roman" w:cs="Times New Roman"/>
          <w:bCs w:val="0"/>
          <w:i w:val="0"/>
          <w:color w:val="000000" w:themeColor="text1"/>
          <w:sz w:val="24"/>
          <w:szCs w:val="24"/>
        </w:rPr>
      </w:r>
      <w:r>
        <w:rPr>
          <w:rFonts w:ascii="Times New Roman" w:hAnsi="Times New Roman" w:cs="Times New Roman"/>
          <w:bCs w:val="0"/>
          <w:i w:val="0"/>
          <w:color w:val="000000" w:themeColor="text1"/>
          <w:sz w:val="24"/>
          <w:szCs w:val="24"/>
        </w:rPr>
      </w:r>
    </w:p>
    <w:p w14:paraId="25E97A76">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pacing w:val="3"/>
          <w:sz w:val="24"/>
          <w:highlight w:val="white"/>
        </w:rPr>
        <w:t xml:space="preserve">Do đó, Tổ thẩm định xác định đơn giá của công trình là: </w:t>
      </w:r>
      <w:r>
        <w:rPr>
          <w:rFonts w:ascii="Times New Roman" w:hAnsi="Times New Roman" w:eastAsia="Times New Roman" w:cs="Times New Roman"/>
          <w:b/>
          <w:color w:val="000000"/>
          <w:spacing w:val="3"/>
          <w:sz w:val="24"/>
          <w:highlight w:val="white"/>
        </w:rPr>
        <w:t xml:space="preserve">(Suất vốn đầu tư xây dựng) x (Hệ số điều chỉnh vùng) = 10.334.000</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color w:val="000000"/>
          <w:spacing w:val="3"/>
          <w:sz w:val="24"/>
          <w:highlight w:val="white"/>
        </w:rPr>
        <w:t xml:space="preserve">x 0,935 =</w:t>
      </w:r>
      <w:r>
        <w:rPr>
          <w:rFonts w:ascii="Times New Roman" w:hAnsi="Times New Roman" w:eastAsia="Times New Roman" w:cs="Times New Roman"/>
          <w:b/>
          <w:color w:val="000000"/>
          <w:sz w:val="24"/>
        </w:rPr>
        <w:t xml:space="preserve"> 9.662.290 </w:t>
      </w:r>
      <w:r>
        <w:rPr>
          <w:rFonts w:ascii="Times New Roman" w:hAnsi="Times New Roman" w:eastAsia="Times New Roman" w:cs="Times New Roman"/>
          <w:b/>
          <w:color w:val="000000"/>
          <w:spacing w:val="3"/>
          <w:sz w:val="24"/>
          <w:highlight w:val="white"/>
        </w:rPr>
        <w:t xml:space="preserve">Đồng/m mặt tiền;</w:t>
      </w:r>
      <w:r>
        <w:rPr>
          <w:rFonts w:ascii="Times New Roman" w:hAnsi="Times New Roman" w:eastAsia="Times New Roman" w:cs="Times New Roman"/>
          <w:color w:val="000000"/>
          <w:spacing w:val="3"/>
          <w:sz w:val="24"/>
          <w:highlight w:val="white"/>
        </w:rPr>
        <w:t xml:space="preserve"> (Đơn giá đã bao gồm VAT)</w:t>
      </w:r>
      <w:r>
        <w:rPr>
          <w:rFonts w:ascii="Times New Roman" w:hAnsi="Times New Roman" w:eastAsia="Times New Roman" w:cs="Times New Roman"/>
          <w:color w:val="000000"/>
          <w:sz w:val="24"/>
        </w:rPr>
        <w:t xml:space="preserve">.</w:t>
      </w:r>
      <w:r/>
    </w:p>
    <w:p w14:paraId="741B4B55">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phương pháp chuyên gia:</w:t>
      </w:r>
      <w:r/>
    </w:p>
    <w:p w14:paraId="20C3C7E2">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tỷ lệ chất lượng còn lại của công trình xây dựng theo Văn bản số 1326/BXD-QLN do Bộ Xây dựng ban hành ngày 08/8/2011 về việc hướng dẫn k</w:t>
      </w:r>
      <w:r>
        <w:rPr>
          <w:rFonts w:ascii="Times New Roman" w:hAnsi="Times New Roman" w:eastAsia="Times New Roman" w:cs="Times New Roman"/>
          <w:color w:val="000000"/>
          <w:sz w:val="24"/>
        </w:rPr>
        <w:t xml:space="preserve">iểm kê, đánh giá lại giá trị tài sản cố định là nhà, vật kiến trúc như sau: Tỷ lệ chất lượng còn lạicủa nhà, vật kiến trúc được xác định căn cứ vào tỷ lệ chất lượng còn lại của các kết cấu chính (nếu là nhà thì kết cấu chính gồm: móng, khung, cột, tường, n</w:t>
      </w:r>
      <w:r>
        <w:rPr>
          <w:rFonts w:ascii="Times New Roman" w:hAnsi="Times New Roman" w:eastAsia="Times New Roman" w:cs="Times New Roman"/>
          <w:color w:val="000000"/>
          <w:sz w:val="24"/>
        </w:rPr>
        <w:t xml:space="preserve">ền, sàn, kết cấu đỡ mái và mái) tạo nên nhà đó và tỷ lệ giá trị của các kết cấu chính đó so với tổng giá trị của nhà hoặc vật kiến trúc.</w:t>
      </w:r>
      <w:r/>
    </w:p>
    <w:p w14:paraId="6169AF6B">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Công thức tính như sau:</w:t>
      </w:r>
      <w:r/>
    </w:p>
    <w:tbl>
      <w:tblPr>
        <w:tblStyle w:val="1049"/>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68"/>
        <w:gridCol w:w="560"/>
        <w:gridCol w:w="700"/>
        <w:gridCol w:w="2864"/>
        <w:gridCol w:w="636"/>
        <w:gridCol w:w="2460"/>
      </w:tblGrid>
      <w:tr>
        <w:trPr/>
        <w:tc>
          <w:tcPr>
            <w:tcBorders/>
            <w:tcMar>
              <w:left w:w="108" w:type="dxa"/>
              <w:top w:w="0" w:type="dxa"/>
              <w:right w:w="108" w:type="dxa"/>
              <w:bottom w:w="0" w:type="dxa"/>
            </w:tcMar>
            <w:tcW w:w="2068" w:type="dxa"/>
            <w:vAlign w:val="center"/>
            <w:vMerge w:val="restart"/>
            <w:textDirection w:val="lrTb"/>
            <w:noWrap w:val="false"/>
          </w:tcPr>
          <w:p w14:paraId="4D451ED0">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chất lượng còn lại lại của nhà, vật kiến trúc (%)</w:t>
            </w:r>
            <w:r/>
          </w:p>
        </w:tc>
        <w:tc>
          <w:tcPr>
            <w:tcBorders/>
            <w:tcMar>
              <w:left w:w="108" w:type="dxa"/>
              <w:top w:w="0" w:type="dxa"/>
              <w:right w:w="108" w:type="dxa"/>
              <w:bottom w:w="0" w:type="dxa"/>
            </w:tcMar>
            <w:tcW w:w="560" w:type="dxa"/>
            <w:vAlign w:val="center"/>
            <w:vMerge w:val="restart"/>
            <w:textDirection w:val="lrTb"/>
            <w:noWrap w:val="false"/>
          </w:tcPr>
          <w:p w14:paraId="08C8BF10">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700" w:type="dxa"/>
            <w:vAlign w:val="center"/>
            <w:textDirection w:val="lrTb"/>
            <w:noWrap w:val="false"/>
          </w:tcPr>
          <w:p w14:paraId="27AC6D1F">
            <w:pPr>
              <w:pBdr/>
              <w:spacing w:after="0" w:before="0" w:line="240" w:lineRule="auto"/>
              <w:ind/>
              <w:rPr/>
            </w:pPr>
            <w:r/>
            <w:r/>
          </w:p>
        </w:tc>
        <w:tc>
          <w:tcPr>
            <w:tcBorders>
              <w:bottom w:val="single" w:color="000000" w:sz="8" w:space="0"/>
            </w:tcBorders>
            <w:tcMar>
              <w:left w:w="108" w:type="dxa"/>
              <w:top w:w="0" w:type="dxa"/>
              <w:right w:w="108" w:type="dxa"/>
              <w:bottom w:w="0" w:type="dxa"/>
            </w:tcMar>
            <w:tcW w:w="2864" w:type="dxa"/>
            <w:vAlign w:val="center"/>
            <w:textDirection w:val="lrTb"/>
            <w:noWrap w:val="false"/>
          </w:tcPr>
          <w:p w14:paraId="2AC3762F">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636" w:type="dxa"/>
            <w:vAlign w:val="center"/>
            <w:textDirection w:val="lrTb"/>
            <w:noWrap w:val="false"/>
          </w:tcPr>
          <w:p w14:paraId="7EDB987D">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2460" w:type="dxa"/>
            <w:vAlign w:val="center"/>
            <w:textDirection w:val="lrTb"/>
            <w:noWrap w:val="false"/>
          </w:tcPr>
          <w:p w14:paraId="5636F066">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c>
          <w:tcPr>
            <w:tcBorders/>
            <w:vMerge w:val="continue"/>
            <w:textDirection w:val="lrTb"/>
            <w:noWrap w:val="false"/>
          </w:tcPr>
          <w:p w14:paraId="1AFB3AAE">
            <w:pPr>
              <w:pBdr/>
              <w:spacing/>
              <w:ind/>
              <w:rPr/>
            </w:pPr>
            <w:r/>
            <w:r/>
          </w:p>
        </w:tc>
        <w:tc>
          <w:tcPr>
            <w:tcBorders/>
            <w:vMerge w:val="continue"/>
            <w:textDirection w:val="lrTb"/>
            <w:noWrap w:val="false"/>
          </w:tcPr>
          <w:p w14:paraId="68771749">
            <w:pPr>
              <w:pBdr/>
              <w:spacing/>
              <w:ind/>
              <w:rPr/>
            </w:pPr>
            <w:r/>
            <w:r/>
          </w:p>
        </w:tc>
        <w:tc>
          <w:tcPr>
            <w:gridSpan w:val="4"/>
            <w:tcBorders/>
            <w:tcMar>
              <w:left w:w="108" w:type="dxa"/>
              <w:top w:w="0" w:type="dxa"/>
              <w:right w:w="108" w:type="dxa"/>
              <w:bottom w:w="0" w:type="dxa"/>
            </w:tcMar>
            <w:tcW w:w="6660" w:type="dxa"/>
            <w:vAlign w:val="center"/>
            <w:textDirection w:val="lrTb"/>
            <w:noWrap w:val="false"/>
          </w:tcPr>
          <w:p w14:paraId="32FB552C">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14:paraId="24D73CB5">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i/>
          <w:color w:val="000000"/>
          <w:sz w:val="24"/>
        </w:rPr>
        <w:t xml:space="preserve">Trong đó:</w:t>
      </w:r>
      <w:r/>
    </w:p>
    <w:p w14:paraId="0464E224">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i: số thứ tự của kết cấu chính</w:t>
      </w:r>
      <w:r/>
    </w:p>
    <w:p w14:paraId="7BDC5BB6">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n: số các kết cấu chính.</w:t>
      </w: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28"/>
        <w:gridCol w:w="2085"/>
        <w:gridCol w:w="1976"/>
        <w:gridCol w:w="2488"/>
        <w:gridCol w:w="2277"/>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094C9D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14:paraId="32E0B9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642A5C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5FFAB6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197683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2E4916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14:paraId="0DA074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629746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1A81AC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512669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5B6D4A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1F8BD7E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0743BF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07C161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80%</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4B8E85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618AED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4C96912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606A4A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37B204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CC3BF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232393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19AC49A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0EE645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0E5DD6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78%</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6F38BA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55D108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6ABF3C4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6FB524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4C951D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78%</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8FC19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0ACDDD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2FFAD9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1A82C1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7CD9E5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3C4A95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1C058B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158C730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34EDC5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5A95F5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78%</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3D45A5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329C05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14:paraId="5DBF87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606857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62%</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165769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7D6923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7F18F0F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14:paraId="2CAB8F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032CB5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160576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70396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78%</w:t>
            </w:r>
            <w:r/>
          </w:p>
        </w:tc>
      </w:tr>
    </w:tbl>
    <w:p w14:paraId="27E7396F">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 </w:t>
      </w:r>
      <w:r/>
    </w:p>
    <w:p w14:paraId="26D1D14C">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color w:val="000000"/>
          <w:sz w:val="24"/>
        </w:rPr>
        <w:t xml:space="preserve">Tổ thẩm định xác định, tỷ lệ chất lượng còn lại của công trình xây dựng là: </w:t>
      </w:r>
      <w:r>
        <w:rPr>
          <w:rFonts w:ascii="Times New Roman" w:hAnsi="Times New Roman" w:eastAsia="Times New Roman" w:cs="Times New Roman"/>
          <w:b/>
          <w:color w:val="000000"/>
          <w:sz w:val="24"/>
        </w:rPr>
        <w:t xml:space="preserve">78%</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4C876DF7">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highlight w:val="none"/>
        </w:rPr>
        <w:t xml:space="preserve">Do đó, tỷ lệ hao mòn của công trình được tính như sau: 100%-78%= 22%</w:t>
      </w:r>
      <w:r>
        <w:rPr>
          <w:rFonts w:ascii="Times New Roman" w:hAnsi="Times New Roman" w:eastAsia="Times New Roman" w:cs="Times New Roman"/>
          <w:b/>
          <w:color w:val="000000"/>
          <w:sz w:val="24"/>
          <w:highlight w:val="none"/>
        </w:rPr>
      </w:r>
      <w:r/>
    </w:p>
    <w:p w14:paraId="0F47581C">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14:paraId="04DA592B">
      <w:pPr>
        <w:pBdr>
          <w:top w:val="none" w:color="000000" w:sz="4" w:space="0"/>
          <w:left w:val="none" w:color="000000" w:sz="4" w:space="0"/>
          <w:bottom w:val="none" w:color="000000" w:sz="4" w:space="0"/>
          <w:right w:val="none" w:color="000000" w:sz="4" w:space="0"/>
        </w:pBdr>
        <w:shd w:val="clear" w:color="ffffff" w:fill="ffffff"/>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p w14:paraId="411A1DB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i/>
          <w:color w:val="000000"/>
          <w:sz w:val="24"/>
        </w:rPr>
        <w:t xml:space="preserve">Giá trị tài sản = Chi phí thay thế/ Chi phí tái tạo - Tổng giá trị hao mòn </w:t>
      </w:r>
      <w:r/>
    </w:p>
    <w:p w14:paraId="1086FEA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i/>
          <w:color w:val="000000"/>
          <w:sz w:val="24"/>
        </w:rPr>
        <w:t xml:space="preserve">                       = Chi phí thay thế/ Chi phí tái tạo x (1- tỷ lệ hao mòn)</w:t>
      </w:r>
      <w:r/>
    </w:p>
    <w:p w14:paraId="154AAE8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i/>
          <w:color w:val="000000"/>
          <w:sz w:val="24"/>
        </w:rPr>
        <w:t xml:space="preserve">                      = Chi phí thay thế/ Chi phí tái tạo x Tỷ lệ chất lượng còn lại</w:t>
      </w: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294"/>
        <w:gridCol w:w="718"/>
        <w:gridCol w:w="1276"/>
        <w:gridCol w:w="1559"/>
        <w:gridCol w:w="1134"/>
        <w:gridCol w:w="1714"/>
        <w:gridCol w:w="183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294" w:type="dxa"/>
            <w:vAlign w:val="center"/>
            <w:textDirection w:val="lrTb"/>
            <w:noWrap w:val="false"/>
          </w:tcPr>
          <w:p w14:paraId="3354C0D8">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Tên công trình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718" w:type="dxa"/>
            <w:vAlign w:val="center"/>
            <w:textDirection w:val="lrTb"/>
            <w:noWrap w:val="false"/>
          </w:tcPr>
          <w:p w14:paraId="34E41F33">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Diện tích  sàn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1A28DB07">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Đơn giá xây mới (Đồng/m mặt tiền)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645D67F">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31D8D833">
            <w:pPr>
              <w:pBdr>
                <w:top w:val="none" w:color="000000" w:sz="4" w:space="0"/>
                <w:left w:val="none" w:color="000000" w:sz="4" w:space="0"/>
                <w:bottom w:val="none" w:color="000000" w:sz="4" w:space="0"/>
                <w:right w:val="none" w:color="000000" w:sz="4" w:space="0"/>
              </w:pBdr>
              <w:spacing w:line="312" w:lineRule="auto"/>
              <w:ind w:right="0" w:firstLine="0" w:left="0"/>
              <w:jc w:val="left"/>
              <w:rPr/>
            </w:pPr>
            <w:r>
              <w:rPr>
                <w:rFonts w:ascii="Times New Roman" w:hAnsi="Times New Roman" w:eastAsia="Times New Roman" w:cs="Times New Roman"/>
                <w:b/>
                <w:color w:val="000000"/>
                <w:sz w:val="24"/>
              </w:rPr>
              <w:t xml:space="preserve">Tỷ lệ hao mòn(%)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0BBF857">
            <w:pPr>
              <w:pBdr/>
              <w:spacing/>
              <w:ind/>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Giá trị hao mòn (đồng)</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30" w:type="dxa"/>
            <w:vAlign w:val="center"/>
            <w:textDirection w:val="lrTb"/>
            <w:noWrap w:val="false"/>
          </w:tcPr>
          <w:p w14:paraId="16D7B0F5">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Giá trị thẩm định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294" w:type="dxa"/>
            <w:vAlign w:val="center"/>
            <w:textDirection w:val="lrTb"/>
            <w:noWrap w:val="false"/>
          </w:tcPr>
          <w:p w14:paraId="59DE8FFB">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718" w:type="dxa"/>
            <w:vAlign w:val="center"/>
            <w:textDirection w:val="lrTb"/>
            <w:noWrap w:val="false"/>
          </w:tcPr>
          <w:p w14:paraId="41FAC290">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0F4196BE">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95B3EDC">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(3) = (1) * (2)</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3D87F331">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91B433D">
            <w:pPr>
              <w:pBdr/>
              <w:spacing/>
              <w:ind/>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         (5)</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tc>
        <w:tc>
          <w:tcPr>
            <w:tcBorders>
              <w:bottom w:val="single" w:color="000000" w:sz="8" w:space="0"/>
              <w:right w:val="single" w:color="000000" w:sz="8" w:space="0"/>
            </w:tcBorders>
            <w:tcMar>
              <w:left w:w="108" w:type="dxa"/>
              <w:top w:w="0" w:type="dxa"/>
              <w:right w:w="108" w:type="dxa"/>
              <w:bottom w:w="0" w:type="dxa"/>
            </w:tcMar>
            <w:tcW w:w="1830" w:type="dxa"/>
            <w:vAlign w:val="center"/>
            <w:textDirection w:val="lrTb"/>
            <w:noWrap w:val="false"/>
          </w:tcPr>
          <w:p w14:paraId="30F36A9B">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(6)=(3)-(5)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294" w:type="dxa"/>
            <w:vAlign w:val="center"/>
            <w:textDirection w:val="lrTb"/>
            <w:noWrap/>
          </w:tcPr>
          <w:p w14:paraId="14716F70">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Nhà biệt thự 4 tầng</w:t>
            </w:r>
            <w:r/>
          </w:p>
        </w:tc>
        <w:tc>
          <w:tcPr>
            <w:tcBorders>
              <w:bottom w:val="single" w:color="000000" w:sz="8" w:space="0"/>
              <w:right w:val="single" w:color="000000" w:sz="8" w:space="0"/>
            </w:tcBorders>
            <w:tcMar>
              <w:left w:w="108" w:type="dxa"/>
              <w:top w:w="0" w:type="dxa"/>
              <w:right w:w="108" w:type="dxa"/>
              <w:bottom w:w="0" w:type="dxa"/>
            </w:tcMar>
            <w:tcW w:w="718" w:type="dxa"/>
            <w:vAlign w:val="center"/>
            <w:textDirection w:val="lrTb"/>
            <w:noWrap/>
          </w:tcPr>
          <w:p w14:paraId="15B57FFF">
            <w:pPr>
              <w:pBdr>
                <w:top w:val="none" w:color="000000" w:sz="4" w:space="0"/>
                <w:left w:val="none" w:color="000000" w:sz="4" w:space="0"/>
                <w:bottom w:val="none" w:color="000000" w:sz="4" w:space="0"/>
                <w:right w:val="none" w:color="000000" w:sz="4" w:space="0"/>
              </w:pBdr>
              <w:spacing w:line="312" w:lineRule="auto"/>
              <w:ind w:right="0" w:firstLine="0" w:left="0"/>
              <w:jc w:val="center"/>
              <w:rPr>
                <w:sz w:val="22"/>
                <w:szCs w:val="22"/>
              </w:rPr>
            </w:pPr>
            <w:r>
              <w:rPr>
                <w:rFonts w:ascii="Times New Roman" w:hAnsi="Times New Roman" w:eastAsia="Times New Roman" w:cs="Times New Roman"/>
                <w:color w:val="000000"/>
                <w:sz w:val="22"/>
                <w:szCs w:val="22"/>
              </w:rPr>
              <w:t xml:space="preserve">530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tcPr>
          <w:p w14:paraId="14353D5C">
            <w:pPr>
              <w:pBdr>
                <w:top w:val="none" w:color="000000" w:sz="4" w:space="0"/>
                <w:left w:val="none" w:color="000000" w:sz="4" w:space="0"/>
                <w:bottom w:val="none" w:color="000000" w:sz="4" w:space="0"/>
                <w:right w:val="none" w:color="000000" w:sz="4" w:space="0"/>
              </w:pBdr>
              <w:spacing w:line="312" w:lineRule="auto"/>
              <w:ind w:right="0" w:firstLine="0" w:left="0"/>
              <w:jc w:val="center"/>
              <w:rPr>
                <w:sz w:val="22"/>
                <w:szCs w:val="22"/>
              </w:rPr>
            </w:pPr>
            <w:r>
              <w:rPr>
                <w:rFonts w:ascii="Times New Roman" w:hAnsi="Times New Roman" w:eastAsia="Times New Roman" w:cs="Times New Roman"/>
                <w:color w:val="000000"/>
                <w:sz w:val="22"/>
                <w:szCs w:val="22"/>
              </w:rPr>
              <w:t xml:space="preserve">9.662.290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A51D89B">
            <w:pPr>
              <w:pBdr>
                <w:top w:val="none" w:color="000000" w:sz="4" w:space="0"/>
                <w:left w:val="none" w:color="000000" w:sz="4" w:space="0"/>
                <w:bottom w:val="none" w:color="000000" w:sz="4" w:space="0"/>
                <w:right w:val="none" w:color="000000" w:sz="4" w:space="0"/>
              </w:pBdr>
              <w:spacing w:line="312" w:lineRule="auto"/>
              <w:ind w:right="0" w:firstLine="0" w:left="0"/>
              <w:jc w:val="center"/>
              <w:rPr>
                <w:sz w:val="22"/>
                <w:szCs w:val="22"/>
              </w:rPr>
            </w:pPr>
            <w:r>
              <w:rPr>
                <w:rFonts w:ascii="Times New Roman" w:hAnsi="Times New Roman" w:eastAsia="Times New Roman" w:cs="Times New Roman"/>
                <w:color w:val="000000"/>
                <w:sz w:val="22"/>
                <w:szCs w:val="22"/>
              </w:rPr>
              <w:t xml:space="preserve">5.121.013.700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0A6E3239">
            <w:pPr>
              <w:pBdr>
                <w:top w:val="none" w:color="000000" w:sz="4" w:space="0"/>
                <w:left w:val="none" w:color="000000" w:sz="4" w:space="0"/>
                <w:bottom w:val="none" w:color="000000" w:sz="4" w:space="0"/>
                <w:right w:val="none" w:color="000000" w:sz="4" w:space="0"/>
              </w:pBdr>
              <w:spacing w:line="312" w:lineRule="auto"/>
              <w:ind w:right="0" w:firstLine="0" w:left="0"/>
              <w:jc w:val="center"/>
              <w:rPr>
                <w:sz w:val="22"/>
                <w:szCs w:val="22"/>
              </w:rPr>
            </w:pPr>
            <w:r>
              <w:rPr>
                <w:rFonts w:ascii="Times New Roman" w:hAnsi="Times New Roman" w:eastAsia="Times New Roman" w:cs="Times New Roman"/>
                <w:color w:val="000000"/>
                <w:sz w:val="22"/>
                <w:szCs w:val="22"/>
              </w:rPr>
              <w:t xml:space="preserve">22%</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14:paraId="12557077">
            <w:pPr>
              <w:pBdr/>
              <w:spacing/>
              <w:ind/>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szCs w:val="22"/>
              </w:rPr>
              <w:t xml:space="preserve">1.126.623.014</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tc>
        <w:tc>
          <w:tcPr>
            <w:tcBorders>
              <w:bottom w:val="single" w:color="000000" w:sz="8" w:space="0"/>
              <w:right w:val="single" w:color="000000" w:sz="8" w:space="0"/>
            </w:tcBorders>
            <w:tcMar>
              <w:left w:w="108" w:type="dxa"/>
              <w:top w:w="0" w:type="dxa"/>
              <w:right w:w="108" w:type="dxa"/>
              <w:bottom w:w="0" w:type="dxa"/>
            </w:tcMar>
            <w:tcW w:w="1830" w:type="dxa"/>
            <w:vAlign w:val="center"/>
            <w:textDirection w:val="lrTb"/>
            <w:noWrap/>
          </w:tcPr>
          <w:p w14:paraId="563FEDCC">
            <w:pPr>
              <w:pBdr>
                <w:top w:val="none" w:color="000000" w:sz="4" w:space="0"/>
                <w:left w:val="none" w:color="000000" w:sz="4" w:space="0"/>
                <w:bottom w:val="none" w:color="000000" w:sz="4" w:space="0"/>
                <w:right w:val="none" w:color="000000" w:sz="4" w:space="0"/>
              </w:pBdr>
              <w:spacing w:line="312" w:lineRule="auto"/>
              <w:ind w:right="0" w:firstLine="0" w:left="0"/>
              <w:jc w:val="center"/>
              <w:rPr>
                <w:sz w:val="22"/>
                <w:szCs w:val="22"/>
              </w:rPr>
            </w:pPr>
            <w:r>
              <w:rPr>
                <w:rFonts w:ascii="Times New Roman" w:hAnsi="Times New Roman" w:eastAsia="Times New Roman" w:cs="Times New Roman"/>
                <w:color w:val="000000"/>
                <w:sz w:val="22"/>
                <w:szCs w:val="22"/>
              </w:rPr>
              <w:t xml:space="preserve">3.994.390.686.</w:t>
            </w:r>
            <w:r>
              <w:rPr>
                <w:sz w:val="22"/>
                <w:szCs w:val="22"/>
              </w:rPr>
            </w:r>
            <w:r>
              <w:rPr>
                <w:sz w:val="22"/>
                <w:szCs w:val="22"/>
              </w:rPr>
            </w:r>
          </w:p>
        </w:tc>
      </w:tr>
    </w:tbl>
    <w:p w14:paraId="0B2726CE">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2. Kết quả thẩm định giá:</w:t>
      </w:r>
      <w:r/>
    </w:p>
    <w:p w14:paraId="10C8989B">
      <w:pPr>
        <w:pBdr>
          <w:top w:val="none" w:color="000000" w:sz="4" w:space="0"/>
          <w:left w:val="none" w:color="000000" w:sz="4" w:space="0"/>
          <w:bottom w:val="none" w:color="000000" w:sz="4" w:space="0"/>
          <w:right w:val="none" w:color="000000" w:sz="4" w:space="0"/>
        </w:pBdr>
        <w:tabs>
          <w:tab w:val="left" w:leader="none" w:pos="993"/>
        </w:tabs>
        <w:spacing w:after="120" w:before="120" w:line="360"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12/2025 ước tính như sau:</w:t>
      </w: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28"/>
        <w:gridCol w:w="3091"/>
        <w:gridCol w:w="1393"/>
        <w:gridCol w:w="1504"/>
        <w:gridCol w:w="1117"/>
        <w:gridCol w:w="1721"/>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281B5D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5BF1F4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93" w:type="dxa"/>
            <w:vAlign w:val="center"/>
            <w:textDirection w:val="lrTb"/>
            <w:noWrap w:val="false"/>
          </w:tcPr>
          <w:p w14:paraId="42371A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04" w:type="dxa"/>
            <w:vAlign w:val="center"/>
            <w:textDirection w:val="lrTb"/>
            <w:noWrap w:val="false"/>
          </w:tcPr>
          <w:p w14:paraId="47DEE9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 mặt tiền)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31EA82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21" w:type="dxa"/>
            <w:vAlign w:val="center"/>
            <w:textDirection w:val="lrTb"/>
            <w:noWrap w:val="false"/>
          </w:tcPr>
          <w:p w14:paraId="613735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50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089DED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7105" w:type="dxa"/>
            <w:vAlign w:val="center"/>
            <w:textDirection w:val="lrTb"/>
            <w:noWrap w:val="false"/>
          </w:tcPr>
          <w:p w14:paraId="465CDF8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(1)-17; (2)-17a;, tờ bản đồ số: 42 có địa chỉ: Tiểu khu Chè Đen 1, Thị trấn Nông trường Mộc Châu, Huyện Mộc Châu - Sơn La (nay là phường Vân Sơn, tỉnh Sơn La) theo Giấy chứng nhận quyền sử dụng đất, quyền sở hữu nhà ở và </w:t>
            </w:r>
            <w:r>
              <w:rPr>
                <w:rFonts w:ascii="Times New Roman" w:hAnsi="Times New Roman" w:eastAsia="Times New Roman" w:cs="Times New Roman"/>
                <w:b/>
                <w:color w:val="000000"/>
                <w:sz w:val="24"/>
              </w:rPr>
              <w:t xml:space="preserve">tài sản khác gắn liền với đất  số: BA 686507, số vào sổ cấp GCN: H 01019 do Uỷ ban Nhân dân Huyện Mộc Châu cấp ngày 10/02/2010 cho Ông  Quản Hữu Đức và Bà Lê Thị Hồng Hạnh.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1" w:type="dxa"/>
            <w:vAlign w:val="center"/>
            <w:textDirection w:val="lrTb"/>
            <w:noWrap w:val="false"/>
          </w:tcPr>
          <w:p w14:paraId="0E3F88B6">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93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03AF22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1D81938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đô thị: 150m2; Đất trồng cây hàng năm: 290m2</w:t>
            </w:r>
            <w:r/>
          </w:p>
        </w:tc>
        <w:tc>
          <w:tcPr>
            <w:tcBorders>
              <w:bottom w:val="single" w:color="000000" w:sz="8" w:space="0"/>
              <w:right w:val="single" w:color="000000" w:sz="8" w:space="0"/>
            </w:tcBorders>
            <w:tcMar>
              <w:left w:w="108" w:type="dxa"/>
              <w:top w:w="0" w:type="dxa"/>
              <w:right w:w="108" w:type="dxa"/>
              <w:bottom w:w="0" w:type="dxa"/>
            </w:tcMar>
            <w:tcW w:w="1393" w:type="dxa"/>
            <w:vAlign w:val="center"/>
            <w:textDirection w:val="lrTb"/>
            <w:noWrap/>
          </w:tcPr>
          <w:p w14:paraId="3838C8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4" w:type="dxa"/>
            <w:vAlign w:val="center"/>
            <w:textDirection w:val="lrTb"/>
            <w:noWrap w:val="false"/>
          </w:tcPr>
          <w:p w14:paraId="206832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21.000.000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7293F690">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1" w:type="dxa"/>
            <w:vAlign w:val="center"/>
            <w:textDirection w:val="lrTb"/>
            <w:noWrap w:val="false"/>
          </w:tcPr>
          <w:p w14:paraId="6F7DF6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9.240.000.000</w:t>
            </w:r>
            <w:r/>
          </w:p>
        </w:tc>
      </w:tr>
      <w:tr>
        <w:trPr>
          <w:trHeight w:val="331"/>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7CDE38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91" w:type="dxa"/>
            <w:vAlign w:val="center"/>
            <w:textDirection w:val="lrTb"/>
            <w:noWrap w:val="false"/>
          </w:tcPr>
          <w:p w14:paraId="66890F0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biệt thự 4 tầng </w:t>
            </w:r>
            <w:r/>
          </w:p>
        </w:tc>
        <w:tc>
          <w:tcPr>
            <w:tcBorders>
              <w:bottom w:val="single" w:color="000000" w:sz="8" w:space="0"/>
              <w:right w:val="single" w:color="000000" w:sz="8" w:space="0"/>
            </w:tcBorders>
            <w:tcMar>
              <w:left w:w="108" w:type="dxa"/>
              <w:top w:w="0" w:type="dxa"/>
              <w:right w:w="108" w:type="dxa"/>
              <w:bottom w:w="0" w:type="dxa"/>
            </w:tcMar>
            <w:tcW w:w="1393" w:type="dxa"/>
            <w:vAlign w:val="center"/>
            <w:textDirection w:val="lrTb"/>
            <w:noWrap/>
          </w:tcPr>
          <w:p w14:paraId="624130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530,00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4" w:type="dxa"/>
            <w:vAlign w:val="center"/>
            <w:textDirection w:val="lrTb"/>
            <w:noWrap w:val="false"/>
          </w:tcPr>
          <w:p w14:paraId="146458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9.662.290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04BD17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1" w:type="dxa"/>
            <w:vAlign w:val="center"/>
            <w:textDirection w:val="lrTb"/>
            <w:noWrap w:val="false"/>
          </w:tcPr>
          <w:p w14:paraId="233E18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3.994.390.686</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46304C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988" w:type="dxa"/>
            <w:vAlign w:val="center"/>
            <w:textDirection w:val="lrTb"/>
            <w:noWrap w:val="false"/>
          </w:tcPr>
          <w:p w14:paraId="250B8D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748F8A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1" w:type="dxa"/>
            <w:vAlign w:val="center"/>
            <w:textDirection w:val="lrTb"/>
            <w:noWrap w:val="false"/>
          </w:tcPr>
          <w:p w14:paraId="48343055">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13.234.390.686</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1E9560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988" w:type="dxa"/>
            <w:vAlign w:val="center"/>
            <w:textDirection w:val="lrTb"/>
            <w:noWrap w:val="false"/>
          </w:tcPr>
          <w:p w14:paraId="29339D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7" w:type="dxa"/>
            <w:vAlign w:val="center"/>
            <w:textDirection w:val="lrTb"/>
            <w:noWrap w:val="false"/>
          </w:tcPr>
          <w:p w14:paraId="6CBC50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1" w:type="dxa"/>
            <w:vAlign w:val="center"/>
            <w:textDirection w:val="lrTb"/>
            <w:noWrap w:val="false"/>
          </w:tcPr>
          <w:p w14:paraId="31563433">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13.234.000.000</w:t>
            </w:r>
            <w:r/>
          </w:p>
        </w:tc>
      </w:tr>
      <w:tr>
        <w:trPr>
          <w:trHeight w:val="309"/>
        </w:trPr>
        <w:tc>
          <w:tcPr>
            <w:gridSpan w:val="6"/>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4" w:type="dxa"/>
            <w:vAlign w:val="center"/>
            <w:textDirection w:val="lrTb"/>
            <w:noWrap w:val="false"/>
          </w:tcPr>
          <w:p w14:paraId="6EE95C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Mười ba tỷ, hai trăm ba mươi tư triệu đồng chẵn /.</w:t>
            </w:r>
            <w:r/>
          </w:p>
        </w:tc>
      </w:tr>
    </w:tbl>
    <w:p w14:paraId="187E2E91" w14:textId="56B58432">
      <w:pPr>
        <w:pStyle w:val="104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4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4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4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4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4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4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4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4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4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4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4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45"/>
        <w:numPr>
          <w:ilvl w:val="0"/>
          <w:numId w:val="5"/>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745B49E1">
      <w:pPr>
        <w:pStyle w:val="1045"/>
        <w:numPr>
          <w:ilvl w:val="0"/>
          <w:numId w:val="48"/>
        </w:numPr>
        <w:pBdr>
          <w:top w:val="none" w:color="000000" w:sz="4" w:space="0"/>
          <w:left w:val="none" w:color="000000" w:sz="4" w:space="0"/>
          <w:bottom w:val="none" w:color="000000" w:sz="4" w:space="0"/>
          <w:right w:val="none" w:color="000000" w:sz="4" w:space="0"/>
        </w:pBdr>
        <w:spacing w:line="276" w:lineRule="auto"/>
        <w:ind w:right="0" w:hanging="11" w:left="360"/>
        <w:jc w:val="both"/>
        <w:rPr>
          <w:rFonts w:ascii="Times New Roman" w:hAnsi="Times New Roman" w:eastAsia="Times New Roman" w:cs="Times New Roman"/>
          <w:color w:val="000000" w:themeColor="text1"/>
          <w:sz w:val="24"/>
          <w:highlight w:val="white"/>
        </w:rPr>
      </w:pPr>
      <w:r>
        <w:rPr>
          <w:rFonts w:ascii="Times New Roman" w:hAnsi="Times New Roman" w:eastAsia="Times New Roman" w:cs="Times New Roman"/>
          <w:color w:val="000000" w:themeColor="text1"/>
          <w:sz w:val="24"/>
          <w:highlight w:val="white"/>
        </w:rPr>
        <w:t xml:space="preserve">Tại thời điểm khảo sát dưới sự hướng dẫn của khách hàng, CTXD gắn liền với đất là</w:t>
      </w:r>
      <w:r>
        <w:rPr>
          <w:rFonts w:ascii="Times New Roman" w:hAnsi="Times New Roman" w:eastAsia="Times New Roman" w:cs="Times New Roman"/>
          <w:color w:val="000000" w:themeColor="text1"/>
          <w:sz w:val="24"/>
          <w:highlight w:val="white"/>
        </w:rPr>
        <w:t xml:space="preserve">:</w:t>
      </w:r>
      <w:r>
        <w:rPr>
          <w:rFonts w:ascii="Times New Roman" w:hAnsi="Times New Roman" w:eastAsia="Times New Roman" w:cs="Times New Roman"/>
          <w:color w:val="000000" w:themeColor="text1"/>
          <w:sz w:val="24"/>
          <w:highlight w:val="white"/>
        </w:rPr>
        <w:t xml:space="preserve">01 Nhà biệt thự 4 tầng (Diện tích xây dựng là 140m2, tổng diện tích xây dựng khoảng 530m2 sàn, xây dựng khoảng năm 2015. Xây dựng toàn bộ trên đất cây hàng năm.Hiện công trình này chưa được chứng nhận trên GCN số BA 686507</w:t>
      </w:r>
      <w:r>
        <w:rPr>
          <w:rFonts w:ascii="Times New Roman" w:hAnsi="Times New Roman" w:eastAsia="Times New Roman" w:cs="Times New Roman"/>
          <w:color w:val="000000" w:themeColor="text1"/>
          <w:sz w:val="24"/>
          <w:highlight w:val="white"/>
        </w:rPr>
        <w:t xml:space="preserve">. Đồng thời Tổ thẩm định cũng không được cun</w:t>
      </w:r>
      <w:r>
        <w:rPr>
          <w:rFonts w:ascii="Times New Roman" w:hAnsi="Times New Roman" w:eastAsia="Times New Roman" w:cs="Times New Roman"/>
          <w:color w:val="000000" w:themeColor="text1"/>
          <w:sz w:val="24"/>
          <w:highlight w:val="white"/>
        </w:rPr>
        <w:t xml:space="preserve">g cấp bất kỳ hồ sơ pháp lý nào liên quan đến công trình xây dựng trên.  Theo đề nghị của Khách hàng/Ngân hàng, tổ thẩm định xác định giá trị công trình xây dựng theo hiện trạng thực tế với giả định thông số đo đạc được là chính xác, giả định công trình xây dựng phù hợp với quy hoạch được các cấp có thẩm quyền cho phép xây dựng, giá trị công trình xây d</w:t>
      </w:r>
      <w:r>
        <w:rPr>
          <w:rFonts w:ascii="Times New Roman" w:hAnsi="Times New Roman" w:eastAsia="Times New Roman" w:cs="Times New Roman"/>
          <w:color w:val="000000" w:themeColor="text1"/>
          <w:sz w:val="24"/>
          <w:highlight w:val="white"/>
        </w:rPr>
        <w:t xml:space="preserve">ựng chỉ mang tính chất tham khảo. Ngoài ra, Tổ thẩm định không có trách nhiệm xác minh chủ sở hữu công trình xây dựng trên. Kính đề nghị đơn vị sử dụng kết quả lưu ý.</w:t>
      </w:r>
      <w:r>
        <w:rPr>
          <w:rFonts w:ascii="Times New Roman" w:hAnsi="Times New Roman" w:eastAsia="Times New Roman" w:cs="Times New Roman"/>
          <w:color w:val="000000" w:themeColor="text1"/>
          <w:sz w:val="24"/>
          <w:highlight w:val="white"/>
        </w:rPr>
      </w:r>
      <w:r>
        <w:rPr>
          <w:rFonts w:ascii="Times New Roman" w:hAnsi="Times New Roman" w:eastAsia="Times New Roman" w:cs="Times New Roman"/>
          <w:color w:val="000000" w:themeColor="text1"/>
          <w:sz w:val="24"/>
          <w:highlight w:val="white"/>
        </w:rPr>
      </w:r>
    </w:p>
    <w:p w14:paraId="527CD98F">
      <w:pPr>
        <w:pStyle w:val="1045"/>
        <w:numPr>
          <w:ilvl w:val="0"/>
          <w:numId w:val="5"/>
        </w:numPr>
        <w:pBdr/>
        <w:spacing w:after="120" w:before="120" w:line="288" w:lineRule="auto"/>
        <w:ind/>
        <w:jc w:val="both"/>
        <w:rPr>
          <w:b/>
          <w:bCs/>
          <w:spacing w:val="2"/>
          <w:lang w:val="pt-BR"/>
        </w:rPr>
      </w:pPr>
      <w:r>
        <w:rPr>
          <w:b/>
          <w:color w:val="000000" w:themeColor="text1"/>
          <w:spacing w:val="2"/>
          <w:highlight w:val="none"/>
          <w:lang w:val="pt-BR" w:bidi="pt-BR"/>
        </w:rPr>
      </w:r>
      <w:r>
        <w:rPr>
          <w:color w:val="000000" w:themeColor="text1"/>
          <w:lang w:val="pt-BR"/>
        </w:rPr>
        <w:t xml:space="preserve">Khách hàng yêu cầu thẩm định giá</w:t>
      </w:r>
      <w:r>
        <w:rPr>
          <w:lang w:val="pt-BR"/>
        </w:rPr>
        <w:t xml:space="preserve">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bCs/>
          <w:spacing w:val="2"/>
          <w:lang w:val="pt-BR"/>
        </w:rPr>
      </w:r>
      <w:r>
        <w:rPr>
          <w:b/>
          <w:bCs/>
          <w:spacing w:val="2"/>
          <w:lang w:val="pt-BR"/>
        </w:rPr>
      </w:r>
    </w:p>
    <w:p w14:paraId="6FBCE7CC" w14:textId="77777777">
      <w:pPr>
        <w:pStyle w:val="104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4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4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4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4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4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4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4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4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4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275/2025/1701/VFI-CT.53.A</w:t>
      </w:r>
      <w:r>
        <w:rPr>
          <w:color w:val="ff0000"/>
          <w:lang w:val="vi-VN"/>
        </w:rPr>
        <w:t xml:space="preserve"> </w:t>
      </w:r>
      <w:r>
        <w:rPr>
          <w:color w:val="000000" w:themeColor="text1"/>
        </w:rPr>
        <w:t xml:space="preserve">ngày 28 tháng 11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45"/>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45"/>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4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PHÓ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B1F9480">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2192A2D6">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p w14:paraId="74A4AC48" w14:textId="1474E678">
            <w:pPr>
              <w:pBdr/>
              <w:spacing w:line="276" w:lineRule="auto"/>
              <w:ind/>
              <w:jc w:val="center"/>
              <w:rPr>
                <w:rFonts w:eastAsia="Calibri"/>
                <w:b/>
                <w:lang w:val="pt-BR"/>
              </w:rPr>
            </w:pPr>
            <w:r>
              <w:rPr>
                <w:rFonts w:eastAsia="Calibri"/>
                <w:lang w:val="pt-BR"/>
              </w:rPr>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37DD8AB5" w14:textId="6ABCD4C7">
            <w:pPr>
              <w:pBdr/>
              <w:spacing w:line="276" w:lineRule="auto"/>
              <w:ind/>
              <w:rPr>
                <w:rFonts w:eastAsia="Calibri"/>
                <w:b/>
                <w:lang w:val="pt-BR"/>
              </w:rPr>
            </w:pPr>
            <w:r>
              <w:rPr>
                <w:rFonts w:eastAsia="Calibri"/>
                <w:b/>
                <w:lang w:val="pt-BR"/>
              </w:rPr>
              <w:t xml:space="preserve">                      Nguyễn Thị Thùy</w:t>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275/2025/1701/VFI-BC.53.A</w:t>
      </w:r>
      <w:r>
        <w:rPr>
          <w:i/>
          <w:lang w:val="pt-BR"/>
        </w:rPr>
        <w:t xml:space="preserve"> </w:t>
      </w:r>
      <w:r>
        <w:rPr>
          <w:i/>
          <w:lang w:val="pt-BR"/>
        </w:rPr>
        <w:t xml:space="preserve">28 tháng 11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606"/>
        <w:gridCol w:w="4884"/>
      </w:tblGrid>
      <w:tr>
        <w:trPr/>
        <w:tc>
          <w:tcPr>
            <w:tcBorders/>
            <w:tcMar>
              <w:left w:w="108" w:type="dxa"/>
              <w:top w:w="0" w:type="dxa"/>
              <w:right w:w="108" w:type="dxa"/>
              <w:bottom w:w="0" w:type="dxa"/>
            </w:tcMar>
            <w:tcW w:w="3606" w:type="dxa"/>
            <w:vAlign w:val="center"/>
            <w:textDirection w:val="lrTb"/>
            <w:noWrap w:val="false"/>
          </w:tcPr>
          <w:p w14:paraId="036A0DB6">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c>
          <w:tcPr>
            <w:tcBorders/>
            <w:tcMar>
              <w:left w:w="108" w:type="dxa"/>
              <w:top w:w="0" w:type="dxa"/>
              <w:right w:w="108" w:type="dxa"/>
              <w:bottom w:w="0" w:type="dxa"/>
            </w:tcMar>
            <w:tcW w:w="4884" w:type="dxa"/>
            <w:vAlign w:val="center"/>
            <w:textDirection w:val="lrTb"/>
            <w:noWrap w:val="false"/>
          </w:tcPr>
          <w:p w14:paraId="1BC73BFE">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r>
      <w:tr>
        <w:trPr/>
        <w:tc>
          <w:tcPr>
            <w:tcBorders/>
            <w:tcMar>
              <w:left w:w="108" w:type="dxa"/>
              <w:top w:w="0" w:type="dxa"/>
              <w:right w:w="108" w:type="dxa"/>
              <w:bottom w:w="0" w:type="dxa"/>
            </w:tcMar>
            <w:tcW w:w="3606" w:type="dxa"/>
            <w:vAlign w:val="center"/>
            <w:textDirection w:val="lrTb"/>
            <w:noWrap w:val="false"/>
          </w:tcPr>
          <w:p w14:paraId="5E06BEEE">
            <w:pPr>
              <w:pBdr/>
              <w:spacing w:after="0" w:before="0" w:line="240" w:lineRule="auto"/>
              <w:ind/>
              <w:rPr/>
            </w:pPr>
            <w:r>
              <mc:AlternateContent>
                <mc:Choice Requires="wpg">
                  <w:drawing>
                    <wp:inline xmlns:wp="http://schemas.openxmlformats.org/drawingml/2006/wordprocessingDrawing" distT="0" distB="0" distL="0" distR="0">
                      <wp:extent cx="2695575" cy="20193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93878" name=""/>
                              <pic:cNvPicPr>
                                <a:picLocks noChangeAspect="1"/>
                              </pic:cNvPicPr>
                              <pic:nvPr/>
                            </pic:nvPicPr>
                            <pic:blipFill rotWithShape="1">
                              <a:blip r:embed="rId17"/>
                              <a:stretch/>
                            </pic:blipFill>
                            <pic:spPr bwMode="auto">
                              <a:xfrm>
                                <a:off x="0" y="0"/>
                                <a:ext cx="2695574" cy="2019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2.25pt;height:159.00pt;mso-wrap-distance-left:0.00pt;mso-wrap-distance-top:0.00pt;mso-wrap-distance-right:0.00pt;mso-wrap-distance-bottom:0.00pt;z-index:1;" stroked="false">
                      <v:imagedata r:id="rId17" o:title=""/>
                      <o:lock v:ext="edit" rotation="t"/>
                    </v:shape>
                  </w:pict>
                </mc:Fallback>
              </mc:AlternateContent>
            </w:r>
            <w:r/>
          </w:p>
        </w:tc>
        <w:tc>
          <w:tcPr>
            <w:tcBorders/>
            <w:tcMar>
              <w:left w:w="108" w:type="dxa"/>
              <w:top w:w="0" w:type="dxa"/>
              <w:right w:w="108" w:type="dxa"/>
              <w:bottom w:w="0" w:type="dxa"/>
            </w:tcMar>
            <w:tcW w:w="4884" w:type="dxa"/>
            <w:vAlign w:val="center"/>
            <w:textDirection w:val="lrTb"/>
            <w:noWrap w:val="false"/>
          </w:tcPr>
          <w:p w14:paraId="6F6749CA">
            <w:pPr>
              <w:pBdr/>
              <w:spacing w:after="0" w:before="0" w:line="240" w:lineRule="auto"/>
              <w:ind/>
              <w:rPr/>
            </w:pPr>
            <w:r>
              <mc:AlternateContent>
                <mc:Choice Requires="wpg">
                  <w:drawing>
                    <wp:inline xmlns:wp="http://schemas.openxmlformats.org/drawingml/2006/wordprocessingDrawing" distT="0" distB="0" distL="0" distR="0">
                      <wp:extent cx="2800350" cy="21050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947519" name=""/>
                              <pic:cNvPicPr>
                                <a:picLocks noChangeAspect="1"/>
                              </pic:cNvPicPr>
                              <pic:nvPr/>
                            </pic:nvPicPr>
                            <pic:blipFill rotWithShape="1">
                              <a:blip r:embed="rId18"/>
                              <a:stretch/>
                            </pic:blipFill>
                            <pic:spPr bwMode="auto">
                              <a:xfrm>
                                <a:off x="0" y="0"/>
                                <a:ext cx="2800349" cy="2105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0.50pt;height:165.75pt;mso-wrap-distance-left:0.00pt;mso-wrap-distance-top:0.00pt;mso-wrap-distance-right:0.00pt;mso-wrap-distance-bottom:0.00pt;z-index:1;" stroked="false">
                      <v:imagedata r:id="rId18" o:title=""/>
                      <o:lock v:ext="edit" rotation="t"/>
                    </v:shape>
                  </w:pict>
                </mc:Fallback>
              </mc:AlternateContent>
            </w:r>
            <w:r/>
          </w:p>
        </w:tc>
      </w:tr>
      <w:tr>
        <w:trPr/>
        <w:tc>
          <w:tcPr>
            <w:tcBorders/>
            <w:tcMar>
              <w:left w:w="108" w:type="dxa"/>
              <w:top w:w="0" w:type="dxa"/>
              <w:right w:w="108" w:type="dxa"/>
              <w:bottom w:w="0" w:type="dxa"/>
            </w:tcMar>
            <w:tcW w:w="3606" w:type="dxa"/>
            <w:vAlign w:val="center"/>
            <w:textDirection w:val="lrTb"/>
            <w:noWrap w:val="false"/>
          </w:tcPr>
          <w:p w14:paraId="2690805C">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884" w:type="dxa"/>
            <w:vAlign w:val="center"/>
            <w:textDirection w:val="lrTb"/>
            <w:noWrap w:val="false"/>
          </w:tcPr>
          <w:p w14:paraId="2755F411">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r>
      <w:tr>
        <w:trPr/>
        <w:tc>
          <w:tcPr>
            <w:tcBorders/>
            <w:tcMar>
              <w:left w:w="108" w:type="dxa"/>
              <w:top w:w="0" w:type="dxa"/>
              <w:right w:w="108" w:type="dxa"/>
              <w:bottom w:w="0" w:type="dxa"/>
            </w:tcMar>
            <w:tcW w:w="3606" w:type="dxa"/>
            <w:vAlign w:val="center"/>
            <w:textDirection w:val="lrTb"/>
            <w:noWrap w:val="false"/>
          </w:tcPr>
          <w:p w14:paraId="4F4E8B27">
            <w:pPr>
              <w:pBdr/>
              <w:spacing w:after="0" w:before="0" w:line="240" w:lineRule="auto"/>
              <w:ind/>
              <w:rPr/>
            </w:pPr>
            <w:r>
              <mc:AlternateContent>
                <mc:Choice Requires="wpg">
                  <w:drawing>
                    <wp:inline xmlns:wp="http://schemas.openxmlformats.org/drawingml/2006/wordprocessingDrawing" distT="0" distB="0" distL="0" distR="0">
                      <wp:extent cx="2832771" cy="292839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617344" name=""/>
                              <pic:cNvPicPr>
                                <a:picLocks noChangeAspect="1"/>
                              </pic:cNvPicPr>
                              <pic:nvPr/>
                            </pic:nvPicPr>
                            <pic:blipFill rotWithShape="1">
                              <a:blip r:embed="rId19"/>
                              <a:stretch/>
                            </pic:blipFill>
                            <pic:spPr bwMode="auto">
                              <a:xfrm flipH="0" flipV="0">
                                <a:off x="0" y="0"/>
                                <a:ext cx="2832770" cy="29283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3.05pt;height:230.58pt;mso-wrap-distance-left:0.00pt;mso-wrap-distance-top:0.00pt;mso-wrap-distance-right:0.00pt;mso-wrap-distance-bottom:0.00pt;z-index:1;" stroked="false">
                      <v:imagedata r:id="rId19" o:title=""/>
                      <o:lock v:ext="edit" rotation="t"/>
                    </v:shape>
                  </w:pict>
                </mc:Fallback>
              </mc:AlternateContent>
            </w:r>
            <w:r/>
          </w:p>
        </w:tc>
        <w:tc>
          <w:tcPr>
            <w:tcBorders/>
            <w:tcMar>
              <w:left w:w="108" w:type="dxa"/>
              <w:top w:w="0" w:type="dxa"/>
              <w:right w:w="108" w:type="dxa"/>
              <w:bottom w:w="0" w:type="dxa"/>
            </w:tcMar>
            <w:tcW w:w="4884" w:type="dxa"/>
            <w:vAlign w:val="center"/>
            <w:textDirection w:val="lrTb"/>
            <w:noWrap w:val="false"/>
          </w:tcPr>
          <w:p w14:paraId="31DFFFE1">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r>
            <w:r>
              <mc:AlternateContent>
                <mc:Choice Requires="wpg">
                  <w:drawing>
                    <wp:inline xmlns:wp="http://schemas.openxmlformats.org/drawingml/2006/wordprocessingDrawing" distT="0" distB="0" distL="0" distR="0">
                      <wp:extent cx="3405491" cy="232726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5587" name=""/>
                              <pic:cNvPicPr>
                                <a:picLocks noChangeAspect="1"/>
                              </pic:cNvPicPr>
                              <pic:nvPr/>
                            </pic:nvPicPr>
                            <pic:blipFill rotWithShape="1">
                              <a:blip r:embed="rId20"/>
                              <a:stretch/>
                            </pic:blipFill>
                            <pic:spPr bwMode="auto">
                              <a:xfrm flipH="0" flipV="0">
                                <a:off x="0" y="0"/>
                                <a:ext cx="3405490" cy="23272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68.15pt;height:183.25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eastAsia="Times New Roman" w:cs="Times New Roman"/>
                <w:b/>
                <w:i/>
                <w:color w:val="000000"/>
                <w:sz w:val="24"/>
              </w:rPr>
              <w:t xml:space="preserve"> </w:t>
            </w:r>
            <w:r/>
          </w:p>
        </w:tc>
      </w:tr>
      <w:tr>
        <w:trPr/>
        <w:tc>
          <w:tcPr>
            <w:tcBorders/>
            <w:tcMar>
              <w:left w:w="108" w:type="dxa"/>
              <w:top w:w="0" w:type="dxa"/>
              <w:right w:w="108" w:type="dxa"/>
              <w:bottom w:w="0" w:type="dxa"/>
            </w:tcMar>
            <w:tcW w:w="3606" w:type="dxa"/>
            <w:vAlign w:val="center"/>
            <w:textDirection w:val="lrTb"/>
            <w:noWrap w:val="false"/>
          </w:tcPr>
          <w:p w14:paraId="03EA1947">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884" w:type="dxa"/>
            <w:vAlign w:val="center"/>
            <w:textDirection w:val="lrTb"/>
            <w:noWrap w:val="false"/>
          </w:tcPr>
          <w:p w14:paraId="0592CA9F">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 Hiện trạng tài sản</w:t>
            </w:r>
            <w:r/>
          </w:p>
        </w:tc>
      </w:tr>
      <w:tr>
        <w:trPr/>
        <w:tc>
          <w:tcPr>
            <w:tcBorders/>
            <w:tcMar>
              <w:left w:w="108" w:type="dxa"/>
              <w:top w:w="0" w:type="dxa"/>
              <w:right w:w="108" w:type="dxa"/>
              <w:bottom w:w="0" w:type="dxa"/>
            </w:tcMar>
            <w:tcW w:w="3606" w:type="dxa"/>
            <w:vAlign w:val="center"/>
            <w:textDirection w:val="lrTb"/>
            <w:noWrap w:val="false"/>
          </w:tcPr>
          <w:p w14:paraId="3E92C629">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          </w:t>
            </w:r>
            <w:r>
              <mc:AlternateContent>
                <mc:Choice Requires="wpg">
                  <w:drawing>
                    <wp:inline xmlns:wp="http://schemas.openxmlformats.org/drawingml/2006/wordprocessingDrawing" distT="0" distB="0" distL="0" distR="0">
                      <wp:extent cx="2378062" cy="223204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577473" name=""/>
                              <pic:cNvPicPr>
                                <a:picLocks noChangeAspect="1"/>
                              </pic:cNvPicPr>
                              <pic:nvPr/>
                            </pic:nvPicPr>
                            <pic:blipFill rotWithShape="1">
                              <a:blip r:embed="rId21"/>
                              <a:stretch/>
                            </pic:blipFill>
                            <pic:spPr bwMode="auto">
                              <a:xfrm flipH="0" flipV="0">
                                <a:off x="0" y="0"/>
                                <a:ext cx="2378062" cy="22320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7.25pt;height:175.75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eastAsia="Times New Roman" w:cs="Times New Roman"/>
                <w:b/>
                <w:i/>
                <w:color w:val="000000"/>
                <w:sz w:val="24"/>
              </w:rPr>
            </w:r>
            <w:r/>
          </w:p>
        </w:tc>
        <w:tc>
          <w:tcPr>
            <w:tcBorders/>
            <w:tcMar>
              <w:left w:w="108" w:type="dxa"/>
              <w:top w:w="0" w:type="dxa"/>
              <w:right w:w="108" w:type="dxa"/>
              <w:bottom w:w="0" w:type="dxa"/>
            </w:tcMar>
            <w:tcW w:w="4884" w:type="dxa"/>
            <w:vAlign w:val="center"/>
            <w:textDirection w:val="lrTb"/>
            <w:noWrap w:val="false"/>
          </w:tcPr>
          <w:p w14:paraId="5414A76F">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i/>
                <w:color w:val="000000"/>
                <w:sz w:val="24"/>
              </w:rPr>
              <w:t xml:space="preserve"> </w:t>
            </w:r>
            <w:r>
              <mc:AlternateContent>
                <mc:Choice Requires="wpg">
                  <w:drawing>
                    <wp:inline xmlns:wp="http://schemas.openxmlformats.org/drawingml/2006/wordprocessingDrawing" distT="0" distB="0" distL="0" distR="0">
                      <wp:extent cx="2609850" cy="21336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4129" name=""/>
                              <pic:cNvPicPr>
                                <a:picLocks noChangeAspect="1"/>
                              </pic:cNvPicPr>
                              <pic:nvPr/>
                            </pic:nvPicPr>
                            <pic:blipFill rotWithShape="1">
                              <a:blip r:embed="rId22"/>
                              <a:stretch/>
                            </pic:blipFill>
                            <pic:spPr bwMode="auto">
                              <a:xfrm>
                                <a:off x="0" y="0"/>
                                <a:ext cx="2609848" cy="2133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5.50pt;height:168.00pt;mso-wrap-distance-left:0.00pt;mso-wrap-distance-top:0.00pt;mso-wrap-distance-right:0.00pt;mso-wrap-distance-bottom:0.00pt;z-index:1;" stroked="false">
                      <v:imagedata r:id="rId22" o:title=""/>
                      <o:lock v:ext="edit" rotation="t"/>
                    </v:shape>
                  </w:pict>
                </mc:Fallback>
              </mc:AlternateContent>
            </w:r>
            <w:r>
              <w:rPr>
                <w:rFonts w:ascii="Times New Roman" w:hAnsi="Times New Roman" w:eastAsia="Times New Roman" w:cs="Times New Roman"/>
                <w:b/>
                <w:i/>
                <w:color w:val="000000"/>
                <w:sz w:val="24"/>
              </w:rPr>
            </w:r>
            <w:r/>
          </w:p>
        </w:tc>
      </w:tr>
    </w:tbl>
    <w:p w14:paraId="37412123" w14:textId="77777777">
      <w:pPr>
        <w:pBdr/>
        <w:spacing w:after="200" w:line="276" w:lineRule="auto"/>
        <w:ind/>
        <w:rPr/>
      </w:pPr>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275/2025/1701/VFI-BC.53.A</w:t>
      </w:r>
      <w:r>
        <w:rPr>
          <w:i/>
          <w:lang w:val="pt-BR"/>
        </w:rPr>
        <w:t xml:space="preserve"> </w:t>
      </w:r>
      <w:r>
        <w:rPr>
          <w:i/>
          <w:lang w:val="pt-BR"/>
        </w:rPr>
        <w:t xml:space="preserve">28 tháng 11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Facebook</w:t>
            </w:r>
            <w:r>
              <w:rPr>
                <w:color w:val="000000" w:themeColor="text1"/>
                <w:sz w:val="22"/>
                <w:szCs w:val="22"/>
              </w:rPr>
              <w:br/>
              <w:t xml:space="preserve">0904556146</w:t>
            </w:r>
            <w:r>
              <w:rPr>
                <w:sz w:val="22"/>
                <w:szCs w:val="22"/>
              </w:rPr>
              <w:t xml:space="preserve"> </w:t>
            </w:r>
            <w:r>
              <w:rPr>
                <w:sz w:val="22"/>
                <w:szCs w:val="22"/>
              </w:rPr>
              <w:br/>
              <w:t xml:space="preserve">(anh 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15.500.000.000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12.090.000.000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(250 m²), Đất trồng cây hàng năm khác (96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 Đất trồng cây hàng năm khác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Thị trấn Nông trường Mộc Châu, Huyện Mộc Châu, Tỉnh Sơn La, đường mặt đường QL43, độ rộng đường trước mặt tài sản 1m, thuận tiện, mặt tiền 8m, mặt đường QL43, 20.831222222222, 104.709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346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45437"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654543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515.39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4543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654543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515.39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0976811790</w:t>
            </w:r>
            <w:r>
              <w:rPr>
                <w:sz w:val="22"/>
                <w:szCs w:val="22"/>
              </w:rPr>
              <w:t xml:space="preserve"> </w:t>
            </w:r>
            <w:r>
              <w:rPr>
                <w:sz w:val="22"/>
                <w:szCs w:val="22"/>
              </w:rPr>
              <w:br/>
              <w:t xml:space="preserve">(Cường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10.625.000.000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(350 m²), Đất trồng cây hàng năm khác (173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 Đất trồng cây hàng năm khác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Thị trấn Nông trường Mộc Châu, Huyện Mộc Châu, Tỉnh Sơn La, đường Tài sản nằm tiếp giáp mặt đường Thảo Nguyê (Quốc lộ 43), độ rộng đường trước mặt tài sản 10m, mặt tiền 1m, 20.835291123455946, 104.69055555555555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523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2.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https://batdongsan.com.vn/ban-dat-duong-quoc-lo-43-thi-tran-nong-truong-moc-chau/ban-mat-ql43-tdp-19-8-khu-19-8-cu-phuong-thao-nguyen-chau-pr44562759</w:t>
            </w:r>
            <w:r>
              <w:rPr>
                <w:color w:val="000000" w:themeColor="text1"/>
                <w:sz w:val="22"/>
                <w:szCs w:val="22"/>
              </w:rPr>
              <w:br/>
            </w:r>
            <w:r>
              <w:rPr>
                <w:sz w:val="22"/>
                <w:szCs w:val="22"/>
              </w:rPr>
              <w:t xml:space="preserve">SĐT: </w:t>
            </w:r>
            <w:r>
              <w:rPr>
                <w:color w:val="000000" w:themeColor="text1"/>
                <w:sz w:val="22"/>
                <w:szCs w:val="22"/>
              </w:rPr>
              <w:t xml:space="preserve">0878992002</w:t>
            </w:r>
            <w:r>
              <w:rPr>
                <w:sz w:val="22"/>
                <w:szCs w:val="22"/>
              </w:rPr>
              <w:t xml:space="preserve"> </w:t>
            </w:r>
            <w:r>
              <w:rPr>
                <w:sz w:val="22"/>
                <w:szCs w:val="22"/>
              </w:rPr>
              <w:br/>
              <w:t xml:space="preserve">(Hợp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9.000.000.000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7.200.000.000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(150 m²), Đất trồng cây hàng năm khác (14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 Đất trồng cây hàng năm khác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Thị trấn Nông trường Mộc Châu, Huyện Mộc Châu, Tỉnh Sơn La, đường Tài sản nằm tiếp giáp đường Thảo Nguyên ( Quốc lộ 43), độ rộng đường trước mặt tài sản 10m, mặt tiền 7.6m, 20.82537655271622, 104.71995899603101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25546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62554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92.5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25546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62554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92.56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31362BA">
            <w:pPr>
              <w:pBdr/>
              <w:spacing/>
              <w:ind/>
              <w:jc w:val="center"/>
              <w:rPr/>
            </w:pPr>
            <w:r>
              <w:rPr>
                <w:highlight w:val="none"/>
              </w:rPr>
            </w:r>
            <w:r>
              <w:rPr>
                <w:highlight w:val="none"/>
              </w:rPr>
            </w:r>
            <w:r/>
          </w:p>
          <w:p w14:paraId="5BB4CD38">
            <w:pPr>
              <w:pBdr/>
              <w:spacing/>
              <w:ind/>
              <w:jc w:val="center"/>
              <w:rPr>
                <w:highlight w:val="none"/>
              </w:rPr>
            </w:pPr>
            <w:r>
              <w:rPr>
                <w:highlight w:val="none"/>
              </w:rPr>
            </w:r>
            <w:r>
              <w:rPr>
                <w:highlight w:val="none"/>
              </w:rPr>
            </w:r>
            <w:r>
              <w:rPr>
                <w:highlight w:val="none"/>
              </w:rPr>
            </w:r>
          </w:p>
          <w:p w14:paraId="7087AE96">
            <w:pPr>
              <w:pBdr/>
              <w:spacing/>
              <w:ind/>
              <w:jc w:val="center"/>
              <w:rPr>
                <w:highlight w:val="none"/>
              </w:rPr>
            </w:pPr>
            <w:r>
              <w:rPr>
                <w:highlight w:val="none"/>
              </w:rPr>
            </w:r>
            <w:r>
              <w:rPr>
                <w:highlight w:val="none"/>
              </w:rPr>
            </w:r>
            <w:r>
              <w:rPr>
                <w:highlight w:val="none"/>
              </w:rPr>
            </w:r>
          </w:p>
          <w:p w14:paraId="100314E1">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Trần Thị Thanh Tâm</w:t>
            </w:r>
            <w:r>
              <w:rPr>
                <w:highlight w:val="none"/>
              </w:rPr>
            </w:r>
            <w:r>
              <w:rPr>
                <w:highlight w:val="none"/>
              </w:rP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4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4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4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4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F1C614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69BAB62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1E14DE6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7288B93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3374C8C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3">
    <w:nsid w:val="4379A41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56EC55D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nsid w:val="56EC55D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6">
    <w:nsid w:val="29B32EC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7">
    <w:name w:val="Table Grid Light"/>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1"/>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2"/>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3"/>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4"/>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5"/>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w:basedOn w:val="102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w:basedOn w:val="102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1"/>
    <w:basedOn w:val="102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2"/>
    <w:basedOn w:val="102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3"/>
    <w:basedOn w:val="102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4"/>
    <w:basedOn w:val="102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5"/>
    <w:basedOn w:val="102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6"/>
    <w:basedOn w:val="102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Accent 1"/>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2"/>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3"/>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Accent 4"/>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5"/>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6"/>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9">
    <w:name w:val="Grid Table 6 Colorful - Accent 1"/>
    <w:basedOn w:val="102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0">
    <w:name w:val="Grid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1">
    <w:name w:val="Grid Table 6 Colorful - Accent 3"/>
    <w:basedOn w:val="102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2">
    <w:name w:val="Grid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3">
    <w:name w:val="Grid Table 6 Colorful - Accent 5"/>
    <w:basedOn w:val="102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4">
    <w:name w:val="Grid Table 6 Colorful - Accent 6"/>
    <w:basedOn w:val="102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5">
    <w:name w:val="Grid Table 7 Colorful"/>
    <w:basedOn w:val="102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1"/>
    <w:basedOn w:val="102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5"/>
    <w:basedOn w:val="102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6"/>
    <w:basedOn w:val="102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1"/>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2"/>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3"/>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4"/>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5"/>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6"/>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w:basedOn w:val="102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1"/>
    <w:basedOn w:val="102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2"/>
    <w:basedOn w:val="102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3"/>
    <w:basedOn w:val="102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4"/>
    <w:basedOn w:val="102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5"/>
    <w:basedOn w:val="102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6"/>
    <w:basedOn w:val="102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1"/>
    <w:basedOn w:val="102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3"/>
    <w:basedOn w:val="102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5"/>
    <w:basedOn w:val="102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6"/>
    <w:basedOn w:val="102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1"/>
    <w:basedOn w:val="102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2"/>
    <w:basedOn w:val="102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3"/>
    <w:basedOn w:val="102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4"/>
    <w:basedOn w:val="102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5"/>
    <w:basedOn w:val="102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6"/>
    <w:basedOn w:val="102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5 Dark"/>
    <w:basedOn w:val="102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1"/>
    <w:basedOn w:val="102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2"/>
    <w:basedOn w:val="102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3"/>
    <w:basedOn w:val="102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4"/>
    <w:basedOn w:val="102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5"/>
    <w:basedOn w:val="102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6"/>
    <w:basedOn w:val="102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1"/>
    <w:basedOn w:val="102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3"/>
    <w:basedOn w:val="102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5"/>
    <w:basedOn w:val="102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6"/>
    <w:basedOn w:val="102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7 Colorful"/>
    <w:basedOn w:val="102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5">
    <w:name w:val="List Table 7 Colorful - Accent 1"/>
    <w:basedOn w:val="102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6">
    <w:name w:val="List Table 7 Colorful - Accent 2"/>
    <w:basedOn w:val="102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7">
    <w:name w:val="List Table 7 Colorful - Accent 3"/>
    <w:basedOn w:val="102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8">
    <w:name w:val="List Table 7 Colorful - Accent 4"/>
    <w:basedOn w:val="102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9">
    <w:name w:val="List Table 7 Colorful - Accent 5"/>
    <w:basedOn w:val="102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0">
    <w:name w:val="List Table 7 Colorful - Accent 6"/>
    <w:basedOn w:val="102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1">
    <w:name w:val="Lined - Accent"/>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1"/>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2"/>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3"/>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4"/>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5"/>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6"/>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w:basedOn w:val="102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1"/>
    <w:basedOn w:val="102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2"/>
    <w:basedOn w:val="102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3"/>
    <w:basedOn w:val="102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4"/>
    <w:basedOn w:val="102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5"/>
    <w:basedOn w:val="102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6"/>
    <w:basedOn w:val="102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w:basedOn w:val="102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2">
    <w:name w:val="Heading 5"/>
    <w:basedOn w:val="1023"/>
    <w:next w:val="1023"/>
    <w:link w:val="98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3">
    <w:name w:val="Heading 6"/>
    <w:basedOn w:val="1023"/>
    <w:next w:val="1023"/>
    <w:link w:val="98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4">
    <w:name w:val="Heading 7"/>
    <w:basedOn w:val="1023"/>
    <w:next w:val="1023"/>
    <w:link w:val="98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5">
    <w:name w:val="Heading 8"/>
    <w:basedOn w:val="1023"/>
    <w:next w:val="1023"/>
    <w:link w:val="99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6">
    <w:name w:val="Heading 9"/>
    <w:basedOn w:val="1023"/>
    <w:next w:val="1023"/>
    <w:link w:val="99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7">
    <w:name w:val="Heading 5 Char"/>
    <w:basedOn w:val="1028"/>
    <w:link w:val="982"/>
    <w:uiPriority w:val="9"/>
    <w:pPr>
      <w:pBdr/>
      <w:spacing/>
      <w:ind/>
    </w:pPr>
    <w:rPr>
      <w:rFonts w:ascii="Arial" w:hAnsi="Arial" w:eastAsia="Arial" w:cs="Arial"/>
      <w:color w:val="0f4761" w:themeColor="accent1" w:themeShade="BF"/>
    </w:rPr>
  </w:style>
  <w:style w:type="character" w:styleId="988">
    <w:name w:val="Heading 6 Char"/>
    <w:basedOn w:val="1028"/>
    <w:link w:val="983"/>
    <w:uiPriority w:val="9"/>
    <w:pPr>
      <w:pBdr/>
      <w:spacing/>
      <w:ind/>
    </w:pPr>
    <w:rPr>
      <w:rFonts w:ascii="Arial" w:hAnsi="Arial" w:eastAsia="Arial" w:cs="Arial"/>
      <w:i/>
      <w:iCs/>
      <w:color w:val="595959" w:themeColor="text1" w:themeTint="A6"/>
    </w:rPr>
  </w:style>
  <w:style w:type="character" w:styleId="989">
    <w:name w:val="Heading 7 Char"/>
    <w:basedOn w:val="1028"/>
    <w:link w:val="984"/>
    <w:uiPriority w:val="9"/>
    <w:pPr>
      <w:pBdr/>
      <w:spacing/>
      <w:ind/>
    </w:pPr>
    <w:rPr>
      <w:rFonts w:ascii="Arial" w:hAnsi="Arial" w:eastAsia="Arial" w:cs="Arial"/>
      <w:color w:val="595959" w:themeColor="text1" w:themeTint="A6"/>
    </w:rPr>
  </w:style>
  <w:style w:type="character" w:styleId="990">
    <w:name w:val="Heading 8 Char"/>
    <w:basedOn w:val="1028"/>
    <w:link w:val="985"/>
    <w:uiPriority w:val="9"/>
    <w:pPr>
      <w:pBdr/>
      <w:spacing/>
      <w:ind/>
    </w:pPr>
    <w:rPr>
      <w:rFonts w:ascii="Arial" w:hAnsi="Arial" w:eastAsia="Arial" w:cs="Arial"/>
      <w:i/>
      <w:iCs/>
      <w:color w:val="272727" w:themeColor="text1" w:themeTint="D8"/>
    </w:rPr>
  </w:style>
  <w:style w:type="character" w:styleId="991">
    <w:name w:val="Heading 9 Char"/>
    <w:basedOn w:val="1028"/>
    <w:link w:val="986"/>
    <w:uiPriority w:val="9"/>
    <w:pPr>
      <w:pBdr/>
      <w:spacing/>
      <w:ind/>
    </w:pPr>
    <w:rPr>
      <w:rFonts w:ascii="Arial" w:hAnsi="Arial" w:eastAsia="Arial" w:cs="Arial"/>
      <w:i/>
      <w:iCs/>
      <w:color w:val="272727" w:themeColor="text1" w:themeTint="D8"/>
    </w:rPr>
  </w:style>
  <w:style w:type="paragraph" w:styleId="992">
    <w:name w:val="Subtitle"/>
    <w:basedOn w:val="1023"/>
    <w:next w:val="1023"/>
    <w:link w:val="993"/>
    <w:uiPriority w:val="11"/>
    <w:qFormat/>
    <w:pPr>
      <w:numPr>
        <w:ilvl w:val="1"/>
      </w:numPr>
      <w:pBdr/>
      <w:spacing/>
      <w:ind/>
    </w:pPr>
    <w:rPr>
      <w:color w:val="595959" w:themeColor="text1" w:themeTint="A6"/>
      <w:spacing w:val="15"/>
      <w:sz w:val="28"/>
      <w:szCs w:val="28"/>
    </w:rPr>
  </w:style>
  <w:style w:type="character" w:styleId="993">
    <w:name w:val="Subtitle Char"/>
    <w:basedOn w:val="1028"/>
    <w:link w:val="992"/>
    <w:uiPriority w:val="11"/>
    <w:pPr>
      <w:pBdr/>
      <w:spacing/>
      <w:ind/>
    </w:pPr>
    <w:rPr>
      <w:color w:val="595959" w:themeColor="text1" w:themeTint="A6"/>
      <w:spacing w:val="15"/>
      <w:sz w:val="28"/>
      <w:szCs w:val="28"/>
    </w:rPr>
  </w:style>
  <w:style w:type="paragraph" w:styleId="994">
    <w:name w:val="Quote"/>
    <w:basedOn w:val="1023"/>
    <w:next w:val="1023"/>
    <w:link w:val="995"/>
    <w:uiPriority w:val="29"/>
    <w:qFormat/>
    <w:pPr>
      <w:pBdr/>
      <w:spacing w:before="160"/>
      <w:ind/>
      <w:jc w:val="center"/>
    </w:pPr>
    <w:rPr>
      <w:i/>
      <w:iCs/>
      <w:color w:val="404040" w:themeColor="text1" w:themeTint="BF"/>
    </w:rPr>
  </w:style>
  <w:style w:type="character" w:styleId="995">
    <w:name w:val="Quote Char"/>
    <w:basedOn w:val="1028"/>
    <w:link w:val="994"/>
    <w:uiPriority w:val="29"/>
    <w:pPr>
      <w:pBdr/>
      <w:spacing/>
      <w:ind/>
    </w:pPr>
    <w:rPr>
      <w:i/>
      <w:iCs/>
      <w:color w:val="404040" w:themeColor="text1" w:themeTint="BF"/>
    </w:rPr>
  </w:style>
  <w:style w:type="character" w:styleId="996">
    <w:name w:val="Intense Emphasis"/>
    <w:basedOn w:val="1028"/>
    <w:uiPriority w:val="21"/>
    <w:qFormat/>
    <w:pPr>
      <w:pBdr/>
      <w:spacing/>
      <w:ind/>
    </w:pPr>
    <w:rPr>
      <w:i/>
      <w:iCs/>
      <w:color w:val="0f4761" w:themeColor="accent1" w:themeShade="BF"/>
    </w:rPr>
  </w:style>
  <w:style w:type="paragraph" w:styleId="997">
    <w:name w:val="Intense Quote"/>
    <w:basedOn w:val="1023"/>
    <w:next w:val="1023"/>
    <w:link w:val="99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8">
    <w:name w:val="Intense Quote Char"/>
    <w:basedOn w:val="1028"/>
    <w:link w:val="997"/>
    <w:uiPriority w:val="30"/>
    <w:pPr>
      <w:pBdr/>
      <w:spacing/>
      <w:ind/>
    </w:pPr>
    <w:rPr>
      <w:i/>
      <w:iCs/>
      <w:color w:val="0f4761" w:themeColor="accent1" w:themeShade="BF"/>
    </w:rPr>
  </w:style>
  <w:style w:type="character" w:styleId="999">
    <w:name w:val="Intense Reference"/>
    <w:basedOn w:val="1028"/>
    <w:uiPriority w:val="32"/>
    <w:qFormat/>
    <w:pPr>
      <w:pBdr/>
      <w:spacing/>
      <w:ind/>
    </w:pPr>
    <w:rPr>
      <w:b/>
      <w:bCs/>
      <w:smallCaps/>
      <w:color w:val="0f4761" w:themeColor="accent1" w:themeShade="BF"/>
      <w:spacing w:val="5"/>
    </w:rPr>
  </w:style>
  <w:style w:type="paragraph" w:styleId="1000">
    <w:name w:val="No Spacing"/>
    <w:basedOn w:val="1023"/>
    <w:uiPriority w:val="1"/>
    <w:qFormat/>
    <w:pPr>
      <w:pBdr/>
      <w:spacing w:after="0" w:line="240" w:lineRule="auto"/>
      <w:ind/>
    </w:pPr>
  </w:style>
  <w:style w:type="character" w:styleId="1001">
    <w:name w:val="Subtle Emphasis"/>
    <w:basedOn w:val="1028"/>
    <w:uiPriority w:val="19"/>
    <w:qFormat/>
    <w:pPr>
      <w:pBdr/>
      <w:spacing/>
      <w:ind/>
    </w:pPr>
    <w:rPr>
      <w:i/>
      <w:iCs/>
      <w:color w:val="404040" w:themeColor="text1" w:themeTint="BF"/>
    </w:rPr>
  </w:style>
  <w:style w:type="character" w:styleId="1002">
    <w:name w:val="Subtle Reference"/>
    <w:basedOn w:val="1028"/>
    <w:uiPriority w:val="31"/>
    <w:qFormat/>
    <w:pPr>
      <w:pBdr/>
      <w:spacing/>
      <w:ind/>
    </w:pPr>
    <w:rPr>
      <w:smallCaps/>
      <w:color w:val="5a5a5a" w:themeColor="text1" w:themeTint="A5"/>
    </w:rPr>
  </w:style>
  <w:style w:type="character" w:styleId="1003">
    <w:name w:val="Book Title"/>
    <w:basedOn w:val="1028"/>
    <w:uiPriority w:val="33"/>
    <w:qFormat/>
    <w:pPr>
      <w:pBdr/>
      <w:spacing/>
      <w:ind/>
    </w:pPr>
    <w:rPr>
      <w:b/>
      <w:bCs/>
      <w:i/>
      <w:iCs/>
      <w:spacing w:val="5"/>
    </w:rPr>
  </w:style>
  <w:style w:type="paragraph" w:styleId="1004">
    <w:name w:val="Caption"/>
    <w:basedOn w:val="1023"/>
    <w:next w:val="1023"/>
    <w:uiPriority w:val="35"/>
    <w:unhideWhenUsed/>
    <w:qFormat/>
    <w:pPr>
      <w:pBdr/>
      <w:spacing w:after="200" w:line="240" w:lineRule="auto"/>
      <w:ind/>
    </w:pPr>
    <w:rPr>
      <w:i/>
      <w:iCs/>
      <w:color w:val="0e2841" w:themeColor="text2"/>
      <w:sz w:val="18"/>
      <w:szCs w:val="18"/>
    </w:rPr>
  </w:style>
  <w:style w:type="paragraph" w:styleId="1005">
    <w:name w:val="footnote text"/>
    <w:basedOn w:val="1023"/>
    <w:link w:val="1006"/>
    <w:uiPriority w:val="99"/>
    <w:semiHidden/>
    <w:unhideWhenUsed/>
    <w:pPr>
      <w:pBdr/>
      <w:spacing w:after="0" w:line="240" w:lineRule="auto"/>
      <w:ind/>
    </w:pPr>
    <w:rPr>
      <w:sz w:val="20"/>
      <w:szCs w:val="20"/>
    </w:rPr>
  </w:style>
  <w:style w:type="character" w:styleId="1006">
    <w:name w:val="Footnote Text Char"/>
    <w:basedOn w:val="1028"/>
    <w:link w:val="1005"/>
    <w:uiPriority w:val="99"/>
    <w:semiHidden/>
    <w:pPr>
      <w:pBdr/>
      <w:spacing/>
      <w:ind/>
    </w:pPr>
    <w:rPr>
      <w:sz w:val="20"/>
      <w:szCs w:val="20"/>
    </w:rPr>
  </w:style>
  <w:style w:type="character" w:styleId="1007">
    <w:name w:val="footnote reference"/>
    <w:basedOn w:val="1028"/>
    <w:uiPriority w:val="99"/>
    <w:semiHidden/>
    <w:unhideWhenUsed/>
    <w:pPr>
      <w:pBdr/>
      <w:spacing/>
      <w:ind/>
    </w:pPr>
    <w:rPr>
      <w:vertAlign w:val="superscript"/>
    </w:rPr>
  </w:style>
  <w:style w:type="paragraph" w:styleId="1008">
    <w:name w:val="endnote text"/>
    <w:basedOn w:val="1023"/>
    <w:link w:val="1009"/>
    <w:uiPriority w:val="99"/>
    <w:semiHidden/>
    <w:unhideWhenUsed/>
    <w:pPr>
      <w:pBdr/>
      <w:spacing w:after="0" w:line="240" w:lineRule="auto"/>
      <w:ind/>
    </w:pPr>
    <w:rPr>
      <w:sz w:val="20"/>
      <w:szCs w:val="20"/>
    </w:rPr>
  </w:style>
  <w:style w:type="character" w:styleId="1009">
    <w:name w:val="Endnote Text Char"/>
    <w:basedOn w:val="1028"/>
    <w:link w:val="1008"/>
    <w:uiPriority w:val="99"/>
    <w:semiHidden/>
    <w:pPr>
      <w:pBdr/>
      <w:spacing/>
      <w:ind/>
    </w:pPr>
    <w:rPr>
      <w:sz w:val="20"/>
      <w:szCs w:val="20"/>
    </w:rPr>
  </w:style>
  <w:style w:type="character" w:styleId="1010">
    <w:name w:val="endnote reference"/>
    <w:basedOn w:val="1028"/>
    <w:uiPriority w:val="99"/>
    <w:semiHidden/>
    <w:unhideWhenUsed/>
    <w:pPr>
      <w:pBdr/>
      <w:spacing/>
      <w:ind/>
    </w:pPr>
    <w:rPr>
      <w:vertAlign w:val="superscript"/>
    </w:rPr>
  </w:style>
  <w:style w:type="paragraph" w:styleId="1011">
    <w:name w:val="toc 1"/>
    <w:basedOn w:val="1023"/>
    <w:next w:val="1023"/>
    <w:uiPriority w:val="39"/>
    <w:unhideWhenUsed/>
    <w:pPr>
      <w:pBdr/>
      <w:spacing w:after="100"/>
      <w:ind/>
    </w:pPr>
  </w:style>
  <w:style w:type="paragraph" w:styleId="1012">
    <w:name w:val="toc 2"/>
    <w:basedOn w:val="1023"/>
    <w:next w:val="1023"/>
    <w:uiPriority w:val="39"/>
    <w:unhideWhenUsed/>
    <w:pPr>
      <w:pBdr/>
      <w:spacing w:after="100"/>
      <w:ind w:left="220"/>
    </w:pPr>
  </w:style>
  <w:style w:type="paragraph" w:styleId="1013">
    <w:name w:val="toc 3"/>
    <w:basedOn w:val="1023"/>
    <w:next w:val="1023"/>
    <w:uiPriority w:val="39"/>
    <w:unhideWhenUsed/>
    <w:pPr>
      <w:pBdr/>
      <w:spacing w:after="100"/>
      <w:ind w:left="440"/>
    </w:pPr>
  </w:style>
  <w:style w:type="paragraph" w:styleId="1014">
    <w:name w:val="toc 4"/>
    <w:basedOn w:val="1023"/>
    <w:next w:val="1023"/>
    <w:uiPriority w:val="39"/>
    <w:unhideWhenUsed/>
    <w:pPr>
      <w:pBdr/>
      <w:spacing w:after="100"/>
      <w:ind w:left="660"/>
    </w:pPr>
  </w:style>
  <w:style w:type="paragraph" w:styleId="1015">
    <w:name w:val="toc 5"/>
    <w:basedOn w:val="1023"/>
    <w:next w:val="1023"/>
    <w:uiPriority w:val="39"/>
    <w:unhideWhenUsed/>
    <w:pPr>
      <w:pBdr/>
      <w:spacing w:after="100"/>
      <w:ind w:left="880"/>
    </w:pPr>
  </w:style>
  <w:style w:type="paragraph" w:styleId="1016">
    <w:name w:val="toc 6"/>
    <w:basedOn w:val="1023"/>
    <w:next w:val="1023"/>
    <w:uiPriority w:val="39"/>
    <w:unhideWhenUsed/>
    <w:pPr>
      <w:pBdr/>
      <w:spacing w:after="100"/>
      <w:ind w:left="1100"/>
    </w:pPr>
  </w:style>
  <w:style w:type="paragraph" w:styleId="1017">
    <w:name w:val="toc 7"/>
    <w:basedOn w:val="1023"/>
    <w:next w:val="1023"/>
    <w:uiPriority w:val="39"/>
    <w:unhideWhenUsed/>
    <w:pPr>
      <w:pBdr/>
      <w:spacing w:after="100"/>
      <w:ind w:left="1320"/>
    </w:pPr>
  </w:style>
  <w:style w:type="paragraph" w:styleId="1018">
    <w:name w:val="toc 8"/>
    <w:basedOn w:val="1023"/>
    <w:next w:val="1023"/>
    <w:uiPriority w:val="39"/>
    <w:unhideWhenUsed/>
    <w:pPr>
      <w:pBdr/>
      <w:spacing w:after="100"/>
      <w:ind w:left="1540"/>
    </w:pPr>
  </w:style>
  <w:style w:type="paragraph" w:styleId="1019">
    <w:name w:val="toc 9"/>
    <w:basedOn w:val="1023"/>
    <w:next w:val="1023"/>
    <w:uiPriority w:val="39"/>
    <w:unhideWhenUsed/>
    <w:pPr>
      <w:pBdr/>
      <w:spacing w:after="100"/>
      <w:ind w:left="1760"/>
    </w:pPr>
  </w:style>
  <w:style w:type="character" w:styleId="1020">
    <w:name w:val="Placeholder Text"/>
    <w:basedOn w:val="1028"/>
    <w:uiPriority w:val="99"/>
    <w:semiHidden/>
    <w:pPr>
      <w:pBdr/>
      <w:spacing/>
      <w:ind/>
    </w:pPr>
    <w:rPr>
      <w:color w:val="666666"/>
    </w:rPr>
  </w:style>
  <w:style w:type="paragraph" w:styleId="1021">
    <w:name w:val="TOC Heading"/>
    <w:uiPriority w:val="39"/>
    <w:unhideWhenUsed/>
    <w:pPr>
      <w:pBdr/>
      <w:spacing/>
      <w:ind/>
    </w:pPr>
  </w:style>
  <w:style w:type="paragraph" w:styleId="1022">
    <w:name w:val="table of figures"/>
    <w:basedOn w:val="1023"/>
    <w:next w:val="1023"/>
    <w:uiPriority w:val="99"/>
    <w:unhideWhenUsed/>
    <w:pPr>
      <w:pBdr/>
      <w:spacing w:after="0" w:afterAutospacing="0"/>
      <w:ind/>
    </w:pPr>
  </w:style>
  <w:style w:type="paragraph" w:styleId="1023" w:default="1">
    <w:name w:val="Normal"/>
    <w:qFormat/>
    <w:pPr>
      <w:pBdr/>
      <w:spacing w:after="0" w:line="240" w:lineRule="auto"/>
      <w:ind/>
    </w:pPr>
    <w:rPr>
      <w:rFonts w:ascii="Times New Roman" w:hAnsi="Times New Roman" w:eastAsia="Times New Roman" w:cs="Times New Roman"/>
      <w:sz w:val="24"/>
      <w:szCs w:val="24"/>
    </w:rPr>
  </w:style>
  <w:style w:type="paragraph" w:styleId="1024">
    <w:name w:val="Heading 1"/>
    <w:basedOn w:val="1023"/>
    <w:next w:val="1023"/>
    <w:link w:val="1031"/>
    <w:qFormat/>
    <w:pPr>
      <w:keepNext w:val="true"/>
      <w:pBdr/>
      <w:spacing w:after="120" w:before="120"/>
      <w:ind/>
      <w:jc w:val="center"/>
      <w:outlineLvl w:val="0"/>
    </w:pPr>
    <w:rPr>
      <w:b/>
      <w:bCs/>
      <w:sz w:val="27"/>
      <w:szCs w:val="27"/>
    </w:rPr>
  </w:style>
  <w:style w:type="paragraph" w:styleId="1025">
    <w:name w:val="Heading 2"/>
    <w:basedOn w:val="1023"/>
    <w:next w:val="1023"/>
    <w:link w:val="103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6">
    <w:name w:val="Heading 3"/>
    <w:basedOn w:val="1023"/>
    <w:next w:val="1023"/>
    <w:link w:val="1033"/>
    <w:qFormat/>
    <w:pPr>
      <w:keepNext w:val="true"/>
      <w:pBdr/>
      <w:spacing w:before="60"/>
      <w:ind/>
      <w:outlineLvl w:val="2"/>
    </w:pPr>
    <w:rPr>
      <w:sz w:val="28"/>
      <w:szCs w:val="28"/>
    </w:rPr>
  </w:style>
  <w:style w:type="paragraph" w:styleId="1027">
    <w:name w:val="Heading 4"/>
    <w:basedOn w:val="1023"/>
    <w:next w:val="1023"/>
    <w:link w:val="1034"/>
    <w:qFormat/>
    <w:pPr>
      <w:keepNext w:val="true"/>
      <w:pBdr/>
      <w:spacing/>
      <w:ind/>
      <w:jc w:val="center"/>
      <w:outlineLvl w:val="3"/>
    </w:pPr>
    <w:rPr>
      <w:b/>
      <w:bCs/>
    </w:rPr>
  </w:style>
  <w:style w:type="character" w:styleId="1028" w:default="1">
    <w:name w:val="Default Paragraph Font"/>
    <w:uiPriority w:val="1"/>
    <w:semiHidden/>
    <w:unhideWhenUsed/>
    <w:pPr>
      <w:pBdr/>
      <w:spacing/>
      <w:ind/>
    </w:pPr>
  </w:style>
  <w:style w:type="table" w:styleId="102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0" w:default="1">
    <w:name w:val="No List"/>
    <w:uiPriority w:val="99"/>
    <w:semiHidden/>
    <w:unhideWhenUsed/>
    <w:pPr>
      <w:pBdr/>
      <w:spacing/>
      <w:ind/>
    </w:pPr>
  </w:style>
  <w:style w:type="character" w:styleId="1031" w:customStyle="1">
    <w:name w:val="Heading 1 Char"/>
    <w:basedOn w:val="1028"/>
    <w:link w:val="1024"/>
    <w:pPr>
      <w:pBdr/>
      <w:spacing/>
      <w:ind/>
    </w:pPr>
    <w:rPr>
      <w:rFonts w:ascii="Times New Roman" w:hAnsi="Times New Roman" w:eastAsia="Times New Roman" w:cs="Times New Roman"/>
      <w:b/>
      <w:bCs/>
      <w:sz w:val="27"/>
      <w:szCs w:val="27"/>
    </w:rPr>
  </w:style>
  <w:style w:type="character" w:styleId="1032" w:customStyle="1">
    <w:name w:val="Heading 2 Char"/>
    <w:basedOn w:val="1028"/>
    <w:link w:val="1025"/>
    <w:uiPriority w:val="9"/>
    <w:pPr>
      <w:pBdr/>
      <w:spacing/>
      <w:ind/>
    </w:pPr>
    <w:rPr>
      <w:rFonts w:asciiTheme="majorHAnsi" w:hAnsiTheme="majorHAnsi" w:eastAsiaTheme="majorEastAsia" w:cstheme="majorBidi"/>
      <w:color w:val="365f91" w:themeColor="accent1" w:themeShade="BF"/>
      <w:sz w:val="26"/>
      <w:szCs w:val="26"/>
    </w:rPr>
  </w:style>
  <w:style w:type="character" w:styleId="1033" w:customStyle="1">
    <w:name w:val="Heading 3 Char"/>
    <w:basedOn w:val="1028"/>
    <w:link w:val="1026"/>
    <w:pPr>
      <w:pBdr/>
      <w:spacing/>
      <w:ind/>
    </w:pPr>
    <w:rPr>
      <w:rFonts w:ascii="Times New Roman" w:hAnsi="Times New Roman" w:eastAsia="Times New Roman" w:cs="Times New Roman"/>
      <w:sz w:val="28"/>
      <w:szCs w:val="28"/>
    </w:rPr>
  </w:style>
  <w:style w:type="character" w:styleId="1034" w:customStyle="1">
    <w:name w:val="Heading 4 Char"/>
    <w:basedOn w:val="1028"/>
    <w:link w:val="1027"/>
    <w:pPr>
      <w:pBdr/>
      <w:spacing/>
      <w:ind/>
    </w:pPr>
    <w:rPr>
      <w:rFonts w:ascii="Times New Roman" w:hAnsi="Times New Roman" w:eastAsia="Times New Roman" w:cs="Times New Roman"/>
      <w:b/>
      <w:bCs/>
      <w:sz w:val="24"/>
      <w:szCs w:val="24"/>
    </w:rPr>
  </w:style>
  <w:style w:type="character" w:styleId="1035">
    <w:name w:val="Hyperlink"/>
    <w:uiPriority w:val="99"/>
    <w:pPr>
      <w:pBdr/>
      <w:spacing/>
      <w:ind/>
    </w:pPr>
    <w:rPr>
      <w:color w:val="000000"/>
      <w:u w:val="single"/>
    </w:rPr>
  </w:style>
  <w:style w:type="character" w:styleId="1036">
    <w:name w:val="Strong"/>
    <w:uiPriority w:val="22"/>
    <w:qFormat/>
    <w:pPr>
      <w:pBdr/>
      <w:spacing/>
      <w:ind/>
    </w:pPr>
    <w:rPr>
      <w:b/>
      <w:bCs/>
    </w:rPr>
  </w:style>
  <w:style w:type="paragraph" w:styleId="1037">
    <w:name w:val="Balloon Text"/>
    <w:basedOn w:val="1023"/>
    <w:link w:val="1038"/>
    <w:uiPriority w:val="99"/>
    <w:semiHidden/>
    <w:unhideWhenUsed/>
    <w:pPr>
      <w:pBdr/>
      <w:spacing/>
      <w:ind/>
    </w:pPr>
    <w:rPr>
      <w:rFonts w:ascii="Tahoma" w:hAnsi="Tahoma" w:cs="Tahoma"/>
      <w:sz w:val="16"/>
      <w:szCs w:val="16"/>
    </w:rPr>
  </w:style>
  <w:style w:type="character" w:styleId="1038" w:customStyle="1">
    <w:name w:val="Balloon Text Char"/>
    <w:basedOn w:val="1028"/>
    <w:link w:val="1037"/>
    <w:uiPriority w:val="99"/>
    <w:semiHidden/>
    <w:pPr>
      <w:pBdr/>
      <w:spacing/>
      <w:ind/>
    </w:pPr>
    <w:rPr>
      <w:rFonts w:ascii="Tahoma" w:hAnsi="Tahoma" w:eastAsia="Times New Roman" w:cs="Tahoma"/>
      <w:sz w:val="16"/>
      <w:szCs w:val="16"/>
    </w:rPr>
  </w:style>
  <w:style w:type="paragraph" w:styleId="1039">
    <w:name w:val="Header"/>
    <w:basedOn w:val="1023"/>
    <w:link w:val="1040"/>
    <w:unhideWhenUsed/>
    <w:pPr>
      <w:pBdr/>
      <w:tabs>
        <w:tab w:val="center" w:leader="none" w:pos="4680"/>
        <w:tab w:val="right" w:leader="none" w:pos="9360"/>
      </w:tabs>
      <w:spacing/>
      <w:ind/>
    </w:pPr>
  </w:style>
  <w:style w:type="character" w:styleId="1040" w:customStyle="1">
    <w:name w:val="Header Char"/>
    <w:basedOn w:val="1028"/>
    <w:link w:val="1039"/>
    <w:pPr>
      <w:pBdr/>
      <w:spacing/>
      <w:ind/>
    </w:pPr>
    <w:rPr>
      <w:rFonts w:ascii="Times New Roman" w:hAnsi="Times New Roman" w:eastAsia="Times New Roman" w:cs="Times New Roman"/>
      <w:sz w:val="24"/>
      <w:szCs w:val="24"/>
    </w:rPr>
  </w:style>
  <w:style w:type="paragraph" w:styleId="1041">
    <w:name w:val="Footer"/>
    <w:basedOn w:val="1023"/>
    <w:link w:val="1042"/>
    <w:uiPriority w:val="99"/>
    <w:unhideWhenUsed/>
    <w:pPr>
      <w:pBdr/>
      <w:tabs>
        <w:tab w:val="center" w:leader="none" w:pos="4680"/>
        <w:tab w:val="right" w:leader="none" w:pos="9360"/>
      </w:tabs>
      <w:spacing/>
      <w:ind/>
    </w:pPr>
  </w:style>
  <w:style w:type="character" w:styleId="1042" w:customStyle="1">
    <w:name w:val="Footer Char"/>
    <w:basedOn w:val="1028"/>
    <w:link w:val="1041"/>
    <w:uiPriority w:val="99"/>
    <w:pPr>
      <w:pBdr/>
      <w:spacing/>
      <w:ind/>
    </w:pPr>
    <w:rPr>
      <w:rFonts w:ascii="Times New Roman" w:hAnsi="Times New Roman" w:eastAsia="Times New Roman" w:cs="Times New Roman"/>
      <w:sz w:val="24"/>
      <w:szCs w:val="24"/>
    </w:rPr>
  </w:style>
  <w:style w:type="character" w:styleId="1043" w:customStyle="1">
    <w:name w:val="normal-h1"/>
    <w:pPr>
      <w:pBdr/>
      <w:spacing/>
      <w:ind/>
    </w:pPr>
    <w:rPr>
      <w:rFonts w:hint="default" w:ascii=".VnTime" w:hAnsi=".VnTime"/>
      <w:color w:val="0000ff"/>
      <w:sz w:val="24"/>
      <w:szCs w:val="24"/>
    </w:rPr>
  </w:style>
  <w:style w:type="paragraph" w:styleId="1044" w:customStyle="1">
    <w:name w:val="normal-p"/>
    <w:basedOn w:val="1023"/>
    <w:pPr>
      <w:pBdr/>
      <w:spacing/>
      <w:ind/>
      <w:jc w:val="both"/>
    </w:pPr>
    <w:rPr>
      <w:sz w:val="20"/>
      <w:szCs w:val="20"/>
    </w:rPr>
  </w:style>
  <w:style w:type="paragraph" w:styleId="1045">
    <w:name w:val="List Paragraph"/>
    <w:basedOn w:val="1023"/>
    <w:link w:val="1132"/>
    <w:uiPriority w:val="34"/>
    <w:qFormat/>
    <w:pPr>
      <w:pBdr/>
      <w:spacing/>
      <w:ind w:left="720"/>
    </w:pPr>
  </w:style>
  <w:style w:type="paragraph" w:styleId="1046">
    <w:name w:val="Normal (Web)"/>
    <w:basedOn w:val="1023"/>
    <w:uiPriority w:val="99"/>
    <w:pPr>
      <w:pBdr/>
      <w:spacing w:after="100" w:afterAutospacing="1" w:before="100" w:beforeAutospacing="1"/>
      <w:ind/>
    </w:pPr>
  </w:style>
  <w:style w:type="paragraph" w:styleId="1047">
    <w:name w:val="Body Text"/>
    <w:basedOn w:val="1023"/>
    <w:link w:val="1048"/>
    <w:pPr>
      <w:pBdr/>
      <w:spacing w:after="120"/>
      <w:ind/>
      <w:jc w:val="both"/>
    </w:pPr>
  </w:style>
  <w:style w:type="character" w:styleId="1048" w:customStyle="1">
    <w:name w:val="Body Text Char"/>
    <w:basedOn w:val="1028"/>
    <w:link w:val="1047"/>
    <w:pPr>
      <w:pBdr/>
      <w:spacing/>
      <w:ind/>
    </w:pPr>
    <w:rPr>
      <w:rFonts w:ascii="Times New Roman" w:hAnsi="Times New Roman" w:eastAsia="Times New Roman" w:cs="Times New Roman"/>
      <w:sz w:val="24"/>
      <w:szCs w:val="24"/>
    </w:rPr>
  </w:style>
  <w:style w:type="table" w:styleId="1049">
    <w:name w:val="Table Grid"/>
    <w:basedOn w:val="102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1">
    <w:name w:val="annotation reference"/>
    <w:basedOn w:val="1028"/>
    <w:uiPriority w:val="99"/>
    <w:semiHidden/>
    <w:unhideWhenUsed/>
    <w:pPr>
      <w:pBdr/>
      <w:spacing/>
      <w:ind/>
    </w:pPr>
    <w:rPr>
      <w:sz w:val="16"/>
      <w:szCs w:val="16"/>
    </w:rPr>
  </w:style>
  <w:style w:type="paragraph" w:styleId="1052">
    <w:name w:val="annotation text"/>
    <w:basedOn w:val="1023"/>
    <w:link w:val="1053"/>
    <w:uiPriority w:val="99"/>
    <w:unhideWhenUsed/>
    <w:pPr>
      <w:pBdr/>
      <w:spacing/>
      <w:ind/>
    </w:pPr>
    <w:rPr>
      <w:sz w:val="20"/>
      <w:szCs w:val="20"/>
    </w:rPr>
  </w:style>
  <w:style w:type="character" w:styleId="1053" w:customStyle="1">
    <w:name w:val="Comment Text Char"/>
    <w:basedOn w:val="1028"/>
    <w:link w:val="1052"/>
    <w:uiPriority w:val="99"/>
    <w:pPr>
      <w:pBdr/>
      <w:spacing/>
      <w:ind/>
    </w:pPr>
    <w:rPr>
      <w:rFonts w:ascii="Times New Roman" w:hAnsi="Times New Roman" w:eastAsia="Times New Roman" w:cs="Times New Roman"/>
      <w:sz w:val="20"/>
      <w:szCs w:val="20"/>
    </w:rPr>
  </w:style>
  <w:style w:type="paragraph" w:styleId="1054">
    <w:name w:val="annotation subject"/>
    <w:basedOn w:val="1052"/>
    <w:next w:val="1052"/>
    <w:link w:val="1055"/>
    <w:uiPriority w:val="99"/>
    <w:semiHidden/>
    <w:unhideWhenUsed/>
    <w:pPr>
      <w:pBdr/>
      <w:spacing/>
      <w:ind/>
    </w:pPr>
    <w:rPr>
      <w:b/>
      <w:bCs/>
    </w:rPr>
  </w:style>
  <w:style w:type="character" w:styleId="1055" w:customStyle="1">
    <w:name w:val="Comment Subject Char"/>
    <w:basedOn w:val="1053"/>
    <w:link w:val="1054"/>
    <w:uiPriority w:val="99"/>
    <w:semiHidden/>
    <w:pPr>
      <w:pBdr/>
      <w:spacing/>
      <w:ind/>
    </w:pPr>
    <w:rPr>
      <w:rFonts w:ascii="Times New Roman" w:hAnsi="Times New Roman" w:eastAsia="Times New Roman" w:cs="Times New Roman"/>
      <w:b/>
      <w:bCs/>
      <w:sz w:val="20"/>
      <w:szCs w:val="20"/>
    </w:rPr>
  </w:style>
  <w:style w:type="paragraph" w:styleId="1056" w:customStyle="1">
    <w:name w:val="font5"/>
    <w:basedOn w:val="1023"/>
    <w:pPr>
      <w:pBdr/>
      <w:spacing w:after="100" w:afterAutospacing="1" w:before="100" w:beforeAutospacing="1"/>
      <w:ind/>
    </w:pPr>
    <w:rPr>
      <w:rFonts w:ascii="Tahoma" w:hAnsi="Tahoma" w:cs="Tahoma"/>
      <w:color w:val="000000"/>
      <w:sz w:val="18"/>
      <w:szCs w:val="18"/>
    </w:rPr>
  </w:style>
  <w:style w:type="paragraph" w:styleId="1057" w:customStyle="1">
    <w:name w:val="font6"/>
    <w:basedOn w:val="1023"/>
    <w:pPr>
      <w:pBdr/>
      <w:spacing w:after="100" w:afterAutospacing="1" w:before="100" w:beforeAutospacing="1"/>
      <w:ind/>
    </w:pPr>
    <w:rPr>
      <w:rFonts w:ascii="Tahoma" w:hAnsi="Tahoma" w:cs="Tahoma"/>
      <w:b/>
      <w:bCs/>
      <w:color w:val="000000"/>
      <w:sz w:val="18"/>
      <w:szCs w:val="18"/>
    </w:rPr>
  </w:style>
  <w:style w:type="paragraph" w:styleId="1058" w:customStyle="1">
    <w:name w:val="xl23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34"/>
    <w:basedOn w:val="1023"/>
    <w:pPr>
      <w:pBdr/>
      <w:spacing w:after="100" w:afterAutospacing="1" w:before="100" w:beforeAutospacing="1"/>
      <w:ind/>
      <w:jc w:val="center"/>
    </w:pPr>
  </w:style>
  <w:style w:type="paragraph" w:styleId="1060" w:customStyle="1">
    <w:name w:val="xl235"/>
    <w:basedOn w:val="1023"/>
    <w:pPr>
      <w:pBdr/>
      <w:spacing w:after="100" w:afterAutospacing="1" w:before="100" w:beforeAutospacing="1"/>
      <w:ind/>
      <w:jc w:val="center"/>
    </w:pPr>
    <w:rPr>
      <w:b/>
      <w:bCs/>
    </w:rPr>
  </w:style>
  <w:style w:type="paragraph" w:styleId="1061" w:customStyle="1">
    <w:name w:val="xl236"/>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3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38"/>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3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5" w:customStyle="1">
    <w:name w:val="xl240"/>
    <w:basedOn w:val="1023"/>
    <w:pPr>
      <w:pBdr/>
      <w:spacing w:after="100" w:afterAutospacing="1" w:before="100" w:beforeAutospacing="1"/>
      <w:ind/>
    </w:pPr>
  </w:style>
  <w:style w:type="paragraph" w:styleId="1066" w:customStyle="1">
    <w:name w:val="xl241"/>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42"/>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43"/>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44"/>
    <w:basedOn w:val="1023"/>
    <w:pPr>
      <w:pBdr/>
      <w:spacing w:after="100" w:afterAutospacing="1" w:before="100" w:beforeAutospacing="1"/>
      <w:ind/>
    </w:pPr>
    <w:rPr>
      <w:b/>
      <w:bCs/>
    </w:rPr>
  </w:style>
  <w:style w:type="paragraph" w:styleId="1070" w:customStyle="1">
    <w:name w:val="xl245"/>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4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47"/>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3" w:customStyle="1">
    <w:name w:val="xl24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4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5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5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5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3"/>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4"/>
    <w:basedOn w:val="102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55"/>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1" w:customStyle="1">
    <w:name w:val="xl25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5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8"/>
    <w:basedOn w:val="102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60"/>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61"/>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62"/>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3"/>
    <w:basedOn w:val="1023"/>
    <w:pPr>
      <w:pBdr/>
      <w:shd w:val="clear" w:color="000000" w:fill="ffffff"/>
      <w:spacing w:after="100" w:afterAutospacing="1" w:before="100" w:beforeAutospacing="1"/>
      <w:ind/>
    </w:pPr>
  </w:style>
  <w:style w:type="paragraph" w:styleId="1089" w:customStyle="1">
    <w:name w:val="xl264"/>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65"/>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6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2" w:customStyle="1">
    <w:name w:val="xl26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68"/>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69"/>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7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1"/>
    <w:basedOn w:val="102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7" w:customStyle="1">
    <w:name w:val="xl27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73"/>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74"/>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75"/>
    <w:basedOn w:val="1023"/>
    <w:pPr>
      <w:pBdr/>
      <w:spacing w:after="100" w:afterAutospacing="1" w:before="100" w:beforeAutospacing="1"/>
      <w:ind/>
    </w:pPr>
  </w:style>
  <w:style w:type="paragraph" w:styleId="1101" w:customStyle="1">
    <w:name w:val="xl27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77"/>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3" w:customStyle="1">
    <w:name w:val="xl27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7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8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8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8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8" w:customStyle="1">
    <w:name w:val="xl28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4"/>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5"/>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1" w:customStyle="1">
    <w:name w:val="xl28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customStyle="1">
    <w:name w:val="xl287"/>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8"/>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89"/>
    <w:basedOn w:val="1023"/>
    <w:pPr>
      <w:pBdr>
        <w:left w:val="single" w:color="000000" w:sz="4" w:space="0"/>
        <w:right w:val="single" w:color="000000" w:sz="4" w:space="0"/>
      </w:pBdr>
      <w:spacing w:after="100" w:afterAutospacing="1" w:before="100" w:beforeAutospacing="1"/>
      <w:ind/>
    </w:pPr>
    <w:rPr>
      <w:b/>
      <w:bCs/>
    </w:rPr>
  </w:style>
  <w:style w:type="paragraph" w:styleId="1115" w:customStyle="1">
    <w:name w:val="xl29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6" w:customStyle="1">
    <w:name w:val="xl291"/>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7" w:customStyle="1">
    <w:name w:val="xl292"/>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8" w:customStyle="1">
    <w:name w:val="xl293"/>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94"/>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0">
    <w:name w:val="Title"/>
    <w:basedOn w:val="1023"/>
    <w:link w:val="1121"/>
    <w:qFormat/>
    <w:pPr>
      <w:pBdr/>
      <w:spacing/>
      <w:ind/>
      <w:jc w:val="center"/>
    </w:pPr>
    <w:rPr>
      <w:b/>
      <w:bCs/>
      <w:sz w:val="32"/>
      <w:szCs w:val="26"/>
    </w:rPr>
  </w:style>
  <w:style w:type="character" w:styleId="1121" w:customStyle="1">
    <w:name w:val="Title Char"/>
    <w:basedOn w:val="1028"/>
    <w:link w:val="1120"/>
    <w:pPr>
      <w:pBdr/>
      <w:spacing/>
      <w:ind/>
    </w:pPr>
    <w:rPr>
      <w:rFonts w:ascii="Times New Roman" w:hAnsi="Times New Roman" w:eastAsia="Times New Roman" w:cs="Times New Roman"/>
      <w:b/>
      <w:bCs/>
      <w:sz w:val="32"/>
      <w:szCs w:val="26"/>
    </w:rPr>
  </w:style>
  <w:style w:type="character" w:styleId="1122" w:customStyle="1">
    <w:name w:val="Unresolved Mention1"/>
    <w:basedOn w:val="1028"/>
    <w:uiPriority w:val="99"/>
    <w:semiHidden/>
    <w:unhideWhenUsed/>
    <w:pPr>
      <w:pBdr/>
      <w:spacing/>
      <w:ind/>
    </w:pPr>
    <w:rPr>
      <w:color w:val="605e5c"/>
      <w:shd w:val="clear" w:color="auto" w:fill="e1dfdd"/>
    </w:rPr>
  </w:style>
  <w:style w:type="character" w:styleId="1123" w:customStyle="1">
    <w:name w:val="Body text (3)_"/>
    <w:link w:val="1124"/>
    <w:pPr>
      <w:pBdr/>
      <w:spacing/>
      <w:ind/>
    </w:pPr>
    <w:rPr>
      <w:rFonts w:ascii="Times New Roman" w:hAnsi="Times New Roman" w:cs="Times New Roman"/>
      <w:i/>
      <w:iCs/>
      <w:spacing w:val="4"/>
      <w:shd w:val="clear" w:color="auto" w:fill="ffffff"/>
    </w:rPr>
  </w:style>
  <w:style w:type="paragraph" w:styleId="1124" w:customStyle="1">
    <w:name w:val="Body text (3)1"/>
    <w:basedOn w:val="1023"/>
    <w:link w:val="112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5" w:customStyle="1">
    <w:name w:val="t-j"/>
    <w:basedOn w:val="1023"/>
    <w:pPr>
      <w:pBdr/>
      <w:spacing w:after="100" w:afterAutospacing="1" w:before="100" w:beforeAutospacing="1"/>
      <w:ind/>
    </w:pPr>
  </w:style>
  <w:style w:type="character" w:styleId="1126" w:customStyle="1">
    <w:name w:val="Unresolved Mention2"/>
    <w:basedOn w:val="1028"/>
    <w:uiPriority w:val="99"/>
    <w:semiHidden/>
    <w:unhideWhenUsed/>
    <w:pPr>
      <w:pBdr/>
      <w:spacing/>
      <w:ind/>
    </w:pPr>
    <w:rPr>
      <w:color w:val="605e5c"/>
      <w:shd w:val="clear" w:color="auto" w:fill="e1dfdd"/>
    </w:rPr>
  </w:style>
  <w:style w:type="character" w:styleId="1127">
    <w:name w:val="FollowedHyperlink"/>
    <w:basedOn w:val="1028"/>
    <w:uiPriority w:val="99"/>
    <w:semiHidden/>
    <w:unhideWhenUsed/>
    <w:pPr>
      <w:pBdr/>
      <w:spacing/>
      <w:ind/>
    </w:pPr>
    <w:rPr>
      <w:color w:val="800080" w:themeColor="followedHyperlink"/>
      <w:u w:val="single"/>
    </w:rPr>
  </w:style>
  <w:style w:type="character" w:styleId="1128" w:customStyle="1">
    <w:name w:val="text"/>
    <w:basedOn w:val="1028"/>
    <w:pPr>
      <w:pBdr/>
      <w:spacing/>
      <w:ind/>
    </w:pPr>
  </w:style>
  <w:style w:type="character" w:styleId="1129" w:customStyle="1">
    <w:name w:val="card-send-time__sendtime"/>
    <w:basedOn w:val="1028"/>
    <w:pPr>
      <w:pBdr/>
      <w:spacing/>
      <w:ind/>
    </w:pPr>
  </w:style>
  <w:style w:type="character" w:styleId="1130" w:customStyle="1">
    <w:name w:val="Đề cập Chưa giải quyết1"/>
    <w:basedOn w:val="1028"/>
    <w:uiPriority w:val="99"/>
    <w:semiHidden/>
    <w:unhideWhenUsed/>
    <w:pPr>
      <w:pBdr/>
      <w:spacing/>
      <w:ind/>
    </w:pPr>
    <w:rPr>
      <w:color w:val="605e5c"/>
      <w:shd w:val="clear" w:color="auto" w:fill="e1dfdd"/>
    </w:rPr>
  </w:style>
  <w:style w:type="paragraph" w:styleId="1131" w:customStyle="1">
    <w:name w:val="nqtitle"/>
    <w:basedOn w:val="1023"/>
    <w:pPr>
      <w:pBdr/>
      <w:spacing w:after="100" w:afterAutospacing="1" w:before="100" w:beforeAutospacing="1"/>
      <w:ind/>
    </w:pPr>
    <w:rPr>
      <w:lang w:val="vi-VN" w:eastAsia="vi-VN"/>
    </w:rPr>
  </w:style>
  <w:style w:type="character" w:styleId="1132" w:customStyle="1">
    <w:name w:val="List Paragraph Char"/>
    <w:link w:val="1045"/>
    <w:uiPriority w:val="34"/>
    <w:qFormat/>
    <w:pPr>
      <w:pBdr/>
      <w:spacing/>
      <w:ind/>
    </w:pPr>
    <w:rPr>
      <w:rFonts w:ascii="Times New Roman" w:hAnsi="Times New Roman" w:eastAsia="Times New Roman" w:cs="Times New Roman"/>
      <w:sz w:val="24"/>
      <w:szCs w:val="24"/>
    </w:rPr>
  </w:style>
  <w:style w:type="character" w:styleId="1133" w:customStyle="1">
    <w:name w:val="Đề cập Chưa giải quyết2"/>
    <w:basedOn w:val="1028"/>
    <w:uiPriority w:val="99"/>
    <w:semiHidden/>
    <w:unhideWhenUsed/>
    <w:pPr>
      <w:pBdr/>
      <w:spacing/>
      <w:ind/>
    </w:pPr>
    <w:rPr>
      <w:color w:val="605e5c"/>
      <w:shd w:val="clear" w:color="auto" w:fill="e1dfdd"/>
    </w:rPr>
  </w:style>
  <w:style w:type="character" w:styleId="1134" w:customStyle="1">
    <w:name w:val="Unresolved Mention3"/>
    <w:basedOn w:val="1028"/>
    <w:uiPriority w:val="99"/>
    <w:semiHidden/>
    <w:unhideWhenUsed/>
    <w:pPr>
      <w:pBdr/>
      <w:spacing/>
      <w:ind/>
    </w:pPr>
    <w:rPr>
      <w:color w:val="605e5c"/>
      <w:shd w:val="clear" w:color="auto" w:fill="e1dfdd"/>
    </w:rPr>
  </w:style>
  <w:style w:type="character" w:styleId="1135" w:customStyle="1">
    <w:name w:val="copy"/>
    <w:basedOn w:val="1028"/>
    <w:pPr>
      <w:pBdr/>
      <w:spacing/>
      <w:ind/>
    </w:pPr>
  </w:style>
  <w:style w:type="paragraph" w:styleId="1136" w:customStyle="1">
    <w:name w:val="align-justify"/>
    <w:basedOn w:val="1023"/>
    <w:pPr>
      <w:pBdr/>
      <w:spacing w:after="100" w:afterAutospacing="1" w:before="100" w:beforeAutospacing="1"/>
      <w:ind/>
    </w:pPr>
  </w:style>
  <w:style w:type="character" w:styleId="1137" w:customStyle="1">
    <w:name w:val="btn"/>
    <w:basedOn w:val="1028"/>
    <w:pPr>
      <w:pBdr/>
      <w:spacing/>
      <w:ind/>
    </w:pPr>
  </w:style>
  <w:style w:type="character" w:styleId="1138" w:customStyle="1">
    <w:name w:val="hide_mobile"/>
    <w:basedOn w:val="1028"/>
    <w:pPr>
      <w:pBdr/>
      <w:spacing/>
      <w:ind/>
    </w:pPr>
  </w:style>
  <w:style w:type="character" w:styleId="1139">
    <w:name w:val="Emphasis"/>
    <w:basedOn w:val="1028"/>
    <w:uiPriority w:val="20"/>
    <w:qFormat/>
    <w:pPr>
      <w:pBdr/>
      <w:spacing/>
      <w:ind/>
    </w:pPr>
    <w:rPr>
      <w:i/>
      <w:iCs/>
    </w:rPr>
  </w:style>
  <w:style w:type="character" w:styleId="1140" w:customStyle="1">
    <w:name w:val="t1"/>
    <w:basedOn w:val="1028"/>
    <w:pPr>
      <w:pBdr/>
      <w:spacing/>
      <w:ind/>
    </w:pPr>
  </w:style>
  <w:style w:type="character" w:styleId="1141" w:customStyle="1">
    <w:name w:val="Unresolved Mention4"/>
    <w:basedOn w:val="1028"/>
    <w:uiPriority w:val="99"/>
    <w:semiHidden/>
    <w:unhideWhenUsed/>
    <w:pPr>
      <w:pBdr/>
      <w:spacing/>
      <w:ind/>
    </w:pPr>
    <w:rPr>
      <w:color w:val="605e5c"/>
      <w:shd w:val="clear" w:color="auto" w:fill="e1dfdd"/>
    </w:rPr>
  </w:style>
  <w:style w:type="character" w:styleId="1142">
    <w:name w:val="Unresolved Mention"/>
    <w:basedOn w:val="102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hyperlink" Target="https://batdongsan.com.vn/ban-dat-duong-quoc-lo-43-thi-tran-nong-truong-moc-chau/ban-mat-ql43-tdp-19-8-khu-19-8-cu-phuong-thao-nguyen-chau-pr44562759" TargetMode="External"/><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276</cp:revision>
  <dcterms:created xsi:type="dcterms:W3CDTF">2025-09-15T09:58:00Z</dcterms:created>
  <dcterms:modified xsi:type="dcterms:W3CDTF">2025-12-22T07:21:31Z</dcterms:modified>
</cp:coreProperties>
</file>