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607980" cy="34873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607979" cy="34873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275/2025/1713/VFI-CT.17.A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HOÀNG VĂN BẰNG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w:t>
                            </w:r>
                            <w:r>
                              <w:rPr>
                                <w:color w:val="000000"/>
                              </w:rPr>
                              <w:t xml:space="preserve">uyền sở hữu căn hộ chung cư số 517, Toà S1.11 (Z28) tại địa chỉ: Ô đất B3 - CT05, Toà S1.11 (Z28) Dự án Khu đô thị Gia Lâm - Vinhomes Ocean Park, xã Đa Tốn, huyện Gia Lâm, thành phố Hà Nội (n</w:t>
                            </w:r>
                            <w:r>
                              <w:rPr>
                                <w:i/>
                                <w:iCs/>
                                <w:color w:val="000000"/>
                              </w:rPr>
                              <w:t xml:space="preserve">ay là Xã Gia Lâm, thành phố Hà Nội</w:t>
                            </w:r>
                            <w:r>
                              <w:rPr>
                                <w:color w:val="000000"/>
                              </w:rPr>
                              <w:t xml:space="preserve">) theo Giấy chứng nhận Quyền s</w:t>
                            </w:r>
                            <w:r>
                              <w:rPr>
                                <w:color w:val="000000"/>
                              </w:rPr>
                              <w:t xml:space="preserve">ử dụng đất, quyền sở hữu nhà ở và tài sản khác gắn liền với đất số: DM 393881, số vào sổ cấp GCN: VP 00657 do Văn phòng Đăng ký đất đai Hà Nội cấp ngày 31/8/2023. Chủ tài sản là Ông Hoàng Văn Bằng và Bà Nguyễn Thị Lê.</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41.57pt;height:274.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275/2025/1713/VFI-CT.17.A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HOÀNG VĂN BẰNG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w:t>
                      </w:r>
                      <w:r>
                        <w:rPr>
                          <w:color w:val="000000"/>
                        </w:rPr>
                        <w:t xml:space="preserve">uyền sở hữu căn hộ chung cư số 517, Toà S1.11 (Z28) tại địa chỉ: Ô đất B3 - CT05, Toà S1.11 (Z28) Dự án Khu đô thị Gia Lâm - Vinhomes Ocean Park, xã Đa Tốn, huyện Gia Lâm, thành phố Hà Nội (n</w:t>
                      </w:r>
                      <w:r>
                        <w:rPr>
                          <w:i/>
                          <w:iCs/>
                          <w:color w:val="000000"/>
                        </w:rPr>
                        <w:t xml:space="preserve">ay là Xã Gia Lâm, thành phố Hà Nội</w:t>
                      </w:r>
                      <w:r>
                        <w:rPr>
                          <w:color w:val="000000"/>
                        </w:rPr>
                        <w:t xml:space="preserve">) theo Giấy chứng nhận Quyền s</w:t>
                      </w:r>
                      <w:r>
                        <w:rPr>
                          <w:color w:val="000000"/>
                        </w:rPr>
                        <w:t xml:space="preserve">ử dụng đất, quyền sở hữu nhà ở và tài sản khác gắn liền với đất số: DM 393881, số vào sổ cấp GCN: VP 00657 do Văn phòng Đăng ký đất đai Hà Nội cấp ngày 31/8/2023. Chủ tài sản là Ông Hoàng Văn Bằng và Bà Nguyễn Thị Lê.</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24"/>
              <w:pBdr/>
              <w:spacing w:after="60" w:before="200"/>
              <w:ind/>
              <w:rPr>
                <w:rStyle w:val="1023"/>
                <w:rFonts w:ascii="Times New Roman" w:hAnsi="Times New Roman"/>
                <w:color w:val="auto"/>
                <w:sz w:val="12"/>
                <w:szCs w:val="12"/>
                <w:lang w:val="pt-BR"/>
              </w:rPr>
            </w:pPr>
            <w:r>
              <w:rPr>
                <w:rFonts w:ascii="Times New Roman" w:hAnsi="Times New Roman"/>
                <w:color w:val="auto"/>
                <w:sz w:val="8"/>
                <w:szCs w:val="8"/>
                <w:lang w:val="pt-BR"/>
              </w:rPr>
            </w:r>
            <w:r>
              <w:rPr>
                <w:rStyle w:val="1023"/>
                <w:rFonts w:ascii="Times New Roman" w:hAnsi="Times New Roman"/>
                <w:color w:val="auto"/>
                <w:sz w:val="12"/>
                <w:szCs w:val="12"/>
                <w:lang w:val="pt-BR"/>
              </w:rPr>
            </w:r>
            <w:r>
              <w:rPr>
                <w:rStyle w:val="1023"/>
                <w:rFonts w:ascii="Times New Roman" w:hAnsi="Times New Roman"/>
                <w:color w:val="auto"/>
                <w:sz w:val="12"/>
                <w:szCs w:val="12"/>
                <w:lang w:val="pt-BR"/>
              </w:rPr>
            </w:r>
          </w:p>
          <w:p>
            <w:pPr>
              <w:pStyle w:val="1024"/>
              <w:pBdr/>
              <w:spacing w:after="60" w:before="200"/>
              <w:ind/>
              <w:rPr>
                <w:rFonts w:ascii="Times New Roman" w:hAnsi="Times New Roman" w:cs="Times New Roman"/>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Fonts w:ascii="Times New Roman" w:hAnsi="Times New Roman" w:eastAsia="Times New Roman" w:cs="Times New Roman"/>
                <w:color w:val="081b3a"/>
                <w:spacing w:val="3"/>
                <w:sz w:val="23"/>
                <w:highlight w:val="white"/>
              </w:rPr>
              <w:t xml:space="preserve">275/2025/1713/VFI-CT.17.A</w:t>
            </w:r>
            <w:r>
              <w:rPr>
                <w:rFonts w:ascii="Times New Roman" w:hAnsi="Times New Roman" w:cs="Times New Roman"/>
                <w:sz w:val="24"/>
                <w:szCs w:val="24"/>
              </w:rPr>
            </w:r>
            <w:r>
              <w:rPr>
                <w:rFonts w:ascii="Times New Roman" w:hAnsi="Times New Roman" w:cs="Times New Roman"/>
                <w:sz w:val="24"/>
                <w:szCs w:val="24"/>
              </w:rPr>
            </w:r>
          </w:p>
        </w:tc>
        <w:tc>
          <w:tcPr>
            <w:tcBorders/>
            <w:tcMar>
              <w:left w:w="108" w:type="dxa"/>
              <w:top w:w="0" w:type="dxa"/>
              <w:right w:w="108" w:type="dxa"/>
              <w:bottom w:w="0" w:type="dxa"/>
            </w:tcMar>
            <w:tcW w:w="5536" w:type="dxa"/>
            <w:textDirection w:val="lrTb"/>
            <w:noWrap w:val="false"/>
          </w:tcPr>
          <w:p>
            <w:pPr>
              <w:pStyle w:val="1024"/>
              <w:pBdr/>
              <w:spacing w:after="60" w:before="200"/>
              <w:ind w:right="-56"/>
              <w:rPr>
                <w:rStyle w:val="1023"/>
                <w:rFonts w:ascii="Times New Roman" w:hAnsi="Times New Roman"/>
                <w:i/>
                <w:color w:val="auto"/>
                <w:sz w:val="12"/>
                <w:szCs w:val="12"/>
              </w:rPr>
            </w:pPr>
            <w:r>
              <w:rPr>
                <w:rFonts w:ascii="Times New Roman" w:hAnsi="Times New Roman"/>
                <w:i/>
                <w:color w:val="auto"/>
                <w:sz w:val="8"/>
                <w:szCs w:val="8"/>
              </w:rPr>
            </w:r>
            <w:r>
              <w:rPr>
                <w:rStyle w:val="1023"/>
                <w:rFonts w:ascii="Times New Roman" w:hAnsi="Times New Roman"/>
                <w:i/>
                <w:color w:val="auto"/>
                <w:sz w:val="12"/>
                <w:szCs w:val="12"/>
              </w:rPr>
            </w:r>
            <w:r>
              <w:rPr>
                <w:rStyle w:val="1023"/>
                <w:rFonts w:ascii="Times New Roman" w:hAnsi="Times New Roman"/>
                <w:i/>
                <w:color w:val="auto"/>
                <w:sz w:val="12"/>
                <w:szCs w:val="12"/>
              </w:rPr>
            </w:r>
          </w:p>
          <w:p>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03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HOÀNG VĂN BẰNG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300"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b w:val="0"/>
          <w:bCs w:val="0"/>
          <w:spacing w:val="-4"/>
          <w:sz w:val="24"/>
          <w:szCs w:val="24"/>
          <w:lang w:val="vi-VN"/>
        </w:rPr>
        <w:t xml:space="preserve"> </w:t>
      </w:r>
      <w:r>
        <w:rPr>
          <w:b w:val="0"/>
          <w:bCs w:val="0"/>
          <w:color w:val="000000" w:themeColor="text1"/>
          <w:sz w:val="24"/>
          <w:szCs w:val="24"/>
        </w:rPr>
        <w:t xml:space="preserve">275/2025/1713/VFI-CT.17.A</w:t>
      </w:r>
      <w:r>
        <w:rPr>
          <w:b w:val="0"/>
          <w:bCs w:val="0"/>
          <w:spacing w:val="-4"/>
          <w:sz w:val="24"/>
          <w:szCs w:val="24"/>
          <w:lang w:val="vi-VN"/>
        </w:rPr>
        <w:t xml:space="preserve"> ký </w:t>
      </w:r>
      <w:r>
        <w:rPr>
          <w:spacing w:val="-4"/>
          <w:lang w:val="vi-VN"/>
        </w:rPr>
        <w:t xml:space="preserve">ngày </w:t>
      </w:r>
      <w:r>
        <w:rPr>
          <w:color w:val="000000" w:themeColor="text1"/>
          <w:spacing w:val="-4"/>
        </w:rPr>
        <w:t xml:space="preserve">01 tháng 12 năm 2025</w:t>
      </w:r>
      <w:r>
        <w:rPr>
          <w:spacing w:val="-4"/>
          <w:lang w:val="vi-VN"/>
        </w:rPr>
        <w:t xml:space="preserve"> </w:t>
      </w:r>
      <w:r>
        <w:rPr>
          <w:spacing w:val="-4"/>
          <w:lang w:val="vi-VN"/>
        </w:rPr>
        <w:t xml:space="preserve">giữa </w:t>
      </w:r>
      <w:r>
        <w:rPr>
          <w:bCs/>
        </w:rPr>
        <w:t xml:space="preserve">Ông Hoàng Văn Bằng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300" w:lineRule="auto"/>
        <w:ind w:firstLine="432"/>
        <w:jc w:val="both"/>
        <w:rPr>
          <w:spacing w:val="-2"/>
        </w:rPr>
      </w:pPr>
      <w:r>
        <w:rPr>
          <w:spacing w:val="-2"/>
          <w:lang w:val="pt-BR"/>
        </w:rPr>
        <w:t xml:space="preserve">Căn cứ Báo cáo thẩm định giá</w:t>
      </w:r>
      <w:r>
        <w:rPr>
          <w:rFonts w:ascii="Times New Roman" w:hAnsi="Times New Roman" w:eastAsia="Times New Roman" w:cs="Times New Roman"/>
          <w:spacing w:val="-2"/>
          <w:lang w:val="pt-BR"/>
        </w:rPr>
        <w:t xml:space="preserve"> số</w:t>
      </w:r>
      <w:r>
        <w:rPr>
          <w:rFonts w:ascii="Times New Roman" w:hAnsi="Times New Roman" w:eastAsia="Times New Roman" w:cs="Times New Roman"/>
          <w:spacing w:val="-2"/>
          <w:lang w:val="vi-VN"/>
        </w:rPr>
        <w:t xml:space="preserve"> </w:t>
      </w:r>
      <w:r>
        <w:rPr>
          <w:rFonts w:ascii="Times New Roman" w:hAnsi="Times New Roman" w:eastAsia="Times New Roman" w:cs="Times New Roman"/>
          <w:color w:val="081b3a"/>
          <w:spacing w:val="3"/>
          <w:sz w:val="23"/>
          <w:highlight w:val="white"/>
        </w:rPr>
        <w:t xml:space="preserve">275/2025/1713/VFI-BC.17.A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ng</w:t>
      </w:r>
      <w:r>
        <w:rPr>
          <w:spacing w:val="-2"/>
          <w:lang w:val="pt-BR"/>
        </w:rPr>
        <w:t xml:space="preserve">ày</w:t>
      </w:r>
      <w:r>
        <w:rPr>
          <w:spacing w:val="-2"/>
          <w:lang w:val="vi-VN"/>
        </w:rPr>
        <w:t xml:space="preserve"> </w:t>
      </w:r>
      <w:r>
        <w:rPr>
          <w:color w:val="000000" w:themeColor="text1"/>
          <w:spacing w:val="-2"/>
        </w:rPr>
        <w:t xml:space="preserve">03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300"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HOÀNG VĂN BẰNG</w:t>
            </w:r>
            <w:r>
              <w:rPr>
                <w:rFonts w:ascii="Arial" w:hAnsi="Arial" w:eastAsia="Arial" w:cs="Arial"/>
                <w:color w:val="081b3a"/>
                <w:spacing w:val="3"/>
                <w:sz w:val="23"/>
                <w:highlight w:val="white"/>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033064007244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Xã Nguyễn Trãi, tỉnh Hưng Yên, Việt Nam</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pacing w:val="-2"/>
                <w:sz w:val="24"/>
              </w:rPr>
              <w:t xml:space="preserve">BT5-23 Khu đô thị mới Văn Phú, phường Kiến Hưng, thành phố Hà Nội</w:t>
            </w: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pPr>
        <w:pBdr/>
        <w:spacing w:after="120" w:before="120" w:line="324"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w:t>
      </w:r>
      <w:r>
        <w:rPr>
          <w:color w:val="000000"/>
        </w:rPr>
        <w:t xml:space="preserve">uyền sở hữu căn hộ chung cư số 517, Toà S1.11 (Z28) tại địa chỉ: Ô đất B3 - CT05, Toà S1.11 (Z28) Dự án Khu đô thị Gia Lâm - Vinhomes Ocean Park, xã Đa Tốn, huyện Gia Lâm, thành phố Hà Nội (n</w:t>
      </w:r>
      <w:r>
        <w:rPr>
          <w:i/>
          <w:iCs/>
          <w:color w:val="000000"/>
        </w:rPr>
        <w:t xml:space="preserve">ay là Xã Gia Lâm, thành phố Hà Nội</w:t>
      </w:r>
      <w:r>
        <w:rPr>
          <w:color w:val="000000"/>
        </w:rPr>
        <w:t xml:space="preserve">) theo Giấy chứng nhận Quyền s</w:t>
      </w:r>
      <w:r>
        <w:rPr>
          <w:color w:val="000000"/>
        </w:rPr>
        <w:t xml:space="preserve">ử dụng đất, quyền sở hữu nhà ở và tài sản khác gắn liền với đất số: DM 393881, số vào sổ cấp GCN: VP 00657 do Văn phòng Đăng ký đất đai Hà Nội cấp ngày 31/8/2023. Chủ tài sản là Ông Hoàng Văn Bằng và Bà Nguyễn Thị Lê</w:t>
      </w:r>
      <w:r>
        <w:rPr>
          <w:color w:val="000000"/>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24"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24"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24"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24"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24"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24"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24"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24"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6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8"/>
        <w:gridCol w:w="2025"/>
        <w:gridCol w:w="1802"/>
        <w:gridCol w:w="3013"/>
        <w:gridCol w:w="2164"/>
      </w:tblGrid>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3013"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40" w:type="dxa"/>
            <w:vAlign w:val="center"/>
            <w:textDirection w:val="lrTb"/>
            <w:noWrap w:val="false"/>
          </w:tcPr>
          <w:p>
            <w:pPr>
              <w:pBdr/>
              <w:spacing w:line="324" w:lineRule="auto"/>
              <w:ind/>
              <w:jc w:val="both"/>
              <w:rPr>
                <w:b/>
                <w:bCs/>
              </w:rPr>
            </w:pPr>
            <w:r>
              <w:rPr>
                <w:b/>
                <w:bCs/>
                <w:color w:val="000000"/>
              </w:rPr>
              <w:t xml:space="preserve">Q</w:t>
            </w:r>
            <w:r>
              <w:rPr>
                <w:b/>
                <w:bCs/>
                <w:color w:val="000000"/>
              </w:rPr>
              <w:t xml:space="preserve">uyền sở hữu căn hộ chung cư số 7517, Toà S1.11 (Z28) tại địa chỉ: Ô đất B3 - CT05, Toà S1.11 (Z28) Dự án Khu đô thị Gia Lâm - Vinhomes Ocean Park, xã Đa Tốn, huyện Gia Lâm, thành phố Hà Nội (</w:t>
            </w:r>
            <w:r>
              <w:rPr>
                <w:b/>
                <w:bCs/>
                <w:i/>
                <w:iCs/>
                <w:color w:val="000000"/>
              </w:rPr>
              <w:t xml:space="preserve">n</w:t>
            </w:r>
            <w:r>
              <w:rPr>
                <w:b/>
                <w:bCs/>
                <w:i/>
                <w:iCs/>
                <w:color w:val="000000"/>
              </w:rPr>
              <w:t xml:space="preserve">a</w:t>
            </w:r>
            <w:r>
              <w:rPr>
                <w:b/>
                <w:bCs/>
                <w:i/>
                <w:iCs/>
                <w:color w:val="000000"/>
              </w:rPr>
              <w:t xml:space="preserve">y là Xã Gia Lâm, thành phố Hà Nội</w:t>
            </w:r>
            <w:r>
              <w:rPr>
                <w:b/>
                <w:bCs/>
                <w:color w:val="000000"/>
              </w:rPr>
              <w:t xml:space="preserve">) theo Giấy chứng nhận Quyền s</w:t>
            </w:r>
            <w:r>
              <w:rPr>
                <w:b/>
                <w:bCs/>
                <w:color w:val="000000"/>
              </w:rPr>
              <w:t xml:space="preserve">ử dụng đất, quyền sở hữu nhà ở và tài sản khác gắn liền với đất số: DM 393881, số vào sổ cấp GCN: VP 00657 do Văn phòng Đăng ký đất đai Hà Nội cấp ngày 31/8/2023. Chủ tài sản là Ông Hoàng Văn Bằng và Bà Nguyễn Thị Lê.</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54,7</w:t>
            </w:r>
            <w:r>
              <w:rPr>
                <w:color w:val="000000"/>
              </w:rPr>
            </w:r>
            <w:r>
              <w:rPr>
                <w:color w:val="000000"/>
              </w:rPr>
            </w:r>
          </w:p>
        </w:tc>
        <w:tc>
          <w:tcPr>
            <w:shd w:val="clear" w:color="000000" w:fill="ffffff"/>
            <w:tcBorders/>
            <w:tcW w:w="3013" w:type="dxa"/>
            <w:vAlign w:val="center"/>
            <w:textDirection w:val="lrTb"/>
            <w:noWrap w:val="false"/>
          </w:tcPr>
          <w:p>
            <w:pPr>
              <w:pBdr/>
              <w:spacing w:after="40" w:before="40" w:line="288" w:lineRule="auto"/>
              <w:ind/>
              <w:jc w:val="center"/>
              <w:rPr/>
            </w:pPr>
            <w:r>
              <w:rPr>
                <w:color w:val="000000" w:themeColor="text1"/>
              </w:rPr>
              <w:t xml:space="preserve">59.000.000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3.227.300.000</w:t>
            </w:r>
            <w:r/>
          </w:p>
        </w:tc>
      </w:tr>
      <w:tr>
        <w:trPr>
          <w:trHeight w:val="20"/>
        </w:trPr>
        <w:tc>
          <w:tcPr>
            <w:gridSpan w:val="4"/>
            <w:tcBorders/>
            <w:tcW w:w="748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3.227.300.000</w:t>
            </w:r>
            <w:r>
              <w:rPr>
                <w:b/>
                <w:bCs/>
                <w:color w:val="000000"/>
              </w:rPr>
            </w:r>
            <w:r>
              <w:rPr>
                <w:b/>
                <w:bCs/>
                <w:color w:val="000000"/>
              </w:rPr>
            </w:r>
          </w:p>
        </w:tc>
      </w:tr>
      <w:tr>
        <w:trPr>
          <w:trHeight w:val="20"/>
        </w:trPr>
        <w:tc>
          <w:tcPr>
            <w:gridSpan w:val="4"/>
            <w:tcBorders/>
            <w:tcW w:w="748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3.227.300.000</w:t>
            </w:r>
            <w:r>
              <w:rPr>
                <w:b/>
                <w:bCs/>
                <w:color w:val="000000"/>
              </w:rPr>
            </w:r>
            <w:r>
              <w:rPr>
                <w:b/>
                <w:bCs/>
                <w:color w:val="000000"/>
              </w:rPr>
            </w:r>
          </w:p>
        </w:tc>
      </w:tr>
      <w:tr>
        <w:trPr>
          <w:trHeight w:val="20"/>
        </w:trPr>
        <w:tc>
          <w:tcPr>
            <w:gridSpan w:val="5"/>
            <w:tcBorders/>
            <w:tcW w:w="9652"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hai trăm hai mươi bảy triệu, ba trăm nghìn</w:t>
            </w:r>
            <w:r>
              <w:rPr>
                <w:b/>
                <w:bCs/>
                <w:i/>
                <w:iCs/>
                <w:color w:val="000000"/>
              </w:rPr>
              <w:t xml:space="preserve">./.)</w:t>
            </w:r>
            <w:r>
              <w:rPr>
                <w:b/>
                <w:bCs/>
                <w:i/>
                <w:iCs/>
                <w:color w:val="000000"/>
              </w:rPr>
            </w:r>
            <w:r>
              <w:rPr>
                <w:b/>
                <w:bCs/>
                <w:i/>
                <w:iCs/>
                <w:color w:val="000000"/>
              </w:rPr>
            </w:r>
          </w:p>
        </w:tc>
      </w:tr>
    </w:tbl>
    <w:p>
      <w:pPr>
        <w:pBdr/>
        <w:spacing w:after="120" w:before="120" w:line="324"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24"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24" w:lineRule="auto"/>
        <w:ind/>
        <w:rPr/>
      </w:pPr>
      <w:r>
        <w:rPr>
          <w:b/>
          <w:bCs/>
          <w:lang w:val="vi-VN"/>
        </w:rPr>
        <w:t xml:space="preserve">11. Những điều khoản loại trừ và hạn chế của kết quả thẩm định giá:</w:t>
      </w:r>
      <w:r/>
    </w:p>
    <w:p>
      <w:pPr>
        <w:pBdr/>
        <w:spacing w:after="120" w:before="120" w:line="324"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24"/>
              <w:pBdr/>
              <w:tabs>
                <w:tab w:val="left" w:leader="none" w:pos="5103"/>
              </w:tabs>
              <w:spacing w:before="100" w:line="360" w:lineRule="auto"/>
              <w:ind/>
              <w:jc w:val="left"/>
              <w:rPr>
                <w:sz w:val="16"/>
                <w:szCs w:val="16"/>
              </w:rPr>
            </w:pPr>
            <w:r>
              <w:rPr>
                <w:sz w:val="16"/>
                <w:szCs w:val="16"/>
              </w:rPr>
            </w:r>
            <w:r>
              <w:rPr>
                <w:sz w:val="16"/>
                <w:szCs w:val="16"/>
              </w:rPr>
            </w:r>
            <w:r>
              <w:rPr>
                <w:sz w:val="16"/>
                <w:szCs w:val="16"/>
              </w:rPr>
            </w:r>
          </w:p>
          <w:p>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rFonts w:ascii="Times New Roman" w:hAnsi="Times New Roman" w:eastAsia="Times New Roman" w:cs="Times New Roman"/>
                <w:color w:val="081b3a"/>
                <w:spacing w:val="3"/>
                <w:sz w:val="23"/>
                <w:highlight w:val="white"/>
              </w:rPr>
              <w:t xml:space="preserve">275/2025/1713/VFI-BC.17.A</w:t>
            </w:r>
            <w:r>
              <w:rPr>
                <w:sz w:val="24"/>
                <w:szCs w:val="24"/>
              </w:rPr>
            </w:r>
            <w:r>
              <w:rPr>
                <w:sz w:val="24"/>
                <w:szCs w:val="24"/>
              </w:rPr>
            </w:r>
          </w:p>
        </w:tc>
        <w:tc>
          <w:tcPr>
            <w:tcBorders/>
            <w:tcW w:w="4781" w:type="dxa"/>
            <w:textDirection w:val="lrTb"/>
            <w:noWrap w:val="false"/>
          </w:tcPr>
          <w:p>
            <w:pPr>
              <w:pStyle w:val="1024"/>
              <w:pBdr/>
              <w:tabs>
                <w:tab w:val="left" w:leader="none" w:pos="5103"/>
              </w:tabs>
              <w:spacing w:before="100" w:line="360" w:lineRule="auto"/>
              <w:ind/>
              <w:jc w:val="right"/>
              <w:rPr>
                <w:rStyle w:val="1023"/>
                <w:rFonts w:ascii="Times New Roman" w:hAnsi="Times New Roman"/>
                <w:i/>
                <w:color w:val="auto"/>
                <w:sz w:val="16"/>
                <w:szCs w:val="16"/>
              </w:rPr>
            </w:pPr>
            <w:r>
              <w:rPr>
                <w:rFonts w:ascii="Times New Roman" w:hAnsi="Times New Roman"/>
                <w:i/>
                <w:color w:val="auto"/>
                <w:sz w:val="12"/>
                <w:szCs w:val="12"/>
              </w:rPr>
            </w:r>
            <w:r>
              <w:rPr>
                <w:rStyle w:val="1023"/>
                <w:rFonts w:ascii="Times New Roman" w:hAnsi="Times New Roman"/>
                <w:i/>
                <w:color w:val="auto"/>
                <w:sz w:val="16"/>
                <w:szCs w:val="16"/>
              </w:rPr>
            </w:r>
            <w:r>
              <w:rPr>
                <w:rStyle w:val="1023"/>
                <w:rFonts w:ascii="Times New Roman" w:hAnsi="Times New Roman"/>
                <w:i/>
                <w:color w:val="auto"/>
                <w:sz w:val="16"/>
                <w:szCs w:val="16"/>
              </w:rPr>
            </w:r>
          </w:p>
          <w:p>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03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posOffset>0</wp:posOffset>
                </wp:positionH>
                <wp:positionV relativeFrom="page">
                  <wp:posOffset>57150</wp:posOffset>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argin-left:0.00pt;mso-position-horizontal:absolute;mso-position-vertical-relative:page;margin-top:4.50pt;mso-position-vertical:absolute;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w:t>
      </w:r>
      <w:r>
        <w:rPr>
          <w:rFonts w:ascii="Times New Roman" w:hAnsi="Times New Roman" w:eastAsia="Times New Roman" w:cs="Times New Roman"/>
          <w:b w:val="0"/>
          <w:bCs w:val="0"/>
          <w:i/>
          <w:iCs/>
          <w:spacing w:val="-6"/>
          <w:sz w:val="24"/>
          <w:szCs w:val="24"/>
          <w:lang w:val="pt-BR"/>
        </w:rPr>
        <w:t xml:space="preserve"> giá số:</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color w:val="081b3a"/>
          <w:spacing w:val="3"/>
          <w:sz w:val="24"/>
          <w:szCs w:val="24"/>
          <w:highlight w:val="white"/>
        </w:rPr>
        <w:t xml:space="preserve">275/2025/1713/VFI-CT.17.A</w:t>
      </w:r>
      <w:r>
        <w:rPr>
          <w:rFonts w:ascii="Times New Roman" w:hAnsi="Times New Roman" w:eastAsia="Times New Roman" w:cs="Times New Roman"/>
          <w:b w:val="0"/>
          <w:bCs w:val="0"/>
          <w:i/>
          <w:iCs/>
          <w:color w:val="000000" w:themeColor="text1"/>
          <w:spacing w:val="-6"/>
          <w:sz w:val="24"/>
          <w:szCs w:val="24"/>
          <w:lang w:val="pt-BR"/>
        </w:rPr>
        <w:t xml:space="preserve"> </w:t>
      </w:r>
      <w:r>
        <w:rPr>
          <w:rFonts w:ascii="Times New Roman" w:hAnsi="Times New Roman" w:eastAsia="Times New Roman" w:cs="Times New Roman"/>
          <w:b w:val="0"/>
          <w:bCs w:val="0"/>
          <w:i/>
          <w:iCs/>
          <w:color w:val="000000" w:themeColor="text1"/>
          <w:spacing w:val="-6"/>
          <w:sz w:val="24"/>
          <w:szCs w:val="24"/>
          <w:lang w:val="pt-BR"/>
        </w:rPr>
        <w:t xml:space="preserve">ngày 03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552"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pacing w:val="-2"/>
                <w:sz w:val="24"/>
              </w:rPr>
              <w:t xml:space="preserve">BT5-23 Khu đô thị mới Văn Phú, phường Kiến Hưng,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52"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552"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vMerge w:val="restart"/>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HOÀNG VĂN BẰNG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033064007244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Xã Nguyễn Trãi, tỉnh Hưng Yên, Việt Nam</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jc w:val="both"/>
              <w:rPr/>
            </w:pPr>
            <w:r>
              <w:rPr>
                <w:color w:val="000000"/>
              </w:rPr>
              <w:t xml:space="preserve">Q</w:t>
            </w:r>
            <w:r>
              <w:rPr>
                <w:color w:val="000000"/>
              </w:rPr>
              <w:t xml:space="preserve">uyền sở hữu căn hộ chung cư số 7517, Toà S1.11 (Z28) tại địa chỉ: Ô đất B3 - CT05, Toà S1.11 (Z28) Dự án Khu đô thị Gia Lâm - Vinhomes Ocean Park, xã Đa Tốn, huyện Gia Lâm, thành phố Hà Nội (n</w:t>
            </w:r>
            <w:r>
              <w:rPr>
                <w:i/>
                <w:iCs/>
                <w:color w:val="000000"/>
              </w:rPr>
              <w:t xml:space="preserve">ay là xã Gia Lâm, thành phố Hà Nội</w:t>
            </w:r>
            <w:r>
              <w:rPr>
                <w:color w:val="000000"/>
              </w:rPr>
              <w:t xml:space="preserve">) theo Giấy chứng nhận Quyền s</w:t>
            </w:r>
            <w:r>
              <w:rPr>
                <w:color w:val="000000"/>
              </w:rPr>
              <w:t xml:space="preserve">ử dụng đất, quyền sở hữu nhà ở và tài sản khác gắn liền với đất số: DM 393881, số vào sổ cấp GCN: VP 00657 do Văn phòng Đăng ký đất đai Hà Nội cấp ngày 31/8/2023. Chủ tài sản là ông Hoàng Văn Bằng và bà Nguyễn Thị Lê</w:t>
            </w:r>
            <w:r>
              <w:rPr>
                <w:bCs/>
                <w:spacing w:val="2"/>
              </w:rPr>
              <w:t xml:space="preserve">.</w:t>
            </w:r>
            <w:r>
              <w:rPr>
                <w:b/>
                <w:bCs/>
                <w:spacing w:val="2"/>
                <w:lang w:val="vi-VN"/>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Đa Tốn, Huyện Gia Lâm,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418" w:lineRule="atLeast"/>
              <w:ind w:right="0" w:firstLine="0" w:left="0"/>
              <w:rPr>
                <w:rFonts w:ascii="Times New Roman" w:hAnsi="Times New Roman" w:cs="Times New Roman"/>
                <w:sz w:val="24"/>
                <w:szCs w:val="24"/>
              </w:rPr>
            </w:pPr>
            <w:r>
              <w:rPr>
                <w:rFonts w:ascii="Times New Roman" w:hAnsi="Times New Roman" w:eastAsia="Times New Roman" w:cs="Times New Roman"/>
                <w:color w:val="auto"/>
                <w:sz w:val="24"/>
                <w:szCs w:val="24"/>
              </w:rPr>
              <w:t xml:space="preserve">(</w:t>
            </w:r>
            <w:r>
              <w:rPr>
                <w:rFonts w:ascii="Times New Roman" w:hAnsi="Times New Roman" w:eastAsia="Times New Roman" w:cs="Times New Roman"/>
                <w:color w:val="1f1f1f"/>
                <w:sz w:val="24"/>
                <w:szCs w:val="24"/>
              </w:rPr>
              <w:t xml:space="preserve">20°59'46.1"N 105°56'39.4"E</w:t>
            </w:r>
            <w:r>
              <w:rPr>
                <w:rFonts w:ascii="Times New Roman" w:hAnsi="Times New Roman" w:eastAsia="Times New Roman" w:cs="Times New Roman"/>
                <w:color w:val="auto"/>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w:t>
      </w:r>
      <w:r>
        <w:rPr>
          <w:color w:val="000000"/>
        </w:rPr>
        <w:t xml:space="preserve">ử dụng đất, quyền sở hữu nhà ở và tài sản khác gắn liền với đất số: DM 393881, số vào sổ cấp GCN: VP 00657 do Văn phòng Đăng ký đất đai Hà Nội cấp ngày 31/8/2023. Chủ tài sản là ông Hoàng Văn Bằng và bà Nguyễn Thị Lê</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b w:val="0"/>
          <w:bCs w:val="0"/>
          <w:spacing w:val="-4"/>
          <w:sz w:val="24"/>
          <w:szCs w:val="24"/>
          <w:lang w:val="vi-VN"/>
        </w:rPr>
        <w:t xml:space="preserve"> </w:t>
      </w:r>
      <w:r>
        <w:rPr>
          <w:b w:val="0"/>
          <w:bCs w:val="0"/>
          <w:color w:val="000000" w:themeColor="text1"/>
          <w:sz w:val="24"/>
          <w:szCs w:val="24"/>
        </w:rPr>
        <w:t xml:space="preserve">275/2025/1713/VFI-CT.17.A</w:t>
      </w:r>
      <w:r>
        <w:rPr>
          <w:b w:val="0"/>
          <w:bCs w:val="0"/>
          <w:spacing w:val="-4"/>
          <w:sz w:val="24"/>
          <w:szCs w:val="24"/>
          <w:lang w:val="vi-VN"/>
        </w:rPr>
        <w:t xml:space="preserve"> ký </w:t>
      </w:r>
      <w:r>
        <w:rPr>
          <w:spacing w:val="-4"/>
          <w:lang w:val="vi-VN"/>
        </w:rPr>
        <w:t xml:space="preserve">ngày </w:t>
      </w:r>
      <w:r>
        <w:rPr>
          <w:color w:val="000000" w:themeColor="text1"/>
          <w:spacing w:val="-4"/>
        </w:rPr>
        <w:t xml:space="preserve">01 tháng 12 năm 2025</w:t>
      </w:r>
      <w:r>
        <w:rPr>
          <w:spacing w:val="-4"/>
          <w:lang w:val="vi-VN"/>
        </w:rPr>
        <w:t xml:space="preserve"> </w:t>
      </w:r>
      <w:r>
        <w:rPr>
          <w:spacing w:val="-4"/>
          <w:lang w:val="vi-VN"/>
        </w:rPr>
        <w:t xml:space="preserve">giữa </w:t>
      </w:r>
      <w:r>
        <w:rPr>
          <w:bCs/>
        </w:rPr>
        <w:t xml:space="preserve">Ông Hoàng Văn Bằng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rFonts w:ascii="Times New Roman" w:hAnsi="Times New Roman" w:cs="Times New Roman"/>
          <w:b/>
          <w:bCs/>
          <w:color w:val="000000" w:themeColor="text1"/>
          <w:sz w:val="24"/>
          <w:szCs w:val="24"/>
        </w:rPr>
      </w:pPr>
      <w:r>
        <w:rPr>
          <w:color w:val="000000" w:themeColor="text1"/>
        </w:rPr>
      </w:r>
      <w:hyperlink r:id="rId15" w:tooltip="Thị trường bất động sản Hà Nội quý III/2025: Giao dịch căn hộ thứ cấp lập đỉnh, đất nền tiếp tục trầm lắng" w:history="1">
        <w:r>
          <w:rPr>
            <w:rFonts w:ascii="Times New Roman" w:hAnsi="Times New Roman" w:eastAsia="Times New Roman" w:cs="Times New Roman"/>
            <w:b/>
            <w:bCs/>
            <w:color w:val="000000" w:themeColor="text1"/>
            <w:sz w:val="24"/>
            <w:szCs w:val="24"/>
          </w:rPr>
        </w:r>
        <w:r>
          <w:rPr>
            <w:rStyle w:val="1015"/>
            <w:rFonts w:ascii="Times New Roman" w:hAnsi="Times New Roman" w:eastAsia="Times New Roman" w:cs="Times New Roman"/>
            <w:b/>
            <w:bCs/>
            <w:color w:val="000000" w:themeColor="text1"/>
            <w:sz w:val="24"/>
            <w:szCs w:val="24"/>
            <w:u w:val="none"/>
          </w:rPr>
          <w:t xml:space="preserve">Thị trường bất động sản Hà Nội quý III/2025: Giao dịch căn hộ thứ cấp lập đỉnh, đất nền tiếp tục trầm lắng</w:t>
        </w:r>
      </w:hyperlink>
      <w:r>
        <w:rPr>
          <w:rFonts w:ascii="Times New Roman" w:hAnsi="Times New Roman" w:cs="Times New Roman"/>
          <w:b/>
          <w:bCs/>
          <w:color w:val="000000" w:themeColor="text1"/>
          <w:sz w:val="24"/>
          <w:szCs w:val="24"/>
        </w:rPr>
        <w:t xml:space="preserve">.</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rFonts w:ascii="Times New Roman" w:hAnsi="Times New Roman" w:cs="Times New Roman"/>
          <w:b/>
          <w:bCs/>
          <w:i/>
          <w:color w:val="000000" w:themeColor="text1"/>
          <w:sz w:val="24"/>
          <w:szCs w:val="24"/>
        </w:rPr>
      </w:pPr>
      <w:r>
        <w:rPr>
          <w:b/>
          <w:bCs/>
          <w:i/>
          <w:iCs/>
          <w:color w:val="000000" w:themeColor="text1"/>
          <w:lang w:val="pt-BR" w:bidi="pt-BR"/>
        </w:rPr>
      </w:r>
      <w:r>
        <w:rPr>
          <w:rFonts w:ascii="Times New Roman" w:hAnsi="Times New Roman" w:eastAsia="Times New Roman" w:cs="Times New Roman"/>
          <w:b/>
          <w:bCs/>
          <w:i/>
          <w:iCs/>
          <w:color w:val="000000" w:themeColor="text1"/>
          <w:sz w:val="24"/>
          <w:szCs w:val="24"/>
        </w:rPr>
        <w:t xml:space="preserve">Thị trường bất động sản Hà Nội trong quý III/2025 ghi nhận sự phân hóa rõ nét: giao dịch căn hộ thứ cấp tăng mạnh, trong khi đất nền và nhà thổ cư tiếp tục sụt giảm do giá neo cao và thanh khoản yếu.</w:t>
      </w:r>
      <w:r>
        <w:rPr>
          <w:rFonts w:ascii="Times New Roman" w:hAnsi="Times New Roman" w:eastAsia="Times New Roman" w:cs="Times New Roman"/>
          <w:b/>
          <w:bCs/>
          <w:i/>
          <w:iCs/>
          <w:color w:val="000000" w:themeColor="text1"/>
          <w:sz w:val="24"/>
          <w:szCs w:val="24"/>
        </w:rPr>
      </w:r>
      <w:r>
        <w:rPr>
          <w:rFonts w:ascii="Times New Roman" w:hAnsi="Times New Roman" w:cs="Times New Roman"/>
          <w:b/>
          <w:bCs/>
          <w:i/>
          <w:iCs/>
          <w:color w:val="000000" w:themeColor="text1"/>
          <w:sz w:val="24"/>
          <w:szCs w:val="24"/>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b/>
          <w:bCs/>
          <w:i/>
          <w:color w:val="000000" w:themeColor="text1"/>
          <w14:ligatures w14:val="none"/>
        </w:rPr>
      </w:pPr>
      <w:r>
        <w:rPr>
          <w:b/>
          <w:bCs/>
          <w:i/>
          <w:iCs/>
          <w:color w:val="000000" w:themeColor="text1"/>
          <w:lang w:val="pt-BR"/>
        </w:rPr>
        <w:t xml:space="preserve">Căn hộ thứ cấp dẫn dắt thị trường</w:t>
      </w:r>
      <w:r>
        <w:rPr>
          <w:b/>
          <w:bCs/>
          <w:i/>
          <w:iCs/>
          <w:color w:val="000000" w:themeColor="text1"/>
          <w:lang w:val="pt-BR"/>
        </w:rPr>
      </w:r>
      <w:r>
        <w:rPr>
          <w:b/>
          <w:bCs/>
          <w:i/>
          <w:iCs/>
          <w:color w:val="000000" w:themeColor="text1"/>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color w:val="000000" w:themeColor="text1"/>
          <w14:ligatures w14:val="none"/>
        </w:rPr>
      </w:pPr>
      <w:r>
        <w:rPr>
          <w:color w:val="000000" w:themeColor="text1"/>
          <w:lang w:val="pt-BR"/>
        </w:rPr>
        <w:t xml:space="preserve">Theo báo cáo </w:t>
      </w:r>
      <w:r>
        <w:rPr>
          <w:color w:val="000000" w:themeColor="text1"/>
          <w:lang w:val="pt-BR"/>
        </w:rPr>
        <w:t xml:space="preserve">Tổng quan thị trường căn hộ thứ cấp và thổ cư Hà Nội quý III/2025</w:t>
      </w:r>
      <w:r>
        <w:rPr>
          <w:color w:val="000000" w:themeColor="text1"/>
          <w:lang w:val="pt-BR"/>
        </w:rPr>
        <w:t xml:space="preserve"> của Trung tâm Nghiên cứu thị trường và Am hiểu khách hàng One Mount Group, quý vừa qua, dòng tiền tiếp tục tập trung mạnh vào phân khúc chung cư - cả sơ cấp lẫn thứ cấp.</w:t>
      </w:r>
      <w:r>
        <w:rPr>
          <w:color w:val="000000" w:themeColor="text1"/>
          <w:lang w:val="pt-BR"/>
        </w:rPr>
      </w:r>
      <w:r>
        <w:rPr>
          <w:color w:val="000000" w:themeColor="text1"/>
          <w:lang w:val="pt-BR" w:bidi="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color w:val="000000" w:themeColor="text1"/>
          <w14:ligatures w14:val="none"/>
        </w:rPr>
      </w:pPr>
      <w:r>
        <w:rPr>
          <w:color w:val="000000" w:themeColor="text1"/>
          <w:lang w:val="pt-BR"/>
        </w:rPr>
        <w:t xml:space="preserve">Toàn thị trường ghi nhận khoảng10.700 giao dịch căn hộ thứ cấp, tăng 14% so với cùng kỳ năm trước và đạt mức cao nhất trong vòng hai năm. Tổng lượng giao dịch cao tầng lên tới 20.800 căn, trong khi nhà thổ cư chỉ đạt 6.100 giao dịch, giảm 39% so với cùng k</w:t>
      </w:r>
      <w:r>
        <w:rPr>
          <w:color w:val="000000" w:themeColor="text1"/>
          <w:lang w:val="pt-BR"/>
        </w:rPr>
        <w:t xml:space="preserve">ỳ 2024.</w:t>
      </w:r>
      <w:r>
        <w:rPr>
          <w:color w:val="000000" w:themeColor="text1"/>
          <w:lang w:val="pt-BR"/>
        </w:rPr>
      </w:r>
      <w:r>
        <w:rPr>
          <w:color w:val="000000" w:themeColor="text1"/>
          <w:lang w:val="pt-BR" w:bidi="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color w:val="000000" w:themeColor="text1"/>
          <w14:ligatures w14:val="none"/>
        </w:rPr>
      </w:pPr>
      <w:r>
        <w:rPr>
          <w:color w:val="000000" w:themeColor="text1"/>
          <w:lang w:val="pt-BR" w:bidi="pt-BR"/>
        </w:rPr>
      </w:r>
      <w:r>
        <w:rPr>
          <w:color w:val="000000" w:themeColor="text1"/>
          <w:lang w:val="pt-BR"/>
        </w:rPr>
        <w:t xml:space="preserve">Ở mảng sơ cấp, Hà Nội và khu vực lân cận ghi nhận 10.100 căn hộ chung cư được tiêu thụ. Khu Đông (Hà Nội) cùng Văn Giang (Hưng Yên) nổi lên với 8.200 căn giao dịch, cao nhất trong hai năm, nhờ mặt bằng giá thấp và hạ tầng giao thông được đầu tư mạnh. Giá c</w:t>
      </w:r>
      <w:r>
        <w:rPr>
          <w:color w:val="000000" w:themeColor="text1"/>
          <w:lang w:val="pt-BR"/>
        </w:rPr>
        <w:t xml:space="preserve">ăn hộ sơ cấp và thứ cấp tại khu vực này dao động 60–70 triệu đồng/m², thấp nhất thị trường.</w:t>
      </w:r>
      <w:r>
        <w:rPr>
          <w:color w:val="000000" w:themeColor="text1"/>
          <w:lang w:val="pt-BR"/>
        </w:rPr>
      </w:r>
      <w:r>
        <w:rPr>
          <w:color w:val="000000" w:themeColor="text1"/>
          <w:lang w:val="pt-BR" w:bidi="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color w:val="000000" w:themeColor="text1"/>
          <w14:ligatures w14:val="none"/>
        </w:rPr>
      </w:pPr>
      <w:r>
        <w:rPr>
          <w:color w:val="000000" w:themeColor="text1"/>
          <w:lang w:val="pt-BR"/>
        </w:rPr>
        <w:t xml:space="preserve">Khu Tây Hà Nội cũng ghi nhận 7.500 giao dịch, song chủ yếu tập trung ở loại hình thứ cấp do nguồn cung sơ cấp khan hiếm. Giá hàng thứ cấp vẫn thấp hơn hàng mở bán mới, giúp duy trì thanh khoản tương đối ổn định.</w:t>
      </w:r>
      <w:r>
        <w:rPr>
          <w:color w:val="000000" w:themeColor="text1"/>
          <w:lang w:val="pt-BR"/>
        </w:rPr>
      </w:r>
      <w:r>
        <w:rPr>
          <w:color w:val="000000" w:themeColor="text1"/>
          <w:lang w:val="pt-BR" w:bidi="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color w:val="000000" w:themeColor="text1"/>
          <w14:ligatures w14:val="none"/>
        </w:rPr>
      </w:pPr>
      <w:r>
        <w:rPr>
          <w:color w:val="000000" w:themeColor="text1"/>
          <w:lang w:val="pt-BR"/>
        </w:rPr>
        <w:t xml:space="preserve">One Mount Group cho biết, khu Đông là điểm sáng lớn nhất khigiao dịch thứ cấp tăng 56%, chiếm 37% tổng thị phần (tăng từ 24% trong quý II). Trong khi đó, khu Tây giảm 11%, dù vẫn dẫn đầu về tổng lượng giao dịch với 5.200 căn, chiếm 43% thị phần.</w:t>
      </w:r>
      <w:r>
        <w:rPr>
          <w:color w:val="000000" w:themeColor="text1"/>
          <w:lang w:val="pt-BR"/>
        </w:rPr>
      </w:r>
      <w:r>
        <w:rPr>
          <w:color w:val="000000" w:themeColor="text1"/>
          <w:lang w:val="pt-BR" w:bidi="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color w:val="000000" w:themeColor="text1"/>
          <w14:ligatures w14:val="none"/>
        </w:rPr>
      </w:pPr>
      <w:r>
        <w:rPr>
          <w:color w:val="000000" w:themeColor="text1"/>
          <w:lang w:val="pt-BR"/>
        </w:rPr>
        <w:t xml:space="preserve">Giá bán trung bình tại khu Đông đạt 76 triệu đồng/m², có xu hướng tăng nhưng vẫn thấp hơn đáng kể so với khu trung tâm và phía Tây. Hạ tầng đang được đẩy mạnh đầu tư - đặc biệt là các dự án giao thông kết nối với nội đô - giúp cải thiện thanh khoản đáng kể</w:t>
      </w:r>
      <w:r>
        <w:rPr>
          <w:color w:val="000000" w:themeColor="text1"/>
          <w:lang w:val="pt-BR"/>
        </w:rPr>
        <w:t xml:space="preserve">.</w:t>
      </w:r>
      <w:r>
        <w:rPr>
          <w:color w:val="000000" w:themeColor="text1"/>
          <w:lang w:val="pt-BR"/>
        </w:rPr>
      </w:r>
      <w:r>
        <w:rPr>
          <w:color w:val="000000" w:themeColor="text1"/>
          <w:lang w:val="pt-BR" w:bidi="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color w:val="000000" w:themeColor="text1"/>
          <w14:ligatures w14:val="none"/>
        </w:rPr>
      </w:pPr>
      <w:r>
        <w:rPr>
          <w:color w:val="000000" w:themeColor="text1"/>
          <w:lang w:val="pt-BR"/>
        </w:rPr>
        <w:t xml:space="preserve">Ngược lại, khu Tây dù có nhu cầu ở thực ổn định nhưng tốc độ phát triển hạ tầng chưa theo kịp đà đô thị hóa, khiến một bộ phận khách hàng chuyển hướng sang khu vực phía Đông.</w:t>
      </w:r>
      <w:r>
        <w:rPr>
          <w:color w:val="000000" w:themeColor="text1"/>
          <w:lang w:val="pt-BR"/>
        </w:rPr>
      </w:r>
      <w:r>
        <w:rPr>
          <w:color w:val="000000" w:themeColor="text1"/>
          <w:lang w:val="pt-BR" w:bidi="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b/>
          <w:bCs/>
          <w:i/>
          <w:color w:val="000000" w:themeColor="text1"/>
          <w14:ligatures w14:val="none"/>
        </w:rPr>
      </w:pPr>
      <w:r>
        <w:rPr>
          <w:b/>
          <w:bCs/>
          <w:i/>
          <w:iCs/>
          <w:color w:val="000000" w:themeColor="text1"/>
          <w:lang w:val="pt-BR"/>
        </w:rPr>
        <w:t xml:space="preserve">Dự báo: Giao dịch thứ cấp cao tầng tiếp tục tăng năm 2026</w:t>
      </w:r>
      <w:r>
        <w:rPr>
          <w:b/>
          <w:bCs/>
          <w:i/>
          <w:iCs/>
          <w:color w:val="000000" w:themeColor="text1"/>
          <w:lang w:val="pt-BR"/>
        </w:rPr>
      </w:r>
      <w:r>
        <w:rPr>
          <w:b/>
          <w:bCs/>
          <w:i/>
          <w:iCs/>
          <w:color w:val="000000" w:themeColor="text1"/>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color w:val="000000" w:themeColor="text1"/>
          <w14:ligatures w14:val="none"/>
        </w:rPr>
      </w:pPr>
      <w:r>
        <w:rPr>
          <w:color w:val="000000" w:themeColor="text1"/>
          <w:lang w:val="pt-BR"/>
        </w:rPr>
        <w:t xml:space="preserve">Từ năm 2023 đến nay, Vinhomes Ocean Park và Vinhomes Smart City vẫn là hai tâm điểm dẫn dắt thị trường thứ cấp Hà Nội.</w:t>
      </w:r>
      <w:r>
        <w:rPr>
          <w:color w:val="000000" w:themeColor="text1"/>
          <w:lang w:val="pt-BR"/>
        </w:rPr>
      </w:r>
      <w:r>
        <w:rPr>
          <w:color w:val="000000" w:themeColor="text1"/>
          <w:lang w:val="pt-BR" w:bidi="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color w:val="000000" w:themeColor="text1"/>
          <w14:ligatures w14:val="none"/>
        </w:rPr>
      </w:pPr>
      <w:r>
        <w:rPr>
          <w:color w:val="000000" w:themeColor="text1"/>
          <w:lang w:val="pt-BR"/>
        </w:rPr>
        <w:t xml:space="preserve">Trong quý III/2025, Vinhomes Smart City ghi nhận 1.500 giao dịch, tăng 34% so với cùng kỳ 2024, chiếm 30% tổng giao dịch khu Tây. Trong khi đó, Vinhomes Ocean Park đạt 3.200 giao dịch, tăng 66% so với cùng kỳ, chiếm gần 80% giao dịch chung cư thứ cấp khu Đ</w:t>
      </w:r>
      <w:r>
        <w:rPr>
          <w:color w:val="000000" w:themeColor="text1"/>
          <w:lang w:val="pt-BR"/>
        </w:rPr>
        <w:t xml:space="preserve">ông.</w:t>
      </w:r>
      <w:r>
        <w:rPr>
          <w:color w:val="000000" w:themeColor="text1"/>
          <w:lang w:val="pt-BR"/>
        </w:rPr>
      </w:r>
      <w:r>
        <w:rPr>
          <w:color w:val="000000" w:themeColor="text1"/>
          <w:lang w:val="pt-BR" w:bidi="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color w:val="000000" w:themeColor="text1"/>
          <w14:ligatures w14:val="none"/>
        </w:rPr>
      </w:pPr>
      <w:r>
        <w:rPr>
          <w:color w:val="000000" w:themeColor="text1"/>
          <w:lang w:val="pt-BR"/>
        </w:rPr>
        <w:t xml:space="preserve">Dù giá bán có xu hướng tăng, các căn hộ 2 phòng ngủ tại Ocean Park hiện chỉ từ 3,5 tỷ đồng, thấp hơn mặt bằng chung khu Đông (khoảng 5,3 tỷ đồng cho căn 70m²), giúp duy trì sức hút mạnh mẽ.</w:t>
      </w:r>
      <w:r>
        <w:rPr>
          <w:color w:val="000000" w:themeColor="text1"/>
          <w:lang w:val="pt-BR"/>
        </w:rPr>
      </w:r>
      <w:r>
        <w:rPr>
          <w:color w:val="000000" w:themeColor="text1"/>
          <w:lang w:val="pt-BR" w:bidi="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color w:val="000000" w:themeColor="text1"/>
          <w14:ligatures w14:val="none"/>
        </w:rPr>
      </w:pPr>
      <w:r>
        <w:rPr>
          <w:color w:val="000000" w:themeColor="text1"/>
          <w:lang w:val="pt-BR"/>
        </w:rPr>
        <w:t xml:space="preserve">Trong năm 2024, hai đại đô thị này chiếm tới 83% tổng lượng giao dịch sơ cấp cao tầng tại Hà Nội, với tỷ lệ hấp thụ đạt 92%. Bước sang năm 2025, làn sóng bán lại từ các nhà đầu tư mua trước đó khiến giao dịch thứ cấp tại đây tăng vọt, góp phần giữ nhịp sôi</w:t>
      </w:r>
      <w:r>
        <w:rPr>
          <w:color w:val="000000" w:themeColor="text1"/>
          <w:lang w:val="pt-BR"/>
        </w:rPr>
        <w:t xml:space="preserve"> động cho toàn thị trường.</w:t>
      </w:r>
      <w:r>
        <w:rPr>
          <w:color w:val="000000" w:themeColor="text1"/>
          <w:lang w:val="pt-BR"/>
        </w:rPr>
      </w:r>
      <w:r>
        <w:rPr>
          <w:color w:val="000000" w:themeColor="text1"/>
          <w:lang w:val="pt-BR" w:bidi="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rFonts w:ascii="Times New Roman" w:hAnsi="Times New Roman" w:cs="Times New Roman"/>
          <w:color w:val="000000" w:themeColor="text1"/>
          <w:sz w:val="24"/>
          <w:szCs w:val="24"/>
        </w:rPr>
      </w:pPr>
      <w:r>
        <w:rPr>
          <w:color w:val="000000" w:themeColor="text1"/>
          <w:lang w:val="pt-BR"/>
        </w:rPr>
        <w:t xml:space="preserve">Theo dự báo của One Mount Group, lượng giao dịch thứ cấp trong phân khúc cao tầng sẽ tiếp tục tăng khoảng 4,5% trong năm 2026, nhờ các phân khu sắp bàn giao tại Vinhomes Ocean Park và Vinhomes Smart City. Hai đại đô thị này được kỳ vọng duy trì vai trò đầu</w:t>
      </w:r>
      <w:r>
        <w:rPr>
          <w:color w:val="000000" w:themeColor="text1"/>
          <w:lang w:val="pt-BR"/>
        </w:rPr>
        <w:t xml:space="preserve"> tàu, khi phần lớn các khu mới sẽ hoàn thiện và bàn giao trong giai đoạn 2026–2028, hứa hẹn tiếp tục tạo thanh khoản mạnh cho thị trường Hà Nội</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tham khảo: </w:t>
      </w:r>
      <w:r>
        <w:rPr>
          <w:rFonts w:ascii="Times New Roman" w:hAnsi="Times New Roman" w:eastAsia="Times New Roman" w:cs="Times New Roman"/>
          <w:i/>
          <w:color w:val="000000"/>
          <w:sz w:val="24"/>
        </w:rPr>
        <w:t xml:space="preserve">https://thuonghieucongluan.com.vn/thi-truong-bat-dong-san-ha-noi-quy-iii-2025-giao-dich-can-ho-thu-cap-lap-dinh-dat-nen-tiep-tuc-tram-lang-a290098.html</w:t>
      </w:r>
      <w:r>
        <w:rPr>
          <w:rFonts w:ascii="Times New Roman" w:hAnsi="Times New Roman" w:eastAsia="Times New Roman" w:cs="Times New Roman"/>
          <w:i/>
          <w:color w:val="000000"/>
          <w:sz w:val="24"/>
        </w:rPr>
        <w:t xml:space="preserve">)</w:t>
      </w:r>
      <w:r>
        <w:rPr>
          <w:bCs/>
          <w:i/>
          <w:lang w:val="pt-BR"/>
        </w:rPr>
      </w:r>
      <w:r>
        <w:rPr>
          <w:bCs/>
          <w:i/>
          <w:lang w:val="pt-BR"/>
        </w:rPr>
      </w:r>
    </w:p>
    <w:p>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29"/>
        <w:tblInd w:w="137"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75"/>
        <w:gridCol w:w="1766"/>
        <w:gridCol w:w="2268"/>
        <w:gridCol w:w="2405"/>
        <w:gridCol w:w="2274"/>
      </w:tblGrid>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13" w:type="dxa"/>
            <w:vAlign w:val="center"/>
            <w:textDirection w:val="lrTb"/>
            <w:noWrap w:val="false"/>
          </w:tcPr>
          <w:p>
            <w:pPr>
              <w:pBdr/>
              <w:spacing/>
              <w:ind/>
              <w:jc w:val="both"/>
              <w:rPr>
                <w:b/>
                <w:bCs/>
                <w:color w:val="000000"/>
              </w:rPr>
            </w:pPr>
            <w:r>
              <w:rPr>
                <w:b/>
                <w:bCs/>
                <w:color w:val="000000"/>
              </w:rPr>
            </w:r>
            <w:r>
              <w:rPr>
                <w:b/>
                <w:bCs/>
                <w:color w:val="000000"/>
              </w:rPr>
              <w:t xml:space="preserve">Q</w:t>
            </w:r>
            <w:r>
              <w:rPr>
                <w:b/>
                <w:bCs/>
                <w:color w:val="000000"/>
              </w:rPr>
              <w:t xml:space="preserve">uyền sở hữu căn hộ chung cư số 517, Toà S1.11 (Z28) tại địa chỉ: Ô đất B3 - CT05, Toà S1.11 (Z28) Dự án Khu đô thị Gia Lâm - Vinhomes Ocean Park, xã Đa Tốn, huyện Gia Lâm, thành phố Hà Nội (n</w:t>
            </w:r>
            <w:r>
              <w:rPr>
                <w:b/>
                <w:bCs/>
                <w:i/>
                <w:iCs/>
                <w:color w:val="000000"/>
              </w:rPr>
              <w:t xml:space="preserve">ay là xã Gia Lâm, thành phố Hà Nội</w:t>
            </w:r>
            <w:r>
              <w:rPr>
                <w:b/>
                <w:bCs/>
                <w:color w:val="000000"/>
              </w:rPr>
              <w:t xml:space="preserve">) theo Giấy chứng nhận Quyền s</w:t>
            </w:r>
            <w:r>
              <w:rPr>
                <w:b/>
                <w:bCs/>
                <w:color w:val="000000"/>
              </w:rPr>
              <w:t xml:space="preserve">ử dụng đất, quyền sở hữu nhà ở và tài sản khác gắn liền với đất số: DM 393881, số vào sổ cấp GCN: VP 00657 do Văn phòng Đăng ký đất đai Hà Nội cấp ngày 31/8/2023. Chủ tài sản là Ông Hoàng Văn Bằng và Bà Nguyễn Thị Lê</w:t>
            </w:r>
            <w:r>
              <w:rPr>
                <w:b/>
                <w:bCs/>
                <w:color w:val="000000"/>
              </w:rPr>
              <w:t xml:space="preserve">.</w:t>
            </w:r>
            <w:r>
              <w:rPr>
                <w:b/>
                <w:bCs/>
                <w:color w:val="000000"/>
              </w:rPr>
            </w:r>
            <w:r>
              <w:rPr>
                <w:b/>
                <w:bCs/>
                <w:color w:val="000000"/>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94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both"/>
              <w:rPr>
                <w:b w:val="0"/>
                <w:bCs w:val="0"/>
              </w:rPr>
            </w:pPr>
            <w:r>
              <w:rPr>
                <w:rFonts w:ascii="Times New Roman" w:hAnsi="Times New Roman" w:eastAsia="Times New Roman" w:cs="Times New Roman"/>
                <w:b w:val="0"/>
                <w:bCs w:val="0"/>
                <w:color w:val="000000"/>
                <w:sz w:val="24"/>
              </w:rPr>
            </w:r>
            <w:r>
              <w:rPr>
                <w:b w:val="0"/>
                <w:bCs w:val="0"/>
                <w:color w:val="000000"/>
              </w:rPr>
              <w:t xml:space="preserve">Ô đất B3 - CT05, Toà S1.11 (Z28) Dự án Khu đô thị Gia Lâm - Vinhomes Ocean Park, xã Đa Tốn, huyện Gia Lâm, thành phố Hà Nội (n</w:t>
            </w:r>
            <w:r>
              <w:rPr>
                <w:b w:val="0"/>
                <w:bCs w:val="0"/>
                <w:i/>
                <w:iCs/>
                <w:color w:val="000000"/>
              </w:rPr>
              <w:t xml:space="preserve">ay là xã Gia Lâm, thành phố Hà Nội</w:t>
            </w:r>
            <w:r>
              <w:rPr>
                <w:b w:val="0"/>
                <w:bCs w:val="0"/>
                <w:color w:val="000000"/>
              </w:rPr>
              <w:t xml:space="preserve">).</w:t>
            </w:r>
            <w:r>
              <w:rPr>
                <w:b w:val="0"/>
                <w:bCs w:val="0"/>
              </w:rPr>
            </w:r>
            <w:r>
              <w:rPr>
                <w:b w:val="0"/>
                <w:bCs w:val="0"/>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1.306</w:t>
            </w:r>
            <w:r/>
          </w:p>
        </w:tc>
        <w:tc>
          <w:tcPr>
            <w:tcBorders>
              <w:bottom w:val="single" w:color="000000" w:sz="8" w:space="0"/>
              <w:right w:val="single" w:color="000000" w:sz="8" w:space="0"/>
            </w:tcBorders>
            <w:tcMar>
              <w:left w:w="108" w:type="dxa"/>
              <w:top w:w="0" w:type="dxa"/>
              <w:right w:w="108" w:type="dxa"/>
              <w:bottom w:w="0" w:type="dxa"/>
            </w:tcMar>
            <w:tcW w:w="24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8" w:space="0"/>
              <w:right w:val="single" w:color="000000" w:sz="8" w:space="0"/>
            </w:tcBorders>
            <w:tcMar>
              <w:left w:w="108" w:type="dxa"/>
              <w:top w:w="0" w:type="dxa"/>
              <w:right w:w="108" w:type="dxa"/>
              <w:bottom w:w="0" w:type="dxa"/>
            </w:tcMar>
            <w:tcW w:w="24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w:t>
            </w:r>
            <w:r>
              <w:rPr>
                <w:color w:val="000000"/>
              </w:rPr>
              <w:t xml:space="preserve">(</w:t>
            </w:r>
            <w:r>
              <w:rPr>
                <w:rFonts w:ascii="Times New Roman" w:hAnsi="Times New Roman" w:eastAsia="Times New Roman" w:cs="Times New Roman"/>
                <w:color w:val="1f1f1f"/>
                <w:sz w:val="24"/>
                <w:szCs w:val="24"/>
              </w:rPr>
              <w:t xml:space="preserve">20°59'46.1"N 105°56'39.4"E</w:t>
            </w:r>
            <w:r>
              <w:rPr>
                <w:color w:val="000000"/>
              </w:rPr>
              <w:t xml:space="preserve">)</w:t>
            </w:r>
            <w:r>
              <w:rPr>
                <w:rFonts w:ascii="Times New Roman" w:hAnsi="Times New Roman" w:eastAsia="Times New Roman" w:cs="Times New Roman"/>
                <w:color w:val="000000"/>
                <w:sz w:val="24"/>
              </w:rPr>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13" w:type="dxa"/>
            <w:vAlign w:val="center"/>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5264542" cy="261000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07484" name=""/>
                              <pic:cNvPicPr>
                                <a:picLocks noChangeAspect="1"/>
                              </pic:cNvPicPr>
                              <pic:nvPr/>
                            </pic:nvPicPr>
                            <pic:blipFill>
                              <a:blip r:embed="rId16"/>
                              <a:stretch/>
                            </pic:blipFill>
                            <pic:spPr bwMode="auto">
                              <a:xfrm flipH="0" flipV="0">
                                <a:off x="0" y="0"/>
                                <a:ext cx="5264541" cy="26100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4.53pt;height:205.51pt;mso-wrap-distance-left:0.00pt;mso-wrap-distance-top:0.00pt;mso-wrap-distance-right:0.00pt;mso-wrap-distance-bottom:0.00pt;z-index:1;" stroked="false">
                      <v:imagedata r:id="rId16" o:title=""/>
                      <o:lock v:ext="edit" rotation="t"/>
                    </v:shape>
                  </w:pict>
                </mc:Fallback>
              </mc:AlternateConten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về căn hộ</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thông thuỷ (m²):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54,7</w:t>
            </w:r>
            <w:r/>
          </w:p>
        </w:tc>
        <w:tc>
          <w:tcPr>
            <w:tcBorders>
              <w:bottom w:val="single" w:color="000000" w:sz="8" w:space="0"/>
              <w:right w:val="single" w:color="000000" w:sz="8" w:space="0"/>
            </w:tcBorders>
            <w:tcMar>
              <w:left w:w="108" w:type="dxa"/>
              <w:top w:w="0" w:type="dxa"/>
              <w:right w:w="108" w:type="dxa"/>
              <w:bottom w:w="0" w:type="dxa"/>
            </w:tcMar>
            <w:tcW w:w="24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tim tường (m²):</w:t>
            </w:r>
            <w:r/>
          </w:p>
        </w:tc>
        <w:tc>
          <w:tcPr>
            <w:tcBorders>
              <w:bottom w:val="single" w:color="000000" w:sz="8" w:space="0"/>
              <w:right w:val="single" w:color="000000" w:sz="8" w:space="0"/>
            </w:tcBorders>
            <w:tcMar>
              <w:left w:w="108" w:type="dxa"/>
              <w:top w:w="0" w:type="dxa"/>
              <w:right w:w="108" w:type="dxa"/>
              <w:bottom w:w="0" w:type="dxa"/>
            </w:tcMar>
            <w:tcW w:w="2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59,1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sở hữu:</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Sở hữu riêng</w:t>
            </w:r>
            <w:r/>
          </w:p>
        </w:tc>
        <w:tc>
          <w:tcPr>
            <w:tcBorders>
              <w:bottom w:val="single" w:color="000000" w:sz="8" w:space="0"/>
              <w:right w:val="single" w:color="000000" w:sz="8" w:space="0"/>
            </w:tcBorders>
            <w:tcMar>
              <w:left w:w="108" w:type="dxa"/>
              <w:top w:w="0" w:type="dxa"/>
              <w:right w:w="108" w:type="dxa"/>
              <w:bottom w:w="0" w:type="dxa"/>
            </w:tcMar>
            <w:tcW w:w="24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2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là Căn hộ chung cư số 517 - </w:t>
            </w:r>
            <w:r>
              <w:rPr>
                <w:b w:val="0"/>
                <w:bCs w:val="0"/>
                <w:color w:val="000000"/>
              </w:rPr>
              <w:t xml:space="preserve">Toà S1.11 (Z28)</w:t>
            </w:r>
            <w:r>
              <w:rPr>
                <w:rFonts w:ascii="Times New Roman" w:hAnsi="Times New Roman" w:eastAsia="Times New Roman" w:cs="Times New Roman"/>
                <w:b w:val="0"/>
                <w:bCs w:val="0"/>
                <w:color w:val="000000"/>
                <w:sz w:val="24"/>
              </w:rPr>
            </w:r>
            <w:r/>
          </w:p>
        </w:tc>
      </w:tr>
      <w:tr>
        <w:trPr>
          <w:trHeight w:val="15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5/28</w:t>
            </w:r>
            <w:r/>
          </w:p>
        </w:tc>
        <w:tc>
          <w:tcPr>
            <w:tcBorders>
              <w:bottom w:val="single" w:color="000000" w:sz="8" w:space="0"/>
              <w:right w:val="single" w:color="000000" w:sz="8" w:space="0"/>
            </w:tcBorders>
            <w:tcMar>
              <w:left w:w="108" w:type="dxa"/>
              <w:top w:w="0" w:type="dxa"/>
              <w:right w:w="108" w:type="dxa"/>
              <w:bottom w:w="0" w:type="dxa"/>
            </w:tcMar>
            <w:tcW w:w="24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Loại căn hộ</w:t>
            </w:r>
            <w:r/>
          </w:p>
        </w:tc>
        <w:tc>
          <w:tcPr>
            <w:tcBorders>
              <w:bottom w:val="single" w:color="000000" w:sz="8" w:space="0"/>
              <w:right w:val="single" w:color="000000" w:sz="8" w:space="0"/>
            </w:tcBorders>
            <w:tcMar>
              <w:left w:w="108" w:type="dxa"/>
              <w:top w:w="0" w:type="dxa"/>
              <w:right w:w="108" w:type="dxa"/>
              <w:bottom w:w="0" w:type="dxa"/>
            </w:tcMar>
            <w:tcW w:w="2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thường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c>
          <w:tcPr>
            <w:tcBorders>
              <w:bottom w:val="single" w:color="000000" w:sz="8" w:space="0"/>
              <w:right w:val="single" w:color="000000" w:sz="8" w:space="0"/>
            </w:tcBorders>
            <w:tcMar>
              <w:left w:w="108" w:type="dxa"/>
              <w:top w:w="0" w:type="dxa"/>
              <w:right w:w="108" w:type="dxa"/>
              <w:bottom w:w="0" w:type="dxa"/>
            </w:tcMar>
            <w:tcW w:w="24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2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phòng ngủ, nhà vệ sinh, phòng khách + nhà bếp</w:t>
            </w:r>
            <w:r/>
          </w:p>
        </w:tc>
        <w:tc>
          <w:tcPr>
            <w:tcBorders>
              <w:bottom w:val="single" w:color="000000" w:sz="8" w:space="0"/>
              <w:right w:val="single" w:color="000000" w:sz="8" w:space="0"/>
            </w:tcBorders>
            <w:tcMar>
              <w:left w:w="108" w:type="dxa"/>
              <w:top w:w="0" w:type="dxa"/>
              <w:right w:w="108" w:type="dxa"/>
              <w:bottom w:w="0" w:type="dxa"/>
            </w:tcMar>
            <w:tcW w:w="24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2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4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4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828"/>
        <w:gridCol w:w="1663"/>
        <w:gridCol w:w="2027"/>
        <w:gridCol w:w="2070"/>
        <w:gridCol w:w="1371"/>
        <w:gridCol w:w="1728"/>
      </w:tblGrid>
      <w:tr>
        <w:trPr>
          <w:jc w:val="center"/>
        </w:trPr>
        <w:tc>
          <w:tcPr>
            <w:tcBorders/>
            <w:tcW w:w="828" w:type="dxa"/>
            <w:vAlign w:val="center"/>
            <w:textDirection w:val="lrTb"/>
            <w:noWrap w:val="false"/>
          </w:tcPr>
          <w:p>
            <w:pPr>
              <w:pBdr/>
              <w:spacing/>
              <w:ind/>
              <w:jc w:val="center"/>
              <w:rPr>
                <w:b/>
                <w:bCs/>
              </w:rPr>
            </w:pPr>
            <w:r>
              <w:rPr>
                <w:b/>
                <w:bCs/>
              </w:rPr>
              <w:t xml:space="preserve">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027"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070"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728"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828"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2027" w:type="dxa"/>
            <w:vAlign w:val="center"/>
            <w:textDirection w:val="lrTb"/>
            <w:noWrap w:val="false"/>
          </w:tcPr>
          <w:p>
            <w:pPr>
              <w:pBdr/>
              <w:spacing/>
              <w:ind/>
              <w:jc w:val="center"/>
              <w:rPr/>
            </w:pPr>
            <w:r>
              <w:t xml:space="preserve">Ô đất B3-CT05, Toàn S1.11 (Z28) Dự án đô thị Gia Lâm - Vinhomes Ocean Park, xã Đa Tốn, Huyện Gia Lâm, Thành phố Hà Nội</w:t>
            </w:r>
            <w:r/>
          </w:p>
        </w:tc>
        <w:tc>
          <w:tcPr>
            <w:tcBorders/>
            <w:tcW w:w="2070" w:type="dxa"/>
            <w:vAlign w:val="center"/>
            <w:textDirection w:val="lrTb"/>
            <w:noWrap w:val="false"/>
          </w:tcPr>
          <w:p>
            <w:pPr>
              <w:pBdr/>
              <w:spacing/>
              <w:ind/>
              <w:jc w:val="center"/>
              <w:rPr/>
            </w:pPr>
            <w:r>
              <w:t xml:space="preserve">Ô đất B3-CT05, Toàn S1.11 (Z28) Dự án đô thị Gia Lâm - Vinhomes Ocean Park, xã Đa Tốn, Huyện Gia Lâm, Thành phố Hà Nội</w:t>
            </w:r>
            <w:r>
              <w:t xml:space="preserve"> ✔</w:t>
            </w:r>
            <w:r/>
          </w:p>
        </w:tc>
        <w:tc>
          <w:tcPr>
            <w:tcBorders/>
            <w:tcW w:w="1371" w:type="dxa"/>
            <w:vAlign w:val="center"/>
            <w:textDirection w:val="lrTb"/>
            <w:noWrap w:val="false"/>
          </w:tcPr>
          <w:p>
            <w:pPr>
              <w:pBdr/>
              <w:spacing/>
              <w:ind/>
              <w:jc w:val="center"/>
              <w:rPr/>
            </w:pPr>
            <w:r>
              <w:t xml:space="preserve">Không</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2027" w:type="dxa"/>
            <w:vAlign w:val="center"/>
            <w:textDirection w:val="lrTb"/>
            <w:noWrap w:val="false"/>
          </w:tcPr>
          <w:p>
            <w:pPr>
              <w:pBdr/>
              <w:spacing/>
              <w:ind/>
              <w:jc w:val="center"/>
              <w:rPr/>
            </w:pPr>
            <w:r>
              <w:t xml:space="preserve">Xã Đa Tốn, Huyện Gia Lâm, Thành phố Hà Nội</w:t>
            </w:r>
            <w:r/>
          </w:p>
        </w:tc>
        <w:tc>
          <w:tcPr>
            <w:tcBorders/>
            <w:tcW w:w="2070" w:type="dxa"/>
            <w:vAlign w:val="center"/>
            <w:textDirection w:val="lrTb"/>
            <w:noWrap w:val="false"/>
          </w:tcPr>
          <w:p>
            <w:pPr>
              <w:pBdr/>
              <w:spacing/>
              <w:ind/>
              <w:jc w:val="center"/>
              <w:rPr/>
            </w:pPr>
            <w:r>
              <w:t xml:space="preserve">Xã Đa Tốn, Huyện Gia Lâm, Thành phố Hà Nội ✔</w:t>
            </w:r>
            <w:r/>
          </w:p>
        </w:tc>
        <w:tc>
          <w:tcPr>
            <w:tcBorders/>
            <w:tcW w:w="1371" w:type="dxa"/>
            <w:vAlign w:val="center"/>
            <w:textDirection w:val="lrTb"/>
            <w:noWrap w:val="false"/>
          </w:tcPr>
          <w:p>
            <w:pPr>
              <w:pBdr/>
              <w:spacing/>
              <w:ind/>
              <w:jc w:val="center"/>
              <w:rPr/>
            </w:pPr>
            <w:r>
              <w:t xml:space="preserve">Không</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202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07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2027" w:type="dxa"/>
            <w:vAlign w:val="center"/>
            <w:textDirection w:val="lrTb"/>
            <w:noWrap w:val="false"/>
          </w:tcPr>
          <w:p>
            <w:pPr>
              <w:pBdr/>
              <w:spacing/>
              <w:ind/>
              <w:jc w:val="center"/>
              <w:rPr/>
            </w:pPr>
            <w:r>
              <w:t xml:space="preserve">Đất ở tại đô thị</w:t>
            </w:r>
            <w:r/>
          </w:p>
        </w:tc>
        <w:tc>
          <w:tcPr>
            <w:tcBorders/>
            <w:tcW w:w="2070"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2027" w:type="dxa"/>
            <w:vAlign w:val="center"/>
            <w:textDirection w:val="lrTb"/>
            <w:noWrap w:val="false"/>
          </w:tcPr>
          <w:p>
            <w:pPr>
              <w:pBdr/>
              <w:spacing/>
              <w:ind/>
              <w:jc w:val="center"/>
              <w:rPr/>
            </w:pPr>
            <w:r>
              <w:t xml:space="preserve">Lâu dài</w:t>
            </w:r>
            <w:r/>
          </w:p>
        </w:tc>
        <w:tc>
          <w:tcPr>
            <w:tcBorders/>
            <w:tcW w:w="2070"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2027" w:type="dxa"/>
            <w:vAlign w:val="center"/>
            <w:textDirection w:val="lrTb"/>
            <w:noWrap w:val="false"/>
          </w:tcPr>
          <w:p>
            <w:pPr>
              <w:pBdr/>
              <w:spacing/>
              <w:ind/>
              <w:jc w:val="center"/>
              <w:rPr/>
            </w:pPr>
            <w:r>
              <w:t xml:space="preserve">VT1</w:t>
            </w:r>
            <w:r/>
          </w:p>
        </w:tc>
        <w:tc>
          <w:tcPr>
            <w:tcBorders/>
            <w:tcW w:w="2070"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Có</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2027" w:type="dxa"/>
            <w:vAlign w:val="center"/>
            <w:textDirection w:val="lrTb"/>
            <w:noWrap w:val="false"/>
          </w:tcPr>
          <w:p>
            <w:pPr>
              <w:pBdr/>
              <w:spacing/>
              <w:ind/>
              <w:jc w:val="center"/>
              <w:rPr/>
            </w:pPr>
            <w:r>
              <w:t xml:space="preserve">Đường nhựa có vỉa hè</w:t>
            </w:r>
            <w:r/>
          </w:p>
        </w:tc>
        <w:tc>
          <w:tcPr>
            <w:tcBorders/>
            <w:tcW w:w="2070"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2027" w:type="dxa"/>
            <w:vAlign w:val="center"/>
            <w:textDirection w:val="lrTb"/>
            <w:noWrap w:val="false"/>
          </w:tcPr>
          <w:p>
            <w:pPr>
              <w:pBdr/>
              <w:spacing/>
              <w:ind/>
              <w:jc w:val="center"/>
              <w:rPr/>
            </w:pPr>
            <w:r>
              <w:t xml:space="preserve">8</w:t>
            </w:r>
            <w:r/>
          </w:p>
        </w:tc>
        <w:tc>
          <w:tcPr>
            <w:tcBorders/>
            <w:tcW w:w="2070" w:type="dxa"/>
            <w:vAlign w:val="center"/>
            <w:textDirection w:val="lrTb"/>
            <w:noWrap w:val="false"/>
          </w:tcPr>
          <w:p>
            <w:pPr>
              <w:pBdr/>
              <w:spacing/>
              <w:ind/>
              <w:jc w:val="center"/>
              <w:rPr/>
            </w:pPr>
            <w:r>
              <w:t xml:space="preserve">8 ✔</w:t>
            </w:r>
            <w:r/>
          </w:p>
        </w:tc>
        <w:tc>
          <w:tcPr>
            <w:tcBorders/>
            <w:tcW w:w="1371" w:type="dxa"/>
            <w:vAlign w:val="center"/>
            <w:textDirection w:val="lrTb"/>
            <w:noWrap w:val="false"/>
          </w:tcPr>
          <w:p>
            <w:pPr>
              <w:pBdr/>
              <w:spacing/>
              <w:ind/>
              <w:jc w:val="center"/>
              <w:rPr/>
            </w:pPr>
            <w:r>
              <w:t xml:space="preserve">0</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2027" w:type="dxa"/>
            <w:vAlign w:val="center"/>
            <w:textDirection w:val="lrTb"/>
            <w:noWrap w:val="false"/>
          </w:tcPr>
          <w:p>
            <w:pPr>
              <w:pBdr/>
              <w:spacing/>
              <w:ind/>
              <w:jc w:val="center"/>
              <w:rPr/>
            </w:pPr>
            <w:r>
              <w:t xml:space="preserve">Hạ tầng khu đô thị, khu phân lô/tái định cư </w:t>
            </w:r>
            <w:r/>
          </w:p>
        </w:tc>
        <w:tc>
          <w:tcPr>
            <w:tcBorders/>
            <w:tcW w:w="2070"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Có</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2027" w:type="dxa"/>
            <w:vAlign w:val="center"/>
            <w:textDirection w:val="lrTb"/>
            <w:noWrap w:val="false"/>
          </w:tcPr>
          <w:p>
            <w:pPr>
              <w:pBdr/>
              <w:spacing/>
              <w:ind/>
              <w:jc w:val="center"/>
              <w:rPr/>
            </w:pPr>
            <w:r>
              <w:t xml:space="preserve">Tốt </w:t>
            </w:r>
            <w:r/>
          </w:p>
        </w:tc>
        <w:tc>
          <w:tcPr>
            <w:tcBorders/>
            <w:tcW w:w="2070"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2027" w:type="dxa"/>
            <w:vAlign w:val="center"/>
            <w:textDirection w:val="lrTb"/>
            <w:noWrap w:val="false"/>
          </w:tcPr>
          <w:p>
            <w:pPr>
              <w:pBdr/>
              <w:spacing/>
              <w:ind/>
              <w:jc w:val="center"/>
              <w:rPr/>
            </w:pPr>
            <w:r>
              <w:t xml:space="preserve">54,7</w:t>
            </w:r>
            <w:r/>
          </w:p>
        </w:tc>
        <w:tc>
          <w:tcPr>
            <w:tcBorders/>
            <w:tcW w:w="2070" w:type="dxa"/>
            <w:vAlign w:val="center"/>
            <w:textDirection w:val="lrTb"/>
            <w:noWrap w:val="false"/>
          </w:tcPr>
          <w:p>
            <w:pPr>
              <w:pBdr/>
              <w:spacing/>
              <w:ind/>
              <w:jc w:val="center"/>
              <w:rPr/>
            </w:pPr>
            <w:r>
              <w:t xml:space="preserve">54,7 ✔</w:t>
            </w:r>
            <w:r/>
          </w:p>
        </w:tc>
        <w:tc>
          <w:tcPr>
            <w:tcBorders/>
            <w:tcW w:w="1371" w:type="dxa"/>
            <w:vAlign w:val="center"/>
            <w:textDirection w:val="lrTb"/>
            <w:noWrap w:val="false"/>
          </w:tcPr>
          <w:p>
            <w:pPr>
              <w:pBdr/>
              <w:spacing/>
              <w:ind/>
              <w:jc w:val="center"/>
              <w:rPr/>
            </w:pPr>
            <w:r>
              <w:t xml:space="preserve">0</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tiếp giáp</w:t>
            </w:r>
            <w:r/>
          </w:p>
        </w:tc>
        <w:tc>
          <w:tcPr>
            <w:tcBorders/>
            <w:tcW w:w="2027" w:type="dxa"/>
            <w:vAlign w:val="center"/>
            <w:textDirection w:val="lrTb"/>
            <w:noWrap w:val="false"/>
          </w:tcPr>
          <w:p>
            <w:pPr>
              <w:pBdr/>
              <w:spacing/>
              <w:ind/>
              <w:jc w:val="center"/>
              <w:rPr/>
            </w:pPr>
            <w:r>
              <w:t xml:space="preserve">Tiếp giáp 1 mặt tiền</w:t>
            </w:r>
            <w:r/>
          </w:p>
        </w:tc>
        <w:tc>
          <w:tcPr>
            <w:tcBorders/>
            <w:tcW w:w="2070"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Hình dạng thửa đất</w:t>
            </w:r>
            <w:r/>
          </w:p>
        </w:tc>
        <w:tc>
          <w:tcPr>
            <w:tcBorders/>
            <w:tcW w:w="2027" w:type="dxa"/>
            <w:vAlign w:val="center"/>
            <w:textDirection w:val="lrTb"/>
            <w:noWrap w:val="false"/>
          </w:tcPr>
          <w:p>
            <w:pPr>
              <w:pBdr/>
              <w:spacing/>
              <w:ind/>
              <w:jc w:val="center"/>
              <w:rPr/>
            </w:pPr>
            <w:r>
              <w:t xml:space="preserve">Hình chữ nhật</w:t>
            </w:r>
            <w:r/>
          </w:p>
        </w:tc>
        <w:tc>
          <w:tcPr>
            <w:tcBorders/>
            <w:tcW w:w="2070"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Hướng</w:t>
            </w:r>
            <w:r/>
          </w:p>
        </w:tc>
        <w:tc>
          <w:tcPr>
            <w:tcBorders/>
            <w:tcW w:w="2027" w:type="dxa"/>
            <w:vAlign w:val="center"/>
            <w:textDirection w:val="lrTb"/>
            <w:noWrap w:val="false"/>
          </w:tcPr>
          <w:p>
            <w:pPr>
              <w:pBdr/>
              <w:spacing/>
              <w:ind/>
              <w:jc w:val="center"/>
              <w:rPr/>
            </w:pPr>
            <w:r>
              <w:t xml:space="preserve">Tây Bắc</w:t>
            </w:r>
            <w:r/>
          </w:p>
        </w:tc>
        <w:tc>
          <w:tcPr>
            <w:tcBorders/>
            <w:tcW w:w="2070" w:type="dxa"/>
            <w:vAlign w:val="center"/>
            <w:textDirection w:val="lrTb"/>
            <w:noWrap w:val="false"/>
          </w:tcPr>
          <w:p>
            <w:pPr>
              <w:pBdr/>
              <w:spacing/>
              <w:ind/>
              <w:jc w:val="center"/>
              <w:rPr/>
            </w:pPr>
            <w:r>
              <w:t xml:space="preserve">Tây Bắc✔</w:t>
            </w:r>
            <w:r/>
          </w:p>
        </w:tc>
        <w:tc>
          <w:tcPr>
            <w:tcBorders/>
            <w:tcW w:w="1371" w:type="dxa"/>
            <w:vAlign w:val="center"/>
            <w:textDirection w:val="lrTb"/>
            <w:noWrap w:val="false"/>
          </w:tcPr>
          <w:p>
            <w:pPr>
              <w:pBdr/>
              <w:spacing/>
              <w:ind/>
              <w:jc w:val="center"/>
              <w:rPr/>
            </w:pPr>
            <w:r>
              <w:t xml:space="preserve">Có</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Cảnh quan</w:t>
            </w:r>
            <w:r/>
          </w:p>
        </w:tc>
        <w:tc>
          <w:tcPr>
            <w:tcBorders/>
            <w:tcW w:w="2027" w:type="dxa"/>
            <w:vAlign w:val="center"/>
            <w:textDirection w:val="lrTb"/>
            <w:noWrap w:val="false"/>
          </w:tcPr>
          <w:p>
            <w:pPr>
              <w:pBdr/>
              <w:spacing/>
              <w:ind/>
              <w:jc w:val="center"/>
              <w:rPr/>
            </w:pPr>
            <w:r>
              <w:t xml:space="preserve">View khu dân cư </w:t>
            </w:r>
            <w:r/>
          </w:p>
        </w:tc>
        <w:tc>
          <w:tcPr>
            <w:tcBorders/>
            <w:tcW w:w="2070"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1728" w:type="dxa"/>
            <w:vAlign w:val="center"/>
            <w:textDirection w:val="lrTb"/>
            <w:noWrap w:val="false"/>
          </w:tcPr>
          <w:p>
            <w:pPr>
              <w:pBdr/>
              <w:spacing/>
              <w:ind/>
              <w:jc w:val="center"/>
              <w:rPr/>
            </w:pPr>
            <w:r/>
            <w:r/>
          </w:p>
        </w:tc>
      </w:tr>
      <w:tr>
        <w:trPr>
          <w:jc w:val="center"/>
        </w:trPr>
        <w:tc>
          <w:tcPr>
            <w:tcBorders/>
            <w:tcW w:w="828"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Lợi thế kinh doanh</w:t>
            </w:r>
            <w:r/>
          </w:p>
        </w:tc>
        <w:tc>
          <w:tcPr>
            <w:tcBorders/>
            <w:tcW w:w="2027" w:type="dxa"/>
            <w:vAlign w:val="center"/>
            <w:textDirection w:val="lrTb"/>
            <w:noWrap w:val="false"/>
          </w:tcPr>
          <w:p>
            <w:pPr>
              <w:pBdr/>
              <w:spacing/>
              <w:ind/>
              <w:jc w:val="center"/>
              <w:rPr/>
            </w:pPr>
            <w:r>
              <w:t xml:space="preserve">Tốt </w:t>
            </w:r>
            <w:r/>
          </w:p>
        </w:tc>
        <w:tc>
          <w:tcPr>
            <w:tcBorders/>
            <w:tcW w:w="2070"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1728"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92"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715"/>
        <w:gridCol w:w="1350"/>
        <w:gridCol w:w="207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57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35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07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715"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3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0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715"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3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0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715"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3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0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715"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3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0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715"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0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715"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3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0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715"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3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0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715"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3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0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715"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3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0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92"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6165"/>
        <w:gridCol w:w="1080"/>
        <w:gridCol w:w="189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08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9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pPr>
            <w:r>
              <w:t xml:space="preserve">Không</w:t>
            </w: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pPr>
            <w:r>
              <w:t xml:space="preserve">Không</w:t>
            </w: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pPr>
            <w:r>
              <w:t xml:space="preserve">Không</w:t>
            </w: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pPr>
            <w:r>
              <w:t xml:space="preserve">Không</w:t>
            </w: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pPr>
            <w:r>
              <w:t xml:space="preserve">Không</w:t>
            </w: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pPr>
            <w:r>
              <w:t xml:space="preserve">Không</w:t>
            </w: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pPr>
            <w:r>
              <w:t xml:space="preserve">Không</w:t>
            </w: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pPr>
            <w:r>
              <w:t xml:space="preserve">Không</w:t>
            </w: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pPr>
            <w:r>
              <w:t xml:space="preserve">Không</w:t>
            </w: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pPr>
            <w:r>
              <w:t xml:space="preserve">Không</w:t>
            </w: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pPr>
            <w:r>
              <w:t xml:space="preserve">Không</w:t>
            </w: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pPr>
            <w:r>
              <w:t xml:space="preserve">Không</w:t>
            </w: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165"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080" w:type="dxa"/>
            <w:vAlign w:val="center"/>
            <w:textDirection w:val="lrTb"/>
            <w:noWrap w:val="false"/>
          </w:tcPr>
          <w:p>
            <w:pPr>
              <w:widowControl w:val="false"/>
              <w:pBdr/>
              <w:spacing w:line="235" w:lineRule="auto"/>
              <w:ind w:left="144"/>
              <w:jc w:val="center"/>
              <w:rPr/>
            </w:pPr>
            <w:r>
              <w:t xml:space="preserve">Không</w:t>
            </w:r>
            <w:r/>
          </w:p>
        </w:tc>
        <w:tc>
          <w:tcPr>
            <w:tcBorders/>
            <w:tcW w:w="189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1"/>
        <w:gridCol w:w="2281"/>
        <w:gridCol w:w="1924"/>
        <w:gridCol w:w="1922"/>
        <w:gridCol w:w="1922"/>
        <w:gridCol w:w="1936"/>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1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81" w:type="dxa"/>
            <w:vAlign w:val="top"/>
            <w:textDirection w:val="lrTb"/>
            <w:noWrap w:val="false"/>
          </w:tcPr>
          <w:p>
            <w:pPr>
              <w:pBdr/>
              <w:spacing w:after="0" w:before="0" w:line="240" w:lineRule="auto"/>
              <w:ind w:right="0" w:firstLine="142" w:left="0"/>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2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2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2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2281" w:type="dxa"/>
            <w:vAlign w:val="top"/>
            <w:textDirection w:val="lrTb"/>
            <w:noWrap w:val="false"/>
          </w:tcPr>
          <w:p>
            <w:pPr>
              <w:pBdr/>
              <w:spacing w:after="0" w:before="0" w:line="240" w:lineRule="auto"/>
              <w:ind w:right="0" w:firstLine="142" w:left="0"/>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92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264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Địa chỉ</w:t>
            </w:r>
            <w:r/>
          </w:p>
        </w:tc>
        <w:tc>
          <w:tcPr>
            <w:tcBorders>
              <w:bottom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Ô đất B3 - CT05, Toà S1.11 (Z28) Dự án Khu đô thị Gia Lâm - Vinhomes Ocean Park, xã Đa Tốn, huyện Gia Lâm, thành phố Hà Nội</w:t>
            </w:r>
            <w:r/>
          </w:p>
        </w:tc>
        <w:tc>
          <w:tcPr>
            <w:tcBorders>
              <w:left w:val="single" w:color="000000" w:sz="5" w:space="0"/>
              <w:bottom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Ô đất B3 - CT05, Toà S1.11 (Z28) Dự án Khu đô thị Gia Lâm - Vinhomes Ocean Park, xã Đa Tốn, huyện Gia Lâm, thành phố Hà Nội</w:t>
            </w:r>
            <w:r/>
          </w:p>
        </w:tc>
        <w:tc>
          <w:tcPr>
            <w:tcBorders>
              <w:left w:val="single" w:color="000000" w:sz="5" w:space="0"/>
              <w:bottom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Ô đất B3 - CT05, Toà S1.11 (Z28) Dự án Khu đô thị Gia Lâm - Vinhomes Ocean Park, xã Đa Tốn, huyện Gia Lâm, thành phố Hà Nội</w:t>
            </w:r>
            <w:r/>
          </w:p>
        </w:tc>
        <w:tc>
          <w:tcPr>
            <w:tcBorders>
              <w:left w:val="single" w:color="000000" w:sz="5" w:space="0"/>
              <w:bottom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Ô đất B3 - CT05, Toà S1.11 (Z28) Dự án Khu đô thị Gia Lâm - Vinhomes Ocean Park, xã Đa Tốn, huyện Gia Lâm, thành phố Hà Nội</w:t>
            </w:r>
            <w:r/>
          </w:p>
        </w:tc>
      </w:tr>
      <w:tr>
        <w:trPr>
          <w:trHeight w:val="561"/>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Liên hệ trực tiếp</w:t>
            </w: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0968.963333</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0908.489606</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0934.641829</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12/2025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12/2025 </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12/2025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411"/>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882"/>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Vị trí, tòa nhà</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 số 517 - Tòa nhà S1.11 (Z28)</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 248A - Tòa nhà S1.11 (Z28)</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 - Tòa nhà S1.11 (Z28)</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 - Tòa nhà S1.11 (Z28)</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ight="0" w:firstLine="142" w:left="0"/>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54,7</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54,8</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55,0</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ight="0" w:firstLine="142" w:left="0"/>
              <w:rPr/>
            </w:pPr>
            <w:r>
              <w:rPr>
                <w:rFonts w:ascii="Times New Roman" w:hAnsi="Times New Roman" w:eastAsia="Times New Roman" w:cs="Times New Roman"/>
                <w:color w:val="000000"/>
                <w:sz w:val="22"/>
              </w:rPr>
              <w:t xml:space="preserve">Loại Căn</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ight="0" w:firstLine="142" w:left="0"/>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5/28</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24/28</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thấp (6 - 9)</w:t>
            </w:r>
            <w:r/>
          </w:p>
        </w:tc>
        <w:tc>
          <w:tcPr>
            <w:tcBorders/>
            <w:tcMar>
              <w:left w:w="0" w:type="dxa"/>
              <w:top w:w="0" w:type="dxa"/>
              <w:right w:w="0" w:type="dxa"/>
              <w:bottom w:w="0" w:type="dxa"/>
            </w:tcMar>
            <w:tcW w:w="1936"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Tầng trung (15 - 20)</w:t>
            </w:r>
            <w:r/>
          </w:p>
        </w:tc>
      </w:tr>
      <w:tr>
        <w:trPr>
          <w:trHeight w:val="309"/>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ight="0" w:firstLine="142" w:left="0"/>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Đông Nam</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Đông Nam</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Tây Nam</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 Nam</w:t>
            </w:r>
            <w:r/>
          </w:p>
        </w:tc>
      </w:tr>
      <w:tr>
        <w:trPr>
          <w:trHeight w:val="838"/>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ight="0" w:firstLine="142" w:left="0"/>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WC, 1 Bếp, 1 Khách</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WC, 1 Bếp, 1 Khách</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WC, 1 Bếp, 1 Khách</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WC, 1 Bếp, 1 Khách</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ight="0" w:firstLine="142" w:left="0"/>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tcPr>
          <w:p>
            <w:pPr>
              <w:pBdr/>
              <w:spacing w:after="0" w:before="0" w:line="240" w:lineRule="auto"/>
              <w:ind w:right="0" w:firstLine="142" w:left="0"/>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3.820.000.000</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3.700.000.000</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3.900.000.000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3.438.000.000</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3.330.000.000</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3.510.000.000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Đơn giá QSD căn hộ (đồng/m2)</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62.737.226</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60.545.455</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63.471.971</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Vị trí căn hộ</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2281" w:type="dxa"/>
            <w:vAlign w:val="center"/>
            <w:textDirection w:val="lrTb"/>
            <w:noWrap w:val="false"/>
          </w:tcPr>
          <w:p>
            <w:pPr>
              <w:pBdr/>
              <w:spacing w:after="0" w:before="0" w:line="240" w:lineRule="auto"/>
              <w:ind w:right="0" w:firstLine="142" w:left="0"/>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19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18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40"/>
        <w:gridCol w:w="1800"/>
        <w:gridCol w:w="884"/>
        <w:gridCol w:w="1609"/>
        <w:gridCol w:w="1619"/>
        <w:gridCol w:w="1619"/>
        <w:gridCol w:w="1731"/>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ĐVT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3.438.000.000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3.330.000.000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3.510.000.000</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62.737.226</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60.545.455</w:t>
            </w:r>
            <w:r/>
          </w:p>
        </w:tc>
        <w:tc>
          <w:tcPr>
            <w:shd w:val="clear" w:color="ffffff" w:fill="ffffff"/>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63.471.971</w:t>
            </w: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4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62.737.226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60.545.455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63.471.971 </w:t>
            </w:r>
            <w:r/>
          </w:p>
        </w:tc>
      </w:tr>
      <w:tr>
        <w:trPr>
          <w:trHeight w:val="840"/>
        </w:trPr>
        <w:tc>
          <w:tcPr>
            <w:tcBorders>
              <w:left w:val="single" w:color="000000" w:sz="5" w:space="0"/>
              <w:bottom w:val="single" w:color="000000" w:sz="4" w:space="0"/>
              <w:right w:val="single" w:color="000000" w:sz="5" w:space="0"/>
            </w:tcBorders>
            <w:tcMar>
              <w:left w:w="0" w:type="dxa"/>
              <w:top w:w="0" w:type="dxa"/>
              <w:right w:w="0" w:type="dxa"/>
              <w:bottom w:w="0" w:type="dxa"/>
            </w:tcMar>
            <w:tcW w:w="54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chung cư số 517 - Tòa nhà S1.11 (Z28)</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chung cư 248A - Tòa nhà S1.11 (Z28)</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chung cư - Tòa nhà S1.11 (Z28)</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chung cư - Tòa nhà S1.11 (Z28)</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62.737.226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60.545.455 </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63.471.971 </w:t>
            </w:r>
            <w:r/>
          </w:p>
        </w:tc>
      </w:tr>
      <w:tr>
        <w:trPr>
          <w:trHeight w:val="276"/>
        </w:trPr>
        <w:tc>
          <w:tcPr>
            <w:tcBorders>
              <w:left w:val="single" w:color="000000" w:sz="5" w:space="0"/>
              <w:bottom w:val="single" w:color="000000" w:sz="4" w:space="0"/>
              <w:right w:val="single" w:color="000000" w:sz="5" w:space="0"/>
            </w:tcBorders>
            <w:tcMar>
              <w:left w:w="0" w:type="dxa"/>
              <w:top w:w="0" w:type="dxa"/>
              <w:right w:w="0" w:type="dxa"/>
              <w:bottom w:w="0" w:type="dxa"/>
            </w:tcMar>
            <w:tcW w:w="54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Diện tích sàn </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(m²)</w:t>
            </w:r>
            <w:r>
              <w:rPr>
                <w:rFonts w:ascii="Times New Roman" w:hAnsi="Times New Roman" w:eastAsia="Times New Roman" w:cs="Times New Roman"/>
                <w:b/>
                <w:color w:val="000000"/>
                <w:sz w:val="22"/>
              </w:rPr>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54,7</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54,8</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55,0</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55,3</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62.737.226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60.545.455 </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63.471.971 </w:t>
            </w:r>
            <w:r/>
          </w:p>
        </w:tc>
      </w:tr>
      <w:tr>
        <w:trPr>
          <w:trHeight w:val="276"/>
        </w:trPr>
        <w:tc>
          <w:tcPr>
            <w:tcBorders>
              <w:left w:val="single" w:color="000000" w:sz="5" w:space="0"/>
              <w:bottom w:val="single" w:color="000000" w:sz="4" w:space="0"/>
              <w:right w:val="single" w:color="000000" w:sz="5" w:space="0"/>
            </w:tcBorders>
            <w:tcMar>
              <w:left w:w="0" w:type="dxa"/>
              <w:top w:w="0" w:type="dxa"/>
              <w:right w:w="0" w:type="dxa"/>
              <w:bottom w:w="0" w:type="dxa"/>
            </w:tcMar>
            <w:tcW w:w="54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Vị trí căn hộ</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62.737.226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60.545.455 </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63.471.971 </w:t>
            </w:r>
            <w:r/>
          </w:p>
        </w:tc>
      </w:tr>
      <w:tr>
        <w:trPr>
          <w:trHeight w:val="429"/>
        </w:trPr>
        <w:tc>
          <w:tcPr>
            <w:tcBorders>
              <w:top w:val="single" w:color="000000" w:sz="5" w:space="0"/>
              <w:left w:val="single" w:color="000000" w:sz="5" w:space="0"/>
              <w:bottom w:val="single" w:color="000000" w:sz="4" w:space="0"/>
              <w:right w:val="single" w:color="000000" w:sz="5" w:space="0"/>
            </w:tcBorders>
            <w:tcMar>
              <w:left w:w="0" w:type="dxa"/>
              <w:top w:w="0" w:type="dxa"/>
              <w:right w:w="0" w:type="dxa"/>
              <w:bottom w:w="0" w:type="dxa"/>
            </w:tcMar>
            <w:tcW w:w="54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5/28</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24/28</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thấp (6 - 9)</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trung (15 - 20)</w:t>
            </w:r>
            <w:r/>
          </w:p>
        </w:tc>
      </w:tr>
      <w:tr>
        <w:trPr>
          <w:trHeight w:val="276"/>
        </w:trPr>
        <w:tc>
          <w:tcPr>
            <w:tcBorders>
              <w:top w:val="single" w:color="000000" w:sz="5" w:space="0"/>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-7,00%</w:t>
            </w:r>
            <w:r/>
          </w:p>
        </w:tc>
      </w:tr>
      <w:tr>
        <w:trPr>
          <w:trHeight w:val="276"/>
        </w:trPr>
        <w:tc>
          <w:tcPr>
            <w:tcBorders>
              <w:top w:val="single" w:color="000000" w:sz="5" w:space="0"/>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-3.136.861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-1.210.909 </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-4.443.038 </w:t>
            </w:r>
            <w:r/>
          </w:p>
        </w:tc>
      </w:tr>
      <w:tr>
        <w:trPr>
          <w:trHeight w:val="276"/>
        </w:trPr>
        <w:tc>
          <w:tcPr>
            <w:tcBorders>
              <w:top w:val="single" w:color="000000" w:sz="5" w:space="0"/>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59.600.365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59.334.545 </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59.028.933 </w:t>
            </w:r>
            <w:r/>
          </w:p>
        </w:tc>
      </w:tr>
      <w:tr>
        <w:trPr>
          <w:trHeight w:val="276"/>
        </w:trPr>
        <w:tc>
          <w:tcPr>
            <w:tcBorders>
              <w:left w:val="single" w:color="000000" w:sz="5" w:space="0"/>
              <w:bottom w:val="single" w:color="000000" w:sz="4" w:space="0"/>
              <w:right w:val="single" w:color="000000" w:sz="5" w:space="0"/>
            </w:tcBorders>
            <w:tcMar>
              <w:left w:w="0" w:type="dxa"/>
              <w:top w:w="0" w:type="dxa"/>
              <w:right w:w="0" w:type="dxa"/>
              <w:bottom w:w="0" w:type="dxa"/>
            </w:tcMar>
            <w:tcW w:w="54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59.600.365 </w:t>
            </w:r>
            <w:r/>
          </w:p>
        </w:tc>
        <w:tc>
          <w:tcPr>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59.334.545 </w:t>
            </w:r>
            <w:r/>
          </w:p>
        </w:tc>
        <w:tc>
          <w:tcPr>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59.028.933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5" w:space="0"/>
              <w:right w:val="single" w:color="000000" w:sz="5" w:space="0"/>
            </w:tcBorders>
            <w:tcMar>
              <w:left w:w="0" w:type="dxa"/>
              <w:top w:w="0" w:type="dxa"/>
              <w:right w:w="0" w:type="dxa"/>
              <w:bottom w:w="0" w:type="dxa"/>
            </w:tcMar>
            <w:tcW w:w="180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59.600.365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59.334.545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59.028.933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49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59.321.281 </w:t>
            </w: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0,5%</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w:t>
            </w:r>
            <w:r/>
          </w:p>
        </w:tc>
        <w:tc>
          <w:tcPr>
            <w:shd w:val="clear" w:color="ffffff" w:fill="ffffff"/>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-0,5%</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3.136.861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1.210.909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4.443.038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- 2%</w:t>
            </w:r>
            <w:r/>
          </w:p>
        </w:tc>
        <w:tc>
          <w:tcPr>
            <w:shd w:val="clear" w:color="ffffff" w:fill="ffffff"/>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- 7%</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5" w:space="0"/>
              <w:right w:val="single" w:color="000000" w:sz="5" w:space="0"/>
            </w:tcBorders>
            <w:tcMar>
              <w:left w:w="0" w:type="dxa"/>
              <w:top w:w="0" w:type="dxa"/>
              <w:right w:w="0" w:type="dxa"/>
              <w:bottom w:w="0" w:type="dxa"/>
            </w:tcMar>
            <w:tcW w:w="8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3.136.861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1.210.909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4.443.038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w:t>
      </w:r>
      <w:r>
        <w:t xml:space="preserve">% đến</w:t>
      </w:r>
      <w:r>
        <w:t xml:space="preserve"> </w:t>
      </w:r>
      <w:r>
        <w:t xml:space="preserve"> </w:t>
      </w:r>
      <w:r>
        <w:t xml:space="preserve">0,5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59.600.365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19.870.762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59.334.545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19.776.204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59.028.933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19.674.343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59.321.309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59.000.000</w:t>
            </w:r>
            <w:r>
              <w:rPr>
                <w:b/>
                <w:bCs/>
                <w:color w:val="000000"/>
              </w:rPr>
            </w:r>
            <w:r>
              <w:rPr>
                <w:b/>
                <w:bCs/>
                <w:color w:val="000000"/>
              </w:rPr>
            </w:r>
          </w:p>
        </w:tc>
      </w:tr>
    </w:tbl>
    <w:p>
      <w:pPr>
        <w:pBdr/>
        <w:spacing w:after="120" w:before="120" w:line="324"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59.000.000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324"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324"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p>
      <w:pPr>
        <w:pStyle w:val="1025"/>
        <w:pBdr/>
        <w:tabs>
          <w:tab w:val="left" w:leader="none" w:pos="993"/>
        </w:tabs>
        <w:spacing w:after="120" w:before="120" w:line="324" w:lineRule="auto"/>
        <w:ind w:left="0"/>
        <w:jc w:val="both"/>
        <w:rPr/>
      </w:pPr>
      <w:r>
        <w:rPr>
          <w:highlight w:val="none"/>
        </w:rPr>
      </w:r>
      <w:r>
        <w:rPr>
          <w:highlight w:val="none"/>
        </w:rPr>
      </w:r>
      <w:r/>
    </w:p>
    <w:tbl>
      <w:tblPr>
        <w:tblW w:w="506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48"/>
        <w:gridCol w:w="2025"/>
        <w:gridCol w:w="1802"/>
        <w:gridCol w:w="3013"/>
        <w:gridCol w:w="2164"/>
      </w:tblGrid>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3013"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40" w:type="dxa"/>
            <w:vAlign w:val="center"/>
            <w:textDirection w:val="lrTb"/>
            <w:noWrap w:val="false"/>
          </w:tcPr>
          <w:p>
            <w:pPr>
              <w:pBdr/>
              <w:spacing w:line="300" w:lineRule="auto"/>
              <w:ind/>
              <w:jc w:val="both"/>
              <w:rPr>
                <w:b/>
                <w:bCs/>
              </w:rPr>
            </w:pPr>
            <w:r>
              <w:rPr>
                <w:b/>
                <w:bCs/>
                <w:color w:val="000000"/>
              </w:rPr>
              <w:t xml:space="preserve">Q</w:t>
            </w:r>
            <w:r>
              <w:rPr>
                <w:b/>
                <w:bCs/>
                <w:color w:val="000000"/>
              </w:rPr>
              <w:t xml:space="preserve">uyền sở hữu căn hộ chung cư số 7517, Toà S1.11 (Z28) tại địa chỉ: Ô đất B3 - CT05, Toà S1.11 (Z28) Dự án Khu đô thị Gia Lâm - Vinhomes Ocean Park, xã Đa Tốn, huyện Gia Lâm, thành phố Hà Nội (</w:t>
            </w:r>
            <w:r>
              <w:rPr>
                <w:b/>
                <w:bCs/>
                <w:i/>
                <w:iCs/>
                <w:color w:val="000000"/>
              </w:rPr>
              <w:t xml:space="preserve">nay là xã Gia Lâm, thành phố Hà Nội)</w:t>
            </w:r>
            <w:r>
              <w:rPr>
                <w:b/>
                <w:bCs/>
                <w:color w:val="000000"/>
              </w:rPr>
              <w:t xml:space="preserve"> theo Giấy chứng nhận Quyền s</w:t>
            </w:r>
            <w:r>
              <w:rPr>
                <w:b/>
                <w:bCs/>
                <w:color w:val="000000"/>
              </w:rPr>
              <w:t xml:space="preserve">ử dụng đất, quyền sở hữu nhà ở và tài sản khác gắn liền với đất số: DM 393881, số vào sổ cấp GCN: VP 00657 do Văn phòng Đăng ký đất đai Hà Nội cấp ngày 31/08/2023. Chủ tài sản là Ông Hoàng Văn Bằng và Bà Nguyễn Thị Lê.</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54,7</w:t>
            </w:r>
            <w:r>
              <w:rPr>
                <w:color w:val="000000"/>
              </w:rPr>
            </w:r>
            <w:r>
              <w:rPr>
                <w:color w:val="000000"/>
              </w:rPr>
            </w:r>
          </w:p>
        </w:tc>
        <w:tc>
          <w:tcPr>
            <w:shd w:val="clear" w:color="000000" w:fill="ffffff"/>
            <w:tcBorders/>
            <w:tcW w:w="3013" w:type="dxa"/>
            <w:vAlign w:val="center"/>
            <w:textDirection w:val="lrTb"/>
            <w:noWrap w:val="false"/>
          </w:tcPr>
          <w:p>
            <w:pPr>
              <w:pBdr/>
              <w:spacing w:after="40" w:before="40" w:line="288" w:lineRule="auto"/>
              <w:ind/>
              <w:jc w:val="center"/>
              <w:rPr/>
            </w:pPr>
            <w:r>
              <w:rPr>
                <w:color w:val="000000" w:themeColor="text1"/>
              </w:rPr>
              <w:t xml:space="preserve">59.000.000</w:t>
            </w:r>
            <w:r/>
          </w:p>
        </w:tc>
        <w:tc>
          <w:tcPr>
            <w:shd w:val="clear" w:color="000000" w:fill="ffffff"/>
            <w:tcBorders/>
            <w:tcW w:w="2164" w:type="dxa"/>
            <w:vAlign w:val="center"/>
            <w:textDirection w:val="lrTb"/>
            <w:noWrap w:val="false"/>
          </w:tcPr>
          <w:p>
            <w:pPr>
              <w:pBdr/>
              <w:spacing w:after="40" w:before="40" w:line="288" w:lineRule="auto"/>
              <w:ind/>
              <w:jc w:val="right"/>
              <w:rPr/>
            </w:pPr>
            <w:r>
              <w:rPr>
                <w:color w:val="000000" w:themeColor="text1"/>
              </w:rPr>
              <w:t xml:space="preserve">3.227.300.000</w:t>
            </w:r>
            <w:r/>
          </w:p>
        </w:tc>
      </w:tr>
      <w:tr>
        <w:trPr>
          <w:trHeight w:val="20"/>
        </w:trPr>
        <w:tc>
          <w:tcPr>
            <w:gridSpan w:val="4"/>
            <w:tcBorders/>
            <w:tcW w:w="748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right"/>
              <w:rPr>
                <w:b/>
                <w:bCs/>
                <w:color w:val="000000"/>
              </w:rPr>
            </w:pPr>
            <w:r>
              <w:t xml:space="preserve">3.227.300.000</w:t>
            </w:r>
            <w:r>
              <w:rPr>
                <w:b/>
                <w:bCs/>
                <w:color w:val="000000"/>
              </w:rPr>
            </w:r>
            <w:r>
              <w:rPr>
                <w:b/>
                <w:bCs/>
                <w:color w:val="000000"/>
              </w:rPr>
            </w:r>
          </w:p>
        </w:tc>
      </w:tr>
      <w:tr>
        <w:trPr>
          <w:trHeight w:val="20"/>
        </w:trPr>
        <w:tc>
          <w:tcPr>
            <w:gridSpan w:val="4"/>
            <w:tcBorders/>
            <w:tcW w:w="748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right"/>
              <w:rPr>
                <w:b/>
                <w:bCs/>
                <w:color w:val="000000"/>
              </w:rPr>
            </w:pPr>
            <w:r>
              <w:rPr>
                <w:b/>
                <w:bCs/>
                <w:color w:val="000000"/>
              </w:rPr>
              <w:t xml:space="preserve">3.227.300.000</w:t>
            </w:r>
            <w:r>
              <w:rPr>
                <w:b/>
                <w:bCs/>
                <w:color w:val="000000"/>
              </w:rPr>
            </w:r>
            <w:r>
              <w:rPr>
                <w:b/>
                <w:bCs/>
                <w:color w:val="000000"/>
              </w:rPr>
            </w:r>
          </w:p>
        </w:tc>
      </w:tr>
      <w:tr>
        <w:trPr>
          <w:trHeight w:val="20"/>
        </w:trPr>
        <w:tc>
          <w:tcPr>
            <w:gridSpan w:val="5"/>
            <w:tcBorders/>
            <w:tcW w:w="9652"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hai trăm hai mươi bảy triệu, ba trăm nghìn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312"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312"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312"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312"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312"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312"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312"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312"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312"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312"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312"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312"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312"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312"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312"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312"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312"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tabs>
          <w:tab w:val="left" w:leader="none" w:pos="993"/>
        </w:tabs>
        <w:spacing w:after="120" w:before="120" w:line="312"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312"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312"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312"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312"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12"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312"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312"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81b3a"/>
          <w:spacing w:val="3"/>
          <w:sz w:val="24"/>
          <w:szCs w:val="24"/>
          <w:highlight w:val="white"/>
        </w:rPr>
        <w:t xml:space="preserve">275/2025/1713/VFI-CT.17.A</w:t>
      </w:r>
      <w:r>
        <w:rPr>
          <w:color w:val="ff0000"/>
          <w:lang w:val="vi-VN"/>
        </w:rPr>
        <w:t xml:space="preserve"> </w:t>
      </w:r>
      <w:r>
        <w:rPr>
          <w:color w:val="000000" w:themeColor="text1"/>
        </w:rPr>
        <w:t xml:space="preserve">ngày 03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 - Chủ tịch HĐQT</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HSTD-20251202-0001/BC-VFI</w:t>
      </w:r>
      <w:r>
        <w:rPr>
          <w:i/>
          <w:lang w:val="pt-BR"/>
        </w:rPr>
        <w:t xml:space="preserve"> </w:t>
      </w:r>
      <w:r>
        <w:rPr>
          <w:i/>
          <w:lang w:val="pt-BR"/>
        </w:rPr>
        <w:t xml:space="preserve">4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53792" cy="258400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699783" name=""/>
                              <pic:cNvPicPr>
                                <a:picLocks noChangeAspect="1"/>
                              </pic:cNvPicPr>
                              <pic:nvPr/>
                            </pic:nvPicPr>
                            <pic:blipFill>
                              <a:blip r:embed="rId17"/>
                              <a:stretch/>
                            </pic:blipFill>
                            <pic:spPr bwMode="auto">
                              <a:xfrm flipH="0" flipV="0">
                                <a:off x="0" y="0"/>
                                <a:ext cx="2053791" cy="25840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1.72pt;height:203.46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37866" cy="258382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796008" name=""/>
                              <pic:cNvPicPr>
                                <a:picLocks noChangeAspect="1"/>
                              </pic:cNvPicPr>
                              <pic:nvPr/>
                            </pic:nvPicPr>
                            <pic:blipFill>
                              <a:blip r:embed="rId18"/>
                              <a:stretch/>
                            </pic:blipFill>
                            <pic:spPr bwMode="auto">
                              <a:xfrm flipH="0" flipV="0">
                                <a:off x="0" y="0"/>
                                <a:ext cx="1937865" cy="25838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2.59pt;height:203.4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59640" cy="191973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91304" name=""/>
                              <pic:cNvPicPr>
                                <a:picLocks noChangeAspect="1"/>
                              </pic:cNvPicPr>
                              <pic:nvPr/>
                            </pic:nvPicPr>
                            <pic:blipFill>
                              <a:blip r:embed="rId19"/>
                              <a:stretch/>
                            </pic:blipFill>
                            <pic:spPr bwMode="auto">
                              <a:xfrm flipH="0" flipV="0">
                                <a:off x="0" y="0"/>
                                <a:ext cx="2559639" cy="19197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1.55pt;height:151.1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73526" cy="185514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12458" name=""/>
                              <pic:cNvPicPr>
                                <a:picLocks noChangeAspect="1"/>
                              </pic:cNvPicPr>
                              <pic:nvPr/>
                            </pic:nvPicPr>
                            <pic:blipFill>
                              <a:blip r:embed="rId20"/>
                              <a:stretch/>
                            </pic:blipFill>
                            <pic:spPr bwMode="auto">
                              <a:xfrm rot="10799989" flipH="0" flipV="1">
                                <a:off x="0" y="0"/>
                                <a:ext cx="2473525" cy="18551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4.77pt;height:146.07pt;mso-wrap-distance-left:0.00pt;mso-wrap-distance-top:0.00pt;mso-wrap-distance-right:0.00pt;mso-wrap-distance-bottom:0.00pt;rotation:179;flip:y;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73290" cy="177996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7475" name=""/>
                              <pic:cNvPicPr>
                                <a:picLocks noChangeAspect="1"/>
                              </pic:cNvPicPr>
                              <pic:nvPr/>
                            </pic:nvPicPr>
                            <pic:blipFill>
                              <a:blip r:embed="rId21"/>
                              <a:stretch/>
                            </pic:blipFill>
                            <pic:spPr bwMode="auto">
                              <a:xfrm flipH="0" flipV="0">
                                <a:off x="0" y="0"/>
                                <a:ext cx="2373289" cy="17799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6.87pt;height:140.1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10902" cy="180817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24567" name=""/>
                              <pic:cNvPicPr>
                                <a:picLocks noChangeAspect="1"/>
                              </pic:cNvPicPr>
                              <pic:nvPr/>
                            </pic:nvPicPr>
                            <pic:blipFill>
                              <a:blip r:embed="rId22"/>
                              <a:stretch/>
                            </pic:blipFill>
                            <pic:spPr bwMode="auto">
                              <a:xfrm flipH="0" flipV="0">
                                <a:off x="0" y="0"/>
                                <a:ext cx="2410902" cy="18081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9.83pt;height:142.38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HSTD-20251202-0001/BC-VFI</w:t>
      </w:r>
      <w:r>
        <w:rPr>
          <w:i/>
          <w:lang w:val="pt-BR"/>
        </w:rPr>
        <w:t xml:space="preserve"> </w:t>
      </w:r>
      <w:r>
        <w:rPr>
          <w:i/>
          <w:lang w:val="pt-BR"/>
        </w:rPr>
        <w:t xml:space="preserve">ngày 03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highlight w:val="none"/>
          <w:lang w:val="pt-BR"/>
        </w:rPr>
      </w:pPr>
      <w:r>
        <w:rPr>
          <w:b/>
          <w:bCs/>
          <w:iCs/>
          <w:lang w:val="pt-BR"/>
        </w:rPr>
        <w:t xml:space="preserve">TSSS1</w:t>
      </w:r>
      <w:r>
        <w:rPr>
          <w:b/>
          <w:bCs/>
          <w:iCs/>
          <w:highlight w:val="none"/>
          <w:lang w:val="pt-BR"/>
        </w:rPr>
      </w:r>
      <w:r>
        <w:rPr>
          <w:b/>
          <w:bCs/>
          <w:iCs/>
          <w:highlight w:val="none"/>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1"/>
        <w:gridCol w:w="3150"/>
        <w:gridCol w:w="5940"/>
      </w:tblGrid>
      <w:tr>
        <w:trPr>
          <w:trHeight w:val="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1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315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594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315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5940"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left w:val="single" w:color="000000" w:sz="5" w:space="0"/>
              <w:bottom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Ô đất B3 - CT05, Toà S1.11 (Z28) Dự án Khu đô thị Gia Lâm - Vinhomes Ocean Park, xã Đa Tốn, huyện Gia Lâm, thành phố Hà Nội</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Liên hệ trực tiếp</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0968.963333</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12/2025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 tòa nhà</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 248A - Tòa nhà S1.11 (Z28)</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54,8</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Loại Căn</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24/28</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Đông Nam</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WC, 1 Bếp, 1 Khách</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3.820.000.000</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3.438.000.000</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QSD căn hộ (đồng/m2)</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62.737.226</w:t>
            </w:r>
            <w:r/>
          </w:p>
        </w:tc>
      </w:tr>
    </w:tbl>
    <w:p>
      <w:pPr>
        <w:pBdr/>
        <w:spacing w:after="120"/>
        <w:ind/>
        <w:jc w:val="center"/>
        <w:rPr>
          <w:b/>
          <w:bCs/>
          <w:lang w:val="pt-BR"/>
        </w:rPr>
      </w:pPr>
      <w:r>
        <w:rPr>
          <w:b/>
          <w:bCs/>
          <w:lang w:val="pt-BR"/>
        </w:rPr>
      </w:r>
      <w:r>
        <w:rPr>
          <w:b/>
          <w:bCs/>
          <w:lang w:val="pt-BR"/>
        </w:rPr>
      </w:r>
      <w:r>
        <w:rPr>
          <w:b/>
          <w:bCs/>
          <w:lang w:val="pt-BR"/>
        </w:rPr>
      </w:r>
    </w:p>
    <w:tbl>
      <w:tblPr>
        <w:tblStyle w:val="1029"/>
        <w:tblW w:w="0" w:type="auto"/>
        <w:tblBorders/>
        <w:tblLook w:val="04A0" w:firstRow="1" w:lastRow="0" w:firstColumn="1" w:lastColumn="0" w:noHBand="0" w:noVBand="1"/>
      </w:tblPr>
      <w:tblGrid>
        <w:gridCol w:w="4762"/>
        <w:gridCol w:w="4762"/>
      </w:tblGrid>
      <w:tr>
        <w:trPr/>
        <w:tc>
          <w:tcPr>
            <w:tcBorders/>
            <w:tcW w:w="4762" w:type="dxa"/>
            <w:textDirection w:val="lrTb"/>
            <w:noWrap w:val="false"/>
          </w:tcPr>
          <w:p>
            <w:pPr>
              <w:pBdr/>
              <w:spacing w:after="120"/>
              <w:ind/>
              <w:jc w:val="left"/>
              <w:rPr>
                <w:b/>
                <w:bCs/>
                <w:lang w:val="pt-BR"/>
              </w:rPr>
            </w:pPr>
            <w:r>
              <w:rPr>
                <w:b/>
                <w:bCs/>
                <w:lang w:val="pt-BR" w:bidi="pt-BR"/>
              </w:rPr>
            </w:r>
            <w:r>
              <mc:AlternateContent>
                <mc:Choice Requires="wpg">
                  <w:drawing>
                    <wp:inline xmlns:wp="http://schemas.openxmlformats.org/drawingml/2006/wordprocessingDrawing" distT="0" distB="0" distL="0" distR="0">
                      <wp:extent cx="3297215" cy="205630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75829" name=""/>
                              <pic:cNvPicPr>
                                <a:picLocks noChangeAspect="1"/>
                              </pic:cNvPicPr>
                              <pic:nvPr/>
                            </pic:nvPicPr>
                            <pic:blipFill>
                              <a:blip r:embed="rId23"/>
                              <a:stretch/>
                            </pic:blipFill>
                            <pic:spPr bwMode="auto">
                              <a:xfrm flipH="0" flipV="0">
                                <a:off x="0" y="0"/>
                                <a:ext cx="3297214" cy="20563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59.62pt;height:161.91pt;mso-wrap-distance-left:0.00pt;mso-wrap-distance-top:0.00pt;mso-wrap-distance-right:0.00pt;mso-wrap-distance-bottom:0.00pt;z-index:1;" stroked="false">
                      <v:imagedata r:id="rId23" o:title=""/>
                      <o:lock v:ext="edit" rotation="t"/>
                    </v:shape>
                  </w:pict>
                </mc:Fallback>
              </mc:AlternateContent>
            </w:r>
            <w:r>
              <w:rPr>
                <w:b/>
                <w:bCs/>
                <w:lang w:val="pt-BR"/>
              </w:rPr>
            </w:r>
            <w:r>
              <w:rPr>
                <w:b/>
                <w:bCs/>
                <w:lang w:val="pt-BR"/>
              </w:rPr>
            </w:r>
          </w:p>
        </w:tc>
        <w:tc>
          <w:tcPr>
            <w:tcBorders/>
            <w:tcW w:w="4762" w:type="dxa"/>
            <w:textDirection w:val="lrTb"/>
            <w:noWrap w:val="false"/>
          </w:tcPr>
          <w:p>
            <w:pPr>
              <w:pBdr/>
              <w:spacing w:after="120"/>
              <w:ind/>
              <w:jc w:val="left"/>
              <w:rPr>
                <w:b/>
                <w:bCs/>
                <w:lang w:val="pt-BR"/>
              </w:rPr>
            </w:pPr>
            <w:r>
              <w:rPr>
                <w:b/>
                <w:bCs/>
                <w:lang w:val="pt-BR" w:bidi="pt-BR"/>
              </w:rPr>
            </w:r>
            <w:r>
              <mc:AlternateContent>
                <mc:Choice Requires="wpg">
                  <w:drawing>
                    <wp:inline xmlns:wp="http://schemas.openxmlformats.org/drawingml/2006/wordprocessingDrawing" distT="0" distB="0" distL="0" distR="0">
                      <wp:extent cx="2404288" cy="205630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91308" name=""/>
                              <pic:cNvPicPr>
                                <a:picLocks noChangeAspect="1"/>
                              </pic:cNvPicPr>
                              <pic:nvPr/>
                            </pic:nvPicPr>
                            <pic:blipFill>
                              <a:blip r:embed="rId24"/>
                              <a:stretch/>
                            </pic:blipFill>
                            <pic:spPr bwMode="auto">
                              <a:xfrm flipH="0" flipV="0">
                                <a:off x="0" y="0"/>
                                <a:ext cx="2404288" cy="20563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9.31pt;height:161.91pt;mso-wrap-distance-left:0.00pt;mso-wrap-distance-top:0.00pt;mso-wrap-distance-right:0.00pt;mso-wrap-distance-bottom:0.00pt;z-index:1;" stroked="false">
                      <v:imagedata r:id="rId24" o:title=""/>
                      <o:lock v:ext="edit" rotation="t"/>
                    </v:shape>
                  </w:pict>
                </mc:Fallback>
              </mc:AlternateContent>
            </w:r>
            <w:r>
              <w:rPr>
                <w:b/>
                <w:bCs/>
                <w:lang w:val="pt-BR"/>
              </w:rPr>
            </w:r>
            <w:r>
              <w:rPr>
                <w:b/>
                <w:bCs/>
                <w:lang w:val="pt-BR"/>
              </w:rPr>
            </w:r>
          </w:p>
        </w:tc>
      </w:tr>
    </w:tbl>
    <w:p>
      <w:pPr>
        <w:pBdr/>
        <w:spacing w:after="200" w:line="276" w:lineRule="auto"/>
        <w:ind/>
        <w:jc w:val="center"/>
        <w:rPr>
          <w:i/>
          <w:sz w:val="8"/>
          <w:szCs w:val="8"/>
          <w:lang w:val="pt-BR"/>
        </w:rPr>
      </w:pPr>
      <w:r>
        <w:rPr>
          <w:i/>
          <w:sz w:val="8"/>
          <w:szCs w:val="8"/>
          <w:lang w:val="pt-BR"/>
        </w:rPr>
      </w:r>
      <w:r>
        <w:rPr>
          <w:i/>
          <w:sz w:val="8"/>
          <w:szCs w:val="8"/>
          <w:lang w:val="pt-BR"/>
        </w:rPr>
      </w:r>
      <w:r>
        <w:rPr>
          <w:i/>
          <w:sz w:val="8"/>
          <w:szCs w:val="8"/>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gridSpan w:val="2"/>
            <w:tcBorders/>
            <w:tcW w:w="9059" w:type="dxa"/>
            <w:vAlign w:val="center"/>
            <w:textDirection w:val="lrTb"/>
            <w:noWrap w:val="false"/>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gridSpan w:val="2"/>
            <w:tcBorders/>
            <w:tcW w:w="9059" w:type="dxa"/>
            <w:vAlign w:val="center"/>
            <w:textDirection w:val="lrTb"/>
            <w:noWrap w:val="false"/>
          </w:tcPr>
          <w:p>
            <w:pPr>
              <w:pBdr/>
              <w:spacing/>
              <w:ind/>
              <w:jc w:val="center"/>
              <w:rPr>
                <w:b/>
                <w:bCs/>
              </w:rPr>
            </w:pPr>
            <w:r>
              <w:rPr>
                <w:b/>
                <w:bCs/>
              </w:rPr>
              <w:t xml:space="preserve">Trần Sơn Tùng</w:t>
            </w:r>
            <w:r>
              <w:rPr>
                <w:b/>
                <w:bCs/>
              </w:rPr>
            </w:r>
            <w:r>
              <w:rPr>
                <w:b/>
                <w:bCs/>
              </w:rP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highlight w:val="none"/>
          <w:lang w:val="pt-BR"/>
        </w:rPr>
      </w:pPr>
      <w:r>
        <w:rPr>
          <w:b/>
          <w:bCs/>
          <w:iCs/>
          <w:lang w:val="pt-BR"/>
        </w:rPr>
        <w:t xml:space="preserve">TSSS2</w:t>
      </w:r>
      <w:r>
        <w:rPr>
          <w:b/>
          <w:bCs/>
          <w:iCs/>
          <w:highlight w:val="none"/>
          <w:lang w:val="pt-BR"/>
        </w:rPr>
      </w:r>
      <w:r>
        <w:rPr>
          <w:b/>
          <w:bCs/>
          <w:iCs/>
          <w:highlight w:val="none"/>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1"/>
        <w:gridCol w:w="3150"/>
        <w:gridCol w:w="5940"/>
      </w:tblGrid>
      <w:tr>
        <w:trPr>
          <w:trHeight w:val="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1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315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594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315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594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left w:val="single" w:color="000000" w:sz="5" w:space="0"/>
              <w:bottom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Ô đất B3 - CT05, Toà S1.11 (Z28) Dự án Khu đô thị Gia Lâm - Vinhomes Ocean Park, xã Đa Tốn, huyện Gia Lâm, thành phố Hà Nội</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Liên hệ trực tiếp</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0908.489606</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12/2025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 tòa nhà</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 - Tòa nhà S1.11 (Z28)</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55,0</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Loại Căn</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thấp (6 - 9)</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Tây Nam</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WC, 1 Bếp, 1 Khách</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3.700.000.000</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3.330.000.000</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1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QSD căn hộ (đồng/m2)</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60.545.455</w:t>
            </w:r>
            <w:r/>
          </w:p>
        </w:tc>
      </w:tr>
    </w:tbl>
    <w:p>
      <w:pPr>
        <w:pBdr/>
        <w:spacing w:after="200" w:line="276" w:lineRule="auto"/>
        <w:ind/>
        <w:jc w:val="center"/>
        <w:rPr>
          <w:b/>
          <w:bCs/>
          <w:sz w:val="6"/>
          <w:szCs w:val="6"/>
          <w:highlight w:val="none"/>
          <w:lang w:val="pt-BR"/>
        </w:rPr>
      </w:pPr>
      <w:r>
        <w:rPr>
          <w:b/>
          <w:bCs/>
          <w:highlight w:val="none"/>
          <w:lang w:val="pt-BR"/>
        </w:rPr>
      </w:r>
      <w:r>
        <w:rPr>
          <w:b/>
          <w:bCs/>
          <w:sz w:val="6"/>
          <w:szCs w:val="6"/>
          <w:highlight w:val="none"/>
          <w:lang w:val="pt-BR"/>
        </w:rPr>
      </w:r>
      <w:r>
        <w:rPr>
          <w:b/>
          <w:bCs/>
          <w:sz w:val="6"/>
          <w:szCs w:val="6"/>
          <w:highlight w:val="none"/>
          <w:lang w:val="pt-BR"/>
        </w:rPr>
      </w:r>
    </w:p>
    <w:tbl>
      <w:tblPr>
        <w:tblStyle w:val="1029"/>
        <w:tblW w:w="0" w:type="auto"/>
        <w:tblBorders/>
        <w:tblLook w:val="04A0" w:firstRow="1" w:lastRow="0" w:firstColumn="1" w:lastColumn="0" w:noHBand="0" w:noVBand="1"/>
      </w:tblPr>
      <w:tblGrid>
        <w:gridCol w:w="4762"/>
        <w:gridCol w:w="4762"/>
      </w:tblGrid>
      <w:tr>
        <w:trPr/>
        <w:tc>
          <w:tcPr>
            <w:tcBorders/>
            <w:tcW w:w="4762" w:type="dxa"/>
            <w:textDirection w:val="lrTb"/>
            <w:noWrap w:val="false"/>
          </w:tcPr>
          <w:p>
            <w:pPr>
              <w:pBdr/>
              <w:spacing w:after="120"/>
              <w:ind/>
              <w:jc w:val="center"/>
              <w:rPr>
                <w:b/>
                <w:bCs/>
                <w:lang w:val="pt-BR"/>
              </w:rPr>
            </w:pPr>
            <w:r>
              <w:rPr>
                <w:b/>
                <w:bCs/>
                <w:sz w:val="16"/>
                <w:szCs w:val="16"/>
                <w:lang w:val="pt-BR" w:bidi="pt-BR"/>
              </w:rPr>
            </w:r>
            <w:r>
              <mc:AlternateContent>
                <mc:Choice Requires="wpg">
                  <w:drawing>
                    <wp:inline xmlns:wp="http://schemas.openxmlformats.org/drawingml/2006/wordprocessingDrawing" distT="0" distB="0" distL="0" distR="0">
                      <wp:extent cx="3011465" cy="206686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318999" name=""/>
                              <pic:cNvPicPr>
                                <a:picLocks noChangeAspect="1"/>
                              </pic:cNvPicPr>
                              <pic:nvPr/>
                            </pic:nvPicPr>
                            <pic:blipFill>
                              <a:blip r:embed="rId25"/>
                              <a:stretch/>
                            </pic:blipFill>
                            <pic:spPr bwMode="auto">
                              <a:xfrm flipH="0" flipV="0">
                                <a:off x="0" y="0"/>
                                <a:ext cx="3011464" cy="20668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7.12pt;height:162.75pt;mso-wrap-distance-left:0.00pt;mso-wrap-distance-top:0.00pt;mso-wrap-distance-right:0.00pt;mso-wrap-distance-bottom:0.00pt;z-index:1;" stroked="false">
                      <v:imagedata r:id="rId25" o:title=""/>
                      <o:lock v:ext="edit" rotation="t"/>
                    </v:shape>
                  </w:pict>
                </mc:Fallback>
              </mc:AlternateContent>
            </w:r>
            <w:r>
              <w:rPr>
                <w:b/>
                <w:bCs/>
                <w:lang w:val="pt-BR"/>
              </w:rPr>
            </w:r>
            <w:r>
              <w:rPr>
                <w:b/>
                <w:bCs/>
                <w:lang w:val="pt-BR"/>
              </w:rPr>
            </w:r>
          </w:p>
        </w:tc>
        <w:tc>
          <w:tcPr>
            <w:tcBorders/>
            <w:tcW w:w="4762" w:type="dxa"/>
            <w:textDirection w:val="lrTb"/>
            <w:noWrap w:val="false"/>
          </w:tcPr>
          <w:p>
            <w:pPr>
              <w:pBdr/>
              <w:spacing w:after="120"/>
              <w:ind/>
              <w:jc w:val="center"/>
              <w:rPr>
                <w:b/>
                <w:bCs/>
                <w:lang w:val="pt-BR"/>
              </w:rPr>
            </w:pPr>
            <w:r>
              <w:rPr>
                <w:b/>
                <w:bCs/>
                <w:lang w:val="pt-BR" w:bidi="pt-BR"/>
              </w:rPr>
            </w:r>
            <w:r>
              <mc:AlternateContent>
                <mc:Choice Requires="wpg">
                  <w:drawing>
                    <wp:inline xmlns:wp="http://schemas.openxmlformats.org/drawingml/2006/wordprocessingDrawing" distT="0" distB="0" distL="0" distR="0">
                      <wp:extent cx="2387277" cy="211318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49778" name=""/>
                              <pic:cNvPicPr>
                                <a:picLocks noChangeAspect="1"/>
                              </pic:cNvPicPr>
                              <pic:nvPr/>
                            </pic:nvPicPr>
                            <pic:blipFill>
                              <a:blip r:embed="rId26"/>
                              <a:stretch/>
                            </pic:blipFill>
                            <pic:spPr bwMode="auto">
                              <a:xfrm flipH="0" flipV="0">
                                <a:off x="0" y="0"/>
                                <a:ext cx="2387277" cy="21131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97pt;height:166.39pt;mso-wrap-distance-left:0.00pt;mso-wrap-distance-top:0.00pt;mso-wrap-distance-right:0.00pt;mso-wrap-distance-bottom:0.00pt;z-index:1;" stroked="false">
                      <v:imagedata r:id="rId26" o:title=""/>
                      <o:lock v:ext="edit" rotation="t"/>
                    </v:shape>
                  </w:pict>
                </mc:Fallback>
              </mc:AlternateContent>
            </w:r>
            <w:r>
              <w:rPr>
                <w:b/>
                <w:bCs/>
                <w:lang w:val="pt-BR"/>
              </w:rPr>
            </w:r>
            <w:r>
              <w:rPr>
                <w:b/>
                <w:bCs/>
                <w:lang w:val="pt-BR"/>
              </w:rPr>
            </w:r>
          </w:p>
        </w:tc>
      </w:tr>
    </w:tbl>
    <w:p>
      <w:pPr>
        <w:pBdr/>
        <w:spacing w:after="200" w:line="276" w:lineRule="auto"/>
        <w:ind/>
        <w:jc w:val="center"/>
        <w:rPr>
          <w:b/>
          <w:bCs/>
          <w:highlight w:val="none"/>
          <w:lang w:val="pt-BR"/>
        </w:rPr>
      </w:pPr>
      <w:r>
        <w:rPr>
          <w:b/>
          <w:bCs/>
          <w:highlight w:val="none"/>
          <w:lang w:val="pt-BR"/>
        </w:rPr>
      </w:r>
      <w:r>
        <w:rPr>
          <w:b/>
          <w:bCs/>
          <w:highlight w:val="none"/>
          <w:lang w:val="pt-BR"/>
        </w:rPr>
      </w:r>
      <w:r>
        <w:rPr>
          <w:b/>
          <w:bCs/>
          <w:highlight w:val="non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gridSpan w:val="2"/>
            <w:tcBorders/>
            <w:tcW w:w="9059" w:type="dxa"/>
            <w:vAlign w:val="center"/>
            <w:textDirection w:val="lrTb"/>
            <w:noWrap w:val="false"/>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gridSpan w:val="2"/>
            <w:tcBorders/>
            <w:tcW w:w="9059" w:type="dxa"/>
            <w:vAlign w:val="center"/>
            <w:textDirection w:val="lrTb"/>
            <w:noWrap w:val="false"/>
          </w:tcPr>
          <w:p>
            <w:pPr>
              <w:pBdr/>
              <w:spacing/>
              <w:ind/>
              <w:jc w:val="center"/>
              <w:rPr>
                <w:b/>
                <w:bCs/>
              </w:rPr>
            </w:pPr>
            <w:r>
              <w:rPr>
                <w:b/>
                <w:bCs/>
              </w:rPr>
              <w:t xml:space="preserve">Trần Sơn Tùng</w:t>
            </w:r>
            <w:r>
              <w:rPr>
                <w:b/>
                <w:bCs/>
              </w:rPr>
            </w:r>
            <w:r>
              <w:rPr>
                <w:b/>
                <w:bCs/>
              </w:rP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highlight w:val="none"/>
          <w:lang w:val="pt-BR"/>
        </w:rPr>
      </w:pPr>
      <w:r>
        <w:rPr>
          <w:b/>
          <w:bCs/>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bidi="pt-BR"/>
        </w:rPr>
      </w:r>
      <w:r>
        <w:rPr>
          <w:b/>
          <w:bCs/>
          <w:highlight w:val="none"/>
          <w:lang w:val="pt-BR"/>
        </w:rPr>
      </w:r>
      <w:r>
        <w:rPr>
          <w:b/>
          <w:bCs/>
          <w:highlight w:val="none"/>
          <w:lang w:val="pt-BR"/>
        </w:rPr>
      </w:r>
    </w:p>
    <w:p>
      <w:pPr>
        <w:pBdr/>
        <w:spacing w:after="200" w:line="276" w:lineRule="auto"/>
        <w:ind/>
        <w:jc w:val="center"/>
        <w:rPr>
          <w:b/>
          <w:bCs/>
          <w:iCs/>
          <w:highlight w:val="none"/>
          <w:lang w:val="pt-BR"/>
        </w:rPr>
      </w:pPr>
      <w:r>
        <w:rPr>
          <w:b/>
          <w:bCs/>
          <w:iCs/>
          <w:lang w:val="pt-BR"/>
        </w:rPr>
        <w:t xml:space="preserve">TSSS 3</w:t>
      </w:r>
      <w:r>
        <w:rPr>
          <w:b/>
          <w:bCs/>
          <w:iCs/>
          <w:highlight w:val="none"/>
          <w:lang w:val="pt-BR"/>
        </w:rPr>
      </w:r>
      <w:r>
        <w:rPr>
          <w:b/>
          <w:bCs/>
          <w:iCs/>
          <w:highlight w:val="none"/>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07"/>
        <w:gridCol w:w="3150"/>
        <w:gridCol w:w="5940"/>
      </w:tblGrid>
      <w:tr>
        <w:trPr>
          <w:trHeight w:val="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0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315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315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Ô đất B3 - CT05, Toà S1.11 (Z28) Dự án Khu đô thị Gia Lâm - Vinhomes Ocean Park, xã Đa Tốn, huyện Gia Lâm, thành phố Hà Nội</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Liên hệ trực tiếp</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0934.641829</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12/2025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 tòa nhà</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 - Tòa nhà S1.11 (Z28)</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55,3</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Loại Căn</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5940"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Tầng trung (15 - 20)</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 Nam</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WC, 1 Bếp, 1 Khách</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3.900.000.000</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3.510.000.000</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6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31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QSD căn hộ (đồng/m2)</w:t>
            </w:r>
            <w:r/>
          </w:p>
        </w:tc>
        <w:tc>
          <w:tcPr>
            <w:tcBorders>
              <w:bottom w:val="single" w:color="000000" w:sz="5" w:space="0"/>
              <w:right w:val="single" w:color="000000" w:sz="5" w:space="0"/>
            </w:tcBorders>
            <w:tcMar>
              <w:left w:w="0" w:type="dxa"/>
              <w:top w:w="0" w:type="dxa"/>
              <w:right w:w="0" w:type="dxa"/>
              <w:bottom w:w="0" w:type="dxa"/>
            </w:tcMar>
            <w:tcW w:w="59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63.471.971</w:t>
            </w:r>
            <w:r/>
          </w:p>
        </w:tc>
      </w:tr>
    </w:tbl>
    <w:p>
      <w:pPr>
        <w:pBdr/>
        <w:spacing w:after="200" w:line="276" w:lineRule="auto"/>
        <w:ind/>
        <w:jc w:val="center"/>
        <w:rPr>
          <w:b/>
          <w:bCs/>
          <w:sz w:val="16"/>
          <w:szCs w:val="16"/>
          <w:lang w:val="pt-BR"/>
        </w:rPr>
      </w:pPr>
      <w:r>
        <w:rPr>
          <w:b/>
          <w:bCs/>
          <w:sz w:val="16"/>
          <w:szCs w:val="16"/>
          <w:lang w:val="pt-BR"/>
        </w:rPr>
      </w:r>
      <w:r>
        <w:rPr>
          <w:b/>
          <w:bCs/>
          <w:sz w:val="16"/>
          <w:szCs w:val="16"/>
          <w:lang w:val="pt-BR"/>
        </w:rPr>
      </w:r>
      <w:r>
        <w:rPr>
          <w:b/>
          <w:bCs/>
          <w:sz w:val="16"/>
          <w:szCs w:val="16"/>
          <w:lang w:val="pt-BR"/>
        </w:rPr>
      </w:r>
    </w:p>
    <w:tbl>
      <w:tblPr>
        <w:tblStyle w:val="1029"/>
        <w:tblW w:w="0" w:type="auto"/>
        <w:tblBorders/>
        <w:tblLook w:val="04A0" w:firstRow="1" w:lastRow="0" w:firstColumn="1" w:lastColumn="0" w:noHBand="0" w:noVBand="1"/>
      </w:tblPr>
      <w:tblGrid>
        <w:gridCol w:w="4762"/>
        <w:gridCol w:w="4762"/>
      </w:tblGrid>
      <w:tr>
        <w:trPr/>
        <w:tc>
          <w:tcPr>
            <w:tcBorders/>
            <w:tcW w:w="4762" w:type="dxa"/>
            <w:textDirection w:val="lrTb"/>
            <w:noWrap w:val="false"/>
          </w:tcPr>
          <w:p>
            <w:pPr>
              <w:pBdr/>
              <w:spacing w:after="120"/>
              <w:ind/>
              <w:jc w:val="center"/>
              <w:rPr>
                <w:b/>
                <w:bCs/>
                <w:lang w:val="pt-BR"/>
              </w:rPr>
            </w:pPr>
            <w:r>
              <w:rPr>
                <w:b/>
                <w:bCs/>
                <w:sz w:val="16"/>
                <w:szCs w:val="16"/>
                <w:lang w:val="pt-BR" w:bidi="pt-BR"/>
              </w:rPr>
            </w:r>
            <w:r>
              <mc:AlternateContent>
                <mc:Choice Requires="wpg">
                  <w:drawing>
                    <wp:inline xmlns:wp="http://schemas.openxmlformats.org/drawingml/2006/wordprocessingDrawing" distT="0" distB="0" distL="0" distR="0">
                      <wp:extent cx="3033645" cy="211469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02907" name=""/>
                              <pic:cNvPicPr>
                                <a:picLocks noChangeAspect="1"/>
                              </pic:cNvPicPr>
                              <pic:nvPr/>
                            </pic:nvPicPr>
                            <pic:blipFill>
                              <a:blip r:embed="rId27"/>
                              <a:stretch/>
                            </pic:blipFill>
                            <pic:spPr bwMode="auto">
                              <a:xfrm flipH="0" flipV="0">
                                <a:off x="0" y="0"/>
                                <a:ext cx="3033644" cy="21146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8.87pt;height:166.51pt;mso-wrap-distance-left:0.00pt;mso-wrap-distance-top:0.00pt;mso-wrap-distance-right:0.00pt;mso-wrap-distance-bottom:0.00pt;z-index:1;" stroked="false">
                      <v:imagedata r:id="rId27" o:title=""/>
                      <o:lock v:ext="edit" rotation="t"/>
                    </v:shape>
                  </w:pict>
                </mc:Fallback>
              </mc:AlternateContent>
            </w:r>
            <w:r>
              <w:rPr>
                <w:b/>
                <w:bCs/>
                <w:lang w:val="pt-BR"/>
              </w:rPr>
            </w:r>
            <w:r>
              <w:rPr>
                <w:b/>
                <w:bCs/>
                <w:lang w:val="pt-BR"/>
              </w:rPr>
            </w:r>
          </w:p>
        </w:tc>
        <w:tc>
          <w:tcPr>
            <w:tcBorders/>
            <w:tcW w:w="4762" w:type="dxa"/>
            <w:textDirection w:val="lrTb"/>
            <w:noWrap w:val="false"/>
          </w:tcPr>
          <w:p>
            <w:pPr>
              <w:pBdr/>
              <w:spacing w:after="120"/>
              <w:ind/>
              <w:jc w:val="center"/>
              <w:rPr>
                <w:b/>
                <w:bCs/>
                <w:lang w:val="pt-BR"/>
              </w:rPr>
            </w:pPr>
            <w:r>
              <w:rPr>
                <w:b/>
                <w:bCs/>
                <w:lang w:val="pt-BR" w:bidi="pt-BR"/>
              </w:rPr>
            </w:r>
            <w:r>
              <mc:AlternateContent>
                <mc:Choice Requires="wpg">
                  <w:drawing>
                    <wp:inline xmlns:wp="http://schemas.openxmlformats.org/drawingml/2006/wordprocessingDrawing" distT="0" distB="0" distL="0" distR="0">
                      <wp:extent cx="2701008" cy="211469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63819" name=""/>
                              <pic:cNvPicPr>
                                <a:picLocks noChangeAspect="1"/>
                              </pic:cNvPicPr>
                              <pic:nvPr/>
                            </pic:nvPicPr>
                            <pic:blipFill>
                              <a:blip r:embed="rId28"/>
                              <a:stretch/>
                            </pic:blipFill>
                            <pic:spPr bwMode="auto">
                              <a:xfrm flipH="0" flipV="0">
                                <a:off x="0" y="0"/>
                                <a:ext cx="2701008" cy="21146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2.68pt;height:166.51pt;mso-wrap-distance-left:0.00pt;mso-wrap-distance-top:0.00pt;mso-wrap-distance-right:0.00pt;mso-wrap-distance-bottom:0.00pt;z-index:1;" stroked="false">
                      <v:imagedata r:id="rId28" o:title=""/>
                      <o:lock v:ext="edit" rotation="t"/>
                    </v:shape>
                  </w:pict>
                </mc:Fallback>
              </mc:AlternateContent>
            </w:r>
            <w:r>
              <w:rPr>
                <w:b/>
                <w:bCs/>
                <w:lang w:val="pt-BR"/>
              </w:rPr>
            </w:r>
            <w:r>
              <w:rPr>
                <w:b/>
                <w:bCs/>
                <w:lang w:val="pt-BR"/>
              </w:rPr>
            </w:r>
          </w:p>
        </w:tc>
      </w:tr>
    </w:tbl>
    <w:p>
      <w:pPr>
        <w:pBdr/>
        <w:spacing w:after="200" w:line="276" w:lineRule="auto"/>
        <w:ind/>
        <w:jc w:val="center"/>
        <w:rPr>
          <w:b/>
          <w:bCs/>
          <w:lang w:val="pt-BR"/>
        </w:rPr>
      </w:pPr>
      <w:r>
        <w:rPr>
          <w:b/>
          <w:bCs/>
          <w:lang w:val="pt-BR"/>
        </w:rPr>
      </w:r>
      <w:r>
        <w:rPr>
          <w:b/>
          <w:bCs/>
          <w:lang w:val="pt-BR"/>
        </w:rPr>
      </w:r>
      <w:r>
        <w:rPr>
          <w:b/>
          <w:bCs/>
          <w:lang w:val="pt-BR"/>
        </w:rPr>
      </w:r>
    </w:p>
    <w:tbl>
      <w:tblPr>
        <w:tblInd w:w="108" w:type="dxa"/>
        <w:tblW w:w="9059" w:type="dxa"/>
        <w:tblBorders/>
        <w:tblLook w:val="04A0" w:firstRow="1" w:lastRow="0" w:firstColumn="1" w:lastColumn="0" w:noHBand="0" w:noVBand="1"/>
      </w:tblPr>
      <w:tblGrid>
        <w:gridCol w:w="9059"/>
      </w:tblGrid>
      <w:tr>
        <w:trPr>
          <w:trHeight w:val="298"/>
        </w:trPr>
        <w:tc>
          <w:tcPr>
            <w:tcBorders/>
            <w:tcW w:w="9059" w:type="dxa"/>
            <w:vAlign w:val="center"/>
            <w:textDirection w:val="lrTb"/>
            <w:noWrap w:val="false"/>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9059" w:type="dxa"/>
            <w:vAlign w:val="center"/>
            <w:textDirection w:val="lrTb"/>
            <w:noWrap w:val="false"/>
          </w:tcPr>
          <w:p>
            <w:pPr>
              <w:pBdr/>
              <w:spacing/>
              <w:ind/>
              <w:jc w:val="center"/>
              <w:rPr>
                <w:b/>
                <w:bCs/>
              </w:rPr>
            </w:pPr>
            <w:r>
              <w:rPr>
                <w:b/>
                <w:bCs/>
              </w:rPr>
              <w:t xml:space="preserve">Trần Sơn Tùng</w:t>
            </w:r>
            <w:r>
              <w:rPr>
                <w:b/>
                <w:bCs/>
              </w:rPr>
            </w:r>
            <w:r>
              <w:rPr>
                <w:b/>
                <w:bCs/>
              </w:rPr>
            </w:r>
          </w:p>
        </w:tc>
      </w:tr>
    </w:tbl>
    <w:p>
      <w:pPr>
        <w:pBdr/>
        <w:spacing w:after="200" w:line="276" w:lineRule="auto"/>
        <w:ind/>
        <w:jc w:val="center"/>
        <w:rPr>
          <w:b/>
          <w:bCs/>
          <w:lang w:val="pt-BR"/>
        </w:rPr>
      </w:pPr>
      <w:r>
        <w:rPr>
          <w:b/>
          <w:bCs/>
          <w:lang w:val="pt-BR"/>
        </w:rPr>
      </w:r>
      <w:r>
        <w:rPr>
          <w:b/>
          <w:bCs/>
          <w:lang w:val="pt-BR"/>
        </w:rPr>
      </w:r>
      <w:r>
        <w:rPr>
          <w:b/>
          <w:b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thuonghieucongluan.com.vn/thi-truong-bat-dong-san-ha-noi-quy-iii-2025-giao-dich-can-ho-thu-cap-lap-dinh-dat-nen-tiep-tuc-tram-lang-a290098.html" TargetMode="External"/><Relationship Id="rId16" Type="http://schemas.openxmlformats.org/officeDocument/2006/relationships/image" Target="media/image3.png"/><Relationship Id="rId17" Type="http://schemas.openxmlformats.org/officeDocument/2006/relationships/image" Target="media/image4.jpg"/><Relationship Id="rId18" Type="http://schemas.openxmlformats.org/officeDocument/2006/relationships/image" Target="media/image5.jpg"/><Relationship Id="rId19" Type="http://schemas.openxmlformats.org/officeDocument/2006/relationships/image" Target="media/image6.jpg"/><Relationship Id="rId20" Type="http://schemas.openxmlformats.org/officeDocument/2006/relationships/image" Target="media/image7.jpg"/><Relationship Id="rId21" Type="http://schemas.openxmlformats.org/officeDocument/2006/relationships/image" Target="media/image8.jpg"/><Relationship Id="rId22" Type="http://schemas.openxmlformats.org/officeDocument/2006/relationships/image" Target="media/image9.jpg"/><Relationship Id="rId23" Type="http://schemas.openxmlformats.org/officeDocument/2006/relationships/image" Target="media/image10.jpg"/><Relationship Id="rId24" Type="http://schemas.openxmlformats.org/officeDocument/2006/relationships/image" Target="media/image11.jpg"/><Relationship Id="rId25" Type="http://schemas.openxmlformats.org/officeDocument/2006/relationships/image" Target="media/image12.jpg"/><Relationship Id="rId26" Type="http://schemas.openxmlformats.org/officeDocument/2006/relationships/image" Target="media/image13.jpg"/><Relationship Id="rId27" Type="http://schemas.openxmlformats.org/officeDocument/2006/relationships/image" Target="media/image14.jpg"/><Relationship Id="rId28"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273</cp:revision>
  <dcterms:created xsi:type="dcterms:W3CDTF">2025-09-15T09:58:00Z</dcterms:created>
  <dcterms:modified xsi:type="dcterms:W3CDTF">2025-12-04T07:14:57Z</dcterms:modified>
</cp:coreProperties>
</file>