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588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588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275/2025/1768/VFI-CT.48.A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t xml:space="preserve">ÔNG NGUYỄN TRẦN ĐỨC DUY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129, tờ bản đồ số: 4 có địa chỉ: Tổ 107, phường Tam Thuận, quận Thanh Khê, thành phố Đà Nẵng (nay là </w:t>
                            </w:r>
                            <w:r>
                              <w:rPr>
                                <w:color w:val="000000"/>
                              </w:rPr>
                              <w:t xml:space="preserve">H27/</w:t>
                            </w:r>
                            <w:r>
                              <w:rPr>
                                <w:color w:val="000000"/>
                              </w:rPr>
                              <w:t xml:space="preserve">18-K72 đường Đinh Tiên Hoàng, phườ</w:t>
                            </w:r>
                            <w:r>
                              <w:rPr>
                                <w:color w:val="000000"/>
                              </w:rPr>
                              <w:t xml:space="preserve">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8.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275/2025/1768/VFI-CT.48.A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t xml:space="preserve">ÔNG NGUYỄN TRẦN ĐỨC DUY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129, tờ bản đồ số: 4 có địa chỉ: Tổ 107, phường Tam Thuận, quận Thanh Khê, thành phố Đà Nẵng (nay là </w:t>
                      </w:r>
                      <w:r>
                        <w:rPr>
                          <w:color w:val="000000"/>
                        </w:rPr>
                        <w:t xml:space="preserve">H27/</w:t>
                      </w:r>
                      <w:r>
                        <w:rPr>
                          <w:color w:val="000000"/>
                        </w:rPr>
                        <w:t xml:space="preserve">18-K72 đường Đinh Tiên Hoàng, phườ</w:t>
                      </w:r>
                      <w:r>
                        <w:rPr>
                          <w:color w:val="000000"/>
                        </w:rPr>
                        <w:t xml:space="preserve">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5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5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5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5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50"/>
              <w:pBdr/>
              <w:spacing w:after="60" w:before="200"/>
              <w:ind/>
              <w:rPr>
                <w:rStyle w:val="1049"/>
                <w:rFonts w:ascii="Times New Roman" w:hAnsi="Times New Roman"/>
                <w:color w:val="auto"/>
                <w:lang w:val="pt-BR"/>
              </w:rPr>
            </w:pPr>
            <w:r>
              <w:rPr>
                <w:rFonts w:ascii="Times New Roman" w:hAnsi="Times New Roman"/>
                <w:color w:val="auto"/>
                <w:lang w:val="pt-BR"/>
              </w:rPr>
            </w:r>
            <w:r>
              <w:rPr>
                <w:rStyle w:val="1049"/>
                <w:rFonts w:ascii="Times New Roman" w:hAnsi="Times New Roman"/>
                <w:color w:val="auto"/>
                <w:lang w:val="pt-BR"/>
              </w:rPr>
            </w:r>
            <w:r>
              <w:rPr>
                <w:rStyle w:val="1049"/>
                <w:rFonts w:ascii="Times New Roman" w:hAnsi="Times New Roman"/>
                <w:color w:val="auto"/>
                <w:lang w:val="pt-BR"/>
              </w:rPr>
            </w:r>
          </w:p>
          <w:p w14:paraId="189019A0" w14:textId="50D2DFCA">
            <w:pPr>
              <w:pStyle w:val="1050"/>
              <w:pBdr/>
              <w:spacing w:after="60" w:before="200"/>
              <w:ind/>
              <w:rPr>
                <w:sz w:val="24"/>
                <w:szCs w:val="24"/>
              </w:rPr>
            </w:pPr>
            <w:r>
              <w:rPr>
                <w:rStyle w:val="1049"/>
                <w:rFonts w:ascii="Times New Roman" w:hAnsi="Times New Roman"/>
                <w:color w:val="auto"/>
                <w:lang w:val="pt-BR"/>
              </w:rPr>
              <w:t xml:space="preserve">Số:</w:t>
            </w:r>
            <w:r>
              <w:rPr>
                <w:rStyle w:val="1049"/>
                <w:rFonts w:ascii="Times New Roman" w:hAnsi="Times New Roman"/>
                <w:color w:val="auto"/>
                <w:lang w:val="pt-BR"/>
              </w:rPr>
              <w:t xml:space="preserve"> </w:t>
            </w:r>
            <w:r>
              <w:rPr>
                <w:rStyle w:val="1049"/>
                <w:rFonts w:ascii="Times New Roman" w:hAnsi="Times New Roman"/>
                <w:color w:val="000000" w:themeColor="text1"/>
                <w:lang w:val="pt-BR"/>
              </w:rPr>
              <w:t xml:space="preserve">275/2025/1768/VFI-CT.48.A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50"/>
              <w:pBdr/>
              <w:spacing w:after="60" w:before="200"/>
              <w:ind w:right="-56"/>
              <w:rPr>
                <w:rStyle w:val="1049"/>
                <w:rFonts w:ascii="Times New Roman" w:hAnsi="Times New Roman"/>
                <w:i/>
                <w:color w:val="auto"/>
              </w:rPr>
            </w:pPr>
            <w:r>
              <w:rPr>
                <w:rFonts w:ascii="Times New Roman" w:hAnsi="Times New Roman"/>
                <w:i/>
                <w:color w:val="auto"/>
              </w:rPr>
            </w:r>
            <w:r>
              <w:rPr>
                <w:rStyle w:val="1049"/>
                <w:rFonts w:ascii="Times New Roman" w:hAnsi="Times New Roman"/>
                <w:i/>
                <w:color w:val="auto"/>
              </w:rPr>
            </w:r>
            <w:r>
              <w:rPr>
                <w:rStyle w:val="1049"/>
                <w:rFonts w:ascii="Times New Roman" w:hAnsi="Times New Roman"/>
                <w:i/>
                <w:color w:val="auto"/>
              </w:rPr>
            </w:r>
          </w:p>
          <w:p w14:paraId="6B33CD77" w14:textId="29BAA06D">
            <w:pPr>
              <w:pStyle w:val="1050"/>
              <w:pBdr/>
              <w:spacing w:after="60" w:before="200"/>
              <w:ind w:right="-56"/>
              <w:jc w:val="right"/>
              <w:rPr>
                <w:sz w:val="24"/>
                <w:szCs w:val="24"/>
                <w:lang w:val="vi-VN"/>
              </w:rPr>
            </w:pPr>
            <w:r>
              <w:rPr>
                <w:rStyle w:val="1049"/>
                <w:rFonts w:ascii="Times New Roman" w:hAnsi="Times New Roman"/>
                <w:i/>
                <w:color w:val="auto"/>
              </w:rPr>
              <w:t xml:space="preserve">TP. </w:t>
            </w:r>
            <w:r>
              <w:rPr>
                <w:rStyle w:val="1049"/>
                <w:rFonts w:ascii="Times New Roman" w:hAnsi="Times New Roman"/>
                <w:i/>
                <w:color w:val="auto"/>
              </w:rPr>
              <w:t xml:space="preserve">Hà Nội</w:t>
            </w:r>
            <w:r>
              <w:rPr>
                <w:rStyle w:val="1049"/>
                <w:rFonts w:ascii="Times New Roman" w:hAnsi="Times New Roman"/>
                <w:i/>
                <w:color w:val="auto"/>
                <w:lang w:val="vi-VN"/>
              </w:rPr>
              <w:t xml:space="preserve">, </w:t>
            </w:r>
            <w:r>
              <w:rPr>
                <w:rStyle w:val="1049"/>
                <w:rFonts w:ascii="Times New Roman" w:hAnsi="Times New Roman"/>
                <w:i/>
                <w:color w:val="000000" w:themeColor="text1"/>
                <w:lang w:val="vi-VN"/>
              </w:rPr>
              <w:t xml:space="preserve">ngày 10 tháng 12 năm 2025</w:t>
            </w:r>
            <w:r>
              <w:rPr>
                <w:rStyle w:val="1049"/>
                <w:rFonts w:ascii="Times New Roman" w:hAnsi="Times New Roman"/>
                <w:i/>
                <w:color w:val="auto"/>
                <w:lang w:val="vi-VN"/>
              </w:rPr>
              <w:t xml:space="preserve">   </w:t>
            </w:r>
            <w:r>
              <w:rPr>
                <w:rStyle w:val="1049"/>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50"/>
        <w:pBdr/>
        <w:spacing w:after="120" w:before="200" w:line="288" w:lineRule="auto"/>
        <w:ind/>
        <w:jc w:val="center"/>
        <w:rPr>
          <w:rStyle w:val="104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49"/>
          <w:rFonts w:ascii="Times New Roman" w:hAnsi="Times New Roman"/>
          <w:b/>
          <w:bCs/>
          <w:color w:val="auto"/>
          <w:sz w:val="30"/>
          <w:szCs w:val="30"/>
          <w:lang w:val="vi-VN"/>
        </w:rPr>
        <w:t xml:space="preserve">CHỨNG THƯ THẨM ĐỊNH GIÁ</w:t>
      </w:r>
      <w:r>
        <w:rPr>
          <w:rStyle w:val="1049"/>
          <w:rFonts w:ascii="Times New Roman" w:hAnsi="Times New Roman"/>
          <w:b/>
          <w:bCs/>
          <w:color w:val="auto"/>
          <w:sz w:val="30"/>
          <w:szCs w:val="30"/>
          <w:lang w:val="vi-VN"/>
        </w:rPr>
      </w:r>
      <w:r>
        <w:rPr>
          <w:rStyle w:val="1049"/>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TRẦN ĐỨC DUY</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275/2025/1768/VFI-HĐTĐ.48.A</w:t>
      </w:r>
      <w:r>
        <w:rPr>
          <w:spacing w:val="-4"/>
          <w:lang w:val="vi-VN"/>
        </w:rPr>
        <w:t xml:space="preserve"> ký ngày </w:t>
      </w:r>
      <w:r>
        <w:rPr>
          <w:color w:val="000000" w:themeColor="text1"/>
          <w:spacing w:val="-4"/>
        </w:rPr>
        <w:t xml:space="preserve">8 tháng 12 năm 2025</w:t>
      </w:r>
      <w:r>
        <w:rPr>
          <w:spacing w:val="-4"/>
          <w:lang w:val="vi-VN"/>
        </w:rPr>
        <w:t xml:space="preserve"> </w:t>
      </w:r>
      <w:r>
        <w:rPr>
          <w:spacing w:val="-4"/>
          <w:lang w:val="vi-VN"/>
        </w:rPr>
        <w:t xml:space="preserve">giữa </w:t>
      </w:r>
      <w:r>
        <w:rPr>
          <w:bCs/>
        </w:rPr>
        <w:t xml:space="preserve">Ông Nguyễn Trần Đức Duy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275/2025/1768/VFI-BC.48.A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187E20FE">
            <w:pPr>
              <w:pBdr/>
              <w:spacing w:after="40" w:before="40" w:line="276" w:lineRule="auto"/>
              <w:ind/>
              <w:rPr>
                <w:bCs/>
                <w:lang w:val="pt-BR"/>
              </w:rPr>
            </w:pPr>
            <w:r>
              <w:rPr>
                <w:bCs/>
                <w:lang w:val="pt-BR"/>
              </w:rPr>
              <w:t xml:space="preserve">Tên khách hàng</w:t>
            </w:r>
            <w:r>
              <w:rPr>
                <w:bCs/>
                <w:lang w:val="pt-BR"/>
              </w:rPr>
            </w:r>
            <w:r>
              <w:rPr>
                <w:bCs/>
                <w:lang w:val="pt-BR"/>
              </w:rPr>
            </w:r>
          </w:p>
        </w:tc>
        <w:tc>
          <w:tcPr>
            <w:tcBorders/>
            <w:tcW w:w="289" w:type="dxa"/>
            <w:vAlign w:val="center"/>
            <w:textDirection w:val="lrTb"/>
            <w:noWrap w:val="false"/>
          </w:tcPr>
          <w:p w14:paraId="6AD2B51D">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2E0EC7C3">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ÔNG NGUYỄN TRẦN ĐỨC DUY</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7B65BAE1">
            <w:pPr>
              <w:pBdr/>
              <w:spacing w:after="40" w:before="40" w:line="276" w:lineRule="auto"/>
              <w:ind/>
              <w:rPr>
                <w:bCs/>
              </w:rPr>
            </w:pPr>
            <w:r>
              <w:rPr>
                <w:bCs/>
              </w:rPr>
              <w:t xml:space="preserve">Năm sinh</w:t>
            </w:r>
            <w:r>
              <w:rPr>
                <w:bCs/>
              </w:rPr>
            </w:r>
            <w:r>
              <w:rPr>
                <w:bCs/>
              </w:rPr>
            </w:r>
          </w:p>
        </w:tc>
        <w:tc>
          <w:tcPr>
            <w:tcBorders/>
            <w:tcW w:w="289" w:type="dxa"/>
            <w:vAlign w:val="center"/>
            <w:textDirection w:val="lrTb"/>
            <w:noWrap w:val="false"/>
          </w:tcPr>
          <w:p w14:paraId="38DA3CF8">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DD4A2AD">
            <w:pPr>
              <w:pBdr/>
              <w:spacing w:after="40" w:before="40" w:line="276" w:lineRule="auto"/>
              <w:ind/>
              <w:rPr>
                <w:spacing w:val="-6"/>
                <w:lang w:val="pt-BR"/>
              </w:rPr>
            </w:pPr>
            <w:r>
              <w:rPr>
                <w:spacing w:val="-6"/>
                <w:lang w:val="pt-BR"/>
              </w:rPr>
              <w:t xml:space="preserve">1985</w:t>
            </w:r>
            <w:r>
              <w:rPr>
                <w:spacing w:val="-6"/>
                <w:lang w:val="pt-BR"/>
              </w:rPr>
            </w:r>
            <w:r>
              <w:rPr>
                <w:spacing w:val="-6"/>
                <w:lang w:val="pt-BR"/>
              </w:rPr>
            </w:r>
          </w:p>
        </w:tc>
      </w:tr>
      <w:tr>
        <w:trPr>
          <w:trHeight w:val="20"/>
        </w:trPr>
        <w:tc>
          <w:tcPr>
            <w:tcBorders/>
            <w:tcW w:w="2269" w:type="dxa"/>
            <w:vAlign w:val="center"/>
            <w:vMerge w:val="restart"/>
            <w:textDirection w:val="lrTb"/>
            <w:noWrap w:val="false"/>
          </w:tcPr>
          <w:p w14:paraId="5A0F5ECF">
            <w:pPr>
              <w:pBdr/>
              <w:spacing w:after="40" w:before="40" w:line="276" w:lineRule="auto"/>
              <w:ind/>
              <w:rPr>
                <w:bCs/>
              </w:rPr>
            </w:pPr>
            <w:r>
              <w:rPr>
                <w:bCs/>
              </w:rPr>
              <w:t xml:space="preserve">CCCD số</w:t>
            </w:r>
            <w:r>
              <w:rPr>
                <w:bCs/>
              </w:rPr>
            </w:r>
            <w:r>
              <w:rPr>
                <w:bCs/>
              </w:rPr>
            </w:r>
          </w:p>
        </w:tc>
        <w:tc>
          <w:tcPr>
            <w:tcBorders/>
            <w:tcW w:w="289" w:type="dxa"/>
            <w:vAlign w:val="center"/>
            <w:vMerge w:val="restart"/>
            <w:textDirection w:val="lrTb"/>
            <w:noWrap w:val="false"/>
          </w:tcPr>
          <w:p w14:paraId="2488E70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vMerge w:val="restart"/>
            <w:textDirection w:val="lrTb"/>
            <w:noWrap w:val="false"/>
          </w:tcPr>
          <w:p w14:paraId="35F2A096">
            <w:pPr>
              <w:pBdr/>
              <w:spacing w:after="40" w:before="40" w:line="276" w:lineRule="auto"/>
              <w:ind/>
              <w:rPr>
                <w:spacing w:val="-6"/>
                <w:lang w:val="pt-BR"/>
              </w:rPr>
            </w:pPr>
            <w:r>
              <w:rPr>
                <w:spacing w:val="-6"/>
                <w:lang w:val="pt-BR"/>
              </w:rPr>
              <w:t xml:space="preserve">048085001428</w:t>
            </w:r>
            <w:r>
              <w:rPr>
                <w:spacing w:val="-6"/>
                <w:lang w:val="pt-BR"/>
              </w:rPr>
            </w:r>
            <w:r>
              <w:rPr>
                <w:spacing w:val="-6"/>
                <w:lang w:val="pt-BR"/>
              </w:rPr>
            </w:r>
          </w:p>
        </w:tc>
      </w:tr>
      <w:tr>
        <w:trPr>
          <w:trHeight w:val="20"/>
        </w:trPr>
        <w:tc>
          <w:tcPr>
            <w:tcBorders/>
            <w:tcW w:w="2269" w:type="dxa"/>
            <w:vAlign w:val="center"/>
            <w:textDirection w:val="lrTb"/>
            <w:noWrap w:val="false"/>
          </w:tcPr>
          <w:p w14:paraId="4B4A4750">
            <w:pPr>
              <w:pBdr/>
              <w:spacing w:after="40" w:before="40" w:line="276" w:lineRule="auto"/>
              <w:ind/>
              <w:rPr>
                <w:bCs/>
              </w:rPr>
            </w:pPr>
            <w:r>
              <w:rPr>
                <w:bCs/>
                <w:lang w:val="pt-BR"/>
              </w:rPr>
              <w:t xml:space="preserve">Địa chỉ</w:t>
            </w:r>
            <w:r>
              <w:rPr>
                <w:bCs/>
              </w:rPr>
            </w:r>
            <w:r>
              <w:rPr>
                <w:bCs/>
              </w:rPr>
            </w:r>
          </w:p>
        </w:tc>
        <w:tc>
          <w:tcPr>
            <w:tcBorders/>
            <w:tcW w:w="289" w:type="dxa"/>
            <w:vAlign w:val="center"/>
            <w:textDirection w:val="lrTb"/>
            <w:noWrap w:val="false"/>
          </w:tcPr>
          <w:p w14:paraId="7B3B16A0">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453968B">
            <w:pPr>
              <w:pBdr/>
              <w:tabs>
                <w:tab w:val="left" w:leader="none" w:pos="3382"/>
              </w:tabs>
              <w:spacing w:after="40" w:before="40" w:line="276" w:lineRule="auto"/>
              <w:ind/>
              <w:rPr>
                <w:iCs/>
              </w:rPr>
            </w:pPr>
            <w:r>
              <w:rPr>
                <w:iCs/>
                <w:color w:val="000000" w:themeColor="text1"/>
              </w:rPr>
              <w:t xml:space="preserve">Kiệt 72/27/22 Đinh Tiên Hoàng, phường Thanh Khê, thành phố Đà Nẵng</w:t>
            </w:r>
            <w:r>
              <w:rPr>
                <w:iCs/>
              </w:rPr>
            </w:r>
            <w:r>
              <w:rPr>
                <w:iCs/>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rPr>
        <w:t xml:space="preserve">Quyền sử dụng đất và tài sản gắn liền với đất tại thửa đất số: 129, tờ bản đồ số: 4 có địa chỉ: Tổ 107, phường Tam Thuận, quận Thanh Khê, thành phố Đà Nẵng (nay là </w:t>
      </w:r>
      <w:r>
        <w:rPr>
          <w:color w:val="000000"/>
        </w:rPr>
        <w:t xml:space="preserve">H27/</w:t>
      </w:r>
      <w:r>
        <w:rPr>
          <w:color w:val="000000"/>
          <w:highlight w:val="white"/>
        </w:rPr>
        <w:t xml:space="preserve">18</w:t>
      </w:r>
      <w:r>
        <w:rPr>
          <w:color w:val="000000"/>
        </w:rPr>
        <w:t xml:space="preserve">-K72 đường Đinh Tiên Hoàng, phư</w:t>
      </w:r>
      <w:r>
        <w:rPr>
          <w:color w:val="000000"/>
        </w:rPr>
        <w:t xml:space="preserve">ờng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99"/>
        <w:gridCol w:w="1648"/>
        <w:gridCol w:w="132"/>
        <w:gridCol w:w="1340"/>
        <w:gridCol w:w="2089"/>
        <w:gridCol w:w="1758"/>
        <w:gridCol w:w="1758"/>
      </w:tblGrid>
      <w:tr>
        <w:trPr>
          <w:trHeight w:val="0"/>
        </w:trPr>
        <w:tc>
          <w:tcPr>
            <w:shd w:val="clear" w:color="000000" w:fill="ffffff"/>
            <w:tcBorders/>
            <w:tcW w:w="799" w:type="dxa"/>
            <w:vAlign w:val="center"/>
            <w:textDirection w:val="lrTb"/>
            <w:noWrap w:val="false"/>
          </w:tcPr>
          <w:p w14:paraId="04C84628">
            <w:pPr>
              <w:pBdr/>
              <w:spacing w:after="40" w:before="40" w:line="288" w:lineRule="auto"/>
              <w:ind/>
              <w:jc w:val="center"/>
              <w:rPr>
                <w:b/>
                <w:bCs/>
              </w:rPr>
            </w:pPr>
            <w:r>
              <w:rPr>
                <w:b/>
                <w:bCs/>
              </w:rPr>
              <w:t xml:space="preserve">TT</w:t>
            </w:r>
            <w:r>
              <w:rPr>
                <w:b/>
                <w:bCs/>
              </w:rPr>
            </w:r>
            <w:r>
              <w:rPr>
                <w:b/>
                <w:bCs/>
              </w:rPr>
            </w:r>
          </w:p>
        </w:tc>
        <w:tc>
          <w:tcPr>
            <w:shd w:val="clear" w:color="000000" w:fill="ffffff"/>
            <w:tcBorders/>
            <w:tcW w:w="1648" w:type="dxa"/>
            <w:vAlign w:val="center"/>
            <w:textDirection w:val="lrTb"/>
            <w:noWrap w:val="false"/>
          </w:tcPr>
          <w:p w14:paraId="7DC296C6">
            <w:pPr>
              <w:pBdr/>
              <w:spacing w:after="40" w:before="40" w:line="288" w:lineRule="auto"/>
              <w:ind/>
              <w:jc w:val="center"/>
              <w:rPr>
                <w:b/>
                <w:bCs/>
              </w:rPr>
            </w:pPr>
            <w:r>
              <w:rPr>
                <w:b/>
                <w:bCs/>
              </w:rPr>
              <w:t xml:space="preserve">Tài sản</w:t>
            </w:r>
            <w:r>
              <w:rPr>
                <w:b/>
                <w:bCs/>
              </w:rPr>
            </w:r>
            <w:r>
              <w:rPr>
                <w:b/>
                <w:bCs/>
              </w:rPr>
            </w:r>
          </w:p>
        </w:tc>
        <w:tc>
          <w:tcPr>
            <w:gridSpan w:val="2"/>
            <w:shd w:val="clear" w:color="000000" w:fill="ffffff"/>
            <w:tcBorders/>
            <w:tcW w:w="1472" w:type="dxa"/>
            <w:vAlign w:val="center"/>
            <w:textDirection w:val="lrTb"/>
            <w:noWrap w:val="false"/>
          </w:tcPr>
          <w:p w14:paraId="0FEFEE74">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089" w:type="dxa"/>
            <w:vAlign w:val="center"/>
            <w:textDirection w:val="lrTb"/>
            <w:noWrap w:val="false"/>
          </w:tcPr>
          <w:p w14:paraId="4917DBEB">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758" w:type="dxa"/>
            <w:vAlign w:val="center"/>
            <w:textDirection w:val="lrTb"/>
            <w:noWrap w:val="false"/>
          </w:tcPr>
          <w:p w14:paraId="1837502D">
            <w:pPr>
              <w:pBdr/>
              <w:spacing/>
              <w:ind/>
              <w:rPr>
                <w:b/>
                <w:bCs/>
              </w:rPr>
            </w:pPr>
            <w:r>
              <w:rPr>
                <w:b/>
                <w:bCs/>
              </w:rPr>
              <w:t xml:space="preserve">CLCL</w:t>
            </w:r>
            <w:r>
              <w:rPr>
                <w:b/>
                <w:bCs/>
              </w:rPr>
            </w:r>
            <w:r>
              <w:rPr>
                <w:b/>
                <w:bCs/>
              </w:rPr>
            </w:r>
          </w:p>
        </w:tc>
        <w:tc>
          <w:tcPr>
            <w:shd w:val="clear" w:color="000000" w:fill="ffffff"/>
            <w:tcBorders/>
            <w:tcW w:w="1758" w:type="dxa"/>
            <w:vAlign w:val="center"/>
            <w:textDirection w:val="lrTb"/>
            <w:noWrap w:val="false"/>
          </w:tcPr>
          <w:p w14:paraId="7F1053BE">
            <w:pPr>
              <w:pBdr/>
              <w:spacing w:after="40" w:before="40" w:line="288" w:lineRule="auto"/>
              <w:ind/>
              <w:jc w:val="center"/>
              <w:rPr>
                <w:b/>
                <w:bCs/>
              </w:rPr>
            </w:pPr>
            <w:r>
              <w:rPr>
                <w:b/>
                <w:bCs/>
              </w:rPr>
              <w:t xml:space="preserve">Thành tiền (đồng)</w:t>
            </w:r>
            <w:r>
              <w:rPr>
                <w:b/>
                <w:bCs/>
              </w:rPr>
            </w:r>
            <w:r>
              <w:rPr>
                <w:b/>
                <w:bCs/>
              </w:rPr>
            </w:r>
          </w:p>
        </w:tc>
      </w:tr>
      <w:tr>
        <w:trPr>
          <w:trHeight w:val="0"/>
        </w:trPr>
        <w:tc>
          <w:tcPr>
            <w:shd w:val="clear" w:color="000000" w:fill="ffffff"/>
            <w:tcBorders/>
            <w:tcW w:w="799" w:type="dxa"/>
            <w:vAlign w:val="center"/>
            <w:textDirection w:val="lrTb"/>
            <w:noWrap w:val="false"/>
          </w:tcPr>
          <w:p w14:paraId="2E2E4CBD">
            <w:pPr>
              <w:pBdr/>
              <w:spacing w:after="40" w:before="40" w:line="288" w:lineRule="auto"/>
              <w:ind/>
              <w:jc w:val="center"/>
              <w:rPr>
                <w:b/>
                <w:bCs/>
              </w:rPr>
            </w:pPr>
            <w:r>
              <w:rPr>
                <w:b/>
                <w:bCs/>
              </w:rPr>
              <w:t xml:space="preserve"> </w:t>
            </w:r>
            <w:r>
              <w:rPr>
                <w:b/>
                <w:bCs/>
              </w:rPr>
            </w:r>
            <w:r>
              <w:rPr>
                <w:b/>
                <w:bCs/>
              </w:rPr>
            </w:r>
          </w:p>
        </w:tc>
        <w:tc>
          <w:tcPr>
            <w:gridSpan w:val="5"/>
            <w:shd w:val="clear" w:color="000000" w:fill="ffffff"/>
            <w:tcBorders/>
            <w:tcW w:w="6967" w:type="dxa"/>
            <w:vAlign w:val="center"/>
            <w:textDirection w:val="lrTb"/>
            <w:noWrap w:val="false"/>
          </w:tcPr>
          <w:p w14:paraId="3002FED1">
            <w:pPr>
              <w:pBdr/>
              <w:spacing w:after="40" w:before="40" w:line="288" w:lineRule="auto"/>
              <w:ind/>
              <w:jc w:val="both"/>
              <w:rPr>
                <w:b/>
                <w:bCs/>
              </w:rPr>
            </w:pPr>
            <w:r>
              <w:rPr>
                <w:b/>
                <w:bCs/>
                <w:color w:val="000000"/>
              </w:rPr>
            </w:r>
            <w:r>
              <w:rPr>
                <w:b/>
                <w:bCs/>
                <w:color w:val="000000"/>
              </w:rPr>
              <w:t xml:space="preserve">Quyền sử dụng đất và tài sản gắn liền với đất tại thửa đất số: 129, tờ bản đồ số: 4 có địa chỉ: Tổ 107, phường Tam Thuận, quận Thanh Khê, thành phố Đà Nẵng (nay là </w:t>
            </w:r>
            <w:r>
              <w:rPr>
                <w:b/>
                <w:bCs/>
                <w:color w:val="000000"/>
              </w:rPr>
              <w:t xml:space="preserve">H27</w:t>
            </w:r>
            <w:r>
              <w:rPr>
                <w:b/>
                <w:bCs/>
                <w:color w:val="000000"/>
                <w:highlight w:val="white"/>
              </w:rPr>
              <w:t xml:space="preserve">/</w:t>
            </w:r>
            <w:r>
              <w:rPr>
                <w:b/>
                <w:bCs/>
                <w:color w:val="000000"/>
                <w:highlight w:val="white"/>
              </w:rPr>
              <w:t xml:space="preserve">18</w:t>
            </w:r>
            <w:r>
              <w:rPr>
                <w:b/>
                <w:bCs/>
                <w:color w:val="000000"/>
                <w:highlight w:val="white"/>
              </w:rPr>
              <w:t xml:space="preserve">-K72 đường Đinh Tiên Hoàng, phư</w:t>
            </w:r>
            <w:r>
              <w:rPr>
                <w:b/>
                <w:bCs/>
                <w:color w:val="000000"/>
                <w:highlight w:val="white"/>
              </w:rPr>
              <w:t xml:space="preserve">ờng Thanh Khê, thành phố Đà N</w:t>
            </w:r>
            <w:r>
              <w:rPr>
                <w:b/>
                <w:bCs/>
                <w:color w:val="000000"/>
              </w:rPr>
              <w:t xml:space="preserve">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
                <w:bCs/>
              </w:rPr>
            </w:r>
            <w:r>
              <w:rPr>
                <w:b/>
                <w:bCs/>
              </w:rPr>
            </w:r>
          </w:p>
          <w:p w14:paraId="2A55A7D9">
            <w:pPr>
              <w:pBdr/>
              <w:spacing/>
              <w:ind/>
              <w:rPr>
                <w:b/>
                <w:bCs/>
              </w:rPr>
            </w:pPr>
            <w:r>
              <w:rPr>
                <w:b/>
                <w:bCs/>
              </w:rPr>
            </w:r>
            <w:r>
              <w:rPr>
                <w:b/>
                <w:bCs/>
              </w:rPr>
            </w:r>
            <w:r>
              <w:rPr>
                <w:b/>
                <w:bCs/>
              </w:rPr>
            </w:r>
          </w:p>
        </w:tc>
        <w:tc>
          <w:tcPr>
            <w:shd w:val="clear" w:color="000000" w:fill="ffffff"/>
            <w:tcBorders/>
            <w:tcW w:w="1758" w:type="dxa"/>
            <w:vAlign w:val="center"/>
            <w:textDirection w:val="lrTb"/>
            <w:noWrap w:val="false"/>
          </w:tcPr>
          <w:p w14:paraId="3FE33DFC">
            <w:pPr>
              <w:pBdr/>
              <w:spacing w:after="40" w:before="40" w:line="288" w:lineRule="auto"/>
              <w:ind/>
              <w:jc w:val="right"/>
              <w:rPr>
                <w:b/>
                <w:bCs/>
              </w:rPr>
            </w:pPr>
            <w:r>
              <w:rPr>
                <w:b/>
                <w:bCs/>
              </w:rPr>
              <w:t xml:space="preserve"> </w:t>
            </w:r>
            <w:r>
              <w:rPr>
                <w:b/>
                <w:bCs/>
              </w:rPr>
            </w:r>
            <w:r>
              <w:rPr>
                <w:b/>
                <w:bCs/>
              </w:rPr>
            </w:r>
          </w:p>
        </w:tc>
      </w:tr>
      <w:tr>
        <w:trPr>
          <w:trHeight w:val="0"/>
        </w:trPr>
        <w:tc>
          <w:tcPr>
            <w:shd w:val="clear" w:color="000000" w:fill="ffffff"/>
            <w:tcBorders/>
            <w:tcW w:w="799" w:type="dxa"/>
            <w:vAlign w:val="center"/>
            <w:textDirection w:val="lrTb"/>
            <w:noWrap w:val="false"/>
          </w:tcPr>
          <w:p w14:paraId="1B097787">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648" w:type="dxa"/>
            <w:vAlign w:val="center"/>
            <w:textDirection w:val="lrTb"/>
            <w:noWrap w:val="false"/>
          </w:tcPr>
          <w:p w14:paraId="04B5C669">
            <w:pPr>
              <w:pBdr/>
              <w:spacing w:after="40" w:before="40" w:line="288" w:lineRule="auto"/>
              <w:ind/>
              <w:rPr>
                <w:b w:val="0"/>
                <w:bCs w:val="0"/>
              </w:rPr>
            </w:pPr>
            <w:r>
              <w:rPr>
                <w:b w:val="0"/>
                <w:bCs w:val="0"/>
              </w:rPr>
              <w:t xml:space="preserve">Đất ở tại đô thị</w:t>
            </w:r>
            <w:r>
              <w:rPr>
                <w:b w:val="0"/>
                <w:bCs w:val="0"/>
              </w:rPr>
            </w:r>
            <w:r>
              <w:rPr>
                <w:b w:val="0"/>
                <w:bCs w:val="0"/>
              </w:rPr>
            </w:r>
          </w:p>
        </w:tc>
        <w:tc>
          <w:tcPr>
            <w:gridSpan w:val="2"/>
            <w:tcBorders/>
            <w:tcW w:w="1472" w:type="dxa"/>
            <w:vAlign w:val="center"/>
            <w:textDirection w:val="lrTb"/>
            <w:noWrap/>
          </w:tcPr>
          <w:p w14:paraId="63AD46AF">
            <w:pPr>
              <w:pBdr/>
              <w:spacing w:after="40" w:before="40" w:line="288" w:lineRule="auto"/>
              <w:ind/>
              <w:jc w:val="center"/>
              <w:rPr>
                <w:color w:val="000000"/>
              </w:rPr>
            </w:pPr>
            <w:r>
              <w:rPr>
                <w:color w:val="000000" w:themeColor="text1"/>
              </w:rPr>
              <w:t xml:space="preserve">31,9</w:t>
            </w:r>
            <w:r>
              <w:rPr>
                <w:color w:val="000000"/>
              </w:rPr>
            </w:r>
            <w:r>
              <w:rPr>
                <w:color w:val="000000"/>
              </w:rPr>
            </w:r>
          </w:p>
        </w:tc>
        <w:tc>
          <w:tcPr>
            <w:shd w:val="clear" w:color="000000" w:fill="ffffff"/>
            <w:tcBorders/>
            <w:tcW w:w="2089" w:type="dxa"/>
            <w:vAlign w:val="center"/>
            <w:textDirection w:val="lrTb"/>
            <w:noWrap w:val="false"/>
          </w:tcPr>
          <w:p w14:paraId="0FE83804">
            <w:pPr>
              <w:pBdr/>
              <w:spacing w:after="40" w:before="40" w:line="288" w:lineRule="auto"/>
              <w:ind/>
              <w:jc w:val="center"/>
              <w:rPr/>
            </w:pPr>
            <w:r>
              <w:rPr>
                <w:color w:val="000000" w:themeColor="text1"/>
              </w:rPr>
              <w:t xml:space="preserve">50.000.000</w:t>
            </w:r>
            <w:r/>
          </w:p>
        </w:tc>
        <w:tc>
          <w:tcPr>
            <w:shd w:val="clear" w:color="000000" w:fill="ffffff"/>
            <w:tcBorders/>
            <w:tcW w:w="1758" w:type="dxa"/>
            <w:vAlign w:val="center"/>
            <w:textDirection w:val="lrTb"/>
            <w:noWrap w:val="false"/>
          </w:tcPr>
          <w:p w14:paraId="52469CC9">
            <w:pPr>
              <w:pBdr/>
              <w:spacing/>
              <w:ind/>
              <w:jc w:val="center"/>
              <w:rPr>
                <w:color w:val="000000" w:themeColor="text1"/>
              </w:rPr>
            </w:pPr>
            <w:r>
              <w:rPr>
                <w:color w:val="000000" w:themeColor="text1"/>
              </w:rPr>
              <w:t xml:space="preserve">-</w:t>
            </w:r>
            <w:r>
              <w:rPr>
                <w:color w:val="000000" w:themeColor="text1"/>
              </w:rPr>
            </w:r>
            <w:r>
              <w:rPr>
                <w:color w:val="000000" w:themeColor="text1"/>
              </w:rPr>
            </w:r>
          </w:p>
        </w:tc>
        <w:tc>
          <w:tcPr>
            <w:shd w:val="clear" w:color="000000" w:fill="ffffff"/>
            <w:tcBorders/>
            <w:tcW w:w="1758" w:type="dxa"/>
            <w:vAlign w:val="center"/>
            <w:textDirection w:val="lrTb"/>
            <w:noWrap w:val="false"/>
          </w:tcPr>
          <w:p w14:paraId="072620BE">
            <w:pPr>
              <w:pBdr/>
              <w:spacing w:after="40" w:before="40" w:line="288" w:lineRule="auto"/>
              <w:ind/>
              <w:jc w:val="center"/>
              <w:rPr/>
            </w:pPr>
            <w:r>
              <w:rPr>
                <w:color w:val="000000" w:themeColor="text1"/>
              </w:rPr>
              <w:t xml:space="preserve">1.595.000.000</w:t>
            </w:r>
            <w:r/>
          </w:p>
        </w:tc>
      </w:tr>
      <w:tr>
        <w:trPr>
          <w:trHeight w:val="0"/>
        </w:trPr>
        <w:tc>
          <w:tcPr>
            <w:shd w:val="clear" w:color="000000" w:fill="ffffff"/>
            <w:tcBorders/>
            <w:tcW w:w="799" w:type="dxa"/>
            <w:vAlign w:val="center"/>
            <w:vMerge w:val="restart"/>
            <w:textDirection w:val="lrTb"/>
            <w:noWrap w:val="false"/>
          </w:tcPr>
          <w:p w14:paraId="52B2E931">
            <w:pPr>
              <w:pBdr/>
              <w:spacing w:after="40" w:before="40" w:line="288" w:lineRule="auto"/>
              <w:ind/>
              <w:jc w:val="center"/>
              <w:rPr>
                <w:b w:val="0"/>
                <w:bCs w:val="0"/>
              </w:rPr>
            </w:pPr>
            <w:r>
              <w:rPr>
                <w:b w:val="0"/>
                <w:bCs w:val="0"/>
              </w:rPr>
              <w:t xml:space="preserve">3</w:t>
            </w:r>
            <w:r>
              <w:rPr>
                <w:b w:val="0"/>
                <w:bCs w:val="0"/>
              </w:rPr>
            </w:r>
            <w:r>
              <w:rPr>
                <w:b w:val="0"/>
                <w:bCs w:val="0"/>
              </w:rPr>
            </w:r>
          </w:p>
        </w:tc>
        <w:tc>
          <w:tcPr>
            <w:shd w:val="clear" w:color="000000" w:fill="ffffff"/>
            <w:tcBorders/>
            <w:tcW w:w="1648" w:type="dxa"/>
            <w:vAlign w:val="center"/>
            <w:vMerge w:val="restart"/>
            <w:textDirection w:val="lrTb"/>
            <w:noWrap w:val="false"/>
          </w:tcPr>
          <w:p w14:paraId="4308CFB9">
            <w:pPr>
              <w:pBdr/>
              <w:spacing w:after="40" w:before="40" w:line="288" w:lineRule="auto"/>
              <w:ind/>
              <w:rPr>
                <w:b w:val="0"/>
                <w:bCs w:val="0"/>
              </w:rPr>
            </w:pPr>
            <w:r>
              <w:rPr>
                <w:b w:val="0"/>
                <w:bCs w:val="0"/>
              </w:rPr>
              <w:t xml:space="preserve">Nhà 3 tầng</w:t>
            </w:r>
            <w:r>
              <w:rPr>
                <w:b w:val="0"/>
                <w:bCs w:val="0"/>
              </w:rPr>
            </w:r>
            <w:r>
              <w:rPr>
                <w:b w:val="0"/>
                <w:bCs w:val="0"/>
              </w:rPr>
            </w:r>
          </w:p>
        </w:tc>
        <w:tc>
          <w:tcPr>
            <w:gridSpan w:val="2"/>
            <w:tcBorders/>
            <w:tcW w:w="1472" w:type="dxa"/>
            <w:vAlign w:val="center"/>
            <w:vMerge w:val="restart"/>
            <w:textDirection w:val="lrTb"/>
            <w:noWrap/>
          </w:tcPr>
          <w:p w14:paraId="5F03CC90">
            <w:pPr>
              <w:pBdr/>
              <w:spacing w:after="40" w:before="40" w:line="288" w:lineRule="auto"/>
              <w:ind/>
              <w:jc w:val="center"/>
              <w:rPr>
                <w:color w:val="000000" w:themeColor="text1"/>
              </w:rPr>
            </w:pPr>
            <w:r>
              <w:rPr>
                <w:color w:val="000000" w:themeColor="text1"/>
              </w:rPr>
              <w:t xml:space="preserve">79,7</w:t>
            </w:r>
            <w:r>
              <w:rPr>
                <w:color w:val="000000" w:themeColor="text1"/>
              </w:rPr>
            </w:r>
            <w:r>
              <w:rPr>
                <w:color w:val="000000" w:themeColor="text1"/>
              </w:rPr>
            </w:r>
          </w:p>
        </w:tc>
        <w:tc>
          <w:tcPr>
            <w:shd w:val="clear" w:color="000000" w:fill="ffffff"/>
            <w:tcBorders/>
            <w:tcW w:w="2089" w:type="dxa"/>
            <w:vAlign w:val="center"/>
            <w:vMerge w:val="restart"/>
            <w:textDirection w:val="lrTb"/>
            <w:noWrap w:val="false"/>
          </w:tcPr>
          <w:p w14:paraId="20B8A2BB">
            <w:pPr>
              <w:pBdr/>
              <w:spacing w:after="40" w:before="40" w:line="288" w:lineRule="auto"/>
              <w:ind/>
              <w:jc w:val="center"/>
              <w:rPr>
                <w:color w:val="000000" w:themeColor="text1"/>
              </w:rPr>
            </w:pPr>
            <w:r>
              <w:rPr>
                <w:color w:val="000000" w:themeColor="text1"/>
              </w:rPr>
              <w:t xml:space="preserve">8.488.200</w:t>
            </w:r>
            <w:r>
              <w:rPr>
                <w:color w:val="000000" w:themeColor="text1"/>
              </w:rPr>
            </w:r>
            <w:r>
              <w:rPr>
                <w:color w:val="000000" w:themeColor="text1"/>
              </w:rPr>
            </w:r>
          </w:p>
        </w:tc>
        <w:tc>
          <w:tcPr>
            <w:shd w:val="clear" w:color="000000" w:fill="ffffff"/>
            <w:tcBorders/>
            <w:tcW w:w="1758" w:type="dxa"/>
            <w:vAlign w:val="center"/>
            <w:textDirection w:val="lrTb"/>
            <w:noWrap w:val="false"/>
          </w:tcPr>
          <w:p w14:paraId="338B2E9B">
            <w:pPr>
              <w:pBdr/>
              <w:spacing/>
              <w:ind/>
              <w:jc w:val="center"/>
              <w:rPr>
                <w:color w:val="000000" w:themeColor="text1"/>
              </w:rPr>
            </w:pPr>
            <w:r>
              <w:rPr>
                <w:color w:val="000000" w:themeColor="text1"/>
              </w:rPr>
              <w:t xml:space="preserve">80%</w:t>
            </w:r>
            <w:r>
              <w:rPr>
                <w:color w:val="000000" w:themeColor="text1"/>
              </w:rPr>
            </w:r>
            <w:r>
              <w:rPr>
                <w:color w:val="000000" w:themeColor="text1"/>
              </w:rPr>
            </w:r>
          </w:p>
        </w:tc>
        <w:tc>
          <w:tcPr>
            <w:shd w:val="clear" w:color="000000" w:fill="ffffff"/>
            <w:tcBorders/>
            <w:tcW w:w="1758" w:type="dxa"/>
            <w:vAlign w:val="center"/>
            <w:vMerge w:val="restart"/>
            <w:textDirection w:val="lrTb"/>
            <w:noWrap w:val="false"/>
          </w:tcPr>
          <w:p w14:paraId="040D7E0F">
            <w:pPr>
              <w:pBdr/>
              <w:spacing w:after="40" w:before="40" w:line="288" w:lineRule="auto"/>
              <w:ind/>
              <w:jc w:val="center"/>
              <w:rPr>
                <w:color w:val="000000" w:themeColor="text1"/>
              </w:rPr>
            </w:pPr>
            <w:r>
              <w:rPr>
                <w:color w:val="000000" w:themeColor="text1"/>
              </w:rPr>
              <w:t xml:space="preserve">541.207.632</w:t>
            </w:r>
            <w:r>
              <w:rPr>
                <w:color w:val="000000" w:themeColor="text1"/>
              </w:rPr>
            </w:r>
            <w:r>
              <w:rPr>
                <w:color w:val="000000" w:themeColor="text1"/>
              </w:rPr>
            </w:r>
          </w:p>
        </w:tc>
      </w:tr>
      <w:tr>
        <w:trPr>
          <w:trHeight w:val="0"/>
        </w:trPr>
        <w:tc>
          <w:tcPr>
            <w:gridSpan w:val="5"/>
            <w:tcBorders/>
            <w:tcW w:w="6008" w:type="dxa"/>
            <w:vAlign w:val="center"/>
            <w:vMerge w:val="restart"/>
            <w:textDirection w:val="lrTb"/>
            <w:noWrap/>
          </w:tcPr>
          <w:p w14:paraId="1C11EFD8">
            <w:pPr>
              <w:pBdr/>
              <w:tabs>
                <w:tab w:val="left" w:leader="none" w:pos="1978"/>
              </w:tabs>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758" w:type="dxa"/>
            <w:vAlign w:val="center"/>
            <w:vMerge w:val="restart"/>
            <w:textDirection w:val="lrTb"/>
            <w:noWrap/>
          </w:tcPr>
          <w:p w14:paraId="7E39B415">
            <w:pPr>
              <w:pBdr/>
              <w:spacing/>
              <w:ind/>
              <w:rPr>
                <w:b/>
                <w:bCs/>
                <w:color w:val="000000"/>
              </w:rPr>
            </w:pPr>
            <w:r>
              <w:rPr>
                <w:b/>
                <w:bCs/>
                <w:color w:val="000000"/>
              </w:rPr>
            </w:r>
            <w:r>
              <w:rPr>
                <w:b/>
                <w:bCs/>
                <w:color w:val="000000"/>
              </w:rPr>
            </w:r>
            <w:r>
              <w:rPr>
                <w:b/>
                <w:bCs/>
                <w:color w:val="000000"/>
              </w:rPr>
            </w:r>
          </w:p>
        </w:tc>
        <w:tc>
          <w:tcPr>
            <w:tcBorders/>
            <w:tcW w:w="1758" w:type="dxa"/>
            <w:vAlign w:val="center"/>
            <w:vMerge w:val="restart"/>
            <w:textDirection w:val="lrTb"/>
            <w:noWrap/>
          </w:tcPr>
          <w:p w14:paraId="2D279635">
            <w:pPr>
              <w:pBdr/>
              <w:spacing w:after="40" w:before="40" w:line="288" w:lineRule="auto"/>
              <w:ind/>
              <w:jc w:val="center"/>
              <w:rPr>
                <w:b/>
                <w:bCs/>
                <w:color w:val="000000"/>
              </w:rPr>
            </w:pPr>
            <w:r>
              <w:rPr>
                <w:b/>
                <w:bCs/>
                <w:color w:val="000000"/>
              </w:rPr>
            </w:r>
            <w:r>
              <w:rPr>
                <w:rFonts w:ascii="Times New Roman" w:hAnsi="Times New Roman" w:eastAsia="Times New Roman" w:cs="Times New Roman"/>
                <w:color w:val="000000"/>
                <w:sz w:val="24"/>
                <w:szCs w:val="24"/>
              </w:rPr>
              <w:t xml:space="preserve">2.136.207.632</w:t>
            </w:r>
            <w:r>
              <w:rPr>
                <w:b/>
                <w:bCs/>
                <w:color w:val="000000"/>
              </w:rPr>
            </w:r>
            <w:r>
              <w:rPr>
                <w:b/>
                <w:bCs/>
                <w:color w:val="000000"/>
              </w:rPr>
            </w:r>
          </w:p>
        </w:tc>
      </w:tr>
      <w:tr>
        <w:trPr>
          <w:trHeight w:val="0"/>
        </w:trPr>
        <w:tc>
          <w:tcPr>
            <w:gridSpan w:val="5"/>
            <w:tcBorders/>
            <w:tcW w:w="6008" w:type="dxa"/>
            <w:vAlign w:val="center"/>
            <w:textDirection w:val="lrTb"/>
            <w:noWrap/>
          </w:tcPr>
          <w:p w14:paraId="3BDA87D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758" w:type="dxa"/>
            <w:vAlign w:val="center"/>
            <w:textDirection w:val="lrTb"/>
            <w:noWrap/>
          </w:tcPr>
          <w:p w14:paraId="7BD5B220">
            <w:pPr>
              <w:pBdr/>
              <w:spacing/>
              <w:ind/>
              <w:rPr>
                <w:b/>
                <w:bCs/>
                <w:color w:val="000000"/>
              </w:rPr>
            </w:pPr>
            <w:r>
              <w:rPr>
                <w:b/>
                <w:bCs/>
                <w:color w:val="000000"/>
              </w:rPr>
            </w:r>
            <w:r>
              <w:rPr>
                <w:b/>
                <w:bCs/>
                <w:color w:val="000000"/>
              </w:rPr>
            </w:r>
            <w:r>
              <w:rPr>
                <w:b/>
                <w:bCs/>
                <w:color w:val="000000"/>
              </w:rPr>
            </w:r>
          </w:p>
        </w:tc>
        <w:tc>
          <w:tcPr>
            <w:tcBorders/>
            <w:tcW w:w="1758" w:type="dxa"/>
            <w:vAlign w:val="center"/>
            <w:textDirection w:val="lrTb"/>
            <w:noWrap/>
          </w:tcPr>
          <w:p w14:paraId="546C1DA5">
            <w:pPr>
              <w:pBdr/>
              <w:spacing w:after="40" w:before="40" w:line="288" w:lineRule="auto"/>
              <w:ind/>
              <w:jc w:val="center"/>
              <w:rPr>
                <w:b/>
                <w:bCs/>
                <w:color w:val="000000"/>
              </w:rPr>
            </w:pPr>
            <w:r>
              <w:rPr>
                <w:b/>
                <w:bCs/>
                <w:color w:val="000000"/>
              </w:rPr>
              <w:t xml:space="preserve">2.136.000.000</w:t>
            </w:r>
            <w:r>
              <w:rPr>
                <w:b/>
                <w:bCs/>
                <w:color w:val="000000"/>
              </w:rPr>
            </w:r>
            <w:r>
              <w:rPr>
                <w:b/>
                <w:bCs/>
                <w:color w:val="000000"/>
              </w:rPr>
            </w:r>
          </w:p>
        </w:tc>
      </w:tr>
      <w:tr>
        <w:trPr>
          <w:trHeight w:val="0"/>
        </w:trPr>
        <w:tc>
          <w:tcPr>
            <w:gridSpan w:val="7"/>
            <w:tcBorders/>
            <w:tcW w:w="9525" w:type="dxa"/>
            <w:vAlign w:val="center"/>
            <w:textDirection w:val="lrTb"/>
            <w:noWrap w:val="false"/>
          </w:tcPr>
          <w:p w14:paraId="70140871">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một trăm ba mươi sáu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14:paraId="624AE6AA">
      <w:pPr>
        <w:pBdr/>
        <w:spacing w:after="120" w:before="120" w:line="312" w:lineRule="auto"/>
        <w:ind w:firstLine="360"/>
        <w:rPr>
          <w:lang w:val="pt-BR"/>
        </w:rPr>
      </w:pPr>
      <w:r>
        <w:rPr>
          <w:rFonts w:eastAsia="Calibri"/>
          <w:b/>
          <w:spacing w:val="-4"/>
          <w:lang w:val="pt-BR"/>
        </w:rPr>
        <w:t xml:space="preserve">12. </w:t>
      </w:r>
      <w:r>
        <w:rPr>
          <w:rFonts w:eastAsia="Calibri"/>
          <w:b/>
          <w:spacing w:val="-4"/>
          <w:lang w:val="vi-VN"/>
        </w:rPr>
        <w:t xml:space="preserve">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5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50"/>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275/2025/1768/VFI-BC.48.A</w:t>
            </w:r>
            <w:r>
              <w:rPr>
                <w:sz w:val="24"/>
                <w:szCs w:val="24"/>
              </w:rPr>
            </w:r>
            <w:r>
              <w:rPr>
                <w:sz w:val="24"/>
                <w:szCs w:val="24"/>
              </w:rPr>
            </w:r>
          </w:p>
        </w:tc>
        <w:tc>
          <w:tcPr>
            <w:tcBorders/>
            <w:tcW w:w="4781" w:type="dxa"/>
            <w:textDirection w:val="lrTb"/>
            <w:noWrap w:val="false"/>
          </w:tcPr>
          <w:p w14:paraId="4E249833" w14:textId="77777777">
            <w:pPr>
              <w:pStyle w:val="1050"/>
              <w:pBdr/>
              <w:tabs>
                <w:tab w:val="left" w:leader="none" w:pos="5103"/>
              </w:tabs>
              <w:spacing w:before="100" w:line="360" w:lineRule="auto"/>
              <w:ind/>
              <w:jc w:val="right"/>
              <w:rPr>
                <w:rStyle w:val="1049"/>
                <w:rFonts w:ascii="Times New Roman" w:hAnsi="Times New Roman"/>
                <w:i/>
                <w:color w:val="auto"/>
              </w:rPr>
            </w:pPr>
            <w:r>
              <w:rPr>
                <w:rFonts w:ascii="Times New Roman" w:hAnsi="Times New Roman"/>
                <w:i/>
                <w:color w:val="auto"/>
              </w:rPr>
            </w:r>
            <w:r>
              <w:rPr>
                <w:rStyle w:val="1049"/>
                <w:rFonts w:ascii="Times New Roman" w:hAnsi="Times New Roman"/>
                <w:i/>
                <w:color w:val="auto"/>
              </w:rPr>
            </w:r>
            <w:r>
              <w:rPr>
                <w:rStyle w:val="1049"/>
                <w:rFonts w:ascii="Times New Roman" w:hAnsi="Times New Roman"/>
                <w:i/>
                <w:color w:val="auto"/>
              </w:rPr>
            </w:r>
          </w:p>
          <w:p w14:paraId="1C1E2870" w14:textId="207F25D6">
            <w:pPr>
              <w:pStyle w:val="1050"/>
              <w:pBdr/>
              <w:tabs>
                <w:tab w:val="left" w:leader="none" w:pos="5103"/>
              </w:tabs>
              <w:spacing w:before="100" w:line="360" w:lineRule="auto"/>
              <w:ind/>
              <w:jc w:val="right"/>
              <w:rPr>
                <w:i/>
                <w:iCs/>
                <w:sz w:val="24"/>
                <w:szCs w:val="24"/>
              </w:rPr>
            </w:pPr>
            <w:r>
              <w:rPr>
                <w:rStyle w:val="1049"/>
                <w:rFonts w:ascii="Times New Roman" w:hAnsi="Times New Roman"/>
                <w:i/>
                <w:color w:val="auto"/>
              </w:rPr>
              <w:t xml:space="preserve">TP</w:t>
            </w:r>
            <w:r>
              <w:rPr>
                <w:rStyle w:val="1049"/>
                <w:rFonts w:ascii="Times New Roman" w:hAnsi="Times New Roman"/>
                <w:color w:val="auto"/>
              </w:rPr>
              <w:t xml:space="preserve">. </w:t>
            </w:r>
            <w:r>
              <w:rPr>
                <w:rStyle w:val="1049"/>
                <w:rFonts w:ascii="Times New Roman" w:hAnsi="Times New Roman"/>
                <w:i/>
                <w:color w:val="auto"/>
              </w:rPr>
              <w:t xml:space="preserve">Hà Nội</w:t>
            </w:r>
            <w:r>
              <w:rPr>
                <w:rStyle w:val="1049"/>
                <w:rFonts w:ascii="Times New Roman" w:hAnsi="Times New Roman"/>
                <w:i/>
                <w:color w:val="auto"/>
                <w:lang w:val="vi-VN"/>
              </w:rPr>
              <w:t xml:space="preserve">, </w:t>
            </w:r>
            <w:r>
              <w:rPr>
                <w:i/>
                <w:iCs/>
                <w:color w:val="000000" w:themeColor="text1"/>
                <w:sz w:val="24"/>
                <w:szCs w:val="24"/>
                <w:lang w:val="pt-BR"/>
              </w:rPr>
              <w:t xml:space="preserve">ngày 10 tháng 12 năm 2025</w:t>
            </w:r>
            <w:r>
              <w:rPr>
                <w:rStyle w:val="1049"/>
                <w:rFonts w:ascii="Times New Roman" w:hAnsi="Times New Roman"/>
                <w:i/>
                <w:color w:val="auto"/>
                <w:lang w:val="vi-VN"/>
              </w:rPr>
              <w:t xml:space="preserve">   </w:t>
            </w:r>
            <w:r>
              <w:rPr>
                <w:rStyle w:val="1049"/>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5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3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275/2025/1768/VFI-CT.48.A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10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3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5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Ind w:w="-34" w:type="dxa"/>
        <w:tblW w:w="9871" w:type="dxa"/>
        <w:tblBorders/>
        <w:tblLayout w:type="fixed"/>
        <w:tblLook w:val="04A0" w:firstRow="1" w:lastRow="0" w:firstColumn="1" w:lastColumn="0" w:noHBand="0" w:noVBand="1"/>
      </w:tblPr>
      <w:tblGrid>
        <w:gridCol w:w="2467"/>
        <w:gridCol w:w="289"/>
        <w:gridCol w:w="7115"/>
      </w:tblGrid>
      <w:tr>
        <w:trPr>
          <w:trHeight w:val="20"/>
        </w:trPr>
        <w:tc>
          <w:tcPr>
            <w:tcBorders/>
            <w:tcW w:w="2467" w:type="dxa"/>
            <w:vAlign w:val="center"/>
            <w:textDirection w:val="lrTb"/>
            <w:noWrap w:val="false"/>
          </w:tcPr>
          <w:p w14:paraId="0B59B42A">
            <w:pPr>
              <w:pBdr/>
              <w:spacing w:after="40" w:before="40" w:line="276" w:lineRule="auto"/>
              <w:ind/>
              <w:rPr>
                <w:bCs/>
                <w:lang w:val="pt-BR"/>
              </w:rPr>
            </w:pPr>
            <w:r>
              <w:rPr>
                <w:bCs/>
                <w:lang w:val="pt-BR"/>
              </w:rPr>
              <w:t xml:space="preserve">Tên khách hàng</w:t>
            </w:r>
            <w:r>
              <w:rPr>
                <w:bCs/>
                <w:lang w:val="pt-BR"/>
              </w:rPr>
            </w:r>
            <w:r>
              <w:rPr>
                <w:bCs/>
                <w:lang w:val="pt-BR"/>
              </w:rPr>
            </w:r>
          </w:p>
        </w:tc>
        <w:tc>
          <w:tcPr>
            <w:tcBorders/>
            <w:tcW w:w="289" w:type="dxa"/>
            <w:vAlign w:val="center"/>
            <w:textDirection w:val="lrTb"/>
            <w:noWrap w:val="false"/>
          </w:tcPr>
          <w:p w14:paraId="68ADD835">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3B99CF6E">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ÔNG NGUYỄN TRẦN ĐỨC DUY</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467" w:type="dxa"/>
            <w:vAlign w:val="center"/>
            <w:textDirection w:val="lrTb"/>
            <w:noWrap w:val="false"/>
          </w:tcPr>
          <w:p w14:paraId="26543713">
            <w:pPr>
              <w:pBdr/>
              <w:spacing w:after="40" w:before="40" w:line="276" w:lineRule="auto"/>
              <w:ind/>
              <w:rPr>
                <w:bCs/>
              </w:rPr>
            </w:pPr>
            <w:r>
              <w:rPr>
                <w:bCs/>
              </w:rPr>
              <w:t xml:space="preserve">Năm sinh</w:t>
            </w:r>
            <w:r>
              <w:rPr>
                <w:bCs/>
              </w:rPr>
            </w:r>
            <w:r>
              <w:rPr>
                <w:bCs/>
              </w:rPr>
            </w:r>
          </w:p>
        </w:tc>
        <w:tc>
          <w:tcPr>
            <w:tcBorders/>
            <w:tcW w:w="289" w:type="dxa"/>
            <w:vAlign w:val="center"/>
            <w:textDirection w:val="lrTb"/>
            <w:noWrap w:val="false"/>
          </w:tcPr>
          <w:p w14:paraId="27C5173F">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32E036A">
            <w:pPr>
              <w:pBdr/>
              <w:spacing w:after="40" w:before="40" w:line="276" w:lineRule="auto"/>
              <w:ind/>
              <w:rPr>
                <w:spacing w:val="-6"/>
                <w:lang w:val="pt-BR"/>
              </w:rPr>
            </w:pPr>
            <w:r>
              <w:rPr>
                <w:spacing w:val="-6"/>
                <w:lang w:val="pt-BR"/>
              </w:rPr>
              <w:t xml:space="preserve">1985</w:t>
            </w:r>
            <w:r>
              <w:rPr>
                <w:spacing w:val="-6"/>
                <w:lang w:val="pt-BR"/>
              </w:rPr>
            </w:r>
            <w:r>
              <w:rPr>
                <w:spacing w:val="-6"/>
                <w:lang w:val="pt-BR"/>
              </w:rPr>
            </w:r>
          </w:p>
        </w:tc>
      </w:tr>
      <w:tr>
        <w:trPr>
          <w:trHeight w:val="20"/>
        </w:trPr>
        <w:tc>
          <w:tcPr>
            <w:tcBorders/>
            <w:tcW w:w="2467" w:type="dxa"/>
            <w:vAlign w:val="center"/>
            <w:textDirection w:val="lrTb"/>
            <w:noWrap w:val="false"/>
          </w:tcPr>
          <w:p w14:paraId="3B8AD59F">
            <w:pPr>
              <w:pBdr/>
              <w:tabs>
                <w:tab w:val="center" w:leader="none" w:pos="1125"/>
              </w:tabs>
              <w:spacing w:after="40" w:before="40" w:line="276" w:lineRule="auto"/>
              <w:ind/>
              <w:rPr>
                <w:bCs/>
              </w:rPr>
            </w:pPr>
            <w:r>
              <w:rPr>
                <w:bCs/>
              </w:rPr>
              <w:t xml:space="preserve">CCCD số</w:t>
            </w:r>
            <w:r>
              <w:rPr>
                <w:bCs/>
              </w:rPr>
            </w:r>
            <w:r>
              <w:rPr>
                <w:bCs/>
              </w:rPr>
            </w:r>
          </w:p>
        </w:tc>
        <w:tc>
          <w:tcPr>
            <w:tcBorders/>
            <w:tcW w:w="289" w:type="dxa"/>
            <w:vAlign w:val="center"/>
            <w:textDirection w:val="lrTb"/>
            <w:noWrap w:val="false"/>
          </w:tcPr>
          <w:p w14:paraId="428C6CF4">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40EB4BEF">
            <w:pPr>
              <w:pBdr/>
              <w:spacing w:after="40" w:before="40" w:line="276" w:lineRule="auto"/>
              <w:ind/>
              <w:rPr>
                <w:spacing w:val="-6"/>
                <w:lang w:val="pt-BR"/>
              </w:rPr>
            </w:pPr>
            <w:r>
              <w:rPr>
                <w:spacing w:val="-6"/>
                <w:lang w:val="pt-BR"/>
              </w:rPr>
              <w:t xml:space="preserve">048085001428</w:t>
            </w:r>
            <w:r>
              <w:rPr>
                <w:spacing w:val="-6"/>
                <w:lang w:val="pt-BR"/>
              </w:rPr>
            </w:r>
            <w:r>
              <w:rPr>
                <w:spacing w:val="-6"/>
                <w:lang w:val="pt-BR"/>
              </w:rPr>
            </w:r>
          </w:p>
        </w:tc>
      </w:tr>
      <w:tr>
        <w:trPr>
          <w:trHeight w:val="20"/>
        </w:trPr>
        <w:tc>
          <w:tcPr>
            <w:tcBorders/>
            <w:tcW w:w="2467" w:type="dxa"/>
            <w:vAlign w:val="center"/>
            <w:vMerge w:val="restart"/>
            <w:textDirection w:val="lrTb"/>
            <w:noWrap w:val="false"/>
          </w:tcPr>
          <w:p w14:paraId="0B8B6A9F">
            <w:pPr>
              <w:pBdr/>
              <w:spacing w:after="40" w:before="40" w:line="276" w:lineRule="auto"/>
              <w:ind/>
              <w:rPr>
                <w:bCs/>
                <w:lang w:val="pt-BR"/>
              </w:rPr>
            </w:pPr>
            <w:r>
              <w:rPr>
                <w:bCs/>
                <w:lang w:val="pt-BR"/>
              </w:rPr>
              <w:t xml:space="preserve">Địa chỉ</w:t>
            </w:r>
            <w:r>
              <w:rPr>
                <w:bCs/>
                <w:lang w:val="pt-BR"/>
              </w:rPr>
            </w:r>
            <w:r>
              <w:rPr>
                <w:bCs/>
                <w:lang w:val="pt-BR"/>
              </w:rPr>
            </w:r>
          </w:p>
        </w:tc>
        <w:tc>
          <w:tcPr>
            <w:tcBorders/>
            <w:tcW w:w="289" w:type="dxa"/>
            <w:vAlign w:val="center"/>
            <w:vMerge w:val="restart"/>
            <w:textDirection w:val="lrTb"/>
            <w:noWrap w:val="false"/>
          </w:tcPr>
          <w:p w14:paraId="622FE25A">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vMerge w:val="restart"/>
            <w:textDirection w:val="lrTb"/>
            <w:noWrap w:val="false"/>
          </w:tcPr>
          <w:p w14:paraId="44E16909">
            <w:pPr>
              <w:pBdr/>
              <w:tabs>
                <w:tab w:val="left" w:leader="none" w:pos="3382"/>
              </w:tabs>
              <w:spacing w:after="40" w:before="40" w:line="276" w:lineRule="auto"/>
              <w:ind/>
              <w:rPr>
                <w:iCs/>
              </w:rPr>
            </w:pPr>
            <w:r>
              <w:rPr>
                <w:iCs/>
                <w:color w:val="000000" w:themeColor="text1"/>
              </w:rPr>
              <w:t xml:space="preserve">Kiệt 72/27/22 Đinh Tiên Hoàng, phường Thanh Khê, thành phố Đà Nẵng</w:t>
            </w:r>
            <w:r>
              <w:rPr>
                <w:iCs/>
              </w:rPr>
            </w:r>
            <w:r>
              <w:rPr>
                <w:iCs/>
              </w:rPr>
            </w:r>
          </w:p>
        </w:tc>
      </w:tr>
    </w:tbl>
    <w:tbl>
      <w:tblPr>
        <w:tblW w:w="9677" w:type="dxa"/>
        <w:tblBorders/>
        <w:tblLayout w:type="fixed"/>
        <w:tblLook w:val="04A0" w:firstRow="1" w:lastRow="0" w:firstColumn="1" w:lastColumn="0" w:noHBand="0" w:noVBand="1"/>
      </w:tblPr>
      <w:tblGrid>
        <w:gridCol w:w="2448"/>
        <w:gridCol w:w="284"/>
        <w:gridCol w:w="6945"/>
      </w:tblGrid>
      <w:tr>
        <w:trPr>
          <w:trHeight w:val="20"/>
        </w:trPr>
        <w:tc>
          <w:tcPr>
            <w:tcBorders/>
            <w:tcW w:w="244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giár</w:t>
            </w:r>
            <w:r>
              <w:rPr>
                <w:bCs/>
                <w:lang w:val="pt-BR"/>
              </w:rPr>
            </w:r>
            <w:r>
              <w:rPr>
                <w:bCs/>
                <w:lang w:val="pt-BR"/>
              </w:rPr>
            </w:r>
          </w:p>
        </w:tc>
        <w:tc>
          <w:tcPr>
            <w:tcBorders/>
            <w:tcW w:w="284" w:type="dxa"/>
            <w:vAlign w:val="center"/>
            <w:textDirection w:val="lrTb"/>
            <w:noWrap w:val="false"/>
          </w:tcPr>
          <w:p w14:paraId="40A1E1E9" w14:textId="77777777">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và tài sản gắn liền với đất tại thửa đất số: 129, tờ bản đồ số: 4 có địa chỉ: Tổ 107, phường Tam Thuận, quận Thanh Khê, thành phố Đà Nẵng (nay là </w:t>
            </w:r>
            <w:r>
              <w:rPr>
                <w:color w:val="000000"/>
              </w:rPr>
              <w:t xml:space="preserve">H27/18-K72 đường Đinh Tiên Hoàng, phư</w:t>
            </w:r>
            <w:r>
              <w:rPr>
                <w:color w:val="000000"/>
              </w:rPr>
              <w:t xml:space="preserve">ờng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Cs/>
                <w:color w:val="000000" w:themeColor="text1"/>
                <w:lang w:val="pt-BR"/>
              </w:rPr>
              <w:t xml:space="preserve">.</w:t>
            </w:r>
            <w:r>
              <w:rPr>
                <w:b/>
                <w:bCs/>
                <w:spacing w:val="2"/>
                <w:lang w:val="vi-VN"/>
              </w:rPr>
            </w:r>
            <w:r>
              <w:rPr>
                <w:b/>
                <w:bCs/>
                <w:spacing w:val="2"/>
                <w:lang w:val="vi-VN"/>
              </w:rPr>
            </w:r>
          </w:p>
        </w:tc>
      </w:tr>
      <w:tr>
        <w:trPr>
          <w:trHeight w:val="20"/>
        </w:trPr>
        <w:tc>
          <w:tcPr>
            <w:tcBorders/>
            <w:tcW w:w="244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44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44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44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color w:val="000000"/>
              </w:rPr>
              <w:t xml:space="preserve">Phư</w:t>
            </w:r>
            <w:r>
              <w:rPr>
                <w:color w:val="000000"/>
              </w:rPr>
              <w:t xml:space="preserve">ờng Thanh Khê, thành phố Đà Nẵng</w:t>
            </w:r>
            <w:r>
              <w:rPr>
                <w:color w:val="ee0000"/>
                <w:lang w:val="pt-BR"/>
              </w:rPr>
            </w:r>
            <w:r>
              <w:rPr>
                <w:color w:val="ee0000"/>
                <w:lang w:val="pt-BR"/>
              </w:rPr>
            </w:r>
          </w:p>
        </w:tc>
      </w:tr>
      <w:tr>
        <w:trPr>
          <w:trHeight w:val="20"/>
        </w:trPr>
        <w:tc>
          <w:tcPr>
            <w:tcBorders/>
            <w:tcW w:w="244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3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16.075555555556, 108.20955555556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44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5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5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5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5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5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5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5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5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5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5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5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5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5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5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5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5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5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5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5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5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5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5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5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5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5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5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5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5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5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5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sz w:val="24"/>
          <w:szCs w:val="24"/>
        </w:rPr>
        <w:t xml:space="preserve">275/2025/1768/VFI-BC.48.A</w:t>
      </w:r>
      <w:r>
        <w:rPr>
          <w:color w:val="000000" w:themeColor="text1"/>
          <w:lang w:val="pt-BR"/>
        </w:rPr>
        <w:t xml:space="preserve"> ngày 08/12/2025 giữa Ông Nguyễn Trần Đức Duy với Công ty Cổ phần Thẩm định và Đầu tư Tài chính Hoa Sen.</w:t>
      </w:r>
      <w:r>
        <w:rPr>
          <w:b/>
          <w:lang w:val="pt-BR"/>
        </w:rPr>
      </w:r>
      <w:r>
        <w:rPr>
          <w:b/>
          <w:lang w:val="pt-BR"/>
        </w:rPr>
      </w:r>
    </w:p>
    <w:p w14:paraId="7BDC3A25" w14:textId="77D2CF95">
      <w:pPr>
        <w:pStyle w:val="105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jc w:val="both"/>
        <w:rPr>
          <w:rFonts w:ascii="Times New Roman" w:hAnsi="Times New Roman" w:cs="Times New Roman"/>
          <w:iCs/>
          <w:color w:val="000000" w:themeColor="text1"/>
          <w:sz w:val="24"/>
          <w:szCs w:val="24"/>
          <w:highlight w:val="white"/>
        </w:rPr>
      </w:pPr>
      <w:r>
        <w:rPr>
          <w:lang w:val="pt-BR"/>
        </w:rPr>
        <w:tab/>
      </w:r>
      <w:r>
        <w:rPr>
          <w:i/>
          <w:iCs/>
          <w:color w:val="000000" w:themeColor="text1"/>
          <w:lang w:val="pt-BR"/>
        </w:rPr>
      </w:r>
      <w:hyperlink r:id="rId15" w:tooltip="Thị trường" w:history="1">
        <w:r>
          <w:rPr>
            <w:rStyle w:val="1041"/>
            <w:rFonts w:ascii="Times New Roman" w:hAnsi="Times New Roman" w:eastAsia="Times New Roman" w:cs="Times New Roman"/>
            <w:color w:val="000000" w:themeColor="text1"/>
            <w:sz w:val="24"/>
            <w:szCs w:val="24"/>
            <w:highlight w:val="white"/>
            <w:u w:val="none"/>
          </w:rPr>
          <w:t xml:space="preserve">Thị trường</w:t>
        </w:r>
      </w:hyperlink>
      <w:r>
        <w:rPr>
          <w:rFonts w:ascii="Times New Roman" w:hAnsi="Times New Roman" w:eastAsia="Times New Roman" w:cs="Times New Roman"/>
          <w:color w:val="000000" w:themeColor="text1"/>
          <w:sz w:val="24"/>
          <w:szCs w:val="24"/>
          <w:highlight w:val="white"/>
        </w:rPr>
        <w:t xml:space="preserve"> nhà đất Đà Nẵng sôi động trở lại nhờ nhiều dự án đủ điều kiện huy động vốn và mở bán theo quy định pháp lý mới, cùng với nguồn cung đa dạng từ căn hộ, </w:t>
      </w:r>
      <w:hyperlink r:id="rId16" w:tooltip="shophouse" w:history="1">
        <w:r>
          <w:rPr>
            <w:rStyle w:val="1041"/>
            <w:rFonts w:ascii="Times New Roman" w:hAnsi="Times New Roman" w:eastAsia="Times New Roman" w:cs="Times New Roman"/>
            <w:color w:val="000000" w:themeColor="text1"/>
            <w:sz w:val="24"/>
            <w:szCs w:val="24"/>
            <w:highlight w:val="white"/>
            <w:u w:val="none"/>
          </w:rPr>
          <w:t xml:space="preserve">shophouse</w:t>
        </w:r>
      </w:hyperlink>
      <w:r>
        <w:rPr>
          <w:rFonts w:ascii="Times New Roman" w:hAnsi="Times New Roman" w:eastAsia="Times New Roman" w:cs="Times New Roman"/>
          <w:color w:val="000000" w:themeColor="text1"/>
          <w:sz w:val="24"/>
          <w:szCs w:val="24"/>
          <w:highlight w:val="white"/>
        </w:rPr>
        <w:t xml:space="preserve"> đến các dự án phức hợp</w:t>
      </w:r>
      <w:r>
        <w:rPr>
          <w:rFonts w:ascii="Times New Roman" w:hAnsi="Times New Roman" w:cs="Times New Roman"/>
          <w:iCs/>
          <w:color w:val="000000" w:themeColor="text1"/>
          <w:sz w:val="24"/>
          <w:szCs w:val="24"/>
          <w:highlight w:val="white"/>
        </w:rPr>
      </w:r>
      <w:r>
        <w:rPr>
          <w:rFonts w:ascii="Times New Roman" w:hAnsi="Times New Roman" w:cs="Times New Roman"/>
          <w:iCs/>
          <w:color w:val="000000" w:themeColor="text1"/>
          <w:sz w:val="24"/>
          <w:szCs w:val="24"/>
          <w:highlight w:val="white"/>
        </w:rPr>
      </w:r>
    </w:p>
    <w:p w14:paraId="3130B6E9">
      <w:pPr>
        <w:pBdr/>
        <w:tabs>
          <w:tab w:val="left" w:leader="none" w:pos="426"/>
        </w:tabs>
        <w:spacing w:after="120" w:before="120" w:line="276" w:lineRule="auto"/>
        <w:ind/>
        <w:jc w:val="both"/>
        <w:rPr>
          <w:rFonts w:ascii="Times New Roman" w:hAnsi="Times New Roman" w:cs="Times New Roman"/>
          <w:bCs/>
          <w:i/>
          <w:color w:val="000000" w:themeColor="text1"/>
          <w:sz w:val="24"/>
          <w:szCs w:val="24"/>
          <w:highlight w:val="none"/>
        </w:rPr>
      </w:pPr>
      <w:r>
        <w:rPr>
          <w:rFonts w:ascii="Times New Roman" w:hAnsi="Times New Roman" w:eastAsia="Times New Roman" w:cs="Times New Roman"/>
          <w:color w:val="000000" w:themeColor="text1"/>
          <w:sz w:val="24"/>
          <w:szCs w:val="24"/>
          <w:highlight w:val="none"/>
        </w:rPr>
        <w:tab/>
      </w:r>
      <w:r>
        <w:rPr>
          <w:rFonts w:ascii="Times New Roman" w:hAnsi="Times New Roman" w:eastAsia="Times New Roman" w:cs="Times New Roman"/>
          <w:color w:val="000000" w:themeColor="text1"/>
          <w:sz w:val="24"/>
          <w:szCs w:val="24"/>
        </w:rPr>
        <w:t xml:space="preserve">Thống kê Đà Nẵng cho hay, tổng </w:t>
      </w:r>
      <w:hyperlink r:id="rId17" w:tooltip="doanh thu" w:history="1">
        <w:r>
          <w:rPr>
            <w:rStyle w:val="1041"/>
            <w:rFonts w:ascii="Times New Roman" w:hAnsi="Times New Roman" w:eastAsia="Times New Roman" w:cs="Times New Roman"/>
            <w:color w:val="000000" w:themeColor="text1"/>
            <w:sz w:val="24"/>
            <w:szCs w:val="24"/>
            <w:u w:val="none"/>
          </w:rPr>
          <w:t xml:space="preserve">doanh thu</w:t>
        </w:r>
      </w:hyperlink>
      <w:r>
        <w:rPr>
          <w:rFonts w:ascii="Times New Roman" w:hAnsi="Times New Roman" w:eastAsia="Times New Roman" w:cs="Times New Roman"/>
          <w:color w:val="000000" w:themeColor="text1"/>
          <w:sz w:val="24"/>
          <w:szCs w:val="24"/>
        </w:rPr>
        <w:t xml:space="preserve"> dịch vụ khác tháng 11/2025 ước đạt 4.783 tỷ đồng, tăng gần 26% so với cùng kỳ năm ngoái. Trong đó, dịch vụ kinh doanh bất động sản (BĐS) tính cho tiêu dùng cuối cùng đạt hơn 1.800 tỷ đồng, tăng hơn 40% so với cùng kỳ.</w:t>
      </w:r>
      <w:r>
        <w:rPr>
          <w:rFonts w:ascii="Times New Roman" w:hAnsi="Times New Roman" w:cs="Times New Roman"/>
          <w:bCs/>
          <w:i/>
          <w:color w:val="000000" w:themeColor="text1"/>
          <w:sz w:val="24"/>
          <w:szCs w:val="24"/>
          <w:highlight w:val="none"/>
        </w:rPr>
      </w:r>
      <w:r>
        <w:rPr>
          <w:rFonts w:ascii="Times New Roman" w:hAnsi="Times New Roman" w:cs="Times New Roman"/>
          <w:bCs/>
          <w:i/>
          <w:color w:val="000000" w:themeColor="text1"/>
          <w:sz w:val="24"/>
          <w:szCs w:val="24"/>
          <w:highlight w:val="none"/>
        </w:rPr>
      </w:r>
    </w:p>
    <w:p w14:paraId="79195C09">
      <w:pPr>
        <w:pBdr/>
        <w:tabs>
          <w:tab w:val="left" w:leader="none" w:pos="426"/>
        </w:tabs>
        <w:spacing w:after="120" w:before="120" w:line="276" w:lineRule="auto"/>
        <w:ind/>
        <w:jc w:val="both"/>
        <w:rPr>
          <w:rFonts w:ascii="Times New Roman" w:hAnsi="Times New Roman" w:cs="Times New Roman"/>
          <w:color w:val="000000" w:themeColor="text1"/>
          <w:sz w:val="24"/>
          <w:szCs w:val="24"/>
          <w:highlight w:val="white"/>
        </w:rPr>
      </w:pPr>
      <w:r>
        <w:rPr>
          <w:rFonts w:ascii="Times New Roman" w:hAnsi="Times New Roman" w:eastAsia="Times New Roman" w:cs="Times New Roman"/>
          <w:i/>
          <w:iCs/>
          <w:color w:val="000000" w:themeColor="text1"/>
          <w:sz w:val="24"/>
          <w:szCs w:val="24"/>
          <w:highlight w:val="none"/>
          <w:lang w:val="pt-BR" w:bidi="pt-BR"/>
        </w:rPr>
        <w:tab/>
      </w:r>
      <w:r>
        <w:rPr>
          <w:rFonts w:ascii="Times New Roman" w:hAnsi="Times New Roman" w:eastAsia="Times New Roman" w:cs="Times New Roman"/>
          <w:color w:val="000000" w:themeColor="text1"/>
          <w:sz w:val="24"/>
          <w:szCs w:val="24"/>
          <w:highlight w:val="white"/>
        </w:rPr>
        <w:t xml:space="preserve">Tính chung 11 tháng năm nay, tổng doanh thu nhóm ngành dịch vụ khác đạt 50.770 tỷ đồng, tăng hơn 42% so với cùng kỳ năm trước. Riêng dịch vụ kinh doanh BĐS tiếp tục dẫn đầu quy mô doanh thu với 19.080 tỷ đồng, tăng 91,8%. Kế đến là dịch vụ nghệ thuật, vui </w:t>
      </w:r>
      <w:r>
        <w:rPr>
          <w:rFonts w:ascii="Times New Roman" w:hAnsi="Times New Roman" w:eastAsia="Times New Roman" w:cs="Times New Roman"/>
          <w:color w:val="000000" w:themeColor="text1"/>
          <w:sz w:val="24"/>
          <w:szCs w:val="24"/>
          <w:highlight w:val="white"/>
        </w:rPr>
        <w:t xml:space="preserve">chơi giải trí đạt hơn 8.100 tỷ đồng, tăng 23%; giáo dục và đào tạo đạt 6.440 tỷ đồng, tăng gần 40%.</w:t>
      </w:r>
      <w:r>
        <w:rPr>
          <w:rFonts w:ascii="Times New Roman" w:hAnsi="Times New Roman" w:cs="Times New Roman"/>
          <w:color w:val="000000" w:themeColor="text1"/>
          <w:sz w:val="24"/>
          <w:szCs w:val="24"/>
          <w:highlight w:val="white"/>
        </w:rPr>
      </w:r>
      <w:r>
        <w:rPr>
          <w:rFonts w:ascii="Times New Roman" w:hAnsi="Times New Roman" w:cs="Times New Roman"/>
          <w:color w:val="000000" w:themeColor="text1"/>
          <w:sz w:val="24"/>
          <w:szCs w:val="24"/>
          <w:highlight w:val="white"/>
        </w:rPr>
      </w:r>
    </w:p>
    <w:p w14:paraId="620131F6">
      <w:pPr>
        <w:pBdr/>
        <w:tabs>
          <w:tab w:val="left" w:leader="none" w:pos="426"/>
        </w:tabs>
        <w:spacing w:after="120" w:before="120" w:line="276" w:lineRule="auto"/>
        <w:ind/>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highlight w:val="none"/>
        </w:rPr>
        <w:tab/>
      </w:r>
      <w:r>
        <w:rPr>
          <w:rFonts w:ascii="Times New Roman" w:hAnsi="Times New Roman" w:eastAsia="Times New Roman" w:cs="Times New Roman"/>
          <w:color w:val="000000" w:themeColor="text1"/>
          <w:sz w:val="24"/>
          <w:szCs w:val="24"/>
        </w:rPr>
        <w:t xml:space="preserve">Thống kê Đà Nẵng cho biết thêm, từ đầu năm tới nay, thành phố đã cấp mới giấy chứng nhận đăng ký doanh nghiệp cho hơn 5.300 doanh nghiệp và 542 chi nhánh, văn phòng đại diện, với tổng vốn điều lệ đăng ký đạt hơn 34.000tỷ đồng. Xét về quy mô vốn đăng ký, ho</w:t>
      </w:r>
      <w:r>
        <w:rPr>
          <w:rFonts w:ascii="Times New Roman" w:hAnsi="Times New Roman" w:eastAsia="Times New Roman" w:cs="Times New Roman"/>
          <w:color w:val="000000" w:themeColor="text1"/>
          <w:sz w:val="24"/>
          <w:szCs w:val="24"/>
        </w:rPr>
        <w:t xml:space="preserve">ạt động kinh doanh BĐS tiếp tục thu hút vốn lớn nhất, với hơn 10.500 tỷ đồng, chiếm 30%.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61A15ED7">
      <w:pPr>
        <w:pBdr/>
        <w:tabs>
          <w:tab w:val="left" w:leader="none" w:pos="426"/>
        </w:tabs>
        <w:spacing w:after="120" w:before="120" w:line="276" w:lineRule="auto"/>
        <w:ind/>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ab/>
      </w:r>
      <w:r>
        <w:rPr>
          <w:rFonts w:ascii="Times New Roman" w:hAnsi="Times New Roman" w:eastAsia="Times New Roman" w:cs="Times New Roman"/>
          <w:color w:val="000000" w:themeColor="text1"/>
          <w:sz w:val="24"/>
          <w:szCs w:val="24"/>
        </w:rPr>
        <w:t xml:space="preserve">Theo Thống kê Đà Nẵng, thị trường nhà đất thành phố trở nên sôi động trở lại nhờ nhiều dự án đủ điều kiện huy động vốn và mở bán theo quy định pháp lý mới, cùng với nguồn cung đa dạng trải rộng từ căn hộ, shophouse đến các dự án phức hợp.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46350122">
      <w:pPr>
        <w:pBdr/>
        <w:tabs>
          <w:tab w:val="left" w:leader="none" w:pos="426"/>
        </w:tabs>
        <w:spacing w:after="120" w:before="120" w:line="276" w:lineRule="auto"/>
        <w:ind/>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ab/>
      </w:r>
      <w:r>
        <w:rPr>
          <w:rFonts w:ascii="Times New Roman" w:hAnsi="Times New Roman" w:eastAsia="Times New Roman" w:cs="Times New Roman"/>
          <w:color w:val="000000" w:themeColor="text1"/>
          <w:sz w:val="24"/>
          <w:szCs w:val="24"/>
        </w:rPr>
        <w:t xml:space="preserve">Các dự án trọng điểm tại khu vực ven sông, trung tâm và các khu đô thị mới đều ghi nhận mức độ quan tâm cao, trong khi những dự án quy mô lớn trở thành tâm điểm thu hút đầu tư. Phân khúc đất nền, căn hộ duy trì lượng giao dịch khá sôi động.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7B914E81">
      <w:pPr>
        <w:pBdr/>
        <w:tabs>
          <w:tab w:val="left" w:leader="none" w:pos="426"/>
        </w:tabs>
        <w:spacing w:after="120" w:before="120" w:line="276" w:lineRule="auto"/>
        <w:ind/>
        <w:jc w:val="both"/>
        <w:rPr>
          <w:rFonts w:ascii="Times New Roman" w:hAnsi="Times New Roman" w:cs="Times New Roman"/>
          <w:color w:val="1a1a1a"/>
          <w:sz w:val="24"/>
          <w:szCs w:val="24"/>
          <w:highlight w:val="none"/>
        </w:rPr>
      </w:pPr>
      <w:r>
        <w:rPr>
          <w:rFonts w:ascii="Times New Roman" w:hAnsi="Times New Roman" w:eastAsia="Times New Roman" w:cs="Times New Roman"/>
          <w:color w:val="1a1a1a"/>
          <w:sz w:val="24"/>
          <w:szCs w:val="24"/>
        </w:rPr>
        <w:tab/>
      </w:r>
      <w:r>
        <w:rPr>
          <w:rFonts w:ascii="Times New Roman" w:hAnsi="Times New Roman" w:eastAsia="Times New Roman" w:cs="Times New Roman"/>
          <w:color w:val="1a1a1a"/>
          <w:sz w:val="24"/>
          <w:szCs w:val="24"/>
        </w:rPr>
        <w:t xml:space="preserve">Từ đầu năm đến nay, Đà Nẵng đã 2 lần điều chỉnh bảng giá đất. Lần thứ nhất vào tháng 1 với mặt bằng chung tăng giá hơn 10% so với trước đây. Lần thứ 2 vào tháng 7, với sự gia tăng lớn. Một số tuyến đường tăng gần cả trăm triệu đồng/m2. Điển hình như đường </w:t>
      </w:r>
      <w:r>
        <w:rPr>
          <w:rFonts w:ascii="Times New Roman" w:hAnsi="Times New Roman" w:eastAsia="Times New Roman" w:cs="Times New Roman"/>
          <w:color w:val="1a1a1a"/>
          <w:sz w:val="24"/>
          <w:szCs w:val="24"/>
        </w:rPr>
        <w:t xml:space="preserve">Bạch Đằng - tuyến đường đắt đỏ nhất, với đoạn từ Lê Duẩn đến Nguyễn Văn Linh lên tới gần 341 triệu đồng/m2. Theo bảng giá đất cũ, đoạn đường này có giá hơn 286 triệu đồng/m2.</w:t>
      </w:r>
      <w:r>
        <w:rPr>
          <w:rFonts w:ascii="Times New Roman" w:hAnsi="Times New Roman" w:cs="Times New Roman"/>
          <w:color w:val="1a1a1a"/>
          <w:sz w:val="24"/>
          <w:szCs w:val="24"/>
          <w:highlight w:val="none"/>
        </w:rPr>
      </w:r>
      <w:r>
        <w:rPr>
          <w:rFonts w:ascii="Times New Roman" w:hAnsi="Times New Roman" w:cs="Times New Roman"/>
          <w:color w:val="1a1a1a"/>
          <w:sz w:val="24"/>
          <w:szCs w:val="24"/>
          <w:highlight w:val="none"/>
        </w:rPr>
      </w:r>
    </w:p>
    <w:p w14:paraId="7D494868">
      <w:pPr>
        <w:pBdr/>
        <w:tabs>
          <w:tab w:val="left" w:leader="none" w:pos="426"/>
        </w:tabs>
        <w:spacing w:after="120" w:before="120" w:line="276" w:lineRule="auto"/>
        <w:ind/>
        <w:jc w:val="center"/>
        <w:rPr>
          <w:rFonts w:ascii="Times New Roman" w:hAnsi="Times New Roman" w:cs="Times New Roman"/>
          <w:bCs/>
          <w:i/>
          <w:color w:val="000000" w:themeColor="text1"/>
          <w:sz w:val="24"/>
          <w:szCs w:val="24"/>
          <w:highlight w:val="none"/>
          <w:u w:val="none"/>
        </w:rPr>
      </w:pPr>
      <w:r>
        <w:rPr>
          <w:rFonts w:ascii="Times New Roman" w:hAnsi="Times New Roman" w:eastAsia="Times New Roman" w:cs="Times New Roman"/>
          <w:i/>
          <w:iCs/>
          <w:color w:val="000000" w:themeColor="text1"/>
          <w:sz w:val="24"/>
          <w:szCs w:val="24"/>
          <w:highlight w:val="none"/>
          <w:u w:val="none"/>
          <w:lang w:val="pt-BR" w:bidi="pt-BR"/>
        </w:rPr>
        <w:t xml:space="preserve">(Ng</w:t>
      </w:r>
      <w:r>
        <w:rPr>
          <w:rFonts w:ascii="Times New Roman" w:hAnsi="Times New Roman" w:eastAsia="Times New Roman" w:cs="Times New Roman"/>
          <w:i/>
          <w:iCs/>
          <w:color w:val="000000" w:themeColor="text1"/>
          <w:sz w:val="24"/>
          <w:szCs w:val="24"/>
          <w:highlight w:val="none"/>
          <w:u w:val="none"/>
          <w:lang w:val="pt-BR" w:bidi="pt-BR"/>
        </w:rPr>
        <w:t xml:space="preserve">uồn: </w:t>
      </w:r>
      <w:hyperlink r:id="rId18" w:tooltip="https://24hmoney.vn/news/hai-lan-dieu-chinh-gia-dat-da-nang-tang-thu-tu-kinh-doanh-bds-hon-90-c3a2698324.html" w:history="1">
        <w:r>
          <w:rPr>
            <w:rStyle w:val="1041"/>
            <w:rFonts w:ascii="Times New Roman" w:hAnsi="Times New Roman" w:eastAsia="Times New Roman" w:cs="Times New Roman"/>
            <w:i/>
            <w:iCs/>
            <w:color w:val="000000" w:themeColor="text1"/>
            <w:sz w:val="24"/>
            <w:szCs w:val="24"/>
            <w:u w:val="none"/>
          </w:rPr>
          <w:t xml:space="preserve">Hai lần điều chỉnh giá đất, Đà Nẵng tăng thu từ kinh doanh BĐS hơn 90%</w:t>
        </w:r>
      </w:hyperlink>
      <w:r>
        <w:rPr>
          <w:rFonts w:ascii="Times New Roman" w:hAnsi="Times New Roman" w:eastAsia="Times New Roman" w:cs="Times New Roman"/>
          <w:i/>
          <w:iCs/>
          <w:color w:val="000000" w:themeColor="text1"/>
          <w:sz w:val="24"/>
          <w:szCs w:val="24"/>
          <w:highlight w:val="none"/>
          <w:u w:val="none"/>
          <w:lang w:val="pt-BR" w:bidi="pt-BR"/>
        </w:rPr>
        <w:t xml:space="preserve">)</w:t>
      </w:r>
      <w:r>
        <w:rPr>
          <w:rFonts w:ascii="Times New Roman" w:hAnsi="Times New Roman" w:cs="Times New Roman"/>
          <w:bCs/>
          <w:i/>
          <w:color w:val="000000" w:themeColor="text1"/>
          <w:sz w:val="24"/>
          <w:szCs w:val="24"/>
          <w:highlight w:val="none"/>
          <w:u w:val="none"/>
        </w:rPr>
      </w:r>
      <w:r>
        <w:rPr>
          <w:rFonts w:ascii="Times New Roman" w:hAnsi="Times New Roman" w:cs="Times New Roman"/>
          <w:bCs/>
          <w:i/>
          <w:color w:val="000000" w:themeColor="text1"/>
          <w:sz w:val="24"/>
          <w:szCs w:val="24"/>
          <w:highlight w:val="none"/>
          <w:u w:val="none"/>
        </w:rPr>
      </w:r>
    </w:p>
    <w:p w14:paraId="20BF0D54" w14:textId="312C63AB">
      <w:pPr>
        <w:pStyle w:val="105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r>
            <w:r>
              <w:rPr>
                <w:b/>
                <w:bCs/>
                <w:color w:val="000000"/>
              </w:rPr>
              <w:t xml:space="preserve">Quyền sử dụng đất và tài sản gắn liền với đất tại thửa đất số: 129, tờ bản đồ số: 4 có địa chỉ: Tổ 107, phường Tam Thuận, quận Thanh Khê, thành phố Đà Nẵng (nay là </w:t>
            </w:r>
            <w:r>
              <w:rPr>
                <w:b/>
                <w:bCs/>
                <w:color w:val="000000"/>
              </w:rPr>
              <w:t xml:space="preserve">H27/18-K72 đường Đinh Tiên Hoàng, phư</w:t>
            </w:r>
            <w:r>
              <w:rPr>
                <w:b/>
                <w:bCs/>
                <w:color w:val="000000"/>
              </w:rPr>
              <w:t xml:space="preserve">ờ</w:t>
            </w:r>
            <w:r>
              <w:rPr>
                <w:b/>
                <w:bCs/>
                <w:color w:val="000000"/>
              </w:rPr>
              <w:t xml:space="preserve">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67"/>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129</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4</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Tổ 107, phường Tam Thuận, quận Thanh Khê, thành phố Đà Nẵng</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31,9</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14:paraId="0140E9A7" w14:textId="3E371A2A">
            <w:pPr>
              <w:pBdr/>
              <w:spacing/>
              <w:ind/>
              <w:jc w:val="both"/>
              <w:rPr>
                <w:color w:val="000000"/>
                <w:sz w:val="24"/>
                <w:szCs w:val="24"/>
              </w:rPr>
            </w:pPr>
            <w:r>
              <w:rPr>
                <w:color w:val="000000"/>
                <w:sz w:val="24"/>
                <w:szCs w:val="24"/>
              </w:rPr>
            </w:r>
            <w:r>
              <w:rPr>
                <w:rFonts w:ascii="Times New Roman" w:hAnsi="Times New Roman" w:eastAsia="Times New Roman" w:cs="Times New Roman"/>
                <w:color w:val="000000"/>
                <w:sz w:val="24"/>
                <w:szCs w:val="24"/>
              </w:rPr>
              <w:t xml:space="preserve">Tại thời điểm thẩm định giá, Tổ thẩm định không thu thập được các thông tin quy hoạch liên quan đến thửa đất thẩm định giá.</w:t>
            </w:r>
            <w:r>
              <w:rPr>
                <w:color w:val="000000"/>
                <w:sz w:val="24"/>
                <w:szCs w:val="24"/>
              </w:rPr>
            </w:r>
            <w:r>
              <w:rPr>
                <w:color w:val="000000"/>
                <w:sz w:val="24"/>
                <w:szCs w:val="24"/>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bê tông</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2,0</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2,0</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Cách đường Đinh Tiên Hoàng khoảng 177,5m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rPr>
                <w:color w:val="000000" w:themeColor="text1"/>
              </w:rPr>
              <w:t xml:space="preserve">Hướng Đông Nam: Tiếp giáp đường giao thông.</w:t>
              <w:br/>
              <w:t xml:space="preserve">Các hướng còn lại: Tiếp giáp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w:t>
            </w:r>
            <w:r>
              <w:rPr>
                <w:highlight w:val="white"/>
                <w:shd w:val="clear" w:color="ffffff" w:themeColor="background1" w:fill="ffffff" w:themeFill="background1"/>
              </w:rPr>
              <w:t xml:space="preserve">ản đồ v</w:t>
            </w:r>
            <w:r>
              <w:rPr>
                <w:highlight w:val="white"/>
                <w:shd w:val="clear" w:color="ffffff" w:themeColor="background1" w:fill="ffffff" w:themeFill="background1"/>
              </w:rPr>
              <w:t xml:space="preserve">ệ tinh</w:t>
            </w:r>
            <w:r>
              <w:rPr>
                <w:highlight w:val="white"/>
                <w:shd w:val="clear" w:color="ffffff" w:themeColor="background1" w:fill="ffffff" w:themeFill="background1"/>
              </w:rPr>
              <w:t xml:space="preserve">: </w:t>
            </w:r>
            <w:r>
              <w:rPr>
                <w:highlight w:val="white"/>
              </w:rPr>
              <w:t xml:space="preserve">(</w:t>
            </w:r>
            <w:r>
              <w:rPr>
                <w:color w:val="000000"/>
              </w:rPr>
              <w:t xml:space="preserve">16.075555555556</w:t>
            </w:r>
            <w:r>
              <w:rPr>
                <w:color w:val="000000"/>
              </w:rPr>
              <w:t xml:space="preserve">, </w:t>
            </w:r>
            <w:r>
              <w:rPr>
                <w:color w:val="000000"/>
              </w:rPr>
              <w:t xml:space="preserve">108.20955555556</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w:r>
            <w:r>
              <mc:AlternateContent>
                <mc:Choice Requires="wpg">
                  <w:drawing>
                    <wp:inline xmlns:wp="http://schemas.openxmlformats.org/drawingml/2006/wordprocessingDrawing" distT="0" distB="0" distL="0" distR="0">
                      <wp:extent cx="6048375" cy="294411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1765" name=""/>
                              <pic:cNvPicPr>
                                <a:picLocks noChangeAspect="1"/>
                              </pic:cNvPicPr>
                              <pic:nvPr/>
                            </pic:nvPicPr>
                            <pic:blipFill rotWithShape="1">
                              <a:blip r:embed="rId19"/>
                              <a:stretch/>
                            </pic:blipFill>
                            <pic:spPr bwMode="auto">
                              <a:xfrm>
                                <a:off x="0" y="0"/>
                                <a:ext cx="6048374" cy="29441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31.82pt;mso-wrap-distance-left:0.00pt;mso-wrap-distance-top:0.00pt;mso-wrap-distance-right:0.00pt;mso-wrap-distance-bottom:0.00pt;z-index:1;" stroked="false">
                      <v:imagedata r:id="rId19"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31,9</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4,0</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7,76</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14:paraId="09A728B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Tốt</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 Nhà 3 tầng</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rFonts w:ascii="Times New Roman" w:hAnsi="Times New Roman" w:eastAsia="Times New Roman" w:cs="Times New Roman"/>
                <w:color w:val="000000"/>
                <w:sz w:val="26"/>
              </w:rPr>
              <w:t xml:space="preserve">Tại thời điểm khảo sát, tổ thẩm định nhận thấy trên đất có 01 nhà 3 tầng, kết cấu BTCT, tường gạch chịu lực, sàn lát gạch men, ngoại quan còn khá. Công trình được xây dựng vào năm 2015. Hiện công trình </w:t>
            </w:r>
            <w:r>
              <w:rPr>
                <w:rFonts w:ascii="Times New Roman" w:hAnsi="Times New Roman" w:eastAsia="Times New Roman" w:cs="Times New Roman"/>
                <w:color w:val="000000"/>
                <w:sz w:val="26"/>
                <w:highlight w:val="white"/>
              </w:rPr>
              <w:t xml:space="preserve">đ</w:t>
            </w:r>
            <w:r>
              <w:rPr>
                <w:rFonts w:ascii="Times New Roman" w:hAnsi="Times New Roman" w:eastAsia="Times New Roman" w:cs="Times New Roman"/>
                <w:color w:val="000000"/>
                <w:sz w:val="26"/>
                <w:highlight w:val="white"/>
              </w:rPr>
              <w:t xml:space="preserve">ã được cải tạo và có hiện trạng khác </w:t>
            </w:r>
            <w:r>
              <w:rPr>
                <w:rFonts w:ascii="Times New Roman" w:hAnsi="Times New Roman" w:eastAsia="Times New Roman" w:cs="Times New Roman"/>
                <w:color w:val="000000"/>
                <w:sz w:val="26"/>
                <w:highlight w:val="white"/>
              </w:rPr>
              <w:t xml:space="preserve">v</w:t>
            </w:r>
            <w:r>
              <w:rPr>
                <w:rFonts w:ascii="Times New Roman" w:hAnsi="Times New Roman" w:eastAsia="Times New Roman" w:cs="Times New Roman"/>
                <w:color w:val="000000"/>
                <w:sz w:val="26"/>
              </w:rPr>
              <w:t xml:space="preserve">ới công trình được chứng nhận trên GCN số</w:t>
            </w:r>
            <w:r>
              <w:rPr>
                <w:rFonts w:ascii="Times New Roman" w:hAnsi="Times New Roman" w:eastAsia="Times New Roman" w:cs="Times New Roman"/>
                <w:b w:val="0"/>
                <w:bCs w:val="0"/>
                <w:color w:val="000000"/>
                <w:spacing w:val="3"/>
                <w:sz w:val="26"/>
                <w:highlight w:val="white"/>
              </w:rPr>
              <w:t xml:space="preserve"> </w:t>
            </w:r>
            <w:r>
              <w:rPr>
                <w:b w:val="0"/>
                <w:bCs w:val="0"/>
                <w:color w:val="000000"/>
              </w:rPr>
              <w:t xml:space="preserve">CA 487363.</w:t>
            </w:r>
            <w:r>
              <w:rPr>
                <w:color w:val="000000"/>
              </w:rPr>
            </w:r>
            <w:r>
              <w:rPr>
                <w:color w:val="000000"/>
              </w:rPr>
            </w:r>
          </w:p>
        </w:tc>
      </w:tr>
    </w:tbl>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Có</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5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5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5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57569A1C">
      <w:pPr>
        <w:pStyle w:val="1051"/>
        <w:numPr>
          <w:ilvl w:val="0"/>
          <w:numId w:val="51"/>
        </w:numPr>
        <w:pBdr/>
        <w:spacing/>
        <w:ind w:right="0" w:hanging="450" w:left="360"/>
        <w:jc w:val="both"/>
        <w:rPr>
          <w:color w:val="000000"/>
          <w:sz w:val="24"/>
          <w:szCs w:val="24"/>
          <w:highlight w:val="white"/>
        </w:rPr>
      </w:pPr>
      <w:r>
        <w:rPr>
          <w:rFonts w:ascii="Times New Roman" w:hAnsi="Times New Roman" w:eastAsia="Times New Roman" w:cs="Times New Roman"/>
          <w:color w:val="000000"/>
          <w:sz w:val="24"/>
          <w:szCs w:val="24"/>
          <w:highlight w:val="white"/>
        </w:rPr>
        <w:t xml:space="preserve">Tại thời điểm khảo sát, tổ thẩm định nhận thấy trên đất có 01 nhà 3 tầng, kết cấu BTCT, tường gạch chịu lực, sàn lát gạch men, ngoại quan còn khá. Công trình được xây dựng vào năm 2015, diện tích sàn 79,7 m2. Hiện công trình đ</w:t>
      </w:r>
      <w:r>
        <w:rPr>
          <w:rFonts w:ascii="Times New Roman" w:hAnsi="Times New Roman" w:eastAsia="Times New Roman" w:cs="Times New Roman"/>
          <w:color w:val="000000"/>
          <w:sz w:val="24"/>
          <w:szCs w:val="24"/>
          <w:highlight w:val="white"/>
        </w:rPr>
        <w:t xml:space="preserve">ã được cải tạo và có hiện trạng khác </w:t>
      </w:r>
      <w:r>
        <w:rPr>
          <w:rFonts w:ascii="Times New Roman" w:hAnsi="Times New Roman" w:eastAsia="Times New Roman" w:cs="Times New Roman"/>
          <w:color w:val="000000"/>
          <w:sz w:val="24"/>
          <w:szCs w:val="24"/>
          <w:highlight w:val="white"/>
        </w:rPr>
        <w:t xml:space="preserve">với công trình được chứng nhận trên GCN số</w:t>
      </w:r>
      <w:r>
        <w:rPr>
          <w:rFonts w:ascii="Times New Roman" w:hAnsi="Times New Roman" w:eastAsia="Times New Roman" w:cs="Times New Roman"/>
          <w:b w:val="0"/>
          <w:bCs w:val="0"/>
          <w:color w:val="000000"/>
          <w:spacing w:val="3"/>
          <w:sz w:val="24"/>
          <w:szCs w:val="24"/>
          <w:highlight w:val="white"/>
        </w:rPr>
        <w:t xml:space="preserve"> </w:t>
      </w:r>
      <w:r>
        <w:rPr>
          <w:b w:val="0"/>
          <w:bCs w:val="0"/>
          <w:color w:val="000000"/>
          <w:sz w:val="24"/>
          <w:szCs w:val="24"/>
          <w:highlight w:val="white"/>
        </w:rPr>
        <w:t xml:space="preserve">CA 487363.</w:t>
      </w:r>
      <w:r>
        <w:rPr>
          <w:color w:val="000000"/>
          <w:sz w:val="24"/>
          <w:szCs w:val="24"/>
          <w:highlight w:val="white"/>
        </w:rPr>
        <w:t xml:space="preserve"> Được sự đồng ý của Ngân hàng/khách hàng, Tổ thẩm định xác định giá trị công trình theo hiện trạng kháo sát thực tế. Kính đề nghị các đơ</w:t>
      </w:r>
      <w:r>
        <w:rPr>
          <w:color w:val="000000"/>
          <w:sz w:val="24"/>
          <w:szCs w:val="24"/>
          <w:highlight w:val="white"/>
        </w:rPr>
        <w:t xml:space="preserve">n vị sử dụng Chứng thư lưu ý.</w:t>
      </w:r>
      <w:r>
        <w:rPr>
          <w:color w:val="000000"/>
          <w:sz w:val="24"/>
          <w:szCs w:val="24"/>
          <w:highlight w:val="white"/>
        </w:rPr>
      </w:r>
      <w:r>
        <w:rPr>
          <w:color w:val="000000"/>
          <w:sz w:val="24"/>
          <w:szCs w:val="24"/>
          <w:highlight w:val="white"/>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5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5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5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5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51"/>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51"/>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5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5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51"/>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5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51"/>
        <w:numPr>
          <w:ilvl w:val="0"/>
          <w:numId w:val="43"/>
        </w:numPr>
        <w:pBdr/>
        <w:spacing w:after="120" w:before="120" w:line="276" w:lineRule="auto"/>
        <w:ind/>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5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5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STT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ĐẶC ĐIỂM BĐS</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TSTĐ</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TSSS1</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TSSS2</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TSSS3</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A</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Thông tin về tài sản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Địa chỉ</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rFonts w:ascii="Times New Roman" w:hAnsi="Times New Roman" w:cs="Times New Roman"/>
                <w:b w:val="0"/>
                <w:bCs w:val="0"/>
                <w:sz w:val="22"/>
                <w:szCs w:val="22"/>
              </w:rPr>
            </w:pPr>
            <w:r>
              <w:rPr>
                <w:rFonts w:ascii="Times New Roman" w:hAnsi="Times New Roman" w:eastAsia="Times New Roman" w:cs="Times New Roman"/>
                <w:b w:val="0"/>
                <w:bCs w:val="0"/>
                <w:color w:val="000000" w:themeColor="text1"/>
                <w:sz w:val="22"/>
                <w:szCs w:val="22"/>
              </w:rPr>
            </w:r>
            <w:r>
              <w:rPr>
                <w:b w:val="0"/>
                <w:bCs w:val="0"/>
                <w:color w:val="000000"/>
              </w:rPr>
              <w:t xml:space="preserve">Phư</w:t>
            </w:r>
            <w:r>
              <w:rPr>
                <w:b w:val="0"/>
                <w:bCs w:val="0"/>
                <w:color w:val="000000"/>
              </w:rPr>
              <w:t xml:space="preserve">ờ</w:t>
            </w:r>
            <w:r>
              <w:rPr>
                <w:b w:val="0"/>
                <w:bCs w:val="0"/>
                <w:color w:val="000000"/>
              </w:rPr>
              <w:t xml:space="preserve">ng Thanh Khê, thành phố Đà Nẵng</w:t>
            </w:r>
            <w:r>
              <w:rPr>
                <w:rFonts w:ascii="Times New Roman" w:hAnsi="Times New Roman" w:cs="Times New Roman"/>
                <w:b w:val="0"/>
                <w:bCs w:val="0"/>
                <w:sz w:val="22"/>
                <w:szCs w:val="22"/>
              </w:rPr>
            </w:r>
            <w:r>
              <w:rPr>
                <w:rFonts w:ascii="Times New Roman" w:hAnsi="Times New Roman" w:cs="Times New Roman"/>
                <w:b w:val="0"/>
                <w:bCs w:val="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Phường Tam Thuận, Quận Thanh Khê, Tỉnh Đà Nẵng</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Phường Tam Thuận, Quận Thanh Khê, Tỉnh Đà Nẵng</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Phường Tam Thuận, Quận Thanh Khê, Tỉnh Đà Nẵng</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Nguồn tham khảo</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rFonts w:ascii="Times New Roman" w:hAnsi="Times New Roman" w:cs="Times New Roman"/>
                <w:sz w:val="22"/>
                <w:szCs w:val="22"/>
              </w:rPr>
            </w:pPr>
            <w:r>
              <w:rPr>
                <w:rFonts w:ascii="Times New Roman" w:hAnsi="Times New Roman" w:eastAsia="Times New Roman" w:cs="Times New Roman"/>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https://www.facebook.com/share/p/16eq8ZKmrx/</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Liên hệ trực tiếp</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Liên hệ trực tiếp</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Thông tin liên lạc</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rFonts w:ascii="Times New Roman" w:hAnsi="Times New Roman" w:cs="Times New Roman"/>
                <w:sz w:val="22"/>
                <w:szCs w:val="22"/>
              </w:rPr>
            </w:pPr>
            <w:r>
              <w:rPr>
                <w:rFonts w:ascii="Times New Roman" w:hAnsi="Times New Roman" w:eastAsia="Times New Roman" w:cs="Times New Roman"/>
                <w:sz w:val="22"/>
                <w:szCs w:val="22"/>
              </w:rPr>
              <w:t xml:space="preserve"> </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0703 444433</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rPr>
              <w:br/>
              <w:t xml:space="preserve">(</w:t>
            </w:r>
            <w:r>
              <w:rPr>
                <w:rFonts w:ascii="Times New Roman" w:hAnsi="Times New Roman" w:eastAsia="Times New Roman" w:cs="Times New Roman"/>
                <w:sz w:val="22"/>
                <w:szCs w:val="22"/>
              </w:rPr>
              <w:t xml:space="preserve">Hoatomy</w:t>
            </w:r>
            <w:r>
              <w:rPr>
                <w:rFonts w:ascii="Times New Roman" w:hAnsi="Times New Roman" w:eastAsia="Times New Roman" w:cs="Times New Roman"/>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0905788781</w:t>
            </w:r>
            <w:r>
              <w:rPr>
                <w:rFonts w:ascii="Times New Roman" w:hAnsi="Times New Roman" w:eastAsia="Times New Roman" w:cs="Times New Roman"/>
                <w:sz w:val="22"/>
                <w:szCs w:val="22"/>
              </w:rPr>
              <w:br/>
            </w:r>
            <w:r>
              <w:rPr>
                <w:rFonts w:ascii="Times New Roman" w:hAnsi="Times New Roman" w:eastAsia="Times New Roman" w:cs="Times New Roman"/>
                <w:sz w:val="22"/>
                <w:szCs w:val="22"/>
              </w:rPr>
              <w:t xml:space="preserve">(</w:t>
            </w:r>
            <w:r>
              <w:rPr>
                <w:rFonts w:ascii="Times New Roman" w:hAnsi="Times New Roman" w:eastAsia="Times New Roman" w:cs="Times New Roman"/>
                <w:sz w:val="22"/>
                <w:szCs w:val="22"/>
              </w:rPr>
              <w:t xml:space="preserve">Trần Văn Hồng</w:t>
            </w:r>
            <w:r>
              <w:rPr>
                <w:rFonts w:ascii="Times New Roman" w:hAnsi="Times New Roman" w:eastAsia="Times New Roman" w:cs="Times New Roman"/>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0918407508</w:t>
            </w:r>
            <w:r>
              <w:rPr>
                <w:rFonts w:ascii="Times New Roman" w:hAnsi="Times New Roman" w:eastAsia="Times New Roman" w:cs="Times New Roman"/>
                <w:sz w:val="22"/>
                <w:szCs w:val="22"/>
              </w:rPr>
              <w:br/>
            </w:r>
            <w:r>
              <w:rPr>
                <w:rFonts w:ascii="Times New Roman" w:hAnsi="Times New Roman" w:eastAsia="Times New Roman" w:cs="Times New Roman"/>
                <w:sz w:val="22"/>
                <w:szCs w:val="22"/>
              </w:rPr>
              <w:t xml:space="preserve">(</w:t>
            </w:r>
            <w:r>
              <w:rPr>
                <w:rFonts w:ascii="Times New Roman" w:hAnsi="Times New Roman" w:eastAsia="Times New Roman" w:cs="Times New Roman"/>
                <w:sz w:val="22"/>
                <w:szCs w:val="22"/>
              </w:rPr>
              <w:t xml:space="preserve">Lisa Nhiêu</w:t>
            </w:r>
            <w:r>
              <w:rPr>
                <w:rFonts w:ascii="Times New Roman" w:hAnsi="Times New Roman" w:eastAsia="Times New Roman" w:cs="Times New Roman"/>
                <w:sz w:val="22"/>
                <w:szCs w:val="22"/>
              </w:rPr>
              <w:t xml:space="preserve">)</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Tình trạng giao dịch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Thời điểm thu thập thông tin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Pháp lý</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khác gắn liền với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Mục đích sử dụng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Thời hạn sử dụng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Vị trí</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Cách đường Đinh Tiên Hoàng khoảng 177,5m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Bắc Đẩu khoảng 300m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Bắc Đẩu khoảng 200m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Trần Cao Vân khoảng 100m</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Giao thông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Độ rộng đường trước tài sản (m)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Cơ sở hạ tầng kỹ thuật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Điều kiện môi trường an ninh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Diện tích đất (m²)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80,0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56,0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Mặt tiền (m)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9,82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Số lượng mặt tiếp giáp</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Hình dáng thửa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đối vuông vức</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Cảnh quan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View khu dân cư</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View khu dân cư</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View khu dân cư</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View khu dân cư</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Không có 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Bất lợi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Ngõ cụt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tabs>
                <w:tab w:val="center" w:leader="none" w:pos="813"/>
                <w:tab w:val="center" w:leader="none" w:pos="813"/>
              </w:tabs>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Các thông tin khác</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Đường đâm, mặt tiền bị che khuất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Khả năng chuyển nhượng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AB02509">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23</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15935C51">
            <w:pPr>
              <w:pBdr/>
              <w:spacing/>
              <w:ind/>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Tài sản trên đất</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0436B5E">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F127375">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Nhà 3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8C1AECF">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Đất trống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A3B6C1B">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Nhà 2 tầng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Số tầng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2</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Diện tích sàn sử dụng (m²)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240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24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rao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6.500.000.000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3.650.000.000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4.600.000.000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25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thương lượng/bán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5.980.000.000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3.285.000.000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4.140.000.000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B</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Chi tiết tính toán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1</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Giá trị tài sản trên đất (đồng)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1.426.017.600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626.416.000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7B3CA0D">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3E11FE25">
            <w:pPr>
              <w:pBdr/>
              <w:spacing/>
              <w:ind/>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r>
            <w:r>
              <w:rPr>
                <w:rFonts w:ascii="Times New Roman" w:hAnsi="Times New Roman" w:eastAsia="Times New Roman" w:cs="Times New Roman"/>
                <w:color w:val="000000" w:themeColor="text1"/>
                <w:sz w:val="22"/>
                <w:szCs w:val="22"/>
                <w:highlight w:val="white"/>
              </w:rPr>
              <w:t xml:space="preserve">Đơn giá xây dựng theo Quyết định số 409/QĐ-BXD ngày 11/4/2025 của Bộ Xây Dựng (đồng/m²)</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AB5612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89438F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8.225.000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826548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989DA1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8.225.000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3765954B">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274A1F7">
            <w:pPr>
              <w:pBdr/>
              <w:spacing/>
              <w:ind/>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r>
            <w:r>
              <w:rPr>
                <w:rFonts w:ascii="Times New Roman" w:hAnsi="Times New Roman" w:eastAsia="Times New Roman" w:cs="Times New Roman"/>
                <w:color w:val="000000" w:themeColor="text1"/>
                <w:sz w:val="22"/>
                <w:szCs w:val="22"/>
                <w:highlight w:val="white"/>
              </w:rPr>
              <w:t xml:space="preserve">Tỷ lệ % CLCL</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D22C0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FFD2021">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t xml:space="preserve">70%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C4B6B3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8FF969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2</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Giá trị đất (đồng)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4.553.982.400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3.285.000.000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4.140.000.000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3</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Đơn giá QSDĐ (đồng/m²)</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56.924.780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58.660.714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C</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NHẬN XÉT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Pháp lý</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Mục đích sử dụng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Thời hạn sử dụng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Vị trí</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Giao thông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Độ rộng đường trước tài sản (m)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Cơ sở hạ tầng kỹ thuật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Điều kiện môi trường an ninh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Diện tích đất (m²)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Mặt tiền (m)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Số lượng mặt tiếp giáp</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Hình dáng thửa đất</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kinh doanh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Bất lợi thương mại</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Hiện trạng môi trường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sz w:val="22"/>
                <w:szCs w:val="22"/>
              </w:rPr>
            </w:r>
            <w:r>
              <w:rPr>
                <w:rFonts w:ascii="Times New Roman" w:hAnsi="Times New Roman" w:cs="Times New Roman"/>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5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0"/>
          <w:tblHeader/>
        </w:trPr>
        <w:tc>
          <w:tcPr>
            <w:shd w:val="clear" w:color="000000" w:fill="ffffff"/>
            <w:tcBorders/>
            <w:tcW w:w="632" w:type="dxa"/>
            <w:vAlign w:val="center"/>
            <w:textDirection w:val="lrTb"/>
            <w:noWrap w:val="false"/>
          </w:tcPr>
          <w:p w14:paraId="49FCECB9"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STT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Yếu tố so sánh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Đơn vị tính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TSTĐ</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TSSS1</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TSSS2</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TSSS3</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shd w:val="clear" w:color="000000" w:fill="ffffff"/>
            <w:tcBorders/>
            <w:tcW w:w="632" w:type="dxa"/>
            <w:vAlign w:val="center"/>
            <w:textDirection w:val="lrTb"/>
            <w:noWrap w:val="false"/>
          </w:tcPr>
          <w:p w14:paraId="1436F8C0"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A</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Giá trị QSDĐ thị trường (Ước tính sau thương lượng)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Đồng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4.553.982.400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7C6008AC" w14:textId="54A27B5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3.285.000.000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B39B0F0" w14:textId="2516D1F5">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3.513.584.000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textDirection w:val="lrTb"/>
            <w:noWrap w:val="false"/>
          </w:tcPr>
          <w:p w14:paraId="6DA9EDA6"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B</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Đơn giá đất ước tính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Đồng/m²</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56.924.780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58.660.714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textDirection w:val="lrTb"/>
            <w:noWrap w:val="false"/>
          </w:tcPr>
          <w:p w14:paraId="04D3AA95"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C</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Điều chỉnh các yếu tố so sánh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Pháp lý</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gắn liền với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gắn liền với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gắn liền với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Giấy chứng nhận quyền sử dụng đất, quyền sở hữu nhà ở và tài sản gắn liền với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59.964.286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Mục đích sử dụng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59.964.286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Thời hạn sử dụng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 – Lâu dài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 – Lâu dài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Đất ở tại đô thị – Lâu dài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59.964.286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Vị trí</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261056AC">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Cách đường Đinh Tiên Hoàng khoảng 177,5m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5D6390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Bắc Đẩu khoảng 300m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58AD17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Bắc Đẩu khoảng 200m</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D2AE71E">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Tài sản cách đường Trần Cao Vân khoảng 100m</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59.964.286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Giao thông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Đường bê tông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59.964.286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70.271.680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C6</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Độ rộng đường trước tài sản (m)</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2,5</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3,0</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-1.798.929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-3.605.584</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58.165.357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68.506.096</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Cơ sở hạ tầng kỹ thuật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Hạ tầng khu dân cư thông thường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58.165.357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68.506.096</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Điều kiện môi trường an ninh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54.378.320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58.165.357</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68.506.096</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Diện tích đất (m²)</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(m2)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31,9</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80</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56</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5.692.478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2.998.214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3.605.584</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62.617.258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61.163.571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72.111.680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Mặt tiền (m)</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9.82</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-2.846.239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-2.163.350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59.771.019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61.163.571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69.948.330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Số lượng mặt tiếp giáp</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59.771.019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61.163.571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69.948.330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Hình dáng thửa đất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Tương đối vuông vức</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59.771.019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61.163.571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69.948.330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Lợi thế kinh doanh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lợi thế kinh doanh</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59.771.019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61.163.571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69.948.330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Bất lợi thương mại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Ngõ cụt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bất lợi thương mại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bất lợi thương mại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Không có bất lợi thương mại</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-5.692.478</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-5.996.429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-7.211.168</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54.078.541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55.167.142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62.737.162</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vMerge w:val="restart"/>
            <w:textDirection w:val="lrTb"/>
            <w:noWrap w:val="false"/>
          </w:tcPr>
          <w:p w14:paraId="373B3F31" w14:textId="67127058">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C15</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76F40DBE" w14:textId="77214D3E">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Khả năng chuyển nhượng</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themeColor="text1"/>
                <w:sz w:val="22"/>
                <w:szCs w:val="22"/>
              </w:rPr>
              <w:t xml:space="preserve"> </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Tỷ lệ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sau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54.078.541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55.167.142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62.737.162</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tcBorders/>
            <w:tcW w:w="632" w:type="dxa"/>
            <w:vAlign w:val="center"/>
            <w:vMerge w:val="restart"/>
            <w:textDirection w:val="lrTb"/>
            <w:noWrap w:val="false"/>
          </w:tcPr>
          <w:p w14:paraId="4EE3600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C16</w:t>
            </w:r>
            <w:r>
              <w:rPr>
                <w:rFonts w:ascii="Times New Roman" w:hAnsi="Times New Roman" w:cs="Times New Roman"/>
                <w:color w:val="000000"/>
                <w:sz w:val="22"/>
                <w:szCs w:val="22"/>
              </w:rPr>
            </w:r>
            <w:r>
              <w:rPr>
                <w:rFonts w:ascii="Times New Roman" w:hAnsi="Times New Roman" w:cs="Times New Roman"/>
                <w:color w:val="000000"/>
                <w:sz w:val="22"/>
                <w:szCs w:val="22"/>
              </w:rPr>
            </w:r>
          </w:p>
          <w:p w14:paraId="53C2633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p w14:paraId="352C91CB">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p w14:paraId="560AC5FA">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vMerge w:val="restart"/>
            <w:textDirection w:val="lrTb"/>
            <w:noWrap w:val="false"/>
          </w:tcPr>
          <w:p w14:paraId="0CB2325F">
            <w:pPr>
              <w:pBdr/>
              <w:spacing/>
              <w:ind/>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b/>
                <w:color w:val="000000" w:themeColor="text1"/>
                <w:sz w:val="22"/>
                <w:szCs w:val="22"/>
                <w:highlight w:val="white"/>
              </w:rPr>
              <w:t xml:space="preserve">Các thông tin khác</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030" w:type="dxa"/>
            <w:vAlign w:val="center"/>
            <w:vMerge w:val="restart"/>
            <w:textDirection w:val="lrTb"/>
            <w:noWrap/>
          </w:tcPr>
          <w:p w14:paraId="0ACADA91">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val="false"/>
          </w:tcPr>
          <w:p w14:paraId="6426A4C4">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color w:val="000000" w:themeColor="text1"/>
                <w:sz w:val="22"/>
                <w:szCs w:val="22"/>
                <w:highlight w:val="white"/>
              </w:rPr>
              <w:t xml:space="preserve">Đường đâm, mặt tiền bị che khuất</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43C87677">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000000" w:fill="ffffff"/>
            <w:tcBorders/>
            <w:tcW w:w="1522" w:type="dxa"/>
            <w:vAlign w:val="center"/>
            <w:vMerge w:val="restart"/>
            <w:textDirection w:val="lrTb"/>
            <w:noWrap/>
          </w:tcPr>
          <w:p w14:paraId="31F0ECA6">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000000" w:fill="ffffff"/>
            <w:tcBorders/>
            <w:tcW w:w="1522" w:type="dxa"/>
            <w:vAlign w:val="center"/>
            <w:vMerge w:val="restart"/>
            <w:textDirection w:val="lrTb"/>
            <w:noWrap/>
          </w:tcPr>
          <w:p w14:paraId="29A6A5B7">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rPr>
              <w:t xml:space="preserve">Bình thường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cW w:w="632" w:type="dxa"/>
            <w:vAlign w:val="center"/>
            <w:vMerge w:val="continue"/>
            <w:textDirection w:val="lrTb"/>
            <w:noWrap w:val="false"/>
          </w:tcPr>
          <w:p w14:paraId="55C0D0FC">
            <w:pPr>
              <w:pBdr/>
              <w:spacing/>
              <w:ind/>
              <w:rPr/>
            </w:pPr>
            <w:r/>
            <w:r/>
          </w:p>
        </w:tc>
        <w:tc>
          <w:tcPr>
            <w:shd w:val="clear" w:color="000000" w:fill="ffffff"/>
            <w:tcBorders/>
            <w:tcW w:w="1765" w:type="dxa"/>
            <w:vAlign w:val="center"/>
            <w:vMerge w:val="restart"/>
            <w:textDirection w:val="lrTb"/>
            <w:noWrap w:val="false"/>
          </w:tcPr>
          <w:p w14:paraId="590AD44D">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vMerge w:val="restart"/>
            <w:textDirection w:val="lrTb"/>
            <w:noWrap/>
          </w:tcPr>
          <w:p w14:paraId="3642A0BD">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vMerge w:val="restart"/>
            <w:textDirection w:val="lrTb"/>
            <w:noWrap w:val="false"/>
          </w:tcPr>
          <w:p w14:paraId="45BD1346">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vMerge w:val="restart"/>
            <w:textDirection w:val="lrTb"/>
            <w:noWrap/>
          </w:tcPr>
          <w:p w14:paraId="7CF4FF0D">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000000" w:fill="ffffff"/>
            <w:tcBorders/>
            <w:tcW w:w="1522" w:type="dxa"/>
            <w:vAlign w:val="center"/>
            <w:vMerge w:val="restart"/>
            <w:textDirection w:val="lrTb"/>
            <w:noWrap/>
          </w:tcPr>
          <w:p w14:paraId="2002FE32">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000000" w:fill="ffffff"/>
            <w:tcBorders/>
            <w:tcW w:w="1522" w:type="dxa"/>
            <w:vAlign w:val="center"/>
            <w:vMerge w:val="restart"/>
            <w:textDirection w:val="lrTb"/>
            <w:noWrap/>
          </w:tcPr>
          <w:p w14:paraId="6D9DC262">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0"/>
        </w:trPr>
        <w:tc>
          <w:tcPr>
            <w:tcBorders/>
            <w:tcW w:w="632" w:type="dxa"/>
            <w:vAlign w:val="center"/>
            <w:vMerge w:val="continue"/>
            <w:textDirection w:val="lrTb"/>
            <w:noWrap w:val="false"/>
          </w:tcPr>
          <w:p w14:paraId="39E91A35">
            <w:pPr>
              <w:pBdr/>
              <w:spacing/>
              <w:ind/>
              <w:rPr/>
            </w:pPr>
            <w:r/>
            <w:r/>
          </w:p>
        </w:tc>
        <w:tc>
          <w:tcPr>
            <w:shd w:val="clear" w:color="000000" w:fill="ffffff"/>
            <w:tcBorders/>
            <w:tcW w:w="1765" w:type="dxa"/>
            <w:vAlign w:val="center"/>
            <w:vMerge w:val="restart"/>
            <w:textDirection w:val="lrTb"/>
            <w:noWrap w:val="false"/>
          </w:tcPr>
          <w:p w14:paraId="0E723F83">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vMerge w:val="restart"/>
            <w:textDirection w:val="lrTb"/>
            <w:noWrap/>
          </w:tcPr>
          <w:p w14:paraId="2E598F4E">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vMerge w:val="restart"/>
            <w:textDirection w:val="lrTb"/>
            <w:noWrap w:val="false"/>
          </w:tcPr>
          <w:p w14:paraId="47D56129">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418B2F0D">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-5.692.478</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520139F1">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-5.996.429</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3AA7AC29">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-7.211.168</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r>
      <w:tr>
        <w:trPr>
          <w:trHeight w:val="0"/>
        </w:trPr>
        <w:tc>
          <w:tcPr>
            <w:tcBorders/>
            <w:tcW w:w="632" w:type="dxa"/>
            <w:vAlign w:val="center"/>
            <w:vMerge w:val="continue"/>
            <w:textDirection w:val="lrTb"/>
            <w:noWrap w:val="false"/>
          </w:tcPr>
          <w:p w14:paraId="61C5481B">
            <w:pPr>
              <w:pBdr/>
              <w:spacing/>
              <w:ind/>
              <w:rPr/>
            </w:pPr>
            <w:r/>
            <w:r/>
          </w:p>
        </w:tc>
        <w:tc>
          <w:tcPr>
            <w:shd w:val="clear" w:color="000000" w:fill="ffffff"/>
            <w:tcBorders/>
            <w:tcW w:w="1765" w:type="dxa"/>
            <w:vAlign w:val="center"/>
            <w:vMerge w:val="restart"/>
            <w:textDirection w:val="lrTb"/>
            <w:noWrap w:val="false"/>
          </w:tcPr>
          <w:p w14:paraId="1C47B8AF">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vMerge w:val="restart"/>
            <w:textDirection w:val="lrTb"/>
            <w:noWrap/>
          </w:tcPr>
          <w:p w14:paraId="4F82927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Đồng/m²</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vMerge w:val="restart"/>
            <w:textDirection w:val="lrTb"/>
            <w:noWrap w:val="false"/>
          </w:tcPr>
          <w:p w14:paraId="678D859E">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37E5EED4">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48.386.063</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0FF7AF55">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49.170.713</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shd w:val="clear" w:color="000000" w:fill="ffffff"/>
            <w:tcBorders/>
            <w:tcW w:w="1522" w:type="dxa"/>
            <w:vAlign w:val="center"/>
            <w:vMerge w:val="restart"/>
            <w:textDirection w:val="lrTb"/>
            <w:noWrap/>
          </w:tcPr>
          <w:p w14:paraId="1F0FE685">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55.525.994</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r>
      <w:tr>
        <w:trPr>
          <w:trHeight w:val="0"/>
        </w:trPr>
        <w:tc>
          <w:tcPr>
            <w:shd w:val="clear" w:color="000000" w:fill="ffffff"/>
            <w:tcBorders/>
            <w:tcW w:w="632" w:type="dxa"/>
            <w:vAlign w:val="center"/>
            <w:textDirection w:val="lrTb"/>
            <w:noWrap/>
          </w:tcPr>
          <w:p w14:paraId="418BF4FD"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D</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tcPr>
          <w:p w14:paraId="31426ECB"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Mức giá chỉ dẫn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Đồng/m²</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t xml:space="preserve"> </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c>
          <w:tcPr>
            <w:shd w:val="clear" w:color="000000" w:fill="ffffff"/>
            <w:tcBorders/>
            <w:tcW w:w="1522" w:type="dxa"/>
            <w:vAlign w:val="center"/>
            <w:textDirection w:val="lrTb"/>
            <w:noWrap w:val="false"/>
          </w:tcPr>
          <w:p w14:paraId="66CCB568" w14:textId="5A808448">
            <w:pPr>
              <w:pBdr/>
              <w:spacing/>
              <w:ind/>
              <w:jc w:val="center"/>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t xml:space="preserve">48.386.063</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c>
          <w:tcPr>
            <w:shd w:val="clear" w:color="000000" w:fill="ffffff"/>
            <w:tcBorders/>
            <w:tcW w:w="1522" w:type="dxa"/>
            <w:vAlign w:val="center"/>
            <w:textDirection w:val="lrTb"/>
            <w:noWrap w:val="false"/>
          </w:tcPr>
          <w:p w14:paraId="56585722" w14:textId="48680F85">
            <w:pPr>
              <w:pBdr/>
              <w:spacing/>
              <w:ind/>
              <w:jc w:val="center"/>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t xml:space="preserve">47.867.141</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c>
          <w:tcPr>
            <w:shd w:val="clear" w:color="000000" w:fill="ffffff"/>
            <w:tcBorders/>
            <w:tcW w:w="1522" w:type="dxa"/>
            <w:vAlign w:val="center"/>
            <w:textDirection w:val="lrTb"/>
            <w:noWrap w:val="false"/>
          </w:tcPr>
          <w:p w14:paraId="161392F7" w14:textId="6EA563CF">
            <w:pPr>
              <w:pBdr/>
              <w:spacing/>
              <w:ind/>
              <w:jc w:val="center"/>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t xml:space="preserve">53.685.994</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r>
      <w:tr>
        <w:trPr>
          <w:trHeight w:val="0"/>
        </w:trPr>
        <w:tc>
          <w:tcPr>
            <w:shd w:val="clear" w:color="000000" w:fill="ffffff"/>
            <w:tcBorders/>
            <w:tcW w:w="632" w:type="dxa"/>
            <w:vAlign w:val="center"/>
            <w:textDirection w:val="lrTb"/>
            <w:noWrap/>
          </w:tcPr>
          <w:p w14:paraId="12286EE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D1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3434652C"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Giá trị trung bình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t xml:space="preserve"> </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gridSpan w:val="3"/>
            <w:shd w:val="clear" w:color="000000" w:fill="ffffff"/>
            <w:tcBorders/>
            <w:tcW w:w="4566" w:type="dxa"/>
            <w:vAlign w:val="center"/>
            <w:textDirection w:val="lrTb"/>
            <w:noWrap w:val="false"/>
          </w:tcPr>
          <w:p w14:paraId="22266DED" w14:textId="2EDC35B9">
            <w:pPr>
              <w:pBdr/>
              <w:spacing/>
              <w:ind/>
              <w:jc w:val="center"/>
              <w:rPr>
                <w:rFonts w:ascii="Times New Roman" w:hAnsi="Times New Roman" w:cs="Times New Roman"/>
                <w:b/>
                <w:bCs/>
                <w:color w:val="000000" w:themeColor="text1"/>
                <w:sz w:val="22"/>
                <w:szCs w:val="22"/>
                <w:highlight w:val="white"/>
              </w:rPr>
            </w:pPr>
            <w:r>
              <w:rPr>
                <w:rFonts w:ascii="Times New Roman" w:hAnsi="Times New Roman" w:eastAsia="Times New Roman" w:cs="Times New Roman"/>
                <w:b/>
                <w:bCs/>
                <w:color w:val="000000" w:themeColor="text1"/>
                <w:sz w:val="22"/>
                <w:szCs w:val="22"/>
                <w:highlight w:val="white"/>
              </w:rPr>
              <w:t xml:space="preserve">49.979.733</w:t>
            </w:r>
            <w:r>
              <w:rPr>
                <w:rFonts w:ascii="Times New Roman" w:hAnsi="Times New Roman" w:cs="Times New Roman"/>
                <w:b/>
                <w:bCs/>
                <w:color w:val="000000" w:themeColor="text1"/>
                <w:sz w:val="22"/>
                <w:szCs w:val="22"/>
                <w:highlight w:val="white"/>
              </w:rPr>
            </w:r>
            <w:r>
              <w:rPr>
                <w:rFonts w:ascii="Times New Roman" w:hAnsi="Times New Roman" w:cs="Times New Roman"/>
                <w:b/>
                <w:bCs/>
                <w:color w:val="000000" w:themeColor="text1"/>
                <w:sz w:val="22"/>
                <w:szCs w:val="22"/>
                <w:highlight w:val="white"/>
              </w:rPr>
            </w:r>
          </w:p>
        </w:tc>
      </w:tr>
      <w:tr>
        <w:trPr>
          <w:trHeight w:val="0"/>
        </w:trPr>
        <w:tc>
          <w:tcPr>
            <w:shd w:val="clear" w:color="000000" w:fill="ffffff"/>
            <w:tcBorders/>
            <w:tcW w:w="632" w:type="dxa"/>
            <w:vAlign w:val="center"/>
            <w:textDirection w:val="lrTb"/>
            <w:noWrap/>
          </w:tcPr>
          <w:p w14:paraId="287206A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D2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3976DE35"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Mức độ chênh lệch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-3.19%</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-4.23%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themeColor="text1"/>
                <w:sz w:val="22"/>
                <w:szCs w:val="22"/>
              </w:rPr>
              <w:t xml:space="preserve">7.42%</w:t>
            </w:r>
            <w:r>
              <w:rPr>
                <w:rFonts w:ascii="Times New Roman" w:hAnsi="Times New Roman" w:cs="Times New Roman"/>
                <w:color w:val="000000"/>
                <w:sz w:val="22"/>
                <w:szCs w:val="22"/>
              </w:rPr>
            </w:r>
            <w:r>
              <w:rPr>
                <w:rFonts w:ascii="Times New Roman" w:hAnsi="Times New Roman" w:cs="Times New Roman"/>
                <w:color w:val="000000"/>
                <w:sz w:val="22"/>
                <w:szCs w:val="22"/>
              </w:rPr>
            </w:r>
          </w:p>
        </w:tc>
      </w:tr>
      <w:tr>
        <w:trPr>
          <w:trHeight w:val="0"/>
        </w:trPr>
        <w:tc>
          <w:tcPr>
            <w:shd w:val="clear" w:color="000000" w:fill="ffffff"/>
            <w:tcBorders/>
            <w:tcW w:w="632" w:type="dxa"/>
            <w:vAlign w:val="center"/>
            <w:textDirection w:val="lrTb"/>
            <w:noWrap/>
          </w:tcPr>
          <w:p w14:paraId="461C54CE"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E</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Tổng hợp các số liệu điều chỉnh tại mục C</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030" w:type="dxa"/>
            <w:vAlign w:val="center"/>
            <w:textDirection w:val="lrTb"/>
            <w:noWrap/>
          </w:tcPr>
          <w:p w14:paraId="1719875D"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tcPr>
          <w:p w14:paraId="496AAC16" w14:textId="77777777">
            <w:pPr>
              <w:pBdr/>
              <w:spacing/>
              <w:ind/>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shd w:val="clear" w:color="000000" w:fill="ffffff"/>
            <w:tcBorders/>
            <w:tcW w:w="632" w:type="dxa"/>
            <w:vAlign w:val="center"/>
            <w:textDirection w:val="lrTb"/>
            <w:noWrap/>
          </w:tcPr>
          <w:p w14:paraId="6E0CE8BF"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E1</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0049CF51"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Tổng giá trị điều chỉnh gộp</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19.923.673</w:t>
            </w:r>
            <w:r>
              <w:rPr>
                <w:rFonts w:ascii="Times New Roman" w:hAnsi="Times New Roman" w:eastAsia="Times New Roman" w:cs="Times New Roman"/>
                <w:b/>
                <w:bCs/>
                <w:color w:val="000000"/>
                <w:sz w:val="22"/>
                <w:szCs w:val="22"/>
              </w:rPr>
              <w:t xml:space="preserve"> </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16.790.001</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rFonts w:ascii="Times New Roman" w:hAnsi="Times New Roman" w:cs="Times New Roman"/>
                <w:b/>
                <w:bCs/>
                <w:color w:val="000000"/>
                <w:sz w:val="22"/>
                <w:szCs w:val="22"/>
              </w:rPr>
            </w:pPr>
            <w:r>
              <w:rPr>
                <w:rFonts w:ascii="Times New Roman" w:hAnsi="Times New Roman" w:eastAsia="Times New Roman" w:cs="Times New Roman"/>
                <w:color w:val="000000" w:themeColor="text1"/>
                <w:sz w:val="22"/>
                <w:szCs w:val="22"/>
              </w:rPr>
              <w:t xml:space="preserve">23.796.854</w:t>
            </w:r>
            <w:r>
              <w:rPr>
                <w:rFonts w:ascii="Times New Roman" w:hAnsi="Times New Roman" w:cs="Times New Roman"/>
                <w:b/>
                <w:bCs/>
                <w:color w:val="000000"/>
                <w:sz w:val="22"/>
                <w:szCs w:val="22"/>
              </w:rPr>
            </w:r>
            <w:r>
              <w:rPr>
                <w:rFonts w:ascii="Times New Roman" w:hAnsi="Times New Roman" w:cs="Times New Roman"/>
                <w:b/>
                <w:bCs/>
                <w:color w:val="000000"/>
                <w:sz w:val="22"/>
                <w:szCs w:val="22"/>
              </w:rPr>
            </w:r>
          </w:p>
        </w:tc>
      </w:tr>
      <w:tr>
        <w:trPr>
          <w:trHeight w:val="0"/>
        </w:trPr>
        <w:tc>
          <w:tcPr>
            <w:shd w:val="clear" w:color="000000" w:fill="ffffff"/>
            <w:tcBorders/>
            <w:tcW w:w="632" w:type="dxa"/>
            <w:vAlign w:val="center"/>
            <w:textDirection w:val="lrTb"/>
            <w:noWrap/>
          </w:tcPr>
          <w:p w14:paraId="1CD731B6"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E2</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069AD6D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Tổng số lần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Lần</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47F3E79B" w14:textId="17C86644">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7308FA59" w14:textId="1640CE14">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shd w:val="clear" w:color="000000" w:fill="ffffff"/>
            <w:tcBorders/>
            <w:tcW w:w="632" w:type="dxa"/>
            <w:vAlign w:val="center"/>
            <w:textDirection w:val="lrTb"/>
            <w:noWrap/>
          </w:tcPr>
          <w:p w14:paraId="560376DB"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E3</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5DF39A1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Biên độ điều chỉnh</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0% - 10%</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064B2056" w14:textId="3084EC66">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0% - 10%</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0B243872" w14:textId="708B432C">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3% - 10%</w:t>
            </w:r>
            <w:r>
              <w:rPr>
                <w:rFonts w:ascii="Times New Roman" w:hAnsi="Times New Roman" w:cs="Times New Roman"/>
                <w:sz w:val="22"/>
                <w:szCs w:val="22"/>
              </w:rPr>
            </w:r>
            <w:r>
              <w:rPr>
                <w:rFonts w:ascii="Times New Roman" w:hAnsi="Times New Roman" w:cs="Times New Roman"/>
                <w:sz w:val="22"/>
                <w:szCs w:val="22"/>
              </w:rPr>
            </w:r>
          </w:p>
        </w:tc>
      </w:tr>
      <w:tr>
        <w:trPr>
          <w:trHeight w:val="0"/>
        </w:trPr>
        <w:tc>
          <w:tcPr>
            <w:shd w:val="clear" w:color="000000" w:fill="ffffff"/>
            <w:tcBorders/>
            <w:tcW w:w="632" w:type="dxa"/>
            <w:vAlign w:val="center"/>
            <w:textDirection w:val="lrTb"/>
            <w:noWrap/>
          </w:tcPr>
          <w:p w14:paraId="2544DED4"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E4</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765" w:type="dxa"/>
            <w:vAlign w:val="center"/>
            <w:textDirection w:val="lrTb"/>
            <w:noWrap w:val="false"/>
          </w:tcPr>
          <w:p w14:paraId="5E2541DB" w14:textId="77777777">
            <w:pPr>
              <w:pBdr/>
              <w:spacing/>
              <w:ind/>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Tổng giá trị điều chỉnh thuần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Đồng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rFonts w:ascii="Times New Roman" w:hAnsi="Times New Roman" w:cs="Times New Roman"/>
                <w:color w:val="000000"/>
                <w:sz w:val="22"/>
                <w:szCs w:val="22"/>
              </w:rPr>
            </w:pPr>
            <w:r>
              <w:rPr>
                <w:rFonts w:ascii="Times New Roman" w:hAnsi="Times New Roman" w:eastAsia="Times New Roman" w:cs="Times New Roman"/>
                <w:color w:val="000000"/>
                <w:sz w:val="22"/>
                <w:szCs w:val="22"/>
              </w:rPr>
              <w:t xml:space="preserve"> </w:t>
            </w:r>
            <w:r>
              <w:rPr>
                <w:rFonts w:ascii="Times New Roman" w:hAnsi="Times New Roman" w:cs="Times New Roman"/>
                <w:color w:val="000000"/>
                <w:sz w:val="22"/>
                <w:szCs w:val="22"/>
              </w:rPr>
            </w:r>
            <w:r>
              <w:rPr>
                <w:rFonts w:ascii="Times New Roman" w:hAnsi="Times New Roman" w:cs="Times New Roman"/>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8.538.717</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0333FBBC" w14:textId="3BDC0531">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10.793.573</w:t>
            </w:r>
            <w:r>
              <w:rPr>
                <w:rFonts w:ascii="Times New Roman" w:hAnsi="Times New Roman" w:cs="Times New Roman"/>
                <w:sz w:val="22"/>
                <w:szCs w:val="22"/>
              </w:rPr>
            </w:r>
            <w:r>
              <w:rPr>
                <w:rFonts w:ascii="Times New Roman" w:hAnsi="Times New Roman" w:cs="Times New Roman"/>
                <w:sz w:val="22"/>
                <w:szCs w:val="22"/>
              </w:rPr>
            </w:r>
          </w:p>
        </w:tc>
        <w:tc>
          <w:tcPr>
            <w:shd w:val="clear" w:color="000000" w:fill="ffffff"/>
            <w:tcBorders/>
            <w:tcW w:w="1522" w:type="dxa"/>
            <w:vAlign w:val="center"/>
            <w:textDirection w:val="lrTb"/>
            <w:noWrap/>
          </w:tcPr>
          <w:p w14:paraId="7C4D137D" w14:textId="18831E29">
            <w:pPr>
              <w:pBdr/>
              <w:spacing/>
              <w:ind/>
              <w:jc w:val="center"/>
              <w:rPr>
                <w:rFonts w:ascii="Times New Roman" w:hAnsi="Times New Roman" w:cs="Times New Roman"/>
                <w:sz w:val="22"/>
                <w:szCs w:val="22"/>
              </w:rPr>
            </w:pPr>
            <w:r>
              <w:rPr>
                <w:rFonts w:ascii="Times New Roman" w:hAnsi="Times New Roman" w:eastAsia="Times New Roman" w:cs="Times New Roman"/>
                <w:color w:val="000000" w:themeColor="text1"/>
                <w:sz w:val="22"/>
                <w:szCs w:val="22"/>
              </w:rPr>
              <w:t xml:space="preserve">16.585.686</w:t>
            </w:r>
            <w:r>
              <w:rPr>
                <w:rFonts w:ascii="Times New Roman" w:hAnsi="Times New Roman" w:cs="Times New Roman"/>
                <w:sz w:val="22"/>
                <w:szCs w:val="22"/>
              </w:rPr>
            </w:r>
            <w:r>
              <w:rPr>
                <w:rFonts w:ascii="Times New Roman" w:hAnsi="Times New Roman" w:cs="Times New Roman"/>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3,19</w:t>
      </w:r>
      <w:r>
        <w:t xml:space="preserve">% đến</w:t>
      </w:r>
      <w:r>
        <w:t xml:space="preserve"> </w:t>
      </w:r>
      <w:r>
        <w:t xml:space="preserve"> </w:t>
      </w:r>
      <w:r>
        <w:t xml:space="preserve">7,42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48.386.063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16.131.913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47.867.141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15.954.118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53.685.994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17.893.542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49.979.573</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50.000.000</w:t>
            </w:r>
            <w:r>
              <w:rPr>
                <w:b/>
                <w:bCs/>
                <w:color w:val="000000"/>
              </w:rPr>
            </w:r>
            <w:r>
              <w:rPr>
                <w:b/>
                <w:bCs/>
                <w:color w:val="000000"/>
              </w:rPr>
            </w:r>
          </w:p>
        </w:tc>
      </w:tr>
    </w:tbl>
    <w:p w14:paraId="6A5CE52D" w14:textId="303DCC42">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50.000.000</w:t>
      </w:r>
      <w:r>
        <w:rPr>
          <w:b/>
          <w:bCs/>
          <w:color w:val="000000" w:themeColor="text1"/>
        </w:rPr>
        <w:t xml:space="preserve"> </w:t>
      </w:r>
      <w:r>
        <w:rPr>
          <w:b/>
          <w:bCs/>
        </w:rPr>
        <w:t xml:space="preserve">đồng/m².</w:t>
      </w:r>
      <w:r>
        <w:rPr>
          <w:b/>
          <w:bCs/>
          <w:highlight w:val="none"/>
        </w:rPr>
      </w:r>
      <w:r>
        <w:rPr>
          <w:b/>
          <w:bCs/>
          <w:highlight w:val="none"/>
        </w:rPr>
      </w:r>
    </w:p>
    <w:p w14:paraId="7628A26E">
      <w:p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2.     Xác định giá trị tài sản gắn liền với đất</w:t>
      </w:r>
      <w:r/>
    </w:p>
    <w:p w14:paraId="06191038">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xây mới của công trình xây dựng trên đất:</w:t>
      </w:r>
      <w:r/>
    </w:p>
    <w:p w14:paraId="45F00F37">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Qua tham khảo thị trường về đơn giá xây dựng mới đối với công trình nhà 3 tầng, cân nhắc và xem xét với mức độ hoàn thiện của công trình xây dựng hiện có, Tổ thẩm định nhận thấy đơn giá vận dụng theo Quyết định số 409/Q</w:t>
      </w:r>
      <w:r>
        <w:rPr>
          <w:rFonts w:ascii="Times New Roman" w:hAnsi="Times New Roman" w:eastAsia="Times New Roman" w:cs="Times New Roman"/>
          <w:color w:val="000000"/>
          <w:sz w:val="24"/>
          <w:szCs w:val="24"/>
        </w:rPr>
        <w:t xml:space="preserve">Đ-BXD ngày 11/4/2025 của Bộ Xây dựng về việc Công bố suất vốn đầu tư xây dựng công trình và giá xây dựng tổng hợp bộ phận kết cấu công trình năm 2024 là khá phù hợp với thị trường, theo đó</w:t>
      </w:r>
      <w:r>
        <w:rPr>
          <w:rFonts w:ascii="Times New Roman" w:hAnsi="Times New Roman" w:eastAsia="Times New Roman" w:cs="Times New Roman"/>
          <w:color w:val="000000"/>
          <w:spacing w:val="-4"/>
          <w:sz w:val="24"/>
          <w:szCs w:val="24"/>
        </w:rPr>
        <w:t xml:space="preserve">:</w:t>
      </w:r>
      <w:r>
        <w:rPr>
          <w:rFonts w:ascii="Times New Roman" w:hAnsi="Times New Roman" w:cs="Times New Roman"/>
          <w:szCs w:val="24"/>
        </w:rPr>
      </w:r>
      <w:r>
        <w:rPr>
          <w:rFonts w:ascii="Times New Roman" w:hAnsi="Times New Roman" w:cs="Times New Roman"/>
          <w:szCs w:val="24"/>
        </w:rPr>
      </w:r>
    </w:p>
    <w:p w14:paraId="49302BA9">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rFonts w:ascii="Times New Roman" w:hAnsi="Times New Roman" w:cs="Times New Roman"/>
          <w:szCs w:val="24"/>
        </w:rPr>
      </w:pPr>
      <w:r>
        <w:rPr>
          <w:rFonts w:ascii="Times New Roman" w:hAnsi="Times New Roman" w:eastAsia="Times New Roman" w:cs="Times New Roman"/>
          <w:i/>
          <w:color w:val="000000"/>
          <w:spacing w:val="3"/>
          <w:sz w:val="24"/>
          <w:szCs w:val="24"/>
          <w:highlight w:val="white"/>
        </w:rPr>
        <w:t xml:space="preserve">“</w:t>
      </w:r>
      <w:r>
        <w:rPr>
          <w:rFonts w:ascii="Times New Roman" w:hAnsi="Times New Roman" w:eastAsia="Times New Roman" w:cs="Times New Roman"/>
          <w:i/>
          <w:iCs/>
          <w:color w:val="000000"/>
          <w:sz w:val="24"/>
          <w:szCs w:val="24"/>
          <w:highlight w:val="white"/>
        </w:rPr>
        <w:t xml:space="preserve">Nhà từ 2 đến 3 tầng, kết cấu khung chịu lực BTCT; tường bao xây gạch; sàn, mái BTCT đổ tại chỗ không có tầng hầm</w:t>
      </w:r>
      <w:r>
        <w:rPr>
          <w:rFonts w:ascii="Times New Roman" w:hAnsi="Times New Roman" w:eastAsia="Times New Roman" w:cs="Times New Roman"/>
          <w:i/>
          <w:iCs/>
          <w:color w:val="000000"/>
          <w:spacing w:val="3"/>
          <w:sz w:val="24"/>
          <w:szCs w:val="24"/>
          <w:highlight w:val="white"/>
        </w:rPr>
        <w:t xml:space="preserve"> có đơn giá là</w:t>
      </w:r>
      <w:r>
        <w:rPr>
          <w:rFonts w:ascii="Times New Roman" w:hAnsi="Times New Roman" w:eastAsia="Times New Roman" w:cs="Times New Roman"/>
          <w:i/>
          <w:color w:val="000000"/>
          <w:spacing w:val="3"/>
          <w:sz w:val="24"/>
          <w:szCs w:val="24"/>
          <w:highlight w:val="white"/>
        </w:rPr>
        <w:t xml:space="preserve">: </w:t>
      </w:r>
      <w:r>
        <w:rPr>
          <w:rFonts w:ascii="Times New Roman" w:hAnsi="Times New Roman" w:eastAsia="Times New Roman" w:cs="Times New Roman"/>
          <w:b/>
          <w:i/>
          <w:color w:val="000000"/>
          <w:sz w:val="24"/>
          <w:szCs w:val="24"/>
        </w:rPr>
        <w:t xml:space="preserve">8.225.000 </w:t>
      </w:r>
      <w:r>
        <w:rPr>
          <w:rFonts w:ascii="Times New Roman" w:hAnsi="Times New Roman" w:eastAsia="Times New Roman" w:cs="Times New Roman"/>
          <w:i/>
          <w:color w:val="000000"/>
          <w:spacing w:val="3"/>
          <w:sz w:val="24"/>
          <w:szCs w:val="24"/>
          <w:highlight w:val="white"/>
        </w:rPr>
        <w:t xml:space="preserve">đồng/m².</w:t>
      </w:r>
      <w:r>
        <w:rPr>
          <w:rFonts w:ascii="Times New Roman" w:hAnsi="Times New Roman" w:cs="Times New Roman"/>
          <w:szCs w:val="24"/>
        </w:rPr>
      </w:r>
      <w:r>
        <w:rPr>
          <w:rFonts w:ascii="Times New Roman" w:hAnsi="Times New Roman" w:cs="Times New Roman"/>
          <w:szCs w:val="24"/>
        </w:rPr>
      </w:r>
    </w:p>
    <w:p w14:paraId="60EA8ED8">
      <w:pPr>
        <w:pBdr>
          <w:top w:val="none" w:color="000000" w:sz="4" w:space="0"/>
          <w:left w:val="none" w:color="000000" w:sz="4" w:space="0"/>
          <w:bottom w:val="none" w:color="000000" w:sz="4" w:space="0"/>
          <w:right w:val="none" w:color="000000" w:sz="4" w:space="0"/>
        </w:pBdr>
        <w:tabs>
          <w:tab w:val="left" w:leader="none" w:pos="567"/>
        </w:tabs>
        <w:spacing w:after="120" w:before="120" w:line="276" w:lineRule="auto"/>
        <w:ind w:right="0" w:firstLine="284" w:left="0"/>
        <w:jc w:val="both"/>
        <w:rPr>
          <w:rFonts w:ascii="Times New Roman" w:hAnsi="Times New Roman" w:cs="Times New Roman"/>
          <w:szCs w:val="24"/>
        </w:rPr>
      </w:pPr>
      <w:r>
        <w:rPr>
          <w:rFonts w:ascii="Times New Roman" w:hAnsi="Times New Roman" w:eastAsia="Times New Roman" w:cs="Times New Roman"/>
          <w:i/>
          <w:color w:val="000000"/>
          <w:sz w:val="24"/>
          <w:szCs w:val="24"/>
          <w:highlight w:val="white"/>
        </w:rPr>
        <w:t xml:space="preserve">Hệ số điều chỉnh vùng cho Suất vốn đầu tư: Thành phố Đà Nẵng  thuộc vùng 3 có hệ số điều chỉnh là 1,032.”</w:t>
      </w:r>
      <w:r>
        <w:rPr>
          <w:rFonts w:ascii="Times New Roman" w:hAnsi="Times New Roman" w:cs="Times New Roman"/>
          <w:szCs w:val="24"/>
        </w:rPr>
      </w:r>
      <w:r>
        <w:rPr>
          <w:rFonts w:ascii="Times New Roman" w:hAnsi="Times New Roman" w:cs="Times New Roman"/>
          <w:szCs w:val="24"/>
        </w:rPr>
      </w:r>
    </w:p>
    <w:p w14:paraId="676A889D">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rFonts w:ascii="Times New Roman" w:hAnsi="Times New Roman" w:cs="Times New Roman"/>
          <w:sz w:val="24"/>
          <w:szCs w:val="24"/>
        </w:rPr>
      </w:pPr>
      <w:r>
        <w:rPr>
          <w:rFonts w:ascii="Times New Roman" w:hAnsi="Times New Roman" w:eastAsia="Times New Roman" w:cs="Times New Roman"/>
          <w:i/>
          <w:color w:val="000000"/>
          <w:spacing w:val="3"/>
          <w:sz w:val="24"/>
          <w:szCs w:val="24"/>
          <w:highlight w:val="white"/>
        </w:rPr>
        <w:t xml:space="preserve">Do đó, Tổ thẩm định xác định đơn giá xây mới của công trình xây dựng là: (Suất vốn đầu tư) x (Hệ số vùng) = </w:t>
      </w:r>
      <w:r>
        <w:rPr>
          <w:rFonts w:ascii="Times New Roman" w:hAnsi="Times New Roman" w:eastAsia="Times New Roman" w:cs="Times New Roman"/>
          <w:b w:val="0"/>
          <w:bCs w:val="0"/>
          <w:i/>
          <w:color w:val="000000"/>
          <w:sz w:val="24"/>
          <w:szCs w:val="24"/>
        </w:rPr>
        <w:t xml:space="preserve">8.225.000 </w:t>
      </w:r>
      <w:r>
        <w:rPr>
          <w:rFonts w:ascii="Times New Roman" w:hAnsi="Times New Roman" w:eastAsia="Times New Roman" w:cs="Times New Roman"/>
          <w:b w:val="0"/>
          <w:bCs w:val="0"/>
          <w:i/>
          <w:color w:val="000000"/>
          <w:spacing w:val="3"/>
          <w:sz w:val="24"/>
          <w:szCs w:val="24"/>
          <w:highlight w:val="white"/>
        </w:rPr>
        <w:t xml:space="preserve">x 1,032=</w:t>
      </w:r>
      <w:r>
        <w:rPr>
          <w:rFonts w:ascii="Times New Roman" w:hAnsi="Times New Roman" w:eastAsia="Times New Roman" w:cs="Times New Roman"/>
          <w:b w:val="0"/>
          <w:bCs w:val="0"/>
          <w:i/>
          <w:color w:val="000000"/>
          <w:spacing w:val="3"/>
          <w:sz w:val="24"/>
          <w:szCs w:val="24"/>
          <w:highlight w:val="white"/>
        </w:rPr>
        <w:t xml:space="preserve"> </w:t>
      </w:r>
      <w:r>
        <w:rPr>
          <w:rFonts w:ascii="Times New Roman" w:hAnsi="Times New Roman" w:eastAsia="Times New Roman" w:cs="Times New Roman"/>
          <w:b w:val="0"/>
          <w:bCs w:val="0"/>
          <w:i/>
          <w:color w:val="000000"/>
          <w:spacing w:val="3"/>
          <w:sz w:val="24"/>
          <w:szCs w:val="24"/>
          <w:highlight w:val="none"/>
        </w:rPr>
        <w:t xml:space="preserve">8.</w:t>
      </w:r>
      <w:r>
        <w:rPr>
          <w:rFonts w:ascii="Times New Roman" w:hAnsi="Times New Roman" w:eastAsia="Times New Roman" w:cs="Times New Roman"/>
          <w:b w:val="0"/>
          <w:bCs w:val="0"/>
          <w:i/>
          <w:color w:val="000000"/>
          <w:spacing w:val="3"/>
          <w:sz w:val="24"/>
          <w:szCs w:val="24"/>
          <w:highlight w:val="white"/>
        </w:rPr>
        <w:t xml:space="preserve">488.200</w:t>
      </w:r>
      <w:r>
        <w:rPr>
          <w:rFonts w:ascii="Times New Roman" w:hAnsi="Times New Roman" w:eastAsia="Times New Roman" w:cs="Times New Roman"/>
          <w:b w:val="0"/>
          <w:bCs w:val="0"/>
          <w:i/>
          <w:color w:val="000000"/>
          <w:spacing w:val="3"/>
          <w:sz w:val="24"/>
          <w:szCs w:val="24"/>
          <w:highlight w:val="white"/>
        </w:rPr>
        <w:t xml:space="preserve"> đồng/m²</w:t>
      </w:r>
      <w:r>
        <w:rPr>
          <w:rFonts w:ascii="Times New Roman" w:hAnsi="Times New Roman" w:eastAsia="Times New Roman" w:cs="Times New Roman"/>
          <w:b/>
          <w:i/>
          <w:color w:val="000000"/>
          <w:spacing w:val="3"/>
          <w:sz w:val="24"/>
          <w:szCs w:val="24"/>
          <w:highlight w:val="white"/>
        </w:rPr>
        <w:t xml:space="preserve">. </w:t>
      </w:r>
      <w:r>
        <w:rPr>
          <w:rFonts w:ascii="Times New Roman" w:hAnsi="Times New Roman" w:cs="Times New Roman"/>
          <w:sz w:val="24"/>
          <w:szCs w:val="24"/>
        </w:rPr>
      </w:r>
      <w:r>
        <w:rPr>
          <w:rFonts w:ascii="Times New Roman" w:hAnsi="Times New Roman" w:cs="Times New Roman"/>
          <w:sz w:val="24"/>
          <w:szCs w:val="24"/>
        </w:rPr>
      </w:r>
    </w:p>
    <w:p w14:paraId="4603E2DC">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14:paraId="4129F590">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4F9CB591">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14:paraId="629DD7D8">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Tổ thẩm định giả định rằng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hoàn th</w:t>
      </w:r>
      <w:r>
        <w:rPr>
          <w:rFonts w:ascii="Times New Roman" w:hAnsi="Times New Roman" w:eastAsia="Times New Roman" w:cs="Times New Roman"/>
          <w:color w:val="000000"/>
          <w:spacing w:val="2"/>
          <w:sz w:val="24"/>
        </w:rPr>
        <w:t xml:space="preserve">ành đưa vào sử dụng khoảng năm 2015, do vậy, Tổ thẩm định xác định tuổi đời hiệu quả của công trình là khoảng 10 năm.</w:t>
      </w:r>
      <w:r/>
    </w:p>
    <w:p w14:paraId="6C048B82">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ước tính là 50 năm.</w:t>
      </w:r>
      <w:r/>
    </w:p>
    <w:tbl>
      <w:tblPr>
        <w:tblStyle w:val="105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532"/>
        <w:gridCol w:w="1842"/>
        <w:gridCol w:w="1596"/>
        <w:gridCol w:w="1620"/>
        <w:gridCol w:w="1388"/>
        <w:gridCol w:w="1510"/>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14:paraId="678CC9E9">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C09DEC9">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Năm xây dựng hoàn thành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6758F9A8">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0" w:type="dxa"/>
            <w:vAlign w:val="center"/>
            <w:textDirection w:val="lrTb"/>
            <w:noWrap w:val="false"/>
          </w:tcPr>
          <w:p w14:paraId="2715E165">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1532B59F">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1E61B49C">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Tỉ lệ hao mòn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532" w:type="dxa"/>
            <w:vAlign w:val="center"/>
            <w:textDirection w:val="lrTb"/>
            <w:noWrap w:val="false"/>
          </w:tcPr>
          <w:p w14:paraId="6057C73C">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Nhà 3 tầng </w:t>
            </w:r>
            <w:r/>
          </w:p>
        </w:tc>
        <w:tc>
          <w:tcPr>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tcPr>
          <w:p w14:paraId="19AF06EC">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2015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7287A8E1">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0" w:type="dxa"/>
            <w:vAlign w:val="center"/>
            <w:textDirection w:val="lrTb"/>
            <w:noWrap w:val="false"/>
          </w:tcPr>
          <w:p w14:paraId="2B7D171C">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32F49126">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0" w:type="dxa"/>
            <w:vAlign w:val="center"/>
            <w:textDirection w:val="lrTb"/>
            <w:noWrap w:val="false"/>
          </w:tcPr>
          <w:p w14:paraId="2DD0F7F4">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20%</w:t>
            </w:r>
            <w:r/>
          </w:p>
        </w:tc>
      </w:tr>
    </w:tbl>
    <w:p w14:paraId="07761D9F">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Tổ thẩm định xác định tỉ lệ hao mòn của tài sản thẩm định là: </w:t>
      </w:r>
      <w:r>
        <w:rPr>
          <w:rFonts w:ascii="Times New Roman" w:hAnsi="Times New Roman" w:eastAsia="Times New Roman" w:cs="Times New Roman"/>
          <w:b/>
          <w:color w:val="000000"/>
          <w:sz w:val="24"/>
        </w:rPr>
        <w:t xml:space="preserve">20,0%</w:t>
      </w:r>
      <w:r>
        <w:rPr>
          <w:rFonts w:ascii="Times New Roman" w:hAnsi="Times New Roman" w:eastAsia="Times New Roman" w:cs="Times New Roman"/>
          <w:color w:val="000000"/>
          <w:sz w:val="24"/>
        </w:rPr>
        <w:t xml:space="preserve">, tương đương tỷ lệ chất lượng còn lại của tài sản là: </w:t>
      </w:r>
      <w:r>
        <w:rPr>
          <w:rFonts w:ascii="Times New Roman" w:hAnsi="Times New Roman" w:eastAsia="Times New Roman" w:cs="Times New Roman"/>
          <w:b/>
          <w:color w:val="000000"/>
          <w:sz w:val="24"/>
        </w:rPr>
        <w:t xml:space="preserve">80,0%.</w:t>
      </w:r>
      <w:r/>
    </w:p>
    <w:p w14:paraId="57D5F9FA">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04F96726">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55"/>
        <w:tblInd w:w="25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908"/>
        <w:gridCol w:w="351"/>
        <w:gridCol w:w="3673"/>
        <w:gridCol w:w="319"/>
        <w:gridCol w:w="2311"/>
      </w:tblGrid>
      <w:tr>
        <w:trPr>
          <w:trHeight w:val="794"/>
        </w:trPr>
        <w:tc>
          <w:tcPr>
            <w:tcBorders/>
            <w:tcMar>
              <w:left w:w="108" w:type="dxa"/>
              <w:top w:w="0" w:type="dxa"/>
              <w:right w:w="108" w:type="dxa"/>
              <w:bottom w:w="0" w:type="dxa"/>
            </w:tcMar>
            <w:tcW w:w="1908" w:type="dxa"/>
            <w:vAlign w:val="center"/>
            <w:textDirection w:val="lrTb"/>
            <w:noWrap w:val="false"/>
          </w:tcPr>
          <w:p w14:paraId="0614AA8C">
            <w:pPr>
              <w:pBdr>
                <w:top w:val="none" w:color="000000" w:sz="4" w:space="0"/>
                <w:left w:val="none" w:color="000000" w:sz="4" w:space="0"/>
                <w:bottom w:val="none" w:color="000000" w:sz="4" w:space="0"/>
                <w:right w:val="none" w:color="000000" w:sz="4" w:space="0"/>
              </w:pBdr>
              <w:shd w:val="clear" w:color="ffffff" w:fill="ffffff"/>
              <w:spacing w:after="0" w:before="0"/>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51" w:type="dxa"/>
            <w:vAlign w:val="center"/>
            <w:textDirection w:val="lrTb"/>
            <w:noWrap w:val="false"/>
          </w:tcPr>
          <w:p w14:paraId="55D56C06">
            <w:pPr>
              <w:pBdr>
                <w:top w:val="none" w:color="000000" w:sz="4" w:space="0"/>
                <w:left w:val="none" w:color="000000" w:sz="4" w:space="0"/>
                <w:bottom w:val="none" w:color="000000" w:sz="4" w:space="0"/>
                <w:right w:val="none" w:color="000000" w:sz="4" w:space="0"/>
              </w:pBdr>
              <w:shd w:val="clear" w:color="ffffff" w:fill="ffffff"/>
              <w:spacing w:after="0" w:before="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3673" w:type="dxa"/>
            <w:vAlign w:val="center"/>
            <w:textDirection w:val="lrTb"/>
            <w:noWrap w:val="false"/>
          </w:tcPr>
          <w:p w14:paraId="34D61121">
            <w:pPr>
              <w:pBdr>
                <w:top w:val="none" w:color="000000" w:sz="4" w:space="0"/>
                <w:left w:val="none" w:color="000000" w:sz="4" w:space="0"/>
                <w:bottom w:val="none" w:color="000000" w:sz="4" w:space="0"/>
                <w:right w:val="none" w:color="000000" w:sz="4" w:space="0"/>
              </w:pBdr>
              <w:shd w:val="clear" w:color="ffffff" w:fill="ffffff"/>
              <w:spacing w:after="0" w:before="0"/>
              <w:ind w:right="0" w:firstLine="0" w:left="0"/>
              <w:jc w:val="center"/>
              <w:rPr/>
            </w:pPr>
            <w:r>
              <w:rPr>
                <w:rFonts w:ascii="Times New Roman" w:hAnsi="Times New Roman" w:eastAsia="Times New Roman" w:cs="Times New Roman"/>
                <w:color w:val="000000"/>
                <w:sz w:val="24"/>
              </w:rPr>
              <w:t xml:space="preserve">Chi phí thay thế </w:t>
            </w:r>
            <w:r/>
          </w:p>
          <w:p w14:paraId="6ECE4557">
            <w:pPr>
              <w:pBdr>
                <w:top w:val="none" w:color="000000" w:sz="4" w:space="0"/>
                <w:left w:val="none" w:color="000000" w:sz="4" w:space="0"/>
                <w:bottom w:val="none" w:color="000000" w:sz="4" w:space="0"/>
                <w:right w:val="none" w:color="000000" w:sz="4" w:space="0"/>
              </w:pBdr>
              <w:shd w:val="clear" w:color="ffffff" w:fill="ffffff"/>
              <w:spacing w:after="120" w:before="0"/>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319" w:type="dxa"/>
            <w:vAlign w:val="center"/>
            <w:textDirection w:val="lrTb"/>
            <w:noWrap w:val="false"/>
          </w:tcPr>
          <w:p w14:paraId="61AC80E6">
            <w:pPr>
              <w:pBdr>
                <w:top w:val="none" w:color="000000" w:sz="4" w:space="0"/>
                <w:left w:val="none" w:color="000000" w:sz="4" w:space="0"/>
                <w:bottom w:val="none" w:color="000000" w:sz="4" w:space="0"/>
                <w:right w:val="none" w:color="000000" w:sz="4" w:space="0"/>
              </w:pBdr>
              <w:shd w:val="clear" w:color="ffffff" w:fill="ffffff"/>
              <w:spacing w:after="0" w:before="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311" w:type="dxa"/>
            <w:vAlign w:val="center"/>
            <w:textDirection w:val="lrTb"/>
            <w:noWrap w:val="false"/>
          </w:tcPr>
          <w:p w14:paraId="0689A34C">
            <w:pPr>
              <w:pBdr>
                <w:top w:val="none" w:color="000000" w:sz="4" w:space="0"/>
                <w:left w:val="none" w:color="000000" w:sz="4" w:space="0"/>
                <w:bottom w:val="none" w:color="000000" w:sz="4" w:space="0"/>
                <w:right w:val="none" w:color="000000" w:sz="4" w:space="0"/>
              </w:pBdr>
              <w:shd w:val="clear" w:color="ffffff" w:fill="ffffff"/>
              <w:spacing w:after="0" w:before="0"/>
              <w:ind w:right="0" w:firstLine="0" w:left="0"/>
              <w:jc w:val="center"/>
              <w:rPr/>
            </w:pPr>
            <w:r>
              <w:rPr>
                <w:rFonts w:ascii="Times New Roman" w:hAnsi="Times New Roman" w:eastAsia="Times New Roman" w:cs="Times New Roman"/>
                <w:color w:val="000000"/>
                <w:sz w:val="24"/>
              </w:rPr>
              <w:t xml:space="preserve">Tổng giá trị hao mòn </w:t>
            </w:r>
            <w:r/>
          </w:p>
        </w:tc>
      </w:tr>
    </w:tbl>
    <w:p w14:paraId="6D0834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5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270"/>
        <w:gridCol w:w="1230"/>
        <w:gridCol w:w="1560"/>
        <w:gridCol w:w="1701"/>
        <w:gridCol w:w="1559"/>
        <w:gridCol w:w="1596"/>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14:paraId="4B78355D">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Tài sản</w:t>
            </w:r>
            <w:r>
              <w:rPr>
                <w:rFonts w:ascii="Times New Roman" w:hAnsi="Times New Roman" w:cs="Times New Roman"/>
                <w:szCs w:val="24"/>
              </w:rPr>
            </w:r>
            <w:r>
              <w:rPr>
                <w:rFonts w:ascii="Times New Roman" w:hAnsi="Times New Roman" w:cs="Times New Roman"/>
                <w:szCs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30" w:type="dxa"/>
            <w:vAlign w:val="center"/>
            <w:textDirection w:val="lrTb"/>
            <w:noWrap w:val="false"/>
          </w:tcPr>
          <w:p w14:paraId="2A140789">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Diện tích sàn (m²</w:t>
            </w:r>
            <w:r>
              <w:rPr>
                <w:rFonts w:ascii="Times New Roman" w:hAnsi="Times New Roman" w:eastAsia="Times New Roman" w:cs="Times New Roman"/>
                <w:b/>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14:paraId="6F60AFAE">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Đơn giá xây dựng mới (đồng/m² sàn)</w:t>
            </w:r>
            <w:r>
              <w:rPr>
                <w:rFonts w:ascii="Times New Roman" w:hAnsi="Times New Roman" w:cs="Times New Roman"/>
                <w:szCs w:val="24"/>
              </w:rPr>
            </w:r>
            <w:r>
              <w:rPr>
                <w:rFonts w:ascii="Times New Roman" w:hAnsi="Times New Roman" w:cs="Times New Roman"/>
                <w:szCs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47D87C3">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Chi phí thay thế (đồng)</w:t>
            </w:r>
            <w:r>
              <w:rPr>
                <w:rFonts w:ascii="Times New Roman" w:hAnsi="Times New Roman" w:cs="Times New Roman"/>
                <w:szCs w:val="24"/>
              </w:rPr>
            </w:r>
            <w:r>
              <w:rPr>
                <w:rFonts w:ascii="Times New Roman" w:hAnsi="Times New Roman" w:cs="Times New Roman"/>
                <w:szCs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C31DED5">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hao mòn (đồng)</w:t>
            </w:r>
            <w:r>
              <w:rPr>
                <w:rFonts w:ascii="Times New Roman" w:hAnsi="Times New Roman" w:cs="Times New Roman"/>
                <w:szCs w:val="24"/>
              </w:rPr>
            </w:r>
            <w:r>
              <w:rPr>
                <w:rFonts w:ascii="Times New Roman" w:hAnsi="Times New Roman" w:cs="Times New Roman"/>
                <w:szCs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7B698CBE">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thẩm định tại thời điểm thẩm định giá (đồng)</w:t>
            </w:r>
            <w:r>
              <w:rPr>
                <w:rFonts w:ascii="Times New Roman" w:hAnsi="Times New Roman" w:cs="Times New Roman"/>
                <w:szCs w:val="24"/>
              </w:rPr>
            </w:r>
            <w:r>
              <w:rPr>
                <w:rFonts w:ascii="Times New Roman" w:hAnsi="Times New Roman" w:cs="Times New Roman"/>
                <w:szCs w:val="24"/>
              </w:rP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14:paraId="27DFCEF3">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230" w:type="dxa"/>
            <w:vAlign w:val="center"/>
            <w:textDirection w:val="lrTb"/>
            <w:noWrap w:val="false"/>
          </w:tcPr>
          <w:p w14:paraId="0DD187F7">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14:paraId="0C1A7A62">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127C93C">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(4) = (2) * (3)</w:t>
            </w:r>
            <w:r>
              <w:rPr>
                <w:rFonts w:ascii="Times New Roman" w:hAnsi="Times New Roman" w:cs="Times New Roman"/>
                <w:szCs w:val="24"/>
              </w:rPr>
            </w:r>
            <w:r>
              <w:rPr>
                <w:rFonts w:ascii="Times New Roman" w:hAnsi="Times New Roman" w:cs="Times New Roman"/>
                <w:szCs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2CA10DA">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(5)</w:t>
            </w:r>
            <w:r>
              <w:rPr>
                <w:rFonts w:ascii="Times New Roman" w:hAnsi="Times New Roman" w:cs="Times New Roman"/>
                <w:szCs w:val="24"/>
              </w:rPr>
            </w:r>
            <w:r>
              <w:rPr>
                <w:rFonts w:ascii="Times New Roman" w:hAnsi="Times New Roman" w:cs="Times New Roman"/>
                <w:szCs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0C2D625C">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(6) = (4) - (5)</w:t>
            </w:r>
            <w:r>
              <w:rPr>
                <w:rFonts w:ascii="Times New Roman" w:hAnsi="Times New Roman" w:cs="Times New Roman"/>
                <w:szCs w:val="24"/>
              </w:rPr>
            </w:r>
            <w:r>
              <w:rPr>
                <w:rFonts w:ascii="Times New Roman" w:hAnsi="Times New Roman" w:cs="Times New Roman"/>
                <w:szCs w:val="24"/>
              </w:rP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14:paraId="26605FFE">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Nhà 3 tầng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230" w:type="dxa"/>
            <w:vAlign w:val="center"/>
            <w:textDirection w:val="lrTb"/>
            <w:noWrap/>
          </w:tcPr>
          <w:p w14:paraId="0ADFCE75">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79,7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tcPr>
          <w:p w14:paraId="37659499">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8.488.200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14:paraId="36BAB210">
            <w:pPr>
              <w:pBdr/>
              <w:spacing w:after="0" w:before="0" w:line="240" w:lineRule="auto"/>
              <w:ind/>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676.509.540 </w:t>
            </w:r>
            <w:r>
              <w:rPr>
                <w:rFonts w:ascii="Times New Roman" w:hAnsi="Times New Roman" w:cs="Times New Roman"/>
                <w:sz w:val="24"/>
                <w:szCs w:val="24"/>
              </w:rPr>
            </w:r>
            <w:r>
              <w:rPr>
                <w:rFonts w:ascii="Times New Roman" w:hAnsi="Times New Roman" w:cs="Times New Roman"/>
                <w:sz w:val="24"/>
                <w:szCs w:val="24"/>
              </w:rP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A9A99B7">
            <w:pPr>
              <w:pBdr/>
              <w:spacing w:after="0" w:before="0" w:line="240" w:lineRule="auto"/>
              <w:ind/>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135.301.908 </w:t>
            </w:r>
            <w:r>
              <w:rPr>
                <w:rFonts w:ascii="Times New Roman" w:hAnsi="Times New Roman" w:cs="Times New Roman"/>
                <w:sz w:val="24"/>
                <w:szCs w:val="24"/>
              </w:rPr>
            </w:r>
            <w:r>
              <w:rPr>
                <w:rFonts w:ascii="Times New Roman" w:hAnsi="Times New Roman" w:cs="Times New Roman"/>
                <w:sz w:val="24"/>
                <w:szCs w:val="24"/>
              </w:rPr>
            </w:r>
          </w:p>
        </w:tc>
        <w:tc>
          <w:tcPr>
            <w:tcBorders>
              <w:bottom w:val="single" w:color="000000" w:sz="8" w:space="0"/>
              <w:right w:val="single" w:color="000000" w:sz="8" w:space="0"/>
            </w:tcBorders>
            <w:tcMar>
              <w:left w:w="108" w:type="dxa"/>
              <w:top w:w="0" w:type="dxa"/>
              <w:right w:w="108" w:type="dxa"/>
              <w:bottom w:w="0" w:type="dxa"/>
            </w:tcMar>
            <w:tcW w:w="1596" w:type="dxa"/>
            <w:vAlign w:val="center"/>
            <w:textDirection w:val="lrTb"/>
            <w:noWrap w:val="false"/>
          </w:tcPr>
          <w:p w14:paraId="1944B3E9">
            <w:pPr>
              <w:pBdr/>
              <w:spacing w:after="0" w:before="0" w:line="240" w:lineRule="auto"/>
              <w:ind/>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541.207.632 </w:t>
            </w:r>
            <w:r>
              <w:rPr>
                <w:rFonts w:ascii="Times New Roman" w:hAnsi="Times New Roman" w:cs="Times New Roman"/>
                <w:sz w:val="24"/>
                <w:szCs w:val="24"/>
              </w:rPr>
            </w:r>
            <w:r>
              <w:rPr>
                <w:rFonts w:ascii="Times New Roman" w:hAnsi="Times New Roman" w:cs="Times New Roman"/>
                <w:sz w:val="24"/>
                <w:szCs w:val="24"/>
              </w:rPr>
            </w:r>
          </w:p>
        </w:tc>
      </w:tr>
    </w:tbl>
    <w:p w14:paraId="4B506B03" w14:textId="49B8E0F8">
      <w:pPr>
        <w:pBdr/>
        <w:spacing w:after="120" w:before="120" w:line="276" w:lineRule="auto"/>
        <w:ind w:firstLine="0" w:left="0"/>
        <w:jc w:val="both"/>
        <w:rPr>
          <w:b/>
          <w:lang w:val="pt-BR"/>
        </w:rPr>
      </w:pPr>
      <w:r>
        <w:rPr>
          <w:b/>
          <w:lang w:val="pt-BR"/>
        </w:rPr>
        <w:t xml:space="preserve">3.    Kết quả thẩm định giá:</w:t>
      </w:r>
      <w:r>
        <w:rPr>
          <w:b/>
          <w:lang w:val="pt-BR"/>
        </w:rPr>
      </w:r>
      <w:r>
        <w:rPr>
          <w:b/>
          <w:lang w:val="pt-BR"/>
        </w:rPr>
      </w:r>
    </w:p>
    <w:p w14:paraId="5FD09752" w14:textId="07A918B2">
      <w:pPr>
        <w:pStyle w:val="1051"/>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99"/>
        <w:gridCol w:w="1648"/>
        <w:gridCol w:w="132"/>
        <w:gridCol w:w="1340"/>
        <w:gridCol w:w="2089"/>
        <w:gridCol w:w="1758"/>
        <w:gridCol w:w="1758"/>
      </w:tblGrid>
      <w:tr>
        <w:trPr>
          <w:trHeight w:val="20"/>
        </w:trPr>
        <w:tc>
          <w:tcPr>
            <w:shd w:val="clear" w:color="000000" w:fill="ffffff"/>
            <w:tcBorders/>
            <w:tcW w:w="799" w:type="dxa"/>
            <w:vAlign w:val="center"/>
            <w:textDirection w:val="lrTb"/>
            <w:noWrap w:val="false"/>
          </w:tcPr>
          <w:p w14:paraId="3B33ADA7">
            <w:pPr>
              <w:pBdr/>
              <w:spacing w:after="40" w:before="40" w:line="288" w:lineRule="auto"/>
              <w:ind/>
              <w:jc w:val="center"/>
              <w:rPr>
                <w:b/>
                <w:bCs/>
              </w:rPr>
            </w:pPr>
            <w:r>
              <w:rPr>
                <w:b/>
                <w:bCs/>
              </w:rPr>
              <w:t xml:space="preserve">TT</w:t>
            </w:r>
            <w:r>
              <w:rPr>
                <w:b/>
                <w:bCs/>
              </w:rPr>
            </w:r>
            <w:r>
              <w:rPr>
                <w:b/>
                <w:bCs/>
              </w:rPr>
            </w:r>
          </w:p>
        </w:tc>
        <w:tc>
          <w:tcPr>
            <w:shd w:val="clear" w:color="000000" w:fill="ffffff"/>
            <w:tcBorders/>
            <w:tcW w:w="1648" w:type="dxa"/>
            <w:vAlign w:val="center"/>
            <w:textDirection w:val="lrTb"/>
            <w:noWrap w:val="false"/>
          </w:tcPr>
          <w:p w14:paraId="2F5BF506">
            <w:pPr>
              <w:pBdr/>
              <w:spacing w:after="40" w:before="40" w:line="288" w:lineRule="auto"/>
              <w:ind/>
              <w:jc w:val="center"/>
              <w:rPr>
                <w:b/>
                <w:bCs/>
              </w:rPr>
            </w:pPr>
            <w:r>
              <w:rPr>
                <w:b/>
                <w:bCs/>
              </w:rPr>
              <w:t xml:space="preserve">Tài sản</w:t>
            </w:r>
            <w:r>
              <w:rPr>
                <w:b/>
                <w:bCs/>
              </w:rPr>
            </w:r>
            <w:r>
              <w:rPr>
                <w:b/>
                <w:bCs/>
              </w:rPr>
            </w:r>
          </w:p>
        </w:tc>
        <w:tc>
          <w:tcPr>
            <w:gridSpan w:val="2"/>
            <w:shd w:val="clear" w:color="000000" w:fill="ffffff"/>
            <w:tcBorders/>
            <w:tcW w:w="1472" w:type="dxa"/>
            <w:vAlign w:val="center"/>
            <w:textDirection w:val="lrTb"/>
            <w:noWrap w:val="false"/>
          </w:tcPr>
          <w:p w14:paraId="32FB4E38">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089" w:type="dxa"/>
            <w:vAlign w:val="center"/>
            <w:textDirection w:val="lrTb"/>
            <w:noWrap w:val="false"/>
          </w:tcPr>
          <w:p w14:paraId="244DB52E">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758" w:type="dxa"/>
            <w:vAlign w:val="center"/>
            <w:textDirection w:val="lrTb"/>
            <w:noWrap w:val="false"/>
          </w:tcPr>
          <w:p w14:paraId="33ECD419">
            <w:pPr>
              <w:pBdr/>
              <w:spacing/>
              <w:ind/>
              <w:rPr>
                <w:b/>
                <w:bCs/>
              </w:rPr>
            </w:pPr>
            <w:r>
              <w:rPr>
                <w:b/>
                <w:bCs/>
              </w:rPr>
              <w:t xml:space="preserve">CLCL</w:t>
            </w:r>
            <w:r>
              <w:rPr>
                <w:b/>
                <w:bCs/>
              </w:rPr>
            </w:r>
            <w:r>
              <w:rPr>
                <w:b/>
                <w:bCs/>
              </w:rPr>
            </w:r>
          </w:p>
        </w:tc>
        <w:tc>
          <w:tcPr>
            <w:shd w:val="clear" w:color="000000" w:fill="ffffff"/>
            <w:tcBorders/>
            <w:tcW w:w="1758" w:type="dxa"/>
            <w:vAlign w:val="center"/>
            <w:textDirection w:val="lrTb"/>
            <w:noWrap w:val="false"/>
          </w:tcPr>
          <w:p w14:paraId="009C2FCF">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99" w:type="dxa"/>
            <w:vAlign w:val="center"/>
            <w:textDirection w:val="lrTb"/>
            <w:noWrap w:val="false"/>
          </w:tcPr>
          <w:p w14:paraId="65FC6B8B">
            <w:pPr>
              <w:pBdr/>
              <w:spacing w:after="40" w:before="40" w:line="288" w:lineRule="auto"/>
              <w:ind/>
              <w:jc w:val="center"/>
              <w:rPr>
                <w:b/>
                <w:bCs/>
              </w:rPr>
            </w:pPr>
            <w:r>
              <w:rPr>
                <w:b/>
                <w:bCs/>
              </w:rPr>
              <w:t xml:space="preserve"> </w:t>
            </w:r>
            <w:r>
              <w:rPr>
                <w:b/>
                <w:bCs/>
              </w:rPr>
            </w:r>
            <w:r>
              <w:rPr>
                <w:b/>
                <w:bCs/>
              </w:rPr>
            </w:r>
          </w:p>
        </w:tc>
        <w:tc>
          <w:tcPr>
            <w:gridSpan w:val="5"/>
            <w:shd w:val="clear" w:color="000000" w:fill="ffffff"/>
            <w:tcBorders/>
            <w:tcW w:w="6967" w:type="dxa"/>
            <w:vAlign w:val="center"/>
            <w:textDirection w:val="lrTb"/>
            <w:noWrap w:val="false"/>
          </w:tcPr>
          <w:p w14:paraId="2AE0A700">
            <w:pPr>
              <w:pBdr/>
              <w:spacing w:after="40" w:before="40" w:line="288" w:lineRule="auto"/>
              <w:ind/>
              <w:jc w:val="both"/>
              <w:rPr>
                <w:b/>
                <w:bCs/>
              </w:rPr>
            </w:pPr>
            <w:r>
              <w:rPr>
                <w:b/>
                <w:bCs/>
                <w:color w:val="000000"/>
              </w:rPr>
            </w:r>
            <w:r>
              <w:rPr>
                <w:b/>
                <w:bCs/>
                <w:color w:val="000000"/>
              </w:rPr>
              <w:t xml:space="preserve">Quyền sử dụng đất và tài sản gắn liền với đất tại thửa đất số: 129, tờ bản đồ số: 4 có địa chỉ: Tổ 107, phường Tam Thuận, quận Thanh Khê, thành phố Đà Nẵng (nay là </w:t>
            </w:r>
            <w:r>
              <w:rPr>
                <w:b/>
                <w:bCs/>
                <w:color w:val="000000"/>
              </w:rPr>
              <w:t xml:space="preserve">H27/18-K72 đường Đinh Tiên Hoàng, phư</w:t>
            </w:r>
            <w:r>
              <w:rPr>
                <w:b/>
                <w:bCs/>
                <w:color w:val="000000"/>
              </w:rPr>
              <w:t xml:space="preserve">ờng Thanh Khê, thành phố Đà Nẵng) theo Giấy chứng nhận quyền sử dụng đất quyền sở hữu nhà ở và tài sản khác gắn liền với đất số: CA 487363, số vào sổ cấp GCN: CTs75595 do Sở Tài nguyên và Môi trường thành phố Đà Nẵng cấp ngày 15/9/2015 cho Bà Trần Thị Sang</w:t>
            </w:r>
            <w:r>
              <w:rPr>
                <w:b/>
                <w:bCs/>
              </w:rPr>
            </w:r>
            <w:r>
              <w:rPr>
                <w:b/>
                <w:bCs/>
              </w:rPr>
            </w:r>
          </w:p>
          <w:p w14:paraId="7C0C2E33">
            <w:pPr>
              <w:pBdr/>
              <w:spacing/>
              <w:ind/>
              <w:rPr>
                <w:b/>
                <w:bCs/>
              </w:rPr>
            </w:pPr>
            <w:r>
              <w:rPr>
                <w:b/>
                <w:bCs/>
              </w:rPr>
            </w:r>
            <w:r>
              <w:rPr>
                <w:b/>
                <w:bCs/>
              </w:rPr>
            </w:r>
            <w:r>
              <w:rPr>
                <w:b/>
                <w:bCs/>
              </w:rPr>
            </w:r>
          </w:p>
        </w:tc>
        <w:tc>
          <w:tcPr>
            <w:shd w:val="clear" w:color="000000" w:fill="ffffff"/>
            <w:tcBorders/>
            <w:tcW w:w="1758" w:type="dxa"/>
            <w:vAlign w:val="center"/>
            <w:textDirection w:val="lrTb"/>
            <w:noWrap w:val="false"/>
          </w:tcPr>
          <w:p w14:paraId="4A4037DE">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99" w:type="dxa"/>
            <w:vAlign w:val="center"/>
            <w:textDirection w:val="lrTb"/>
            <w:noWrap w:val="false"/>
          </w:tcPr>
          <w:p w14:paraId="5865F2D5">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648" w:type="dxa"/>
            <w:vAlign w:val="center"/>
            <w:textDirection w:val="lrTb"/>
            <w:noWrap w:val="false"/>
          </w:tcPr>
          <w:p w14:paraId="55A873D2">
            <w:pPr>
              <w:pBdr/>
              <w:spacing w:after="40" w:before="40" w:line="288" w:lineRule="auto"/>
              <w:ind/>
              <w:rPr>
                <w:b w:val="0"/>
                <w:bCs w:val="0"/>
              </w:rPr>
            </w:pPr>
            <w:r>
              <w:rPr>
                <w:b w:val="0"/>
                <w:bCs w:val="0"/>
              </w:rPr>
              <w:t xml:space="preserve">Đất ở tại đô thị</w:t>
            </w:r>
            <w:r>
              <w:rPr>
                <w:b w:val="0"/>
                <w:bCs w:val="0"/>
              </w:rPr>
            </w:r>
            <w:r>
              <w:rPr>
                <w:b w:val="0"/>
                <w:bCs w:val="0"/>
              </w:rPr>
            </w:r>
          </w:p>
        </w:tc>
        <w:tc>
          <w:tcPr>
            <w:gridSpan w:val="2"/>
            <w:tcBorders/>
            <w:tcW w:w="1472" w:type="dxa"/>
            <w:vAlign w:val="center"/>
            <w:textDirection w:val="lrTb"/>
            <w:noWrap/>
          </w:tcPr>
          <w:p w14:paraId="60CF89A4">
            <w:pPr>
              <w:pBdr/>
              <w:spacing w:after="40" w:before="40" w:line="288" w:lineRule="auto"/>
              <w:ind/>
              <w:jc w:val="center"/>
              <w:rPr>
                <w:color w:val="000000"/>
              </w:rPr>
            </w:pPr>
            <w:r>
              <w:rPr>
                <w:color w:val="000000" w:themeColor="text1"/>
              </w:rPr>
              <w:t xml:space="preserve">31,9</w:t>
            </w:r>
            <w:r>
              <w:rPr>
                <w:color w:val="000000"/>
              </w:rPr>
            </w:r>
            <w:r>
              <w:rPr>
                <w:color w:val="000000"/>
              </w:rPr>
            </w:r>
          </w:p>
        </w:tc>
        <w:tc>
          <w:tcPr>
            <w:shd w:val="clear" w:color="000000" w:fill="ffffff"/>
            <w:tcBorders/>
            <w:tcW w:w="2089" w:type="dxa"/>
            <w:vAlign w:val="center"/>
            <w:textDirection w:val="lrTb"/>
            <w:noWrap w:val="false"/>
          </w:tcPr>
          <w:p w14:paraId="10BB2C6C">
            <w:pPr>
              <w:pBdr/>
              <w:spacing w:after="40" w:before="40" w:line="288" w:lineRule="auto"/>
              <w:ind/>
              <w:jc w:val="center"/>
              <w:rPr/>
            </w:pPr>
            <w:r>
              <w:rPr>
                <w:color w:val="000000" w:themeColor="text1"/>
              </w:rPr>
              <w:t xml:space="preserve">50.000.000</w:t>
            </w:r>
            <w:r/>
          </w:p>
        </w:tc>
        <w:tc>
          <w:tcPr>
            <w:shd w:val="clear" w:color="000000" w:fill="ffffff"/>
            <w:tcBorders/>
            <w:tcW w:w="1758" w:type="dxa"/>
            <w:vAlign w:val="center"/>
            <w:textDirection w:val="lrTb"/>
            <w:noWrap w:val="false"/>
          </w:tcPr>
          <w:p w14:paraId="2C801E1E">
            <w:pPr>
              <w:pBdr/>
              <w:spacing/>
              <w:ind/>
              <w:jc w:val="center"/>
              <w:rPr>
                <w:color w:val="000000" w:themeColor="text1"/>
              </w:rPr>
            </w:pPr>
            <w:r>
              <w:rPr>
                <w:color w:val="000000" w:themeColor="text1"/>
              </w:rPr>
              <w:t xml:space="preserve">-</w:t>
            </w:r>
            <w:r>
              <w:rPr>
                <w:color w:val="000000" w:themeColor="text1"/>
              </w:rPr>
            </w:r>
            <w:r>
              <w:rPr>
                <w:color w:val="000000" w:themeColor="text1"/>
              </w:rPr>
            </w:r>
          </w:p>
        </w:tc>
        <w:tc>
          <w:tcPr>
            <w:shd w:val="clear" w:color="000000" w:fill="ffffff"/>
            <w:tcBorders/>
            <w:tcW w:w="1758" w:type="dxa"/>
            <w:vAlign w:val="center"/>
            <w:textDirection w:val="lrTb"/>
            <w:noWrap w:val="false"/>
          </w:tcPr>
          <w:p w14:paraId="692531B5">
            <w:pPr>
              <w:pBdr/>
              <w:spacing w:after="40" w:before="40" w:line="288" w:lineRule="auto"/>
              <w:ind/>
              <w:jc w:val="center"/>
              <w:rPr/>
            </w:pPr>
            <w:r>
              <w:rPr>
                <w:color w:val="000000" w:themeColor="text1"/>
              </w:rPr>
              <w:t xml:space="preserve">1.595.000.000</w:t>
            </w:r>
            <w:r/>
          </w:p>
        </w:tc>
      </w:tr>
      <w:tr>
        <w:trPr>
          <w:trHeight w:val="20"/>
        </w:trPr>
        <w:tc>
          <w:tcPr>
            <w:shd w:val="clear" w:color="000000" w:fill="ffffff"/>
            <w:tcBorders/>
            <w:tcW w:w="799" w:type="dxa"/>
            <w:vAlign w:val="center"/>
            <w:vMerge w:val="restart"/>
            <w:textDirection w:val="lrTb"/>
            <w:noWrap w:val="false"/>
          </w:tcPr>
          <w:p w14:paraId="6ECBF2E9">
            <w:pPr>
              <w:pBdr/>
              <w:spacing w:after="40" w:before="40" w:line="288" w:lineRule="auto"/>
              <w:ind/>
              <w:jc w:val="center"/>
              <w:rPr>
                <w:b w:val="0"/>
                <w:bCs w:val="0"/>
              </w:rPr>
            </w:pPr>
            <w:r>
              <w:rPr>
                <w:b w:val="0"/>
                <w:bCs w:val="0"/>
              </w:rPr>
              <w:t xml:space="preserve">2</w:t>
            </w:r>
            <w:r>
              <w:rPr>
                <w:b w:val="0"/>
                <w:bCs w:val="0"/>
              </w:rPr>
            </w:r>
            <w:r>
              <w:rPr>
                <w:b w:val="0"/>
                <w:bCs w:val="0"/>
              </w:rPr>
            </w:r>
          </w:p>
        </w:tc>
        <w:tc>
          <w:tcPr>
            <w:shd w:val="clear" w:color="000000" w:fill="ffffff"/>
            <w:tcBorders/>
            <w:tcW w:w="1648" w:type="dxa"/>
            <w:vAlign w:val="center"/>
            <w:vMerge w:val="restart"/>
            <w:textDirection w:val="lrTb"/>
            <w:noWrap w:val="false"/>
          </w:tcPr>
          <w:p w14:paraId="42CAD1EF">
            <w:pPr>
              <w:pBdr/>
              <w:spacing w:after="40" w:before="40" w:line="288" w:lineRule="auto"/>
              <w:ind/>
              <w:rPr>
                <w:b w:val="0"/>
                <w:bCs w:val="0"/>
              </w:rPr>
            </w:pPr>
            <w:r>
              <w:rPr>
                <w:b w:val="0"/>
                <w:bCs w:val="0"/>
              </w:rPr>
              <w:t xml:space="preserve">Nhà 3 tầng</w:t>
            </w:r>
            <w:r>
              <w:rPr>
                <w:b w:val="0"/>
                <w:bCs w:val="0"/>
              </w:rPr>
            </w:r>
            <w:r>
              <w:rPr>
                <w:b w:val="0"/>
                <w:bCs w:val="0"/>
              </w:rPr>
            </w:r>
          </w:p>
        </w:tc>
        <w:tc>
          <w:tcPr>
            <w:gridSpan w:val="2"/>
            <w:tcBorders/>
            <w:tcW w:w="1472" w:type="dxa"/>
            <w:vAlign w:val="center"/>
            <w:vMerge w:val="restart"/>
            <w:textDirection w:val="lrTb"/>
            <w:noWrap/>
          </w:tcPr>
          <w:p w14:paraId="570B0596">
            <w:pPr>
              <w:pBdr/>
              <w:spacing w:after="40" w:before="40" w:line="288" w:lineRule="auto"/>
              <w:ind/>
              <w:jc w:val="center"/>
              <w:rPr>
                <w:color w:val="000000" w:themeColor="text1"/>
              </w:rPr>
            </w:pPr>
            <w:r>
              <w:rPr>
                <w:color w:val="000000" w:themeColor="text1"/>
              </w:rPr>
              <w:t xml:space="preserve">79,7</w:t>
            </w:r>
            <w:r>
              <w:rPr>
                <w:color w:val="000000" w:themeColor="text1"/>
              </w:rPr>
            </w:r>
            <w:r>
              <w:rPr>
                <w:color w:val="000000" w:themeColor="text1"/>
              </w:rPr>
            </w:r>
          </w:p>
        </w:tc>
        <w:tc>
          <w:tcPr>
            <w:shd w:val="clear" w:color="000000" w:fill="ffffff"/>
            <w:tcBorders/>
            <w:tcW w:w="2089" w:type="dxa"/>
            <w:vAlign w:val="center"/>
            <w:vMerge w:val="restart"/>
            <w:textDirection w:val="lrTb"/>
            <w:noWrap w:val="false"/>
          </w:tcPr>
          <w:p w14:paraId="57E9A7ED">
            <w:pPr>
              <w:pBdr/>
              <w:spacing w:after="40" w:before="40" w:line="288" w:lineRule="auto"/>
              <w:ind/>
              <w:jc w:val="center"/>
              <w:rPr>
                <w:color w:val="000000" w:themeColor="text1"/>
              </w:rPr>
            </w:pPr>
            <w:r>
              <w:rPr>
                <w:color w:val="000000" w:themeColor="text1"/>
              </w:rPr>
              <w:t xml:space="preserve">8.488.200</w:t>
            </w:r>
            <w:r>
              <w:rPr>
                <w:color w:val="000000" w:themeColor="text1"/>
              </w:rPr>
            </w:r>
            <w:r>
              <w:rPr>
                <w:color w:val="000000" w:themeColor="text1"/>
              </w:rPr>
            </w:r>
          </w:p>
        </w:tc>
        <w:tc>
          <w:tcPr>
            <w:shd w:val="clear" w:color="000000" w:fill="ffffff"/>
            <w:tcBorders/>
            <w:tcW w:w="1758" w:type="dxa"/>
            <w:vAlign w:val="center"/>
            <w:textDirection w:val="lrTb"/>
            <w:noWrap w:val="false"/>
          </w:tcPr>
          <w:p w14:paraId="25CDBBC7">
            <w:pPr>
              <w:pBdr/>
              <w:spacing/>
              <w:ind/>
              <w:jc w:val="center"/>
              <w:rPr>
                <w:color w:val="000000" w:themeColor="text1"/>
              </w:rPr>
            </w:pPr>
            <w:r>
              <w:rPr>
                <w:color w:val="000000" w:themeColor="text1"/>
              </w:rPr>
              <w:t xml:space="preserve">80%</w:t>
            </w:r>
            <w:r>
              <w:rPr>
                <w:color w:val="000000" w:themeColor="text1"/>
              </w:rPr>
            </w:r>
            <w:r>
              <w:rPr>
                <w:color w:val="000000" w:themeColor="text1"/>
              </w:rPr>
            </w:r>
          </w:p>
        </w:tc>
        <w:tc>
          <w:tcPr>
            <w:shd w:val="clear" w:color="000000" w:fill="ffffff"/>
            <w:tcBorders/>
            <w:tcW w:w="1758" w:type="dxa"/>
            <w:vAlign w:val="center"/>
            <w:vMerge w:val="restart"/>
            <w:textDirection w:val="lrTb"/>
            <w:noWrap w:val="false"/>
          </w:tcPr>
          <w:p w14:paraId="1C67E8F0">
            <w:pPr>
              <w:pBdr/>
              <w:spacing w:after="40" w:before="40" w:line="288" w:lineRule="auto"/>
              <w:ind/>
              <w:jc w:val="center"/>
              <w:rPr>
                <w:color w:val="000000" w:themeColor="text1"/>
              </w:rPr>
            </w:pPr>
            <w:r>
              <w:rPr>
                <w:color w:val="000000" w:themeColor="text1"/>
              </w:rPr>
              <w:t xml:space="preserve">541.207.632</w:t>
            </w:r>
            <w:r>
              <w:rPr>
                <w:color w:val="000000" w:themeColor="text1"/>
              </w:rPr>
            </w:r>
            <w:r>
              <w:rPr>
                <w:color w:val="000000" w:themeColor="text1"/>
              </w:rPr>
            </w:r>
          </w:p>
        </w:tc>
      </w:tr>
      <w:tr>
        <w:trPr>
          <w:trHeight w:val="20"/>
        </w:trPr>
        <w:tc>
          <w:tcPr>
            <w:gridSpan w:val="5"/>
            <w:tcBorders/>
            <w:tcW w:w="6008" w:type="dxa"/>
            <w:vAlign w:val="center"/>
            <w:textDirection w:val="lrTb"/>
            <w:noWrap/>
          </w:tcPr>
          <w:p w14:paraId="4E15A410">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758" w:type="dxa"/>
            <w:vAlign w:val="center"/>
            <w:textDirection w:val="lrTb"/>
            <w:noWrap/>
          </w:tcPr>
          <w:p w14:paraId="62AE70FF">
            <w:pPr>
              <w:pBdr/>
              <w:spacing/>
              <w:ind/>
              <w:rPr/>
            </w:pPr>
            <w:r/>
            <w:r/>
          </w:p>
        </w:tc>
        <w:tc>
          <w:tcPr>
            <w:tcBorders/>
            <w:tcW w:w="1758" w:type="dxa"/>
            <w:vAlign w:val="center"/>
            <w:textDirection w:val="lrTb"/>
            <w:noWrap/>
          </w:tcPr>
          <w:p w14:paraId="2D958B48">
            <w:pPr>
              <w:pBdr/>
              <w:spacing w:after="0" w:before="0" w:line="240" w:lineRule="auto"/>
              <w:ind/>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  2.136.207.632 </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gridSpan w:val="5"/>
            <w:tcBorders/>
            <w:tcW w:w="6008" w:type="dxa"/>
            <w:vAlign w:val="center"/>
            <w:textDirection w:val="lrTb"/>
            <w:noWrap/>
          </w:tcPr>
          <w:p w14:paraId="62D75089">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758" w:type="dxa"/>
            <w:vAlign w:val="center"/>
            <w:textDirection w:val="lrTb"/>
            <w:noWrap/>
          </w:tcPr>
          <w:p w14:paraId="71E268DC">
            <w:pPr>
              <w:pBdr/>
              <w:spacing/>
              <w:ind/>
              <w:rPr>
                <w:b/>
                <w:bCs/>
                <w:color w:val="000000"/>
              </w:rPr>
            </w:pPr>
            <w:r>
              <w:rPr>
                <w:b/>
                <w:bCs/>
                <w:color w:val="000000"/>
              </w:rPr>
            </w:r>
            <w:r>
              <w:rPr>
                <w:b/>
                <w:bCs/>
                <w:color w:val="000000"/>
              </w:rPr>
            </w:r>
            <w:r>
              <w:rPr>
                <w:b/>
                <w:bCs/>
                <w:color w:val="000000"/>
              </w:rPr>
            </w:r>
          </w:p>
        </w:tc>
        <w:tc>
          <w:tcPr>
            <w:tcBorders/>
            <w:tcW w:w="1758" w:type="dxa"/>
            <w:vAlign w:val="center"/>
            <w:textDirection w:val="lrTb"/>
            <w:noWrap/>
          </w:tcPr>
          <w:p w14:paraId="4E9AC02C">
            <w:pPr>
              <w:pBdr/>
              <w:spacing w:after="40" w:before="40" w:line="288" w:lineRule="auto"/>
              <w:ind/>
              <w:jc w:val="center"/>
              <w:rPr>
                <w:b/>
                <w:bCs/>
                <w:color w:val="000000"/>
              </w:rPr>
            </w:pPr>
            <w:r>
              <w:rPr>
                <w:b/>
                <w:bCs/>
                <w:color w:val="000000"/>
              </w:rPr>
              <w:t xml:space="preserve">2.136.000.000</w:t>
            </w:r>
            <w:r>
              <w:rPr>
                <w:b/>
                <w:bCs/>
                <w:color w:val="000000"/>
              </w:rPr>
            </w:r>
            <w:r>
              <w:rPr>
                <w:b/>
                <w:bCs/>
                <w:color w:val="000000"/>
              </w:rPr>
            </w:r>
          </w:p>
        </w:tc>
      </w:tr>
      <w:tr>
        <w:trPr>
          <w:trHeight w:val="20"/>
        </w:trPr>
        <w:tc>
          <w:tcPr>
            <w:gridSpan w:val="7"/>
            <w:tcBorders/>
            <w:tcW w:w="9525" w:type="dxa"/>
            <w:vAlign w:val="center"/>
            <w:textDirection w:val="lrTb"/>
            <w:noWrap w:val="false"/>
          </w:tcPr>
          <w:p w14:paraId="33520A66">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một trăm ba mươi sáu triệu</w:t>
            </w:r>
            <w:r>
              <w:rPr>
                <w:b/>
                <w:bCs/>
                <w:i/>
                <w:iCs/>
                <w:color w:val="000000"/>
              </w:rPr>
              <w:t xml:space="preserve">./.)</w:t>
            </w:r>
            <w:r>
              <w:rPr>
                <w:b/>
                <w:bCs/>
                <w:i/>
                <w:iCs/>
                <w:color w:val="000000"/>
              </w:rPr>
            </w:r>
            <w:r>
              <w:rPr>
                <w:b/>
                <w:bCs/>
                <w:i/>
                <w:iCs/>
                <w:color w:val="000000"/>
              </w:rPr>
            </w:r>
          </w:p>
        </w:tc>
      </w:tr>
    </w:tbl>
    <w:p w14:paraId="187E2E91" w14:textId="56B58432">
      <w:pPr>
        <w:pStyle w:val="105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5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5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5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5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5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5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5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5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5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5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5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5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5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5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5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5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5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5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5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445585E7">
      <w:pPr>
        <w:pBdr/>
        <w:spacing/>
        <w:ind w:right="0" w:firstLine="0" w:left="360"/>
        <w:jc w:val="both"/>
        <w:rPr>
          <w:color w:val="000000"/>
          <w:sz w:val="24"/>
          <w:szCs w:val="24"/>
          <w:highlight w:val="white"/>
        </w:rPr>
      </w:pPr>
      <w:r>
        <w:rPr>
          <w:rFonts w:ascii="Times New Roman" w:hAnsi="Times New Roman" w:eastAsia="Times New Roman" w:cs="Times New Roman"/>
          <w:color w:val="000000"/>
          <w:sz w:val="24"/>
          <w:szCs w:val="24"/>
          <w:highlight w:val="white"/>
        </w:rPr>
        <w:t xml:space="preserve">Tại thời điểm khảo sát, tổ thẩm định nhận thấy trên đất có 01 nhà 3 tầng, kết cấu BTCT, tường gạch chịu lực, sàn lát gạch men, ngoại quan còn khá. Công trình được xây dựng vào năm 2015, diện tích sàn 79,7 m2. Hiện công trình đ</w:t>
      </w:r>
      <w:r>
        <w:rPr>
          <w:rFonts w:ascii="Times New Roman" w:hAnsi="Times New Roman" w:eastAsia="Times New Roman" w:cs="Times New Roman"/>
          <w:color w:val="000000"/>
          <w:sz w:val="24"/>
          <w:szCs w:val="24"/>
          <w:highlight w:val="white"/>
        </w:rPr>
        <w:t xml:space="preserve">ã được cải tạo và có hiện trạng khác </w:t>
      </w:r>
      <w:r>
        <w:rPr>
          <w:rFonts w:ascii="Times New Roman" w:hAnsi="Times New Roman" w:eastAsia="Times New Roman" w:cs="Times New Roman"/>
          <w:color w:val="000000"/>
          <w:sz w:val="24"/>
          <w:szCs w:val="24"/>
          <w:highlight w:val="white"/>
        </w:rPr>
        <w:t xml:space="preserve">với công trình được chứng nhận trên GCN số</w:t>
      </w:r>
      <w:r>
        <w:rPr>
          <w:rFonts w:ascii="Times New Roman" w:hAnsi="Times New Roman" w:eastAsia="Times New Roman" w:cs="Times New Roman"/>
          <w:b w:val="0"/>
          <w:bCs w:val="0"/>
          <w:color w:val="000000"/>
          <w:spacing w:val="3"/>
          <w:sz w:val="24"/>
          <w:szCs w:val="24"/>
          <w:highlight w:val="white"/>
        </w:rPr>
        <w:t xml:space="preserve"> </w:t>
      </w:r>
      <w:r>
        <w:rPr>
          <w:b w:val="0"/>
          <w:bCs w:val="0"/>
          <w:color w:val="000000"/>
          <w:sz w:val="24"/>
          <w:szCs w:val="24"/>
          <w:highlight w:val="white"/>
        </w:rPr>
        <w:t xml:space="preserve">CA 487363.</w:t>
      </w:r>
      <w:r>
        <w:rPr>
          <w:color w:val="000000"/>
          <w:sz w:val="24"/>
          <w:szCs w:val="24"/>
          <w:highlight w:val="white"/>
        </w:rPr>
        <w:t xml:space="preserve"> Được sự đồng ý của Ngân hàng/khách hàng, Tổ thẩm định xác định giá trị công trình theo hiện trạng kháo sát thực tế. Kính đề nghị các đơ</w:t>
      </w:r>
      <w:r>
        <w:rPr>
          <w:color w:val="000000"/>
          <w:sz w:val="24"/>
          <w:szCs w:val="24"/>
          <w:highlight w:val="white"/>
        </w:rPr>
        <w:t xml:space="preserve">n vị sử dụng Chứng thư lưu ý.</w:t>
      </w:r>
      <w:r>
        <w:rPr>
          <w:color w:val="000000"/>
          <w:sz w:val="24"/>
          <w:szCs w:val="24"/>
          <w:highlight w:val="white"/>
        </w:rPr>
      </w:r>
      <w:r>
        <w:rPr>
          <w:color w:val="000000"/>
          <w:sz w:val="24"/>
          <w:szCs w:val="24"/>
          <w:highlight w:val="white"/>
        </w:rPr>
      </w:r>
    </w:p>
    <w:p w14:paraId="5F9C87DF" w14:textId="660E13BF">
      <w:pPr>
        <w:pStyle w:val="1051"/>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5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5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5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5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5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7976E0E7">
      <w:pPr>
        <w:pBdr/>
        <w:shd w:val="nil" w:color="auto"/>
        <w:spacing/>
        <w:ind/>
        <w:rPr>
          <w:lang w:val="vi-VN"/>
        </w:rPr>
      </w:pPr>
      <w:r>
        <w:rPr>
          <w:highlight w:val="none"/>
          <w:lang w:val="vi-VN"/>
        </w:rPr>
        <w:br w:type="page" w:clear="all"/>
      </w:r>
      <w:r>
        <w:rPr>
          <w:lang w:val="vi-VN"/>
        </w:rPr>
      </w:r>
      <w:r>
        <w:rPr>
          <w:lang w:val="vi-VN"/>
        </w:rPr>
      </w:r>
    </w:p>
    <w:p w14:paraId="699F9D9D" w14:textId="4418D349">
      <w:pPr>
        <w:pStyle w:val="1051"/>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275/2025/1768/VFI-CT.48.A</w:t>
      </w:r>
      <w:r>
        <w:rPr>
          <w:color w:val="ff0000"/>
          <w:lang w:val="vi-VN"/>
        </w:rPr>
        <w:t xml:space="preserve"> </w:t>
      </w:r>
      <w:r>
        <w:rPr>
          <w:color w:val="000000" w:themeColor="text1"/>
        </w:rPr>
        <w:t xml:space="preserve">ngày 10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275/2025/1768/VFI-BC.48.A</w:t>
      </w:r>
      <w:r>
        <w:rPr>
          <w:i/>
          <w:lang w:val="pt-BR"/>
        </w:rPr>
        <w:t xml:space="preserve"> </w:t>
      </w:r>
      <w:r>
        <w:rPr>
          <w:i/>
          <w:lang w:val="pt-BR"/>
        </w:rPr>
        <w:t xml:space="preserve">10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5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920229" cy="199096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19342" name=""/>
                              <pic:cNvPicPr>
                                <a:picLocks noChangeAspect="1"/>
                              </pic:cNvPicPr>
                              <pic:nvPr/>
                            </pic:nvPicPr>
                            <pic:blipFill rotWithShape="1">
                              <a:blip r:embed="rId20"/>
                              <a:stretch/>
                            </pic:blipFill>
                            <pic:spPr bwMode="auto">
                              <a:xfrm flipH="0" flipV="0">
                                <a:off x="0" y="0"/>
                                <a:ext cx="920229" cy="19909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72.46pt;height:156.77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513177" cy="201757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08805" name=""/>
                              <pic:cNvPicPr>
                                <a:picLocks noChangeAspect="1"/>
                              </pic:cNvPicPr>
                              <pic:nvPr/>
                            </pic:nvPicPr>
                            <pic:blipFill rotWithShape="1">
                              <a:blip r:embed="rId21"/>
                              <a:stretch/>
                            </pic:blipFill>
                            <pic:spPr bwMode="auto">
                              <a:xfrm flipH="0" flipV="0">
                                <a:off x="0" y="0"/>
                                <a:ext cx="1513177" cy="20175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19.15pt;height:158.86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770067" cy="236008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92973" name=""/>
                              <pic:cNvPicPr>
                                <a:picLocks noChangeAspect="1"/>
                              </pic:cNvPicPr>
                              <pic:nvPr/>
                            </pic:nvPicPr>
                            <pic:blipFill rotWithShape="1">
                              <a:blip r:embed="rId22"/>
                              <a:stretch/>
                            </pic:blipFill>
                            <pic:spPr bwMode="auto">
                              <a:xfrm flipH="0" flipV="0">
                                <a:off x="0" y="0"/>
                                <a:ext cx="1770066" cy="23600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39.38pt;height:185.8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843344" cy="245779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0809" name=""/>
                              <pic:cNvPicPr>
                                <a:picLocks noChangeAspect="1"/>
                              </pic:cNvPicPr>
                              <pic:nvPr/>
                            </pic:nvPicPr>
                            <pic:blipFill rotWithShape="1">
                              <a:blip r:embed="rId23"/>
                              <a:stretch/>
                            </pic:blipFill>
                            <pic:spPr bwMode="auto">
                              <a:xfrm flipH="0" flipV="0">
                                <a:off x="0" y="0"/>
                                <a:ext cx="1843343" cy="24577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5.15pt;height:193.5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549378" cy="206583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4843" name=""/>
                              <pic:cNvPicPr>
                                <a:picLocks noChangeAspect="1"/>
                              </pic:cNvPicPr>
                              <pic:nvPr/>
                            </pic:nvPicPr>
                            <pic:blipFill rotWithShape="1">
                              <a:blip r:embed="rId24"/>
                              <a:stretch/>
                            </pic:blipFill>
                            <pic:spPr bwMode="auto">
                              <a:xfrm flipH="0" flipV="0">
                                <a:off x="0" y="0"/>
                                <a:ext cx="1549378" cy="20658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22.00pt;height:162.66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275/2025/1768/VFI-BC.48.A</w:t>
      </w:r>
      <w:r>
        <w:rPr>
          <w:i/>
          <w:lang w:val="pt-BR"/>
        </w:rPr>
        <w:t xml:space="preserve"> </w:t>
      </w:r>
      <w:r>
        <w:rPr>
          <w:i/>
          <w:lang w:val="pt-BR"/>
        </w:rPr>
        <w:t xml:space="preserve">10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https://www.facebook.com/share/p/16eq8ZKmrx/</w:t>
            </w:r>
            <w:r>
              <w:rPr>
                <w:color w:val="000000" w:themeColor="text1"/>
                <w:sz w:val="22"/>
                <w:szCs w:val="22"/>
              </w:rPr>
              <w:br/>
              <w:t xml:space="preserve">0703 444433</w:t>
            </w:r>
            <w:r>
              <w:rPr>
                <w:sz w:val="22"/>
                <w:szCs w:val="22"/>
              </w:rPr>
              <w:t xml:space="preserve"> </w:t>
            </w:r>
            <w:r>
              <w:rPr>
                <w:sz w:val="22"/>
                <w:szCs w:val="22"/>
              </w:rPr>
              <w:br/>
              <w:t xml:space="preserve">(Hoatomy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6.500.000.000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5.980.000.000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(80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r>
            <w:r>
              <w:rPr>
                <w:rFonts w:ascii="Times New Roman" w:hAnsi="Times New Roman" w:eastAsia="Times New Roman" w:cs="Times New Roman"/>
                <w:color w:val="000000" w:themeColor="text1"/>
                <w:sz w:val="22"/>
                <w:szCs w:val="22"/>
              </w:rPr>
              <w:t xml:space="preserve">Tài sản cách đường Bắc Đẩu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80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9.82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3444"/>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1188A40"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88347" cy="1621207"/>
                      <wp:effectExtent l="0" t="0" r="0" b="0"/>
                      <wp:docPr id="11" name=""/>
                      <wp:cNvGraphicFramePr/>
                      <a:graphic xmlns:a="http://schemas.openxmlformats.org/drawingml/2006/main">
                        <a:graphicData uri="http://schemas.openxmlformats.org/drawingml/2006/picture">
                          <pic:pic xmlns:pic="http://schemas.openxmlformats.org/drawingml/2006/picture">
                            <pic:nvPicPr>
                              <pic:cNvPr id="963959738" name="" descr=""/>
                              <pic:cNvPicPr/>
                              <pic:nvPr/>
                            </pic:nvPicPr>
                            <pic:blipFill rotWithShape="1">
                              <a:blip r:embed="rId25"/>
                              <a:stretch/>
                            </pic:blipFill>
                            <pic:spPr bwMode="auto">
                              <a:xfrm flipH="0" flipV="0">
                                <a:off x="0" y="0"/>
                                <a:ext cx="2888346" cy="162120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7.43pt;height:127.65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74539" cy="2100354"/>
                      <wp:effectExtent l="0" t="0" r="0" b="0"/>
                      <wp:docPr id="12" name=""/>
                      <wp:cNvGraphicFramePr/>
                      <a:graphic xmlns:a="http://schemas.openxmlformats.org/drawingml/2006/main">
                        <a:graphicData uri="http://schemas.openxmlformats.org/drawingml/2006/picture">
                          <pic:pic xmlns:pic="http://schemas.openxmlformats.org/drawingml/2006/picture">
                            <pic:nvPicPr>
                              <pic:cNvPr id="207655938" name="" descr=""/>
                              <pic:cNvPicPr/>
                              <pic:nvPr/>
                            </pic:nvPicPr>
                            <pic:blipFill rotWithShape="1">
                              <a:blip r:embed="rId26"/>
                              <a:stretch/>
                            </pic:blipFill>
                            <pic:spPr bwMode="auto">
                              <a:xfrm flipH="0" flipV="0">
                                <a:off x="0" y="0"/>
                                <a:ext cx="1774539" cy="210035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39.73pt;height:165.38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Phạm Thị Dung</w:t>
            </w:r>
            <w:r/>
          </w:p>
        </w:tc>
      </w:tr>
    </w:tbl>
    <w:p w14:paraId="743A8038">
      <w:pPr>
        <w:pBdr/>
        <w:shd w:val="nil" w:color="auto"/>
        <w:spacing/>
        <w:ind/>
        <w:rPr>
          <w:lang w:val="pt-BR"/>
        </w:rPr>
      </w:pPr>
      <w:r>
        <w:rPr>
          <w:b/>
          <w:bCs/>
          <w:iCs/>
          <w:highlight w:val="none"/>
          <w:lang w:val="pt-BR"/>
        </w:rPr>
        <w:br w:type="page" w:clear="all"/>
      </w:r>
      <w:r>
        <w:rPr>
          <w:lang w:val="pt-BR"/>
        </w:rPr>
      </w:r>
      <w:r>
        <w:rPr>
          <w:lang w:val="pt-BR"/>
        </w:rPr>
      </w:r>
    </w:p>
    <w:p w14:paraId="3123A226" w14:textId="73AF49F0">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W w:w="9454" w:type="dxa"/>
        <w:tblBorders/>
        <w:tblLayout w:type="fixed"/>
        <w:tblLook w:val="04A0" w:firstRow="1" w:lastRow="0" w:firstColumn="1" w:lastColumn="0" w:noHBand="0" w:noVBand="1"/>
      </w:tblPr>
      <w:tblGrid>
        <w:gridCol w:w="621"/>
        <w:gridCol w:w="4416"/>
        <w:gridCol w:w="4417"/>
      </w:tblGrid>
      <w:tr>
        <w:trPr>
          <w:trHeight w:val="287"/>
        </w:trPr>
        <w:tc>
          <w:tcPr>
            <w:shd w:val="clear" w:color="auto" w:fill="auto"/>
            <w:tcBorders>
              <w:top w:val="single" w:color="auto" w:sz="4" w:space="0"/>
              <w:left w:val="single" w:color="auto" w:sz="4" w:space="0"/>
              <w:bottom w:val="single" w:color="auto" w:sz="4" w:space="0"/>
              <w:right w:val="single" w:color="auto" w:sz="4" w:space="0"/>
            </w:tcBorders>
            <w:tcW w:w="621"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16"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17"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860"/>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0905788781</w:t>
            </w:r>
            <w:r>
              <w:rPr>
                <w:sz w:val="22"/>
                <w:szCs w:val="22"/>
              </w:rPr>
              <w:t xml:space="preserve"> </w:t>
            </w:r>
            <w:r>
              <w:rPr>
                <w:sz w:val="22"/>
                <w:szCs w:val="22"/>
              </w:rPr>
              <w:br/>
              <w:t xml:space="preserve">(Trần Văn Hồng</w:t>
            </w:r>
            <w:r>
              <w:rPr>
                <w:sz w:val="22"/>
                <w:szCs w:val="22"/>
              </w:rPr>
              <w:t xml:space="preserve">)</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3.650.000.000</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3.285.000.000</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573"/>
        </w:trPr>
        <w:tc>
          <w:tcPr>
            <w:shd w:val="clear" w:color="000000" w:fill="ffffff"/>
            <w:tcBorders>
              <w:top w:val="none" w:color="000000" w:sz="4" w:space="0"/>
              <w:left w:val="single" w:color="auto" w:sz="4" w:space="0"/>
              <w:bottom w:val="single" w:color="auto" w:sz="4" w:space="0"/>
              <w:right w:val="single" w:color="auto" w:sz="4" w:space="0"/>
            </w:tcBorders>
            <w:tcW w:w="621"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(56 m²)</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1434"/>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r>
            <w:r>
              <w:rPr>
                <w:rFonts w:ascii="Times New Roman" w:hAnsi="Times New Roman" w:eastAsia="Times New Roman" w:cs="Times New Roman"/>
                <w:color w:val="000000" w:themeColor="text1"/>
                <w:sz w:val="22"/>
                <w:szCs w:val="22"/>
              </w:rPr>
              <w:t xml:space="preserve">Tài sản cách đường Bắc Đẩu khoảng 200m</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56</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87"/>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6"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17"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3149"/>
        </w:trPr>
        <w:tc>
          <w:tcPr>
            <w:shd w:val="clear" w:color="auto" w:fill="auto"/>
            <w:tcBorders>
              <w:top w:val="none" w:color="000000" w:sz="4" w:space="0"/>
              <w:left w:val="single" w:color="auto" w:sz="4" w:space="0"/>
              <w:bottom w:val="single" w:color="auto" w:sz="4" w:space="0"/>
              <w:right w:val="single" w:color="auto" w:sz="4" w:space="0"/>
            </w:tcBorders>
            <w:tcW w:w="621"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833" w:type="dxa"/>
            <w:vAlign w:val="center"/>
            <w:textDirection w:val="lrTb"/>
            <w:noWrap w:val="false"/>
          </w:tcPr>
          <w:p w14:paraId="7633C3A5"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91304" cy="1970256"/>
                      <wp:effectExtent l="0" t="0" r="0" b="0"/>
                      <wp:docPr id="13" name=""/>
                      <wp:cNvGraphicFramePr/>
                      <a:graphic xmlns:a="http://schemas.openxmlformats.org/drawingml/2006/main">
                        <a:graphicData uri="http://schemas.openxmlformats.org/drawingml/2006/picture">
                          <pic:pic xmlns:pic="http://schemas.openxmlformats.org/drawingml/2006/picture">
                            <pic:nvPicPr>
                              <pic:cNvPr id="472431841" name="" descr=""/>
                              <pic:cNvPicPr/>
                              <pic:nvPr/>
                            </pic:nvPicPr>
                            <pic:blipFill rotWithShape="1">
                              <a:blip r:embed="rId27"/>
                              <a:stretch/>
                            </pic:blipFill>
                            <pic:spPr bwMode="auto">
                              <a:xfrm flipH="0" flipV="0">
                                <a:off x="0" y="0"/>
                                <a:ext cx="2791303" cy="197025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9.79pt;height:155.14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549403" cy="1800529"/>
                      <wp:effectExtent l="0" t="0" r="0" b="0"/>
                      <wp:docPr id="14" name=""/>
                      <wp:cNvGraphicFramePr/>
                      <a:graphic xmlns:a="http://schemas.openxmlformats.org/drawingml/2006/main">
                        <a:graphicData uri="http://schemas.openxmlformats.org/drawingml/2006/picture">
                          <pic:pic xmlns:pic="http://schemas.openxmlformats.org/drawingml/2006/picture">
                            <pic:nvPicPr>
                              <pic:cNvPr id="60408260" name="" descr=""/>
                              <pic:cNvPicPr/>
                              <pic:nvPr/>
                            </pic:nvPicPr>
                            <pic:blipFill rotWithShape="1">
                              <a:blip r:embed="rId28"/>
                              <a:stretch/>
                            </pic:blipFill>
                            <pic:spPr bwMode="auto">
                              <a:xfrm flipH="0" flipV="0">
                                <a:off x="0" y="0"/>
                                <a:ext cx="1549403" cy="180052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22.00pt;height:141.77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Phạm Thị Dung</w:t>
            </w:r>
            <w:r/>
          </w:p>
          <w:p w14:paraId="2FFCC431" w14:textId="77777777">
            <w:pPr>
              <w:pBdr/>
              <w:spacing/>
              <w:ind/>
              <w:jc w:val="center"/>
              <w:rPr/>
            </w:pPr>
            <w:r/>
            <w:r/>
          </w:p>
        </w:tc>
      </w:tr>
    </w:tbl>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0918407508</w:t>
            </w:r>
            <w:r>
              <w:rPr>
                <w:sz w:val="22"/>
                <w:szCs w:val="22"/>
              </w:rPr>
              <w:t xml:space="preserve"> </w:t>
            </w:r>
            <w:r>
              <w:rPr>
                <w:sz w:val="22"/>
                <w:szCs w:val="22"/>
              </w:rPr>
              <w:br/>
              <w:t xml:space="preserve">(Lisa Nhiêu</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4.600.000.000</w:t>
            </w:r>
            <w:r>
              <w:rPr>
                <w:sz w:val="22"/>
                <w:szCs w:val="22"/>
              </w:rPr>
            </w:r>
            <w:r>
              <w:rPr>
                <w:sz w:val="22"/>
                <w:szCs w:val="22"/>
              </w:rPr>
            </w:r>
          </w:p>
        </w:tc>
      </w:tr>
      <w:tr>
        <w:trPr>
          <w:trHeight w:val="248"/>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4.140.000.000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(50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C9F06DF">
            <w:pPr>
              <w:pBdr/>
              <w:spacing w:line="276" w:lineRule="auto"/>
              <w:ind/>
              <w:jc w:val="center"/>
              <w:rPr>
                <w:sz w:val="22"/>
                <w:szCs w:val="22"/>
              </w:rPr>
            </w:pPr>
            <w:r>
              <w:rPr>
                <w:color w:val="000000" w:themeColor="text1"/>
                <w:sz w:val="22"/>
                <w:szCs w:val="22"/>
              </w:rPr>
            </w:r>
            <w:r>
              <w:rPr>
                <w:rFonts w:ascii="Times New Roman" w:hAnsi="Times New Roman" w:eastAsia="Times New Roman" w:cs="Times New Roman"/>
                <w:color w:val="000000" w:themeColor="text1"/>
                <w:sz w:val="22"/>
                <w:szCs w:val="22"/>
              </w:rPr>
              <w:t xml:space="preserve">Tài sản cách đường Trần Cao Vân khoảng 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1872AF4F"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494483" cy="1926960"/>
                      <wp:effectExtent l="0" t="0" r="0" b="0"/>
                      <wp:docPr id="15" name=""/>
                      <wp:cNvGraphicFramePr/>
                      <a:graphic xmlns:a="http://schemas.openxmlformats.org/drawingml/2006/main">
                        <a:graphicData uri="http://schemas.openxmlformats.org/drawingml/2006/picture">
                          <pic:pic xmlns:pic="http://schemas.openxmlformats.org/drawingml/2006/picture">
                            <pic:nvPicPr>
                              <pic:cNvPr id="1710668984" name="" descr=""/>
                              <pic:cNvPicPr/>
                              <pic:nvPr/>
                            </pic:nvPicPr>
                            <pic:blipFill rotWithShape="1">
                              <a:blip r:embed="rId29"/>
                              <a:stretch/>
                            </pic:blipFill>
                            <pic:spPr bwMode="auto">
                              <a:xfrm flipH="0" flipV="0">
                                <a:off x="0" y="0"/>
                                <a:ext cx="3494482" cy="192696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75.16pt;height:151.73pt;mso-wrap-distance-left:0.00pt;mso-wrap-distance-top:0.00pt;mso-wrap-distance-right:0.00pt;mso-wrap-distance-bottom:0.00pt;z-index:1;" stroked="false">
                      <v:imagedata r:id="rId29"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1987801" cy="1763423"/>
                      <wp:effectExtent l="0" t="0" r="0" b="0"/>
                      <wp:docPr id="16" name=""/>
                      <wp:cNvGraphicFramePr/>
                      <a:graphic xmlns:a="http://schemas.openxmlformats.org/drawingml/2006/main">
                        <a:graphicData uri="http://schemas.openxmlformats.org/drawingml/2006/picture">
                          <pic:pic xmlns:pic="http://schemas.openxmlformats.org/drawingml/2006/picture">
                            <pic:nvPicPr>
                              <pic:cNvPr id="885450093" name="" descr=""/>
                              <pic:cNvPicPr/>
                              <pic:nvPr/>
                            </pic:nvPicPr>
                            <pic:blipFill rotWithShape="1">
                              <a:blip r:embed="rId30"/>
                              <a:stretch/>
                            </pic:blipFill>
                            <pic:spPr bwMode="auto">
                              <a:xfrm flipH="0" flipV="0">
                                <a:off x="0" y="0"/>
                                <a:ext cx="1987801" cy="176342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56.52pt;height:138.85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27A7EFAC">
            <w:pPr>
              <w:pBdr/>
              <w:spacing/>
              <w:ind/>
              <w:jc w:val="center"/>
              <w:rPr/>
            </w:pPr>
            <w:r>
              <w:rPr>
                <w:highlight w:val="none"/>
              </w:rPr>
            </w:r>
            <w:r>
              <w:rPr>
                <w:highlight w:val="none"/>
              </w:rPr>
            </w:r>
            <w:r/>
          </w:p>
          <w:p w14:paraId="7640785B">
            <w:pPr>
              <w:pBdr/>
              <w:spacing/>
              <w:ind/>
              <w:jc w:val="center"/>
              <w:rPr>
                <w:highlight w:val="none"/>
              </w:rPr>
            </w:pPr>
            <w:r>
              <w:rPr>
                <w:highlight w:val="none"/>
              </w:rPr>
            </w:r>
            <w:r>
              <w:rPr>
                <w:highlight w:val="none"/>
              </w:rPr>
            </w:r>
            <w:r>
              <w:rPr>
                <w:highlight w:val="none"/>
              </w:rPr>
            </w:r>
          </w:p>
          <w:p w14:paraId="090B21B1">
            <w:pPr>
              <w:pBdr/>
              <w:spacing/>
              <w:ind/>
              <w:jc w:val="center"/>
              <w:rPr>
                <w:highlight w:val="none"/>
              </w:rPr>
            </w:pPr>
            <w:r>
              <w:rPr>
                <w:highlight w:val="none"/>
              </w:rPr>
            </w:r>
            <w:r>
              <w:rPr>
                <w:highlight w:val="none"/>
              </w:rPr>
            </w:r>
            <w:r>
              <w:rPr>
                <w:highlight w:val="none"/>
              </w:rPr>
            </w:r>
          </w:p>
          <w:p w14:paraId="56733952">
            <w:pPr>
              <w:pBdr/>
              <w:spacing/>
              <w:ind/>
              <w:jc w:val="center"/>
              <w:rPr>
                <w:highlight w:val="none"/>
              </w:rPr>
            </w:pPr>
            <w:r>
              <w:rPr>
                <w:highlight w:val="none"/>
              </w:rPr>
            </w:r>
            <w:r>
              <w:rPr>
                <w:highlight w:val="none"/>
              </w:rPr>
            </w:r>
            <w:r>
              <w:rPr>
                <w:highlight w:val="none"/>
              </w:rPr>
            </w:r>
          </w:p>
          <w:p w14:paraId="6BA10678" w14:textId="14D82232">
            <w:pPr>
              <w:pBdr/>
              <w:spacing/>
              <w:ind/>
              <w:jc w:val="center"/>
              <w:rPr>
                <w:highlight w:val="none"/>
              </w:rPr>
            </w:pPr>
            <w:r>
              <w:t xml:space="preserve">Phạm Thị Dung</w:t>
            </w:r>
            <w:r>
              <w:rPr>
                <w:highlight w:val="none"/>
              </w:rPr>
            </w:r>
            <w:r>
              <w:rPr>
                <w:highlight w:val="none"/>
              </w:rPr>
            </w:r>
          </w:p>
        </w:tc>
      </w:tr>
    </w:tbl>
    <w:p w14:paraId="22723860">
      <w:pPr>
        <w:pBdr/>
        <w:spacing/>
        <w:ind/>
        <w:rPr/>
      </w:pPr>
      <w:r/>
      <w:r/>
    </w:p>
    <w:p w14:paraId="36A048F4">
      <w:pPr>
        <w:pBdr/>
        <w:spacing/>
        <w:ind/>
        <w:jc w:val="center"/>
        <w:rPr/>
      </w:pPr>
      <w: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4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4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4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4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4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FFF219D"/>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8">
    <w:nsid w:val="5830CFA4"/>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4070CC21"/>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0">
    <w:nsid w:val="7B69126A"/>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1">
    <w:nsid w:val="574723DF"/>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2">
    <w:nsid w:val="407EC5F1"/>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3">
    <w:nsid w:val="1E0307F6"/>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4">
    <w:nsid w:val="5B6E0E2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5">
    <w:nsid w:val="17F9F9BC"/>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6">
    <w:nsid w:val="70B8C30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7">
    <w:nsid w:val="7A45C1AC"/>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8">
    <w:nsid w:val="47503E86"/>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9">
    <w:nsid w:val="7B9569C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3">
    <w:name w:val="Table Grid Light"/>
    <w:basedOn w:val="103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Plain Table 1"/>
    <w:basedOn w:val="103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Plain Table 2"/>
    <w:basedOn w:val="103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Plain Table 3"/>
    <w:basedOn w:val="103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Plain Table 4"/>
    <w:basedOn w:val="103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Plain Table 5"/>
    <w:basedOn w:val="103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w:basedOn w:val="103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1"/>
    <w:basedOn w:val="103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2"/>
    <w:basedOn w:val="103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1 Light - Accent 3"/>
    <w:basedOn w:val="103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 Accent 4"/>
    <w:basedOn w:val="103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5"/>
    <w:basedOn w:val="103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1 Light - Accent 6"/>
    <w:basedOn w:val="103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w:basedOn w:val="103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1"/>
    <w:basedOn w:val="103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2"/>
    <w:basedOn w:val="103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2 - Accent 3"/>
    <w:basedOn w:val="103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 Accent 4"/>
    <w:basedOn w:val="103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5"/>
    <w:basedOn w:val="103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2 - Accent 6"/>
    <w:basedOn w:val="103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w:basedOn w:val="103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1"/>
    <w:basedOn w:val="103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2"/>
    <w:basedOn w:val="103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3 - Accent 3"/>
    <w:basedOn w:val="103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 Accent 4"/>
    <w:basedOn w:val="103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3 - Accent 5"/>
    <w:basedOn w:val="103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3 - Accent 6"/>
    <w:basedOn w:val="103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w:basedOn w:val="103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1"/>
    <w:basedOn w:val="103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2"/>
    <w:basedOn w:val="103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4 - Accent 3"/>
    <w:basedOn w:val="103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 Accent 4"/>
    <w:basedOn w:val="103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4 - Accent 5"/>
    <w:basedOn w:val="103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4 - Accent 6"/>
    <w:basedOn w:val="103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Accent 1"/>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 Accent 2"/>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5 Dark - Accent 3"/>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Accent 4"/>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5 Dark - Accent 5"/>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5 Dark - Accent 6"/>
    <w:basedOn w:val="103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6 Colorful"/>
    <w:basedOn w:val="103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5">
    <w:name w:val="Grid Table 6 Colorful - Accent 1"/>
    <w:basedOn w:val="103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6">
    <w:name w:val="Grid Table 6 Colorful - Accent 2"/>
    <w:basedOn w:val="103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7">
    <w:name w:val="Grid Table 6 Colorful - Accent 3"/>
    <w:basedOn w:val="103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8">
    <w:name w:val="Grid Table 6 Colorful - Accent 4"/>
    <w:basedOn w:val="103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9">
    <w:name w:val="Grid Table 6 Colorful - Accent 5"/>
    <w:basedOn w:val="103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0">
    <w:name w:val="Grid Table 6 Colorful - Accent 6"/>
    <w:basedOn w:val="103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1">
    <w:name w:val="Grid Table 7 Colorful"/>
    <w:basedOn w:val="103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 Accent 1"/>
    <w:basedOn w:val="103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2"/>
    <w:basedOn w:val="103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7 Colorful - Accent 3"/>
    <w:basedOn w:val="103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7 Colorful - Accent 4"/>
    <w:basedOn w:val="103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7 Colorful - Accent 5"/>
    <w:basedOn w:val="103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7 Colorful - Accent 6"/>
    <w:basedOn w:val="103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 Accent 1"/>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2"/>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1 Light - Accent 3"/>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 Accent 4"/>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1 Light - Accent 5"/>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1 Light - Accent 6"/>
    <w:basedOn w:val="103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w:basedOn w:val="103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 Accent 1"/>
    <w:basedOn w:val="103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2"/>
    <w:basedOn w:val="103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2 - Accent 3"/>
    <w:basedOn w:val="103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 Accent 4"/>
    <w:basedOn w:val="103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2 - Accent 5"/>
    <w:basedOn w:val="103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2 - Accent 6"/>
    <w:basedOn w:val="103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w:basedOn w:val="103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 Accent 1"/>
    <w:basedOn w:val="103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2"/>
    <w:basedOn w:val="103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3 - Accent 3"/>
    <w:basedOn w:val="103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 Accent 4"/>
    <w:basedOn w:val="103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3 - Accent 5"/>
    <w:basedOn w:val="103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3 - Accent 6"/>
    <w:basedOn w:val="103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w:basedOn w:val="103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 Accent 1"/>
    <w:basedOn w:val="103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2"/>
    <w:basedOn w:val="103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4 - Accent 3"/>
    <w:basedOn w:val="103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 Accent 4"/>
    <w:basedOn w:val="103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4 - Accent 5"/>
    <w:basedOn w:val="103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4 - Accent 6"/>
    <w:basedOn w:val="103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5 Dark"/>
    <w:basedOn w:val="103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5 Dark - Accent 1"/>
    <w:basedOn w:val="103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2"/>
    <w:basedOn w:val="103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5 Dark - Accent 3"/>
    <w:basedOn w:val="103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0">
    <w:name w:val="List Table 5 Dark - Accent 4"/>
    <w:basedOn w:val="103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5 Dark - Accent 5"/>
    <w:basedOn w:val="103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2">
    <w:name w:val="List Table 5 Dark - Accent 6"/>
    <w:basedOn w:val="103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3">
    <w:name w:val="List Table 6 Colorful"/>
    <w:basedOn w:val="103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 Accent 1"/>
    <w:basedOn w:val="103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2"/>
    <w:basedOn w:val="103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6 Colorful - Accent 3"/>
    <w:basedOn w:val="103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6 Colorful - Accent 4"/>
    <w:basedOn w:val="103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6 Colorful - Accent 5"/>
    <w:basedOn w:val="103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6 Colorful - Accent 6"/>
    <w:basedOn w:val="103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7 Colorful"/>
    <w:basedOn w:val="103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1">
    <w:name w:val="List Table 7 Colorful - Accent 1"/>
    <w:basedOn w:val="103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62">
    <w:name w:val="List Table 7 Colorful - Accent 2"/>
    <w:basedOn w:val="103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63">
    <w:name w:val="List Table 7 Colorful - Accent 3"/>
    <w:basedOn w:val="103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4">
    <w:name w:val="List Table 7 Colorful - Accent 4"/>
    <w:basedOn w:val="103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5">
    <w:name w:val="List Table 7 Colorful - Accent 5"/>
    <w:basedOn w:val="103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6">
    <w:name w:val="List Table 7 Colorful - Accent 6"/>
    <w:basedOn w:val="103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7">
    <w:name w:val="Lined - Accent"/>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ned - Accent 1"/>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2"/>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Lined - Accent 3"/>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ned - Accent 4"/>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ned - Accent 5"/>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ned - Accent 6"/>
    <w:basedOn w:val="103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w:basedOn w:val="103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1"/>
    <w:basedOn w:val="103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2"/>
    <w:basedOn w:val="103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amp; Lined - Accent 3"/>
    <w:basedOn w:val="103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4"/>
    <w:basedOn w:val="103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amp; Lined - Accent 5"/>
    <w:basedOn w:val="103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amp; Lined - Accent 6"/>
    <w:basedOn w:val="103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w:basedOn w:val="103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 Accent 1"/>
    <w:basedOn w:val="103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2"/>
    <w:basedOn w:val="103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 Accent 3"/>
    <w:basedOn w:val="103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 Accent 4"/>
    <w:basedOn w:val="103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 Accent 5"/>
    <w:basedOn w:val="103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Bordered - Accent 6"/>
    <w:basedOn w:val="103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8">
    <w:name w:val="Heading 5"/>
    <w:basedOn w:val="1029"/>
    <w:next w:val="1029"/>
    <w:link w:val="99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9">
    <w:name w:val="Heading 6"/>
    <w:basedOn w:val="1029"/>
    <w:next w:val="1029"/>
    <w:link w:val="99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90">
    <w:name w:val="Heading 7"/>
    <w:basedOn w:val="1029"/>
    <w:next w:val="1029"/>
    <w:link w:val="99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91">
    <w:name w:val="Heading 8"/>
    <w:basedOn w:val="1029"/>
    <w:next w:val="1029"/>
    <w:link w:val="99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92">
    <w:name w:val="Heading 9"/>
    <w:basedOn w:val="1029"/>
    <w:next w:val="1029"/>
    <w:link w:val="99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93">
    <w:name w:val="Heading 5 Char"/>
    <w:basedOn w:val="1034"/>
    <w:link w:val="988"/>
    <w:uiPriority w:val="9"/>
    <w:pPr>
      <w:pBdr/>
      <w:spacing/>
      <w:ind/>
    </w:pPr>
    <w:rPr>
      <w:rFonts w:ascii="Arial" w:hAnsi="Arial" w:eastAsia="Arial" w:cs="Arial"/>
      <w:color w:val="0f4761" w:themeColor="accent1" w:themeShade="BF"/>
    </w:rPr>
  </w:style>
  <w:style w:type="character" w:styleId="994">
    <w:name w:val="Heading 6 Char"/>
    <w:basedOn w:val="1034"/>
    <w:link w:val="989"/>
    <w:uiPriority w:val="9"/>
    <w:pPr>
      <w:pBdr/>
      <w:spacing/>
      <w:ind/>
    </w:pPr>
    <w:rPr>
      <w:rFonts w:ascii="Arial" w:hAnsi="Arial" w:eastAsia="Arial" w:cs="Arial"/>
      <w:i/>
      <w:iCs/>
      <w:color w:val="595959" w:themeColor="text1" w:themeTint="A6"/>
    </w:rPr>
  </w:style>
  <w:style w:type="character" w:styleId="995">
    <w:name w:val="Heading 7 Char"/>
    <w:basedOn w:val="1034"/>
    <w:link w:val="990"/>
    <w:uiPriority w:val="9"/>
    <w:pPr>
      <w:pBdr/>
      <w:spacing/>
      <w:ind/>
    </w:pPr>
    <w:rPr>
      <w:rFonts w:ascii="Arial" w:hAnsi="Arial" w:eastAsia="Arial" w:cs="Arial"/>
      <w:color w:val="595959" w:themeColor="text1" w:themeTint="A6"/>
    </w:rPr>
  </w:style>
  <w:style w:type="character" w:styleId="996">
    <w:name w:val="Heading 8 Char"/>
    <w:basedOn w:val="1034"/>
    <w:link w:val="991"/>
    <w:uiPriority w:val="9"/>
    <w:pPr>
      <w:pBdr/>
      <w:spacing/>
      <w:ind/>
    </w:pPr>
    <w:rPr>
      <w:rFonts w:ascii="Arial" w:hAnsi="Arial" w:eastAsia="Arial" w:cs="Arial"/>
      <w:i/>
      <w:iCs/>
      <w:color w:val="272727" w:themeColor="text1" w:themeTint="D8"/>
    </w:rPr>
  </w:style>
  <w:style w:type="character" w:styleId="997">
    <w:name w:val="Heading 9 Char"/>
    <w:basedOn w:val="1034"/>
    <w:link w:val="992"/>
    <w:uiPriority w:val="9"/>
    <w:pPr>
      <w:pBdr/>
      <w:spacing/>
      <w:ind/>
    </w:pPr>
    <w:rPr>
      <w:rFonts w:ascii="Arial" w:hAnsi="Arial" w:eastAsia="Arial" w:cs="Arial"/>
      <w:i/>
      <w:iCs/>
      <w:color w:val="272727" w:themeColor="text1" w:themeTint="D8"/>
    </w:rPr>
  </w:style>
  <w:style w:type="paragraph" w:styleId="998">
    <w:name w:val="Subtitle"/>
    <w:basedOn w:val="1029"/>
    <w:next w:val="1029"/>
    <w:link w:val="999"/>
    <w:uiPriority w:val="11"/>
    <w:qFormat/>
    <w:pPr>
      <w:numPr>
        <w:ilvl w:val="1"/>
      </w:numPr>
      <w:pBdr/>
      <w:spacing/>
      <w:ind/>
    </w:pPr>
    <w:rPr>
      <w:color w:val="595959" w:themeColor="text1" w:themeTint="A6"/>
      <w:spacing w:val="15"/>
      <w:sz w:val="28"/>
      <w:szCs w:val="28"/>
    </w:rPr>
  </w:style>
  <w:style w:type="character" w:styleId="999">
    <w:name w:val="Subtitle Char"/>
    <w:basedOn w:val="1034"/>
    <w:link w:val="998"/>
    <w:uiPriority w:val="11"/>
    <w:pPr>
      <w:pBdr/>
      <w:spacing/>
      <w:ind/>
    </w:pPr>
    <w:rPr>
      <w:color w:val="595959" w:themeColor="text1" w:themeTint="A6"/>
      <w:spacing w:val="15"/>
      <w:sz w:val="28"/>
      <w:szCs w:val="28"/>
    </w:rPr>
  </w:style>
  <w:style w:type="paragraph" w:styleId="1000">
    <w:name w:val="Quote"/>
    <w:basedOn w:val="1029"/>
    <w:next w:val="1029"/>
    <w:link w:val="1001"/>
    <w:uiPriority w:val="29"/>
    <w:qFormat/>
    <w:pPr>
      <w:pBdr/>
      <w:spacing w:before="160"/>
      <w:ind/>
      <w:jc w:val="center"/>
    </w:pPr>
    <w:rPr>
      <w:i/>
      <w:iCs/>
      <w:color w:val="404040" w:themeColor="text1" w:themeTint="BF"/>
    </w:rPr>
  </w:style>
  <w:style w:type="character" w:styleId="1001">
    <w:name w:val="Quote Char"/>
    <w:basedOn w:val="1034"/>
    <w:link w:val="1000"/>
    <w:uiPriority w:val="29"/>
    <w:pPr>
      <w:pBdr/>
      <w:spacing/>
      <w:ind/>
    </w:pPr>
    <w:rPr>
      <w:i/>
      <w:iCs/>
      <w:color w:val="404040" w:themeColor="text1" w:themeTint="BF"/>
    </w:rPr>
  </w:style>
  <w:style w:type="character" w:styleId="1002">
    <w:name w:val="Intense Emphasis"/>
    <w:basedOn w:val="1034"/>
    <w:uiPriority w:val="21"/>
    <w:qFormat/>
    <w:pPr>
      <w:pBdr/>
      <w:spacing/>
      <w:ind/>
    </w:pPr>
    <w:rPr>
      <w:i/>
      <w:iCs/>
      <w:color w:val="0f4761" w:themeColor="accent1" w:themeShade="BF"/>
    </w:rPr>
  </w:style>
  <w:style w:type="paragraph" w:styleId="1003">
    <w:name w:val="Intense Quote"/>
    <w:basedOn w:val="1029"/>
    <w:next w:val="1029"/>
    <w:link w:val="100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4">
    <w:name w:val="Intense Quote Char"/>
    <w:basedOn w:val="1034"/>
    <w:link w:val="1003"/>
    <w:uiPriority w:val="30"/>
    <w:pPr>
      <w:pBdr/>
      <w:spacing/>
      <w:ind/>
    </w:pPr>
    <w:rPr>
      <w:i/>
      <w:iCs/>
      <w:color w:val="0f4761" w:themeColor="accent1" w:themeShade="BF"/>
    </w:rPr>
  </w:style>
  <w:style w:type="character" w:styleId="1005">
    <w:name w:val="Intense Reference"/>
    <w:basedOn w:val="1034"/>
    <w:uiPriority w:val="32"/>
    <w:qFormat/>
    <w:pPr>
      <w:pBdr/>
      <w:spacing/>
      <w:ind/>
    </w:pPr>
    <w:rPr>
      <w:b/>
      <w:bCs/>
      <w:smallCaps/>
      <w:color w:val="0f4761" w:themeColor="accent1" w:themeShade="BF"/>
      <w:spacing w:val="5"/>
    </w:rPr>
  </w:style>
  <w:style w:type="paragraph" w:styleId="1006">
    <w:name w:val="No Spacing"/>
    <w:basedOn w:val="1029"/>
    <w:uiPriority w:val="1"/>
    <w:qFormat/>
    <w:pPr>
      <w:pBdr/>
      <w:spacing w:after="0" w:line="240" w:lineRule="auto"/>
      <w:ind/>
    </w:pPr>
  </w:style>
  <w:style w:type="character" w:styleId="1007">
    <w:name w:val="Subtle Emphasis"/>
    <w:basedOn w:val="1034"/>
    <w:uiPriority w:val="19"/>
    <w:qFormat/>
    <w:pPr>
      <w:pBdr/>
      <w:spacing/>
      <w:ind/>
    </w:pPr>
    <w:rPr>
      <w:i/>
      <w:iCs/>
      <w:color w:val="404040" w:themeColor="text1" w:themeTint="BF"/>
    </w:rPr>
  </w:style>
  <w:style w:type="character" w:styleId="1008">
    <w:name w:val="Subtle Reference"/>
    <w:basedOn w:val="1034"/>
    <w:uiPriority w:val="31"/>
    <w:qFormat/>
    <w:pPr>
      <w:pBdr/>
      <w:spacing/>
      <w:ind/>
    </w:pPr>
    <w:rPr>
      <w:smallCaps/>
      <w:color w:val="5a5a5a" w:themeColor="text1" w:themeTint="A5"/>
    </w:rPr>
  </w:style>
  <w:style w:type="character" w:styleId="1009">
    <w:name w:val="Book Title"/>
    <w:basedOn w:val="1034"/>
    <w:uiPriority w:val="33"/>
    <w:qFormat/>
    <w:pPr>
      <w:pBdr/>
      <w:spacing/>
      <w:ind/>
    </w:pPr>
    <w:rPr>
      <w:b/>
      <w:bCs/>
      <w:i/>
      <w:iCs/>
      <w:spacing w:val="5"/>
    </w:rPr>
  </w:style>
  <w:style w:type="paragraph" w:styleId="1010">
    <w:name w:val="Caption"/>
    <w:basedOn w:val="1029"/>
    <w:next w:val="1029"/>
    <w:uiPriority w:val="35"/>
    <w:unhideWhenUsed/>
    <w:qFormat/>
    <w:pPr>
      <w:pBdr/>
      <w:spacing w:after="200" w:line="240" w:lineRule="auto"/>
      <w:ind/>
    </w:pPr>
    <w:rPr>
      <w:i/>
      <w:iCs/>
      <w:color w:val="0e2841" w:themeColor="text2"/>
      <w:sz w:val="18"/>
      <w:szCs w:val="18"/>
    </w:rPr>
  </w:style>
  <w:style w:type="paragraph" w:styleId="1011">
    <w:name w:val="footnote text"/>
    <w:basedOn w:val="1029"/>
    <w:link w:val="1012"/>
    <w:uiPriority w:val="99"/>
    <w:semiHidden/>
    <w:unhideWhenUsed/>
    <w:pPr>
      <w:pBdr/>
      <w:spacing w:after="0" w:line="240" w:lineRule="auto"/>
      <w:ind/>
    </w:pPr>
    <w:rPr>
      <w:sz w:val="20"/>
      <w:szCs w:val="20"/>
    </w:rPr>
  </w:style>
  <w:style w:type="character" w:styleId="1012">
    <w:name w:val="Footnote Text Char"/>
    <w:basedOn w:val="1034"/>
    <w:link w:val="1011"/>
    <w:uiPriority w:val="99"/>
    <w:semiHidden/>
    <w:pPr>
      <w:pBdr/>
      <w:spacing/>
      <w:ind/>
    </w:pPr>
    <w:rPr>
      <w:sz w:val="20"/>
      <w:szCs w:val="20"/>
    </w:rPr>
  </w:style>
  <w:style w:type="character" w:styleId="1013">
    <w:name w:val="footnote reference"/>
    <w:basedOn w:val="1034"/>
    <w:uiPriority w:val="99"/>
    <w:semiHidden/>
    <w:unhideWhenUsed/>
    <w:pPr>
      <w:pBdr/>
      <w:spacing/>
      <w:ind/>
    </w:pPr>
    <w:rPr>
      <w:vertAlign w:val="superscript"/>
    </w:rPr>
  </w:style>
  <w:style w:type="paragraph" w:styleId="1014">
    <w:name w:val="endnote text"/>
    <w:basedOn w:val="1029"/>
    <w:link w:val="1015"/>
    <w:uiPriority w:val="99"/>
    <w:semiHidden/>
    <w:unhideWhenUsed/>
    <w:pPr>
      <w:pBdr/>
      <w:spacing w:after="0" w:line="240" w:lineRule="auto"/>
      <w:ind/>
    </w:pPr>
    <w:rPr>
      <w:sz w:val="20"/>
      <w:szCs w:val="20"/>
    </w:rPr>
  </w:style>
  <w:style w:type="character" w:styleId="1015">
    <w:name w:val="Endnote Text Char"/>
    <w:basedOn w:val="1034"/>
    <w:link w:val="1014"/>
    <w:uiPriority w:val="99"/>
    <w:semiHidden/>
    <w:pPr>
      <w:pBdr/>
      <w:spacing/>
      <w:ind/>
    </w:pPr>
    <w:rPr>
      <w:sz w:val="20"/>
      <w:szCs w:val="20"/>
    </w:rPr>
  </w:style>
  <w:style w:type="character" w:styleId="1016">
    <w:name w:val="endnote reference"/>
    <w:basedOn w:val="1034"/>
    <w:uiPriority w:val="99"/>
    <w:semiHidden/>
    <w:unhideWhenUsed/>
    <w:pPr>
      <w:pBdr/>
      <w:spacing/>
      <w:ind/>
    </w:pPr>
    <w:rPr>
      <w:vertAlign w:val="superscript"/>
    </w:rPr>
  </w:style>
  <w:style w:type="paragraph" w:styleId="1017">
    <w:name w:val="toc 1"/>
    <w:basedOn w:val="1029"/>
    <w:next w:val="1029"/>
    <w:uiPriority w:val="39"/>
    <w:unhideWhenUsed/>
    <w:pPr>
      <w:pBdr/>
      <w:spacing w:after="100"/>
      <w:ind/>
    </w:pPr>
  </w:style>
  <w:style w:type="paragraph" w:styleId="1018">
    <w:name w:val="toc 2"/>
    <w:basedOn w:val="1029"/>
    <w:next w:val="1029"/>
    <w:uiPriority w:val="39"/>
    <w:unhideWhenUsed/>
    <w:pPr>
      <w:pBdr/>
      <w:spacing w:after="100"/>
      <w:ind w:left="220"/>
    </w:pPr>
  </w:style>
  <w:style w:type="paragraph" w:styleId="1019">
    <w:name w:val="toc 3"/>
    <w:basedOn w:val="1029"/>
    <w:next w:val="1029"/>
    <w:uiPriority w:val="39"/>
    <w:unhideWhenUsed/>
    <w:pPr>
      <w:pBdr/>
      <w:spacing w:after="100"/>
      <w:ind w:left="440"/>
    </w:pPr>
  </w:style>
  <w:style w:type="paragraph" w:styleId="1020">
    <w:name w:val="toc 4"/>
    <w:basedOn w:val="1029"/>
    <w:next w:val="1029"/>
    <w:uiPriority w:val="39"/>
    <w:unhideWhenUsed/>
    <w:pPr>
      <w:pBdr/>
      <w:spacing w:after="100"/>
      <w:ind w:left="660"/>
    </w:pPr>
  </w:style>
  <w:style w:type="paragraph" w:styleId="1021">
    <w:name w:val="toc 5"/>
    <w:basedOn w:val="1029"/>
    <w:next w:val="1029"/>
    <w:uiPriority w:val="39"/>
    <w:unhideWhenUsed/>
    <w:pPr>
      <w:pBdr/>
      <w:spacing w:after="100"/>
      <w:ind w:left="880"/>
    </w:pPr>
  </w:style>
  <w:style w:type="paragraph" w:styleId="1022">
    <w:name w:val="toc 6"/>
    <w:basedOn w:val="1029"/>
    <w:next w:val="1029"/>
    <w:uiPriority w:val="39"/>
    <w:unhideWhenUsed/>
    <w:pPr>
      <w:pBdr/>
      <w:spacing w:after="100"/>
      <w:ind w:left="1100"/>
    </w:pPr>
  </w:style>
  <w:style w:type="paragraph" w:styleId="1023">
    <w:name w:val="toc 7"/>
    <w:basedOn w:val="1029"/>
    <w:next w:val="1029"/>
    <w:uiPriority w:val="39"/>
    <w:unhideWhenUsed/>
    <w:pPr>
      <w:pBdr/>
      <w:spacing w:after="100"/>
      <w:ind w:left="1320"/>
    </w:pPr>
  </w:style>
  <w:style w:type="paragraph" w:styleId="1024">
    <w:name w:val="toc 8"/>
    <w:basedOn w:val="1029"/>
    <w:next w:val="1029"/>
    <w:uiPriority w:val="39"/>
    <w:unhideWhenUsed/>
    <w:pPr>
      <w:pBdr/>
      <w:spacing w:after="100"/>
      <w:ind w:left="1540"/>
    </w:pPr>
  </w:style>
  <w:style w:type="paragraph" w:styleId="1025">
    <w:name w:val="toc 9"/>
    <w:basedOn w:val="1029"/>
    <w:next w:val="1029"/>
    <w:uiPriority w:val="39"/>
    <w:unhideWhenUsed/>
    <w:pPr>
      <w:pBdr/>
      <w:spacing w:after="100"/>
      <w:ind w:left="1760"/>
    </w:pPr>
  </w:style>
  <w:style w:type="character" w:styleId="1026">
    <w:name w:val="Placeholder Text"/>
    <w:basedOn w:val="1034"/>
    <w:uiPriority w:val="99"/>
    <w:semiHidden/>
    <w:pPr>
      <w:pBdr/>
      <w:spacing/>
      <w:ind/>
    </w:pPr>
    <w:rPr>
      <w:color w:val="666666"/>
    </w:rPr>
  </w:style>
  <w:style w:type="paragraph" w:styleId="1027">
    <w:name w:val="TOC Heading"/>
    <w:uiPriority w:val="39"/>
    <w:unhideWhenUsed/>
    <w:pPr>
      <w:pBdr/>
      <w:spacing/>
      <w:ind/>
    </w:pPr>
  </w:style>
  <w:style w:type="paragraph" w:styleId="1028">
    <w:name w:val="table of figures"/>
    <w:basedOn w:val="1029"/>
    <w:next w:val="1029"/>
    <w:uiPriority w:val="99"/>
    <w:unhideWhenUsed/>
    <w:pPr>
      <w:pBdr/>
      <w:spacing w:after="0" w:afterAutospacing="0"/>
      <w:ind/>
    </w:pPr>
  </w:style>
  <w:style w:type="paragraph" w:styleId="1029" w:default="1">
    <w:name w:val="Normal"/>
    <w:qFormat/>
    <w:pPr>
      <w:pBdr/>
      <w:spacing w:after="0" w:line="240" w:lineRule="auto"/>
      <w:ind/>
    </w:pPr>
    <w:rPr>
      <w:rFonts w:ascii="Times New Roman" w:hAnsi="Times New Roman" w:eastAsia="Times New Roman" w:cs="Times New Roman"/>
      <w:sz w:val="24"/>
      <w:szCs w:val="24"/>
    </w:rPr>
  </w:style>
  <w:style w:type="paragraph" w:styleId="1030">
    <w:name w:val="Heading 1"/>
    <w:basedOn w:val="1029"/>
    <w:next w:val="1029"/>
    <w:link w:val="1037"/>
    <w:qFormat/>
    <w:pPr>
      <w:keepNext w:val="true"/>
      <w:pBdr/>
      <w:spacing w:after="120" w:before="120"/>
      <w:ind/>
      <w:jc w:val="center"/>
      <w:outlineLvl w:val="0"/>
    </w:pPr>
    <w:rPr>
      <w:b/>
      <w:bCs/>
      <w:sz w:val="27"/>
      <w:szCs w:val="27"/>
    </w:rPr>
  </w:style>
  <w:style w:type="paragraph" w:styleId="1031">
    <w:name w:val="Heading 2"/>
    <w:basedOn w:val="1029"/>
    <w:next w:val="1029"/>
    <w:link w:val="103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32">
    <w:name w:val="Heading 3"/>
    <w:basedOn w:val="1029"/>
    <w:next w:val="1029"/>
    <w:link w:val="1039"/>
    <w:qFormat/>
    <w:pPr>
      <w:keepNext w:val="true"/>
      <w:pBdr/>
      <w:spacing w:before="60"/>
      <w:ind/>
      <w:outlineLvl w:val="2"/>
    </w:pPr>
    <w:rPr>
      <w:sz w:val="28"/>
      <w:szCs w:val="28"/>
    </w:rPr>
  </w:style>
  <w:style w:type="paragraph" w:styleId="1033">
    <w:name w:val="Heading 4"/>
    <w:basedOn w:val="1029"/>
    <w:next w:val="1029"/>
    <w:link w:val="1040"/>
    <w:qFormat/>
    <w:pPr>
      <w:keepNext w:val="true"/>
      <w:pBdr/>
      <w:spacing/>
      <w:ind/>
      <w:jc w:val="center"/>
      <w:outlineLvl w:val="3"/>
    </w:pPr>
    <w:rPr>
      <w:b/>
      <w:bCs/>
    </w:rPr>
  </w:style>
  <w:style w:type="character" w:styleId="1034" w:default="1">
    <w:name w:val="Default Paragraph Font"/>
    <w:uiPriority w:val="1"/>
    <w:semiHidden/>
    <w:unhideWhenUsed/>
    <w:pPr>
      <w:pBdr/>
      <w:spacing/>
      <w:ind/>
    </w:pPr>
  </w:style>
  <w:style w:type="table" w:styleId="103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6" w:default="1">
    <w:name w:val="No List"/>
    <w:uiPriority w:val="99"/>
    <w:semiHidden/>
    <w:unhideWhenUsed/>
    <w:pPr>
      <w:pBdr/>
      <w:spacing/>
      <w:ind/>
    </w:pPr>
  </w:style>
  <w:style w:type="character" w:styleId="1037" w:customStyle="1">
    <w:name w:val="Heading 1 Char"/>
    <w:basedOn w:val="1034"/>
    <w:link w:val="1030"/>
    <w:pPr>
      <w:pBdr/>
      <w:spacing/>
      <w:ind/>
    </w:pPr>
    <w:rPr>
      <w:rFonts w:ascii="Times New Roman" w:hAnsi="Times New Roman" w:eastAsia="Times New Roman" w:cs="Times New Roman"/>
      <w:b/>
      <w:bCs/>
      <w:sz w:val="27"/>
      <w:szCs w:val="27"/>
    </w:rPr>
  </w:style>
  <w:style w:type="character" w:styleId="1038" w:customStyle="1">
    <w:name w:val="Heading 2 Char"/>
    <w:basedOn w:val="1034"/>
    <w:link w:val="1031"/>
    <w:uiPriority w:val="9"/>
    <w:pPr>
      <w:pBdr/>
      <w:spacing/>
      <w:ind/>
    </w:pPr>
    <w:rPr>
      <w:rFonts w:asciiTheme="majorHAnsi" w:hAnsiTheme="majorHAnsi" w:eastAsiaTheme="majorEastAsia" w:cstheme="majorBidi"/>
      <w:color w:val="365f91" w:themeColor="accent1" w:themeShade="BF"/>
      <w:sz w:val="26"/>
      <w:szCs w:val="26"/>
    </w:rPr>
  </w:style>
  <w:style w:type="character" w:styleId="1039" w:customStyle="1">
    <w:name w:val="Heading 3 Char"/>
    <w:basedOn w:val="1034"/>
    <w:link w:val="1032"/>
    <w:pPr>
      <w:pBdr/>
      <w:spacing/>
      <w:ind/>
    </w:pPr>
    <w:rPr>
      <w:rFonts w:ascii="Times New Roman" w:hAnsi="Times New Roman" w:eastAsia="Times New Roman" w:cs="Times New Roman"/>
      <w:sz w:val="28"/>
      <w:szCs w:val="28"/>
    </w:rPr>
  </w:style>
  <w:style w:type="character" w:styleId="1040" w:customStyle="1">
    <w:name w:val="Heading 4 Char"/>
    <w:basedOn w:val="1034"/>
    <w:link w:val="1033"/>
    <w:pPr>
      <w:pBdr/>
      <w:spacing/>
      <w:ind/>
    </w:pPr>
    <w:rPr>
      <w:rFonts w:ascii="Times New Roman" w:hAnsi="Times New Roman" w:eastAsia="Times New Roman" w:cs="Times New Roman"/>
      <w:b/>
      <w:bCs/>
      <w:sz w:val="24"/>
      <w:szCs w:val="24"/>
    </w:rPr>
  </w:style>
  <w:style w:type="character" w:styleId="1041">
    <w:name w:val="Hyperlink"/>
    <w:uiPriority w:val="99"/>
    <w:pPr>
      <w:pBdr/>
      <w:spacing/>
      <w:ind/>
    </w:pPr>
    <w:rPr>
      <w:color w:val="000000"/>
      <w:u w:val="single"/>
    </w:rPr>
  </w:style>
  <w:style w:type="character" w:styleId="1042">
    <w:name w:val="Strong"/>
    <w:uiPriority w:val="22"/>
    <w:qFormat/>
    <w:pPr>
      <w:pBdr/>
      <w:spacing/>
      <w:ind/>
    </w:pPr>
    <w:rPr>
      <w:b/>
      <w:bCs/>
    </w:rPr>
  </w:style>
  <w:style w:type="paragraph" w:styleId="1043">
    <w:name w:val="Balloon Text"/>
    <w:basedOn w:val="1029"/>
    <w:link w:val="1044"/>
    <w:uiPriority w:val="99"/>
    <w:semiHidden/>
    <w:unhideWhenUsed/>
    <w:pPr>
      <w:pBdr/>
      <w:spacing/>
      <w:ind/>
    </w:pPr>
    <w:rPr>
      <w:rFonts w:ascii="Tahoma" w:hAnsi="Tahoma" w:cs="Tahoma"/>
      <w:sz w:val="16"/>
      <w:szCs w:val="16"/>
    </w:rPr>
  </w:style>
  <w:style w:type="character" w:styleId="1044" w:customStyle="1">
    <w:name w:val="Balloon Text Char"/>
    <w:basedOn w:val="1034"/>
    <w:link w:val="1043"/>
    <w:uiPriority w:val="99"/>
    <w:semiHidden/>
    <w:pPr>
      <w:pBdr/>
      <w:spacing/>
      <w:ind/>
    </w:pPr>
    <w:rPr>
      <w:rFonts w:ascii="Tahoma" w:hAnsi="Tahoma" w:eastAsia="Times New Roman" w:cs="Tahoma"/>
      <w:sz w:val="16"/>
      <w:szCs w:val="16"/>
    </w:rPr>
  </w:style>
  <w:style w:type="paragraph" w:styleId="1045">
    <w:name w:val="Header"/>
    <w:basedOn w:val="1029"/>
    <w:link w:val="1046"/>
    <w:unhideWhenUsed/>
    <w:pPr>
      <w:pBdr/>
      <w:tabs>
        <w:tab w:val="center" w:leader="none" w:pos="4680"/>
        <w:tab w:val="right" w:leader="none" w:pos="9360"/>
      </w:tabs>
      <w:spacing/>
      <w:ind/>
    </w:pPr>
  </w:style>
  <w:style w:type="character" w:styleId="1046" w:customStyle="1">
    <w:name w:val="Header Char"/>
    <w:basedOn w:val="1034"/>
    <w:link w:val="1045"/>
    <w:pPr>
      <w:pBdr/>
      <w:spacing/>
      <w:ind/>
    </w:pPr>
    <w:rPr>
      <w:rFonts w:ascii="Times New Roman" w:hAnsi="Times New Roman" w:eastAsia="Times New Roman" w:cs="Times New Roman"/>
      <w:sz w:val="24"/>
      <w:szCs w:val="24"/>
    </w:rPr>
  </w:style>
  <w:style w:type="paragraph" w:styleId="1047">
    <w:name w:val="Footer"/>
    <w:basedOn w:val="1029"/>
    <w:link w:val="1048"/>
    <w:uiPriority w:val="99"/>
    <w:unhideWhenUsed/>
    <w:pPr>
      <w:pBdr/>
      <w:tabs>
        <w:tab w:val="center" w:leader="none" w:pos="4680"/>
        <w:tab w:val="right" w:leader="none" w:pos="9360"/>
      </w:tabs>
      <w:spacing/>
      <w:ind/>
    </w:pPr>
  </w:style>
  <w:style w:type="character" w:styleId="1048" w:customStyle="1">
    <w:name w:val="Footer Char"/>
    <w:basedOn w:val="1034"/>
    <w:link w:val="1047"/>
    <w:uiPriority w:val="99"/>
    <w:pPr>
      <w:pBdr/>
      <w:spacing/>
      <w:ind/>
    </w:pPr>
    <w:rPr>
      <w:rFonts w:ascii="Times New Roman" w:hAnsi="Times New Roman" w:eastAsia="Times New Roman" w:cs="Times New Roman"/>
      <w:sz w:val="24"/>
      <w:szCs w:val="24"/>
    </w:rPr>
  </w:style>
  <w:style w:type="character" w:styleId="1049" w:customStyle="1">
    <w:name w:val="normal-h1"/>
    <w:pPr>
      <w:pBdr/>
      <w:spacing/>
      <w:ind/>
    </w:pPr>
    <w:rPr>
      <w:rFonts w:hint="default" w:ascii=".VnTime" w:hAnsi=".VnTime"/>
      <w:color w:val="0000ff"/>
      <w:sz w:val="24"/>
      <w:szCs w:val="24"/>
    </w:rPr>
  </w:style>
  <w:style w:type="paragraph" w:styleId="1050" w:customStyle="1">
    <w:name w:val="normal-p"/>
    <w:basedOn w:val="1029"/>
    <w:pPr>
      <w:pBdr/>
      <w:spacing/>
      <w:ind/>
      <w:jc w:val="both"/>
    </w:pPr>
    <w:rPr>
      <w:sz w:val="20"/>
      <w:szCs w:val="20"/>
    </w:rPr>
  </w:style>
  <w:style w:type="paragraph" w:styleId="1051">
    <w:name w:val="List Paragraph"/>
    <w:basedOn w:val="1029"/>
    <w:link w:val="1138"/>
    <w:uiPriority w:val="34"/>
    <w:qFormat/>
    <w:pPr>
      <w:pBdr/>
      <w:spacing/>
      <w:ind w:left="720"/>
    </w:pPr>
  </w:style>
  <w:style w:type="paragraph" w:styleId="1052">
    <w:name w:val="Normal (Web)"/>
    <w:basedOn w:val="1029"/>
    <w:uiPriority w:val="99"/>
    <w:pPr>
      <w:pBdr/>
      <w:spacing w:after="100" w:afterAutospacing="1" w:before="100" w:beforeAutospacing="1"/>
      <w:ind/>
    </w:pPr>
  </w:style>
  <w:style w:type="paragraph" w:styleId="1053">
    <w:name w:val="Body Text"/>
    <w:basedOn w:val="1029"/>
    <w:link w:val="1054"/>
    <w:pPr>
      <w:pBdr/>
      <w:spacing w:after="120"/>
      <w:ind/>
      <w:jc w:val="both"/>
    </w:pPr>
  </w:style>
  <w:style w:type="character" w:styleId="1054" w:customStyle="1">
    <w:name w:val="Body Text Char"/>
    <w:basedOn w:val="1034"/>
    <w:link w:val="1053"/>
    <w:pPr>
      <w:pBdr/>
      <w:spacing/>
      <w:ind/>
    </w:pPr>
    <w:rPr>
      <w:rFonts w:ascii="Times New Roman" w:hAnsi="Times New Roman" w:eastAsia="Times New Roman" w:cs="Times New Roman"/>
      <w:sz w:val="24"/>
      <w:szCs w:val="24"/>
    </w:rPr>
  </w:style>
  <w:style w:type="table" w:styleId="1055">
    <w:name w:val="Table Grid"/>
    <w:basedOn w:val="103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7">
    <w:name w:val="annotation reference"/>
    <w:basedOn w:val="1034"/>
    <w:uiPriority w:val="99"/>
    <w:semiHidden/>
    <w:unhideWhenUsed/>
    <w:pPr>
      <w:pBdr/>
      <w:spacing/>
      <w:ind/>
    </w:pPr>
    <w:rPr>
      <w:sz w:val="16"/>
      <w:szCs w:val="16"/>
    </w:rPr>
  </w:style>
  <w:style w:type="paragraph" w:styleId="1058">
    <w:name w:val="annotation text"/>
    <w:basedOn w:val="1029"/>
    <w:link w:val="1059"/>
    <w:uiPriority w:val="99"/>
    <w:unhideWhenUsed/>
    <w:pPr>
      <w:pBdr/>
      <w:spacing/>
      <w:ind/>
    </w:pPr>
    <w:rPr>
      <w:sz w:val="20"/>
      <w:szCs w:val="20"/>
    </w:rPr>
  </w:style>
  <w:style w:type="character" w:styleId="1059" w:customStyle="1">
    <w:name w:val="Comment Text Char"/>
    <w:basedOn w:val="1034"/>
    <w:link w:val="1058"/>
    <w:uiPriority w:val="99"/>
    <w:pPr>
      <w:pBdr/>
      <w:spacing/>
      <w:ind/>
    </w:pPr>
    <w:rPr>
      <w:rFonts w:ascii="Times New Roman" w:hAnsi="Times New Roman" w:eastAsia="Times New Roman" w:cs="Times New Roman"/>
      <w:sz w:val="20"/>
      <w:szCs w:val="20"/>
    </w:rPr>
  </w:style>
  <w:style w:type="paragraph" w:styleId="1060">
    <w:name w:val="annotation subject"/>
    <w:basedOn w:val="1058"/>
    <w:next w:val="1058"/>
    <w:link w:val="1061"/>
    <w:uiPriority w:val="99"/>
    <w:semiHidden/>
    <w:unhideWhenUsed/>
    <w:pPr>
      <w:pBdr/>
      <w:spacing/>
      <w:ind/>
    </w:pPr>
    <w:rPr>
      <w:b/>
      <w:bCs/>
    </w:rPr>
  </w:style>
  <w:style w:type="character" w:styleId="1061" w:customStyle="1">
    <w:name w:val="Comment Subject Char"/>
    <w:basedOn w:val="1059"/>
    <w:link w:val="1060"/>
    <w:uiPriority w:val="99"/>
    <w:semiHidden/>
    <w:pPr>
      <w:pBdr/>
      <w:spacing/>
      <w:ind/>
    </w:pPr>
    <w:rPr>
      <w:rFonts w:ascii="Times New Roman" w:hAnsi="Times New Roman" w:eastAsia="Times New Roman" w:cs="Times New Roman"/>
      <w:b/>
      <w:bCs/>
      <w:sz w:val="20"/>
      <w:szCs w:val="20"/>
    </w:rPr>
  </w:style>
  <w:style w:type="paragraph" w:styleId="1062" w:customStyle="1">
    <w:name w:val="font5"/>
    <w:basedOn w:val="1029"/>
    <w:pPr>
      <w:pBdr/>
      <w:spacing w:after="100" w:afterAutospacing="1" w:before="100" w:beforeAutospacing="1"/>
      <w:ind/>
    </w:pPr>
    <w:rPr>
      <w:rFonts w:ascii="Tahoma" w:hAnsi="Tahoma" w:cs="Tahoma"/>
      <w:color w:val="000000"/>
      <w:sz w:val="18"/>
      <w:szCs w:val="18"/>
    </w:rPr>
  </w:style>
  <w:style w:type="paragraph" w:styleId="1063" w:customStyle="1">
    <w:name w:val="font6"/>
    <w:basedOn w:val="1029"/>
    <w:pPr>
      <w:pBdr/>
      <w:spacing w:after="100" w:afterAutospacing="1" w:before="100" w:beforeAutospacing="1"/>
      <w:ind/>
    </w:pPr>
    <w:rPr>
      <w:rFonts w:ascii="Tahoma" w:hAnsi="Tahoma" w:cs="Tahoma"/>
      <w:b/>
      <w:bCs/>
      <w:color w:val="000000"/>
      <w:sz w:val="18"/>
      <w:szCs w:val="18"/>
    </w:rPr>
  </w:style>
  <w:style w:type="paragraph" w:styleId="1064" w:customStyle="1">
    <w:name w:val="xl233"/>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34"/>
    <w:basedOn w:val="1029"/>
    <w:pPr>
      <w:pBdr/>
      <w:spacing w:after="100" w:afterAutospacing="1" w:before="100" w:beforeAutospacing="1"/>
      <w:ind/>
      <w:jc w:val="center"/>
    </w:pPr>
  </w:style>
  <w:style w:type="paragraph" w:styleId="1066" w:customStyle="1">
    <w:name w:val="xl235"/>
    <w:basedOn w:val="1029"/>
    <w:pPr>
      <w:pBdr/>
      <w:spacing w:after="100" w:afterAutospacing="1" w:before="100" w:beforeAutospacing="1"/>
      <w:ind/>
      <w:jc w:val="center"/>
    </w:pPr>
    <w:rPr>
      <w:b/>
      <w:bCs/>
    </w:rPr>
  </w:style>
  <w:style w:type="paragraph" w:styleId="1067" w:customStyle="1">
    <w:name w:val="xl236"/>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37"/>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38"/>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0" w:customStyle="1">
    <w:name w:val="xl239"/>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1" w:customStyle="1">
    <w:name w:val="xl240"/>
    <w:basedOn w:val="1029"/>
    <w:pPr>
      <w:pBdr/>
      <w:spacing w:after="100" w:afterAutospacing="1" w:before="100" w:beforeAutospacing="1"/>
      <w:ind/>
    </w:pPr>
  </w:style>
  <w:style w:type="paragraph" w:styleId="1072" w:customStyle="1">
    <w:name w:val="xl241"/>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42"/>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43"/>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44"/>
    <w:basedOn w:val="1029"/>
    <w:pPr>
      <w:pBdr/>
      <w:spacing w:after="100" w:afterAutospacing="1" w:before="100" w:beforeAutospacing="1"/>
      <w:ind/>
    </w:pPr>
    <w:rPr>
      <w:b/>
      <w:bCs/>
    </w:rPr>
  </w:style>
  <w:style w:type="paragraph" w:styleId="1076" w:customStyle="1">
    <w:name w:val="xl245"/>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46"/>
    <w:basedOn w:val="102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8" w:customStyle="1">
    <w:name w:val="xl247"/>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48"/>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49"/>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50"/>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51"/>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52"/>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4" w:customStyle="1">
    <w:name w:val="xl253"/>
    <w:basedOn w:val="102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54"/>
    <w:basedOn w:val="102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55"/>
    <w:basedOn w:val="102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56"/>
    <w:basedOn w:val="102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8" w:customStyle="1">
    <w:name w:val="xl257"/>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58"/>
    <w:basedOn w:val="102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59"/>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1" w:customStyle="1">
    <w:name w:val="xl260"/>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61"/>
    <w:basedOn w:val="102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3" w:customStyle="1">
    <w:name w:val="xl262"/>
    <w:basedOn w:val="102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4" w:customStyle="1">
    <w:name w:val="xl263"/>
    <w:basedOn w:val="1029"/>
    <w:pPr>
      <w:pBdr/>
      <w:shd w:val="clear" w:color="000000" w:fill="ffffff"/>
      <w:spacing w:after="100" w:afterAutospacing="1" w:before="100" w:beforeAutospacing="1"/>
      <w:ind/>
    </w:pPr>
  </w:style>
  <w:style w:type="paragraph" w:styleId="1095" w:customStyle="1">
    <w:name w:val="xl264"/>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65"/>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66"/>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8" w:customStyle="1">
    <w:name w:val="xl267"/>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68"/>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0" w:customStyle="1">
    <w:name w:val="xl269"/>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1" w:customStyle="1">
    <w:name w:val="xl270"/>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71"/>
    <w:basedOn w:val="102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03" w:customStyle="1">
    <w:name w:val="xl272"/>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4" w:customStyle="1">
    <w:name w:val="xl273"/>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5" w:customStyle="1">
    <w:name w:val="xl274"/>
    <w:basedOn w:val="102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75"/>
    <w:basedOn w:val="1029"/>
    <w:pPr>
      <w:pBdr/>
      <w:spacing w:after="100" w:afterAutospacing="1" w:before="100" w:beforeAutospacing="1"/>
      <w:ind/>
    </w:pPr>
  </w:style>
  <w:style w:type="paragraph" w:styleId="1107" w:customStyle="1">
    <w:name w:val="xl276"/>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8" w:customStyle="1">
    <w:name w:val="xl277"/>
    <w:basedOn w:val="102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9" w:customStyle="1">
    <w:name w:val="xl278"/>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customStyle="1">
    <w:name w:val="xl279"/>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1" w:customStyle="1">
    <w:name w:val="xl280"/>
    <w:basedOn w:val="102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12" w:customStyle="1">
    <w:name w:val="xl281"/>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13" w:customStyle="1">
    <w:name w:val="xl282"/>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4" w:customStyle="1">
    <w:name w:val="xl283"/>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84"/>
    <w:basedOn w:val="1029"/>
    <w:pPr>
      <w:pBdr>
        <w:left w:val="single" w:color="000000" w:sz="4" w:space="0"/>
        <w:bottom w:val="single" w:color="000000" w:sz="4" w:space="0"/>
        <w:right w:val="single" w:color="000000" w:sz="4" w:space="0"/>
      </w:pBdr>
      <w:spacing w:after="100" w:afterAutospacing="1" w:before="100" w:beforeAutospacing="1"/>
      <w:ind/>
    </w:pPr>
  </w:style>
  <w:style w:type="paragraph" w:styleId="1116" w:customStyle="1">
    <w:name w:val="xl285"/>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7" w:customStyle="1">
    <w:name w:val="xl286"/>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8" w:customStyle="1">
    <w:name w:val="xl287"/>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88"/>
    <w:basedOn w:val="1029"/>
    <w:pPr>
      <w:pBdr>
        <w:top w:val="single" w:color="000000" w:sz="4" w:space="0"/>
        <w:left w:val="single" w:color="000000" w:sz="4" w:space="0"/>
        <w:right w:val="single" w:color="000000" w:sz="4" w:space="0"/>
      </w:pBdr>
      <w:spacing w:after="100" w:afterAutospacing="1" w:before="100" w:beforeAutospacing="1"/>
      <w:ind/>
    </w:pPr>
  </w:style>
  <w:style w:type="paragraph" w:styleId="1120" w:customStyle="1">
    <w:name w:val="xl289"/>
    <w:basedOn w:val="1029"/>
    <w:pPr>
      <w:pBdr>
        <w:left w:val="single" w:color="000000" w:sz="4" w:space="0"/>
        <w:right w:val="single" w:color="000000" w:sz="4" w:space="0"/>
      </w:pBdr>
      <w:spacing w:after="100" w:afterAutospacing="1" w:before="100" w:beforeAutospacing="1"/>
      <w:ind/>
    </w:pPr>
    <w:rPr>
      <w:b/>
      <w:bCs/>
    </w:rPr>
  </w:style>
  <w:style w:type="paragraph" w:styleId="1121" w:customStyle="1">
    <w:name w:val="xl290"/>
    <w:basedOn w:val="102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22" w:customStyle="1">
    <w:name w:val="xl291"/>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23" w:customStyle="1">
    <w:name w:val="xl292"/>
    <w:basedOn w:val="1029"/>
    <w:pPr>
      <w:pBdr>
        <w:top w:val="single" w:color="000000" w:sz="4" w:space="0"/>
        <w:left w:val="single" w:color="000000" w:sz="4" w:space="0"/>
        <w:right w:val="single" w:color="000000" w:sz="4" w:space="0"/>
      </w:pBdr>
      <w:spacing w:after="100" w:afterAutospacing="1" w:before="100" w:beforeAutospacing="1"/>
      <w:ind/>
    </w:pPr>
  </w:style>
  <w:style w:type="paragraph" w:styleId="1124" w:customStyle="1">
    <w:name w:val="xl293"/>
    <w:basedOn w:val="1029"/>
    <w:pPr>
      <w:pBdr>
        <w:left w:val="single" w:color="000000" w:sz="4" w:space="0"/>
        <w:bottom w:val="single" w:color="000000" w:sz="4" w:space="0"/>
        <w:right w:val="single" w:color="000000" w:sz="4" w:space="0"/>
      </w:pBdr>
      <w:spacing w:after="100" w:afterAutospacing="1" w:before="100" w:beforeAutospacing="1"/>
      <w:ind/>
    </w:pPr>
  </w:style>
  <w:style w:type="paragraph" w:styleId="1125" w:customStyle="1">
    <w:name w:val="xl294"/>
    <w:basedOn w:val="102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6">
    <w:name w:val="Title"/>
    <w:basedOn w:val="1029"/>
    <w:link w:val="1127"/>
    <w:qFormat/>
    <w:pPr>
      <w:pBdr/>
      <w:spacing/>
      <w:ind/>
      <w:jc w:val="center"/>
    </w:pPr>
    <w:rPr>
      <w:b/>
      <w:bCs/>
      <w:sz w:val="32"/>
      <w:szCs w:val="26"/>
    </w:rPr>
  </w:style>
  <w:style w:type="character" w:styleId="1127" w:customStyle="1">
    <w:name w:val="Title Char"/>
    <w:basedOn w:val="1034"/>
    <w:link w:val="1126"/>
    <w:pPr>
      <w:pBdr/>
      <w:spacing/>
      <w:ind/>
    </w:pPr>
    <w:rPr>
      <w:rFonts w:ascii="Times New Roman" w:hAnsi="Times New Roman" w:eastAsia="Times New Roman" w:cs="Times New Roman"/>
      <w:b/>
      <w:bCs/>
      <w:sz w:val="32"/>
      <w:szCs w:val="26"/>
    </w:rPr>
  </w:style>
  <w:style w:type="character" w:styleId="1128" w:customStyle="1">
    <w:name w:val="Unresolved Mention1"/>
    <w:basedOn w:val="1034"/>
    <w:uiPriority w:val="99"/>
    <w:semiHidden/>
    <w:unhideWhenUsed/>
    <w:pPr>
      <w:pBdr/>
      <w:spacing/>
      <w:ind/>
    </w:pPr>
    <w:rPr>
      <w:color w:val="605e5c"/>
      <w:shd w:val="clear" w:color="auto" w:fill="e1dfdd"/>
    </w:rPr>
  </w:style>
  <w:style w:type="character" w:styleId="1129" w:customStyle="1">
    <w:name w:val="Body text (3)_"/>
    <w:link w:val="1130"/>
    <w:pPr>
      <w:pBdr/>
      <w:spacing/>
      <w:ind/>
    </w:pPr>
    <w:rPr>
      <w:rFonts w:ascii="Times New Roman" w:hAnsi="Times New Roman" w:cs="Times New Roman"/>
      <w:i/>
      <w:iCs/>
      <w:spacing w:val="4"/>
      <w:shd w:val="clear" w:color="auto" w:fill="ffffff"/>
    </w:rPr>
  </w:style>
  <w:style w:type="paragraph" w:styleId="1130" w:customStyle="1">
    <w:name w:val="Body text (3)1"/>
    <w:basedOn w:val="1029"/>
    <w:link w:val="112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31" w:customStyle="1">
    <w:name w:val="t-j"/>
    <w:basedOn w:val="1029"/>
    <w:pPr>
      <w:pBdr/>
      <w:spacing w:after="100" w:afterAutospacing="1" w:before="100" w:beforeAutospacing="1"/>
      <w:ind/>
    </w:pPr>
  </w:style>
  <w:style w:type="character" w:styleId="1132" w:customStyle="1">
    <w:name w:val="Unresolved Mention2"/>
    <w:basedOn w:val="1034"/>
    <w:uiPriority w:val="99"/>
    <w:semiHidden/>
    <w:unhideWhenUsed/>
    <w:pPr>
      <w:pBdr/>
      <w:spacing/>
      <w:ind/>
    </w:pPr>
    <w:rPr>
      <w:color w:val="605e5c"/>
      <w:shd w:val="clear" w:color="auto" w:fill="e1dfdd"/>
    </w:rPr>
  </w:style>
  <w:style w:type="character" w:styleId="1133">
    <w:name w:val="FollowedHyperlink"/>
    <w:basedOn w:val="1034"/>
    <w:uiPriority w:val="99"/>
    <w:semiHidden/>
    <w:unhideWhenUsed/>
    <w:pPr>
      <w:pBdr/>
      <w:spacing/>
      <w:ind/>
    </w:pPr>
    <w:rPr>
      <w:color w:val="800080" w:themeColor="followedHyperlink"/>
      <w:u w:val="single"/>
    </w:rPr>
  </w:style>
  <w:style w:type="character" w:styleId="1134" w:customStyle="1">
    <w:name w:val="text"/>
    <w:basedOn w:val="1034"/>
    <w:pPr>
      <w:pBdr/>
      <w:spacing/>
      <w:ind/>
    </w:pPr>
  </w:style>
  <w:style w:type="character" w:styleId="1135" w:customStyle="1">
    <w:name w:val="card-send-time__sendtime"/>
    <w:basedOn w:val="1034"/>
    <w:pPr>
      <w:pBdr/>
      <w:spacing/>
      <w:ind/>
    </w:pPr>
  </w:style>
  <w:style w:type="character" w:styleId="1136" w:customStyle="1">
    <w:name w:val="Đề cập Chưa giải quyết1"/>
    <w:basedOn w:val="1034"/>
    <w:uiPriority w:val="99"/>
    <w:semiHidden/>
    <w:unhideWhenUsed/>
    <w:pPr>
      <w:pBdr/>
      <w:spacing/>
      <w:ind/>
    </w:pPr>
    <w:rPr>
      <w:color w:val="605e5c"/>
      <w:shd w:val="clear" w:color="auto" w:fill="e1dfdd"/>
    </w:rPr>
  </w:style>
  <w:style w:type="paragraph" w:styleId="1137" w:customStyle="1">
    <w:name w:val="nqtitle"/>
    <w:basedOn w:val="1029"/>
    <w:pPr>
      <w:pBdr/>
      <w:spacing w:after="100" w:afterAutospacing="1" w:before="100" w:beforeAutospacing="1"/>
      <w:ind/>
    </w:pPr>
    <w:rPr>
      <w:lang w:val="vi-VN" w:eastAsia="vi-VN"/>
    </w:rPr>
  </w:style>
  <w:style w:type="character" w:styleId="1138" w:customStyle="1">
    <w:name w:val="List Paragraph Char"/>
    <w:link w:val="1051"/>
    <w:uiPriority w:val="34"/>
    <w:qFormat/>
    <w:pPr>
      <w:pBdr/>
      <w:spacing/>
      <w:ind/>
    </w:pPr>
    <w:rPr>
      <w:rFonts w:ascii="Times New Roman" w:hAnsi="Times New Roman" w:eastAsia="Times New Roman" w:cs="Times New Roman"/>
      <w:sz w:val="24"/>
      <w:szCs w:val="24"/>
    </w:rPr>
  </w:style>
  <w:style w:type="character" w:styleId="1139" w:customStyle="1">
    <w:name w:val="Đề cập Chưa giải quyết2"/>
    <w:basedOn w:val="1034"/>
    <w:uiPriority w:val="99"/>
    <w:semiHidden/>
    <w:unhideWhenUsed/>
    <w:pPr>
      <w:pBdr/>
      <w:spacing/>
      <w:ind/>
    </w:pPr>
    <w:rPr>
      <w:color w:val="605e5c"/>
      <w:shd w:val="clear" w:color="auto" w:fill="e1dfdd"/>
    </w:rPr>
  </w:style>
  <w:style w:type="character" w:styleId="1140" w:customStyle="1">
    <w:name w:val="Unresolved Mention3"/>
    <w:basedOn w:val="1034"/>
    <w:uiPriority w:val="99"/>
    <w:semiHidden/>
    <w:unhideWhenUsed/>
    <w:pPr>
      <w:pBdr/>
      <w:spacing/>
      <w:ind/>
    </w:pPr>
    <w:rPr>
      <w:color w:val="605e5c"/>
      <w:shd w:val="clear" w:color="auto" w:fill="e1dfdd"/>
    </w:rPr>
  </w:style>
  <w:style w:type="character" w:styleId="1141" w:customStyle="1">
    <w:name w:val="copy"/>
    <w:basedOn w:val="1034"/>
    <w:pPr>
      <w:pBdr/>
      <w:spacing/>
      <w:ind/>
    </w:pPr>
  </w:style>
  <w:style w:type="paragraph" w:styleId="1142" w:customStyle="1">
    <w:name w:val="align-justify"/>
    <w:basedOn w:val="1029"/>
    <w:pPr>
      <w:pBdr/>
      <w:spacing w:after="100" w:afterAutospacing="1" w:before="100" w:beforeAutospacing="1"/>
      <w:ind/>
    </w:pPr>
  </w:style>
  <w:style w:type="character" w:styleId="1143" w:customStyle="1">
    <w:name w:val="btn"/>
    <w:basedOn w:val="1034"/>
    <w:pPr>
      <w:pBdr/>
      <w:spacing/>
      <w:ind/>
    </w:pPr>
  </w:style>
  <w:style w:type="character" w:styleId="1144" w:customStyle="1">
    <w:name w:val="hide_mobile"/>
    <w:basedOn w:val="1034"/>
    <w:pPr>
      <w:pBdr/>
      <w:spacing/>
      <w:ind/>
    </w:pPr>
  </w:style>
  <w:style w:type="character" w:styleId="1145">
    <w:name w:val="Emphasis"/>
    <w:basedOn w:val="1034"/>
    <w:uiPriority w:val="20"/>
    <w:qFormat/>
    <w:pPr>
      <w:pBdr/>
      <w:spacing/>
      <w:ind/>
    </w:pPr>
    <w:rPr>
      <w:i/>
      <w:iCs/>
    </w:rPr>
  </w:style>
  <w:style w:type="character" w:styleId="1146" w:customStyle="1">
    <w:name w:val="t1"/>
    <w:basedOn w:val="1034"/>
    <w:pPr>
      <w:pBdr/>
      <w:spacing/>
      <w:ind/>
    </w:pPr>
  </w:style>
  <w:style w:type="character" w:styleId="1147" w:customStyle="1">
    <w:name w:val="Unresolved Mention4"/>
    <w:basedOn w:val="1034"/>
    <w:uiPriority w:val="99"/>
    <w:semiHidden/>
    <w:unhideWhenUsed/>
    <w:pPr>
      <w:pBdr/>
      <w:spacing/>
      <w:ind/>
    </w:pPr>
    <w:rPr>
      <w:color w:val="605e5c"/>
      <w:shd w:val="clear" w:color="auto" w:fill="e1dfdd"/>
    </w:rPr>
  </w:style>
  <w:style w:type="character" w:styleId="1148">
    <w:name w:val="Unresolved Mention"/>
    <w:basedOn w:val="103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24hmoney.vn/wiki/thi-truong-la-gi-wiki12120.html" TargetMode="External"/><Relationship Id="rId16" Type="http://schemas.openxmlformats.org/officeDocument/2006/relationships/hyperlink" Target="https://24hmoney.vn/wiki/shophouse-la-gi-wiki10218.html" TargetMode="External"/><Relationship Id="rId17" Type="http://schemas.openxmlformats.org/officeDocument/2006/relationships/hyperlink" Target="https://24hmoney.vn/wiki/doanh-thu-la-gi-wiki12160.html" TargetMode="External"/><Relationship Id="rId18" Type="http://schemas.openxmlformats.org/officeDocument/2006/relationships/hyperlink" Target="https://24hmoney.vn/news/hai-lan-dieu-chinh-gia-dat-da-nang-tang-thu-tu-kinh-doanh-bds-hon-90-c3a2698324.html" TargetMode="External"/><Relationship Id="rId19" Type="http://schemas.openxmlformats.org/officeDocument/2006/relationships/image" Target="media/image3.png"/><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275</cp:revision>
  <dcterms:created xsi:type="dcterms:W3CDTF">2025-09-15T09:58:00Z</dcterms:created>
  <dcterms:modified xsi:type="dcterms:W3CDTF">2025-12-15T01:45:55Z</dcterms:modified>
</cp:coreProperties>
</file>