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color w:val="000000"/>
          <w:sz w:val="24"/>
        </w:rPr>
        <w:t xml:space="preserve"> </w:t>
      </w:r>
      <w:r/>
    </w:p>
    <w:tbl>
      <w:tblPr>
        <w:tblStyle w:val="990"/>
        <w:tblInd w:w="0" w:type="dxa"/>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525"/>
      </w:tblGrid>
      <w:tr>
        <w:trPr/>
        <w:tc>
          <w:tcPr>
            <w:tcBorders/>
            <w:tcMar>
              <w:left w:w="0" w:type="dxa"/>
              <w:top w:w="0" w:type="dxa"/>
              <w:right w:w="0"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17365d"/>
                <w:sz w:val="30"/>
              </w:rPr>
              <w:t xml:space="preserve">CHỨNG THƯ, BÁO CÁO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275/2025/1673/VFI-CT.55.A</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NGUYỄN KIM ANH</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thẩm định: Quyền sử dụng đất tại thửa đất số: 366; 367, tờ bản đồ số 4 có địa chỉ: Phường Phương Canh, quận Nam Từ Liêm, thành phố Hà Nội (nay là phường Xuân Phương, thành phố Hà Nội) 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CK 844744, số vào sổ cấp GCN: CS-NTL: 08882 do Sở tài nguyên và môi trường thành phố Hà Nội cấp ngày 29/11/2017; Chủ sử dụng đất là Bà Nguyễn Kim Anh</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11/2025.</w:t>
            </w:r>
            <w:r/>
          </w:p>
        </w:tc>
      </w:tr>
    </w:tbl>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8"/>
        </w:rPr>
        <w:t xml:space="preserve"> </w:t>
        <w:br/>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bl>
      <w:tblPr>
        <w:tblStyle w:val="990"/>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4-17</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Các phụ lục chi tiết kèm theo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18-25</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990"/>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508"/>
      </w:tblGrid>
      <w:tr>
        <w:trPr>
          <w:trHeight w:val="1276"/>
        </w:trPr>
        <w:tc>
          <w:tcPr>
            <w:tcBorders/>
            <w:tcMar>
              <w:left w:w="108" w:type="dxa"/>
              <w:top w:w="0" w:type="dxa"/>
              <w:right w:w="108" w:type="dxa"/>
              <w:bottom w:w="0" w:type="dxa"/>
            </w:tcMar>
            <w:tcW w:w="750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2"/>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2"/>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2"/>
              </w:rPr>
              <w:t xml:space="preserve">Điện thoại:  085 329 3333/ 024 2264 4333</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2"/>
              </w:rPr>
              <w:t xml:space="preserve">Email: </w:t>
              <w:tab/>
            </w:r>
            <w:hyperlink r:id="rId11" w:tooltip="mailto:ilotus.contact@gmail.com" w:history="1">
              <w:r>
                <w:rPr>
                  <w:rStyle w:val="976"/>
                  <w:rFonts w:ascii="Times New Roman" w:hAnsi="Times New Roman" w:eastAsia="Times New Roman" w:cs="Times New Roman"/>
                  <w:color w:val="000000"/>
                  <w:sz w:val="22"/>
                  <w:u w:val="single"/>
                </w:rPr>
                <w:t xml:space="preserve">ilotus.contact@gmail.com</w:t>
              </w:r>
            </w:hyperlink>
            <w:r>
              <w:rPr>
                <w:rFonts w:ascii="Times New Roman" w:hAnsi="Times New Roman" w:eastAsia="Times New Roman" w:cs="Times New Roman"/>
                <w:color w:val="000000"/>
                <w:sz w:val="22"/>
              </w:rPr>
              <w:t xml:space="preserve">             Website: ilotus.com.vn</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 </w:t>
      </w:r>
      <w:r/>
    </w:p>
    <w:tbl>
      <w:tblPr>
        <w:tblStyle w:val="990"/>
        <w:tblInd w:w="-284"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86"/>
        <w:gridCol w:w="5913"/>
      </w:tblGrid>
      <w:tr>
        <w:trPr>
          <w:trHeight w:val="482"/>
        </w:trPr>
        <w:tc>
          <w:tcPr>
            <w:tcBorders/>
            <w:tcMar>
              <w:left w:w="108" w:type="dxa"/>
              <w:top w:w="0" w:type="dxa"/>
              <w:right w:w="108" w:type="dxa"/>
              <w:bottom w:w="0" w:type="dxa"/>
            </w:tcMar>
            <w:tcW w:w="418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ind w:right="0" w:firstLine="0" w:left="0"/>
              <w:jc w:val="both"/>
              <w:rPr/>
            </w:pPr>
            <w:r>
              <w:rPr>
                <w:rFonts w:ascii="Times New Roman" w:hAnsi="Times New Roman" w:eastAsia="Times New Roman" w:cs="Times New Roman"/>
                <w:color w:val="000000"/>
                <w:sz w:val="24"/>
              </w:rPr>
              <w:t xml:space="preserve">Số: 275/2025/1673/VFI-CT.55.A</w:t>
            </w:r>
            <w:r/>
          </w:p>
        </w:tc>
        <w:tc>
          <w:tcPr>
            <w:tcBorders/>
            <w:tcMar>
              <w:left w:w="108" w:type="dxa"/>
              <w:top w:w="0" w:type="dxa"/>
              <w:right w:w="108" w:type="dxa"/>
              <w:bottom w:w="0" w:type="dxa"/>
            </w:tcMar>
            <w:tcW w:w="5913"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ind w:right="-56" w:firstLine="0" w:left="0"/>
              <w:jc w:val="right"/>
              <w:rPr/>
            </w:pPr>
            <w:r>
              <w:rPr>
                <w:rFonts w:ascii="Times New Roman" w:hAnsi="Times New Roman" w:eastAsia="Times New Roman" w:cs="Times New Roman"/>
                <w:i/>
                <w:color w:val="000000"/>
                <w:sz w:val="24"/>
              </w:rPr>
              <w:t xml:space="preserve">TP. Hà Nội, ngày 25 tháng 11 năm 2025     </w:t>
            </w:r>
            <w:r/>
          </w:p>
        </w:tc>
      </w:tr>
    </w:tbl>
    <w:p>
      <w:pPr>
        <w:pBdr>
          <w:top w:val="none" w:color="000000" w:sz="4" w:space="0"/>
          <w:left w:val="none" w:color="000000" w:sz="4" w:space="0"/>
          <w:bottom w:val="none" w:color="000000" w:sz="4" w:space="0"/>
          <w:right w:val="none" w:color="000000" w:sz="4" w:space="0"/>
        </w:pBdr>
        <w:spacing w:after="120" w:before="360"/>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after="60" w:before="120"/>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NGUYỄN KIM ANH</w:t>
      </w:r>
      <w:r/>
    </w:p>
    <w:p>
      <w:pPr>
        <w:pBdr>
          <w:top w:val="none" w:color="000000" w:sz="4" w:space="0"/>
          <w:left w:val="none" w:color="000000" w:sz="4" w:space="0"/>
          <w:bottom w:val="none" w:color="000000" w:sz="4" w:space="0"/>
          <w:right w:val="none" w:color="000000" w:sz="4" w:space="0"/>
        </w:pBdr>
        <w:spacing w:after="60" w:before="120"/>
        <w:ind w:right="0" w:firstLine="0" w:left="0"/>
        <w:jc w:val="center"/>
        <w:rPr/>
      </w:pPr>
      <w:r>
        <w:rPr>
          <w:rFonts w:ascii="Times New Roman" w:hAnsi="Times New Roman" w:eastAsia="Times New Roman" w:cs="Times New Roman"/>
          <w:color w:val="000000"/>
          <w:spacing w:val="-2"/>
          <w:sz w:val="24"/>
        </w:rPr>
        <w:t xml:space="preserve">Căn cứ Hợp đồng thẩm định giá số </w:t>
      </w:r>
      <w:r>
        <w:rPr>
          <w:rFonts w:ascii="Times New Roman" w:hAnsi="Times New Roman" w:eastAsia="Times New Roman" w:cs="Times New Roman"/>
          <w:color w:val="000000"/>
          <w:sz w:val="24"/>
          <w:u w:val="none"/>
        </w:rPr>
        <w:t xml:space="preserve">275/2025/1673/VFI-HĐTĐ.55.A ký ngày 24/11/2025 giữa Bà Nguyễn Kim Anh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2"/>
          <w:sz w:val="24"/>
        </w:rPr>
        <w:t xml:space="preserve">với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z w:val="24"/>
        </w:rPr>
        <w:t xml:space="preserve">275/2025/1673/VFI-BC.55.A </w:t>
      </w:r>
      <w:r>
        <w:rPr>
          <w:rFonts w:ascii="Times New Roman" w:hAnsi="Times New Roman" w:eastAsia="Times New Roman" w:cs="Times New Roman"/>
          <w:color w:val="000000"/>
          <w:spacing w:val="-2"/>
          <w:sz w:val="24"/>
        </w:rPr>
        <w:t xml:space="preserve">ngày 25/11/2025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990"/>
        <w:tblInd w:w="0"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75"/>
        <w:gridCol w:w="3175"/>
        <w:gridCol w:w="3175"/>
      </w:tblGrid>
      <w:tr>
        <w:trPr>
          <w:trHeight w:val="68"/>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120"/>
              <w:ind w:right="0" w:firstLine="0" w:left="0"/>
              <w:rPr/>
            </w:pPr>
            <w:r>
              <w:rPr>
                <w:rFonts w:ascii="Times New Roman" w:hAnsi="Times New Roman" w:eastAsia="Times New Roman" w:cs="Times New Roman"/>
                <w:b/>
                <w:color w:val="000000"/>
                <w:sz w:val="24"/>
              </w:rPr>
              <w:t xml:space="preserve">BÀ NGUYỄN KIM ANH</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1983</w:t>
            </w:r>
            <w:r/>
          </w:p>
        </w:tc>
      </w:tr>
      <w:tr>
        <w:trPr>
          <w:trHeight w:val="489"/>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015183000453</w:t>
            </w:r>
            <w:r/>
          </w:p>
        </w:tc>
      </w:tr>
      <w:tr>
        <w:trPr>
          <w:trHeight w:val="489"/>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Tdp 2 Tu Hoàng Phương Canh, Nam Từ Liêm, Hà Nội</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 </w:t>
      </w:r>
      <w:r/>
    </w:p>
    <w:tbl>
      <w:tblPr>
        <w:tblStyle w:val="99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75"/>
        <w:gridCol w:w="3175"/>
        <w:gridCol w:w="3175"/>
      </w:tblGrid>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pacing w:val="-8"/>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BT5-23 Khu đô thị mới Văn Phú, Phường Kiến Hưng, Hà Nội</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jc w:val="both"/>
              <w:rPr/>
            </w:pPr>
            <w:r>
              <w:rPr>
                <w:rFonts w:ascii="Times New Roman" w:hAnsi="Times New Roman" w:eastAsia="Times New Roman" w:cs="Times New Roman"/>
                <w:color w:val="000000"/>
                <w:sz w:val="24"/>
              </w:rPr>
              <w:t xml:space="preserve">0853.293.333/0974.52.52.58</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Giấy chứng nhận đủ điều kiện hành nghề</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275/TĐG của Bộ Tài Chính cấp lần đầu ngày 22/01/2018, cấp lại lần thứ 5 ngày 01/08/2024</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Nguyễn Trọng Điệp</w:t>
              <w:tab/>
              <w:tab/>
              <w:t xml:space="preserve">Chức vụ: Tổng Giám Đốc</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đất số: 366; 367, tờ bản đồ số 4 có địa chỉ: Phường Phương Canh, quận Nam Từ Liêm, thành phố Hà Nội (nay là phường Xuân Phương,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CK 844744, số vào sổ cấp GCN: CS-NTL: 08882 do Sở tài nguyên và môi trường thành phố Hà Nội cấp ngày 29/11/2017; Chủ sử dụng đất là Bà Nguyễn Kim Anh</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pacing w:val="-8"/>
          <w:sz w:val="24"/>
        </w:rPr>
        <w:t xml:space="preserve">4</w:t>
      </w:r>
      <w:r>
        <w:rPr>
          <w:rFonts w:ascii="Times New Roman" w:hAnsi="Times New Roman" w:eastAsia="Times New Roman" w:cs="Times New Roman"/>
          <w:b/>
          <w:color w:val="000000"/>
          <w:sz w:val="24"/>
        </w:rPr>
        <w:t xml:space="preserve">. Thời điểm thẩm định giá: </w:t>
      </w:r>
      <w:r>
        <w:rPr>
          <w:rFonts w:ascii="Times New Roman" w:hAnsi="Times New Roman" w:eastAsia="Times New Roman" w:cs="Times New Roman"/>
          <w:color w:val="000000"/>
          <w:sz w:val="24"/>
        </w:rPr>
        <w:t xml:space="preserve">Tháng 11/2025</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pacing w:val="-4"/>
          <w:sz w:val="24"/>
        </w:rPr>
        <w:t xml:space="preserve">5. Mục đích thẩm định giá:</w:t>
      </w:r>
      <w:r>
        <w:rPr>
          <w:rFonts w:ascii="Times New Roman" w:hAnsi="Times New Roman" w:eastAsia="Times New Roman" w:cs="Times New Roman"/>
          <w:color w:val="000000"/>
          <w:spacing w:val="-4"/>
          <w:sz w:val="24"/>
        </w:rPr>
        <w:t xml:space="preserve"> 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1"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11/2025 được ước tính như sau:</w:t>
      </w:r>
      <w:r/>
    </w:p>
    <w:tbl>
      <w:tblPr>
        <w:tblStyle w:val="99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86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Diện tích</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2"/>
              </w:rPr>
              <w:t xml:space="preserve">Đơn giá</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Giá trị thẩm định</w:t>
              <w:br/>
              <w:t xml:space="preserve">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366; 367, tờ bản đồ số 4 có địa chỉ: Phường Phương Canh, quận Nam Từ Liêm, thành phố Hà Nội (nay là phường Xuân Phương, thành phố Hà Nội) theo Giấy chứng nhận quyền sử dụng đất quyền sở hữu nhà ở và tài sản khác gắn liền </w:t>
            </w:r>
            <w:r>
              <w:rPr>
                <w:rFonts w:ascii="Times New Roman" w:hAnsi="Times New Roman" w:eastAsia="Times New Roman" w:cs="Times New Roman"/>
                <w:b/>
                <w:color w:val="000000"/>
                <w:sz w:val="24"/>
              </w:rPr>
              <w:t xml:space="preserve">với đất số: CK 844744, số vào sổ cấp GCN: CS-NTL: 08882 do Sở tài nguyên và môi trường thành phố Hà Nội cấp ngày 29/11/2017; Chủ sử dụng đất là Bà Nguyễn Kim Anh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Quyền sử dụng đất ở nông thôn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38,9</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113.000.000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4.395.700.000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spacing w:after="0" w:before="0" w:line="240" w:lineRule="auto"/>
              <w:ind/>
              <w:rPr/>
            </w:pPr>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4.395.700.000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4.396.000.000 </w:t>
            </w:r>
            <w:r/>
          </w:p>
        </w:tc>
      </w:tr>
      <w:tr>
        <w:trPr>
          <w:trHeight w:val="2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Bốn tỷ ba trăm chín mươi sáu triệu đồng chẵn./.)</w:t>
            </w:r>
            <w:r/>
          </w:p>
        </w:tc>
      </w:tr>
    </w:tbl>
    <w:p>
      <w:pPr>
        <w:pBdr>
          <w:top w:val="none" w:color="000000" w:sz="4" w:space="0"/>
          <w:left w:val="none" w:color="000000" w:sz="4" w:space="0"/>
          <w:bottom w:val="none" w:color="000000" w:sz="4" w:space="0"/>
          <w:right w:val="none" w:color="000000" w:sz="4" w:space="0"/>
        </w:pBdr>
        <w:spacing w:after="120" w:before="120" w:line="300" w:lineRule="auto"/>
        <w:ind w:right="0" w:firstLine="0" w:left="0"/>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00"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0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60" w:before="60" w:line="312"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60" w:before="60" w:line="312"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60" w:before="60" w:line="312" w:lineRule="auto"/>
        <w:ind w:right="0" w:firstLine="431" w:left="0"/>
        <w:jc w:val="both"/>
        <w:rPr/>
      </w:pP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 </w:t>
      </w:r>
      <w:r/>
    </w:p>
    <w:p>
      <w:pPr>
        <w:pBdr>
          <w:top w:val="none" w:color="000000" w:sz="4" w:space="0"/>
          <w:left w:val="none" w:color="000000" w:sz="4" w:space="0"/>
          <w:bottom w:val="none" w:color="000000" w:sz="4" w:space="0"/>
          <w:right w:val="none" w:color="000000" w:sz="4" w:space="0"/>
        </w:pBdr>
        <w:tabs>
          <w:tab w:val="left" w:leader="none" w:pos="5202"/>
        </w:tabs>
        <w:spacing w:after="60" w:before="60" w:line="312" w:lineRule="auto"/>
        <w:ind w:right="0" w:firstLine="431"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Mọi hình thức sao chép báo cáo và chứng thư thẩm định giá không có sự đồng ý bằng văn bản của Công ty cổ phần Thẩm định và Đầu tư tài chính Hoa Sen đều là hành vi vi phạm pháp luật.</w:t>
      </w:r>
      <w:r/>
    </w:p>
    <w:p>
      <w:pPr>
        <w:pBdr>
          <w:top w:val="none" w:color="000000" w:sz="4" w:space="0"/>
          <w:left w:val="none" w:color="000000" w:sz="4" w:space="0"/>
          <w:bottom w:val="none" w:color="000000" w:sz="4" w:space="0"/>
          <w:right w:val="none" w:color="000000" w:sz="4" w:space="0"/>
        </w:pBdr>
        <w:tabs>
          <w:tab w:val="left" w:leader="none" w:pos="5202"/>
        </w:tabs>
        <w:spacing w:after="60" w:before="60" w:line="276" w:lineRule="auto"/>
        <w:ind w:right="0" w:firstLine="0" w:left="0"/>
        <w:jc w:val="both"/>
        <w:rPr/>
      </w:pPr>
      <w:r>
        <w:rPr>
          <w:rFonts w:ascii="Times New Roman" w:hAnsi="Times New Roman" w:eastAsia="Times New Roman" w:cs="Times New Roman"/>
          <w:color w:val="000000"/>
          <w:spacing w:val="-6"/>
          <w:sz w:val="24"/>
        </w:rPr>
        <w:t xml:space="preserve"> </w:t>
      </w:r>
      <w:r/>
    </w:p>
    <w:tbl>
      <w:tblPr>
        <w:tblStyle w:val="990"/>
        <w:tblInd w:w="-284" w:type="dxa"/>
        <w:tblW w:w="52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851"/>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Giám đốc</w:t>
            </w:r>
            <w:r/>
          </w:p>
        </w:tc>
      </w:tr>
      <w:tr>
        <w:trPr>
          <w:trHeight w:val="170"/>
        </w:trPr>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127"/>
        </w:trPr>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Đặng Quang Bách</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81b3a"/>
                <w:spacing w:val="3"/>
                <w:sz w:val="24"/>
                <w:highlight w:val="white"/>
              </w:rPr>
              <w:t xml:space="preserve">VIII13.721</w:t>
            </w: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Nguyễn Trọng Điệp</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X15.1272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bl>
      <w:tblPr>
        <w:tblStyle w:val="990"/>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508"/>
      </w:tblGrid>
      <w:tr>
        <w:trPr>
          <w:trHeight w:val="1276"/>
        </w:trPr>
        <w:tc>
          <w:tcPr>
            <w:tcBorders/>
            <w:tcMar>
              <w:left w:w="108" w:type="dxa"/>
              <w:top w:w="0" w:type="dxa"/>
              <w:right w:w="108" w:type="dxa"/>
              <w:bottom w:w="0" w:type="dxa"/>
            </w:tcMar>
            <w:tcW w:w="750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2"/>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2"/>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2"/>
              </w:rPr>
              <w:t xml:space="preserve">Điện thoại:  085 329 3333/ 024 2264 4333</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color w:val="000000"/>
                <w:sz w:val="22"/>
              </w:rPr>
              <w:t xml:space="preserve">Email: </w:t>
              <w:tab/>
            </w:r>
            <w:hyperlink r:id="rId12" w:tooltip="mailto:ilotus.contact@gmail.com" w:history="1">
              <w:r>
                <w:rPr>
                  <w:rStyle w:val="976"/>
                  <w:rFonts w:ascii="Times New Roman" w:hAnsi="Times New Roman" w:eastAsia="Times New Roman" w:cs="Times New Roman"/>
                  <w:color w:val="000000"/>
                  <w:sz w:val="22"/>
                  <w:u w:val="none"/>
                </w:rPr>
                <w:t xml:space="preserve">ilotus.contact@gmail.com</w:t>
              </w:r>
            </w:hyperlink>
            <w:r>
              <w:rPr>
                <w:rFonts w:ascii="Times New Roman" w:hAnsi="Times New Roman" w:eastAsia="Times New Roman" w:cs="Times New Roman"/>
                <w:color w:val="000000"/>
                <w:sz w:val="22"/>
              </w:rPr>
              <w:t xml:space="preserve">             Website: ilotus.com.vn</w:t>
            </w:r>
            <w:r/>
          </w:p>
        </w:tc>
      </w:tr>
    </w:tbl>
    <w:tbl>
      <w:tblPr>
        <w:tblStyle w:val="990"/>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966"/>
        <w:gridCol w:w="4322"/>
      </w:tblGrid>
      <w:tr>
        <w:trPr>
          <w:trHeight w:val="20"/>
        </w:trPr>
        <w:tc>
          <w:tcPr>
            <w:tcBorders/>
            <w:tcMar>
              <w:left w:w="108" w:type="dxa"/>
              <w:top w:w="0" w:type="dxa"/>
              <w:right w:w="108" w:type="dxa"/>
              <w:bottom w:w="0" w:type="dxa"/>
            </w:tcMar>
            <w:tcW w:w="4966"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102"/>
              </w:tabs>
              <w:spacing w:before="100" w:line="276" w:lineRule="auto"/>
              <w:ind w:right="0" w:firstLine="0" w:left="0"/>
              <w:jc w:val="both"/>
              <w:rPr/>
            </w:pPr>
            <w:r>
              <w:rPr>
                <w:rFonts w:ascii="Times New Roman" w:hAnsi="Times New Roman" w:eastAsia="Times New Roman" w:cs="Times New Roman"/>
                <w:color w:val="000000"/>
                <w:sz w:val="24"/>
                <w:u w:val="none"/>
              </w:rPr>
              <w:t xml:space="preserve">Số: </w:t>
            </w:r>
            <w:r>
              <w:rPr>
                <w:rFonts w:ascii="Times New Roman" w:hAnsi="Times New Roman" w:eastAsia="Times New Roman" w:cs="Times New Roman"/>
                <w:color w:val="000000"/>
                <w:sz w:val="24"/>
              </w:rPr>
              <w:t xml:space="preserve">275/2025/1673/VFI-CT.55.A</w:t>
            </w:r>
            <w:r/>
          </w:p>
        </w:tc>
        <w:tc>
          <w:tcPr>
            <w:tcBorders/>
            <w:tcMar>
              <w:left w:w="108" w:type="dxa"/>
              <w:top w:w="0" w:type="dxa"/>
              <w:right w:w="108" w:type="dxa"/>
              <w:bottom w:w="0" w:type="dxa"/>
            </w:tcMar>
            <w:tcW w:w="4322"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102"/>
              </w:tabs>
              <w:spacing w:before="100" w:line="276" w:lineRule="auto"/>
              <w:ind w:right="0" w:firstLine="0" w:left="0"/>
              <w:jc w:val="right"/>
              <w:rPr/>
            </w:pPr>
            <w:r>
              <w:rPr>
                <w:rFonts w:ascii="Times New Roman" w:hAnsi="Times New Roman" w:eastAsia="Times New Roman" w:cs="Times New Roman"/>
                <w:i/>
                <w:color w:val="000000"/>
                <w:sz w:val="24"/>
              </w:rPr>
              <w:t xml:space="preserve">Hà Nội, ngày 25 tháng 11 năm 2025     </w:t>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965"/>
        <w:pBdr>
          <w:top w:val="none" w:color="000000" w:sz="4" w:space="0"/>
          <w:left w:val="none" w:color="000000" w:sz="4" w:space="0"/>
          <w:bottom w:val="none" w:color="000000" w:sz="4" w:space="0"/>
          <w:right w:val="none" w:color="000000" w:sz="4" w:space="0"/>
        </w:pBdr>
        <w:tabs>
          <w:tab w:val="left" w:leader="none" w:pos="4820"/>
        </w:tabs>
        <w:spacing w:after="200" w:before="100" w:line="276" w:lineRule="auto"/>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w:t>
      </w:r>
      <w:r>
        <w:rPr>
          <w:rFonts w:ascii="Times New Roman" w:hAnsi="Times New Roman" w:eastAsia="Times New Roman" w:cs="Times New Roman"/>
          <w:i/>
          <w:color w:val="000000"/>
          <w:sz w:val="24"/>
        </w:rPr>
        <w:t xml:space="preserve">275/2025/1673/VFI-CT.55.A</w:t>
      </w:r>
      <w:r>
        <w:rPr>
          <w:rFonts w:ascii="Times New Roman" w:hAnsi="Times New Roman" w:eastAsia="Times New Roman" w:cs="Times New Roman"/>
          <w:i/>
          <w:color w:val="000000"/>
          <w:spacing w:val="-6"/>
          <w:sz w:val="24"/>
        </w:rPr>
        <w:t xml:space="preserve"> ngày 25 tháng 11 năm 2025)</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Style w:val="965"/>
        <w:pBdr>
          <w:top w:val="none" w:color="000000" w:sz="4" w:space="0"/>
          <w:left w:val="none" w:color="000000" w:sz="4" w:space="0"/>
          <w:bottom w:val="none" w:color="000000" w:sz="4" w:space="0"/>
          <w:right w:val="none" w:color="000000" w:sz="4" w:space="0"/>
        </w:pBdr>
        <w:tabs>
          <w:tab w:val="left" w:leader="none" w:pos="4820"/>
        </w:tabs>
        <w:spacing w:after="200" w:before="0" w:line="276" w:lineRule="auto"/>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99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75"/>
        <w:gridCol w:w="3175"/>
        <w:gridCol w:w="3175"/>
      </w:tblGrid>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pacing w:val="-8"/>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pacing w:val="-2"/>
                <w:sz w:val="24"/>
              </w:rPr>
              <w:t xml:space="preserve">BT5-23 Khu đô thị mới Văn Phú, Phường Kiến Hưng, Hà Nội</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before="60" w:line="276" w:lineRule="auto"/>
              <w:ind w:right="0" w:firstLine="0" w:left="0"/>
              <w:jc w:val="both"/>
              <w:rPr/>
            </w:pPr>
            <w:r>
              <w:rPr>
                <w:rFonts w:ascii="Times New Roman" w:hAnsi="Times New Roman" w:eastAsia="Times New Roman" w:cs="Times New Roman"/>
                <w:color w:val="000000"/>
                <w:sz w:val="24"/>
              </w:rPr>
              <w:t xml:space="preserve">0853.293.333/0974.52.52.58</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Giấy chứng nhận đủ điều kiện hành nghề</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Số 275/TĐG của Bộ Tài Chính cấp lần đầu ngày 22/01/2018, cấp lại lần thứ 5 ngày 01/08/2024</w:t>
            </w:r>
            <w:r/>
          </w:p>
        </w:tc>
      </w:tr>
      <w:tr>
        <w:trPr>
          <w:trHeight w:val="20"/>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Ông Nguyễn Trọng Điệp</w:t>
              <w:tab/>
              <w:tab/>
              <w:t xml:space="preserve">Chức vụ: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99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75"/>
        <w:gridCol w:w="3175"/>
        <w:gridCol w:w="3175"/>
      </w:tblGrid>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BÀ NGUYỄN KIM ANH</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1983</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015183000453</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Tdp 2 Tu Hoàng Phương Canh, Nam Từ Liêm, Hà Nội</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hanging="720" w:left="720"/>
              <w:jc w:val="both"/>
              <w:rPr/>
            </w:pPr>
            <w:r>
              <w:rPr>
                <w:rFonts w:ascii="Times New Roman" w:hAnsi="Times New Roman" w:eastAsia="Times New Roman" w:cs="Times New Roman"/>
                <w:color w:val="000000"/>
                <w:sz w:val="24"/>
              </w:rPr>
              <w:t xml:space="preserve">275/2025/1673/VFI-HĐTĐ.55.A</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366; 367, tờ bản đồ số 4 có địa chỉ: Phường Phương Canh, quận Nam Từ Liêm, thành phố Hà Nội (nay là phường Xuân Phương, thành phố Hà Nội) theo Giấy chứng nhận quyền sử dụng đất quyền sở hữu nhà ở và tài sản khác gắn liền </w:t>
            </w:r>
            <w:r>
              <w:rPr>
                <w:rFonts w:ascii="Times New Roman" w:hAnsi="Times New Roman" w:eastAsia="Times New Roman" w:cs="Times New Roman"/>
                <w:color w:val="000000"/>
                <w:sz w:val="24"/>
              </w:rPr>
              <w:t xml:space="preserve">với đất số: CK 844744, số vào sổ cấp GCN: CS-NTL: 08882 do Sở tài nguyên và môi trường thành phố Hà Nội cấp ngày 29/11/2017; Chủ sử dụng đất là Bà Nguyễn Kim Anh</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u w:val="none"/>
              </w:rPr>
              <w:t xml:space="preserve">Mục đích thẩm định giá</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0"/>
                <w:sz w:val="24"/>
              </w:rPr>
              <w:t xml:space="preserve">Cơ sở giá trị thẩm định giá</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11/2025</w:t>
            </w:r>
            <w:r>
              <w:rPr>
                <w:rFonts w:ascii="Times New Roman" w:hAnsi="Times New Roman" w:eastAsia="Times New Roman" w:cs="Times New Roman"/>
                <w:color w:val="000000"/>
                <w:spacing w:val="-4"/>
                <w:sz w:val="24"/>
              </w:rPr>
              <w:t xml:space="preserve">.</w:t>
            </w:r>
            <w:r/>
          </w:p>
        </w:tc>
      </w:tr>
      <w:tr>
        <w:trPr>
          <w:trHeight w:val="284"/>
        </w:trPr>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Địa điểm thẩm định giá</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Phương Canh, quận Nam Từ Liêm, thành phố Hà Nội (nay là phường Xuân Phương, thành phố Hà Nội)</w:t>
            </w:r>
            <w:r/>
          </w:p>
        </w:tc>
      </w:tr>
    </w:tbl>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pacing w:val="-6"/>
          <w:sz w:val="24"/>
        </w:rPr>
        <w:t xml:space="preserve">2. </w:t>
      </w:r>
      <w:r>
        <w:rPr>
          <w:rFonts w:ascii="Times New Roman" w:hAnsi="Times New Roman" w:eastAsia="Times New Roman" w:cs="Times New Roman"/>
          <w:b/>
          <w:color w:val="000000"/>
          <w:sz w:val="24"/>
        </w:rPr>
        <w:t xml:space="preserve">Các nguồn thông tin được sử dụng trong quá trình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pacing w:val="-6"/>
          <w:sz w:val="24"/>
        </w:rPr>
        <w:t xml:space="preserve">Tham khảo nguồn thông tin từ các trang rao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spacing w:before="120"/>
        <w:ind w:right="0" w:firstLine="0" w:left="0"/>
        <w:jc w:val="both"/>
        <w:rPr/>
      </w:pPr>
      <w:r>
        <w:rPr>
          <w:rFonts w:ascii="Times New Roman" w:hAnsi="Times New Roman" w:eastAsia="Times New Roman" w:cs="Times New Roman"/>
          <w:b/>
          <w:color w:val="000000"/>
          <w:sz w:val="24"/>
        </w:rPr>
        <w:t xml:space="preserve">3.1. Văn bản pháp quy về thẩm định giá:</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giá số 16/2023/QH15 ngày 19/6/2023;</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năm thông qua ngày 18 tháng 01 năm 2024;</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xây dựng số 50/2014/QH13 được Quốc hội nước Cộng hòa xã hội chủ nghĩa Việt Nam khóa XIII, kỳ họp thứ 7 thông qua ngày 18 tháng 6 năm 2014.</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số 35/2018/QH14 sửa đổi, bổ sung một số điều của 37 luật có liên quan đến quy hoạch đã được Quốc hội nước Cộng hòa xã hội chủ nghĩa Việt Nam khóa XIV, kỳ họp thứ 6 thông qua ngày 20 tháng 11 năm 2018;</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kiến trúc số 40/2019/QH14 đã được Quốc hội nước Cộng hòa xã hội chủ nghĩa Việt Nam khóa XIV, kỳ họp thứ 7 thông qua ngày 13 tháng 6 năm 2019.</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số 62/2020/QH14  về việc sửa đổi, bổ sung một số điều của luật xây dựng đã được Quốc hội nước Cộng hòa xã hội chủ nghĩa Việt Nam khóa XIV, kỳ họp thứ 9 thông qua ngày 17 tháng 6 năm 2020.</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Nghị định số 78/2024/NĐ-CP ngày 01/7/2024 của Chính Phủ về việc quy định chi tiết một số điều của Luật Giá về thẩm định giá;</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Nghị định số 85/2024/NĐ-CP ngày 10/7/2024 của Chính Phủ về việc quy định chi tiết một số điều của Luật Giá;</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31/2024/TT-BTC ngày 16/5/2024 ban hành chuẩn mực thẩm định giá Việt Nam về thu thập và phân tích thông tin về tài sản thẩm định giá;</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32/2024/TT-BTC ngày 16/5/2024 ban hành các chuẩn mực thẩm định giá Việt Nam về cách tiếp cận từ thị trường, cách tiếp cận từ chi phí, cách tiếp cận từ thu nhập;</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37/2024/TT-BTC ngày 16/5/2024 ban hành chuẩn mực thẩm định giá Việt Nam về thẩm định giá tài sản vô hình;</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Thông tư số 42/2024/TT-BTC ngày 20/6/2024 ban hành chuẩn mực thẩm định giá Việt Nam về thẩm định giá bất động sản.</w:t>
      </w:r>
      <w:r/>
    </w:p>
    <w:p>
      <w:pPr>
        <w:pBdr>
          <w:top w:val="none" w:color="000000" w:sz="4" w:space="0"/>
          <w:left w:val="none" w:color="000000" w:sz="4" w:space="0"/>
          <w:bottom w:val="none" w:color="000000" w:sz="4" w:space="0"/>
          <w:right w:val="none" w:color="000000" w:sz="4" w:space="0"/>
        </w:pBdr>
        <w:spacing w:before="120"/>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a. Hồ sơ pháp lý của tài sản:</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CK 844744, số vào sổ cấp GCN: CS-NTL: 08882 do Sở tài nguyên và môi trường thành phố Hà Nội cấp ngày 29/11/2017; Chủ sử dụng đất là Bà Nguyễn Kim Anh</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Hợp đồng số 275/2025/1673/VFI-HĐTĐ.55.A </w:t>
      </w:r>
      <w:r>
        <w:rPr>
          <w:rFonts w:ascii="Times New Roman" w:hAnsi="Times New Roman" w:eastAsia="Times New Roman" w:cs="Times New Roman"/>
          <w:color w:val="000000"/>
          <w:spacing w:val="-2"/>
          <w:sz w:val="24"/>
        </w:rPr>
        <w:t xml:space="preserve">ký ngày 24/11/2025 giữa </w:t>
      </w:r>
      <w:r>
        <w:rPr>
          <w:rFonts w:ascii="Times New Roman" w:hAnsi="Times New Roman" w:eastAsia="Times New Roman" w:cs="Times New Roman"/>
          <w:color w:val="000000"/>
          <w:sz w:val="24"/>
        </w:rPr>
        <w:t xml:space="preserve">bà nguyễn kim anh</w:t>
      </w:r>
      <w:r>
        <w:rPr>
          <w:rFonts w:ascii="Times New Roman" w:hAnsi="Times New Roman" w:eastAsia="Times New Roman" w:cs="Times New Roman"/>
          <w:color w:val="000000"/>
          <w:spacing w:val="-2"/>
          <w:sz w:val="24"/>
        </w:rPr>
        <w:t xml:space="preserve"> với Công ty cổ phần Thẩm định và Đầu tư tài chính Hoa Sen</w:t>
      </w:r>
      <w:r>
        <w:rPr>
          <w:rFonts w:ascii="Times New Roman" w:hAnsi="Times New Roman" w:eastAsia="Times New Roman" w:cs="Times New Roman"/>
          <w:color w:val="000000"/>
          <w:sz w:val="24"/>
        </w:rPr>
        <w:t xml:space="preserve">.</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b/>
          <w:color w:val="000000"/>
          <w:sz w:val="24"/>
        </w:rPr>
        <w:t xml:space="preserve">Tổng quan bất động sản tại phường Xuân Phương, thành phố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Phường Xuân Phương giáp sông Nhuệ, nằm ở phía Tây Bắc của Thủ đô Hà Nội. Với vị trí giáp ranh trực tiếp các phường trọng điểm và các khu đô thị phát triển nhanh, hệ thống giao thông được hưởng lợi từ các tuyến đường lớn như đường vành đai 3, đại lộ Thăng L</w:t>
      </w:r>
      <w:r>
        <w:rPr>
          <w:rFonts w:ascii="Times New Roman" w:hAnsi="Times New Roman" w:eastAsia="Times New Roman" w:cs="Times New Roman"/>
          <w:color w:val="000000"/>
          <w:sz w:val="24"/>
        </w:rPr>
        <w:t xml:space="preserve">ong, quốc lộ 32 và các trục giao thông quan trọng khác, phường có nhiều thuận lợi cho việc lưu thông nội thành và kết nối vùng; có tiềm năng phát triển kinh tế, thương mại, dịch vụ; thuận lợi trong việc phát triển các khu đô thị mới, trung tâm giáo dục, y </w:t>
      </w:r>
      <w:r>
        <w:rPr>
          <w:rFonts w:ascii="Times New Roman" w:hAnsi="Times New Roman" w:eastAsia="Times New Roman" w:cs="Times New Roman"/>
          <w:color w:val="000000"/>
          <w:sz w:val="24"/>
        </w:rPr>
        <w:t xml:space="preserve">tế và các tiện ích xã hội.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Xuân Phương đóng vai trò quan trọng trong việc kết nối và mở rộng không gian đô thị của Hà Nội ra phía Tây Bắc, góp phần nâng cao vị thế của phường trong quy hoạch phát triển đô thị và giao thông của Thành phố.</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Phường Xuân Phương sở hữu đặc điểm kinh tế đa dạng và năng động. Các ngành kinh tế chủ lực của phường tập trung vào thương mại dịch vụ, bất động sản đô thị và các ngành nghề công nghiệp nhẹ.</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Nhờ vị trí thuận lợi, gần các trục giao thông chính như đại lộ Thăng Long và đường vành đai 3, phường Xuân Phương thu hút nhiều dự án phát triển khu đô thị mới, khu thương mại hiện đại và các trung tâm dịch vụ đa dạng, tạo ra nguồn thu lớn và nhiều cơ hội </w:t>
      </w:r>
      <w:r>
        <w:rPr>
          <w:rFonts w:ascii="Times New Roman" w:hAnsi="Times New Roman" w:eastAsia="Times New Roman" w:cs="Times New Roman"/>
          <w:color w:val="000000"/>
          <w:sz w:val="24"/>
        </w:rPr>
        <w:t xml:space="preserve">việc làm cho người dân địa phương.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Đồng thời, khu vực này cũng phát triển các ngành nghề tiểu thủ công nghiệp và sản xuất quy mô nhỏ, đa dạng hóa cơ cấu kinh tế và góp phần làm tăng giá trị kinh tế vùng. Phường Xuân Phương với quy mô lớn hơn và cơ cấu kinh tế phong phú hơn, đã và đang trở t</w:t>
      </w:r>
      <w:r>
        <w:rPr>
          <w:rFonts w:ascii="Times New Roman" w:hAnsi="Times New Roman" w:eastAsia="Times New Roman" w:cs="Times New Roman"/>
          <w:color w:val="000000"/>
          <w:sz w:val="24"/>
        </w:rPr>
        <w:t xml:space="preserve">hành một động lực phát triển kinh tế quan trọng, góp phần nâng cao năng lực cạnh tranh và phát triển bền vững cho Hà Nội và vùng phụ cận.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w:t>
      </w:r>
      <w:hyperlink r:id="rId13" w:tooltip="https://xuanphuong.hanoi.gov.vn/gioi-thieu-chung/gioi-thieu-chung-ve-phuong-xuan-phuong-2793250629005846811.htm" w:history="1">
        <w:r>
          <w:rPr>
            <w:rStyle w:val="976"/>
            <w:rFonts w:ascii="Times New Roman" w:hAnsi="Times New Roman" w:eastAsia="Times New Roman" w:cs="Times New Roman"/>
            <w:b/>
            <w:color w:val="000000"/>
            <w:sz w:val="24"/>
            <w:u w:val="single"/>
          </w:rPr>
          <w:t xml:space="preserve">https://xuanphuong.hanoi.gov.vn/gioi-thieu-chung/gioi-thieu-chung-ve-phuong-xuan-phuong-2793250629005846811.htm</w:t>
        </w:r>
      </w:hyperlink>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99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0"/>
        <w:gridCol w:w="2520"/>
        <w:gridCol w:w="1316"/>
        <w:gridCol w:w="2721"/>
        <w:gridCol w:w="2363"/>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366; 367, tờ bản đồ số 4 có địa chỉ: Phường Phương Canh, quận Nam Từ Liêm, thành phố Hà Nội (nay là phường Xuân Phương, thành phố Hà Nội) theo Giấy chứng nhận quyền sử dụng đất quyền sở hữu nhà ở và tài sản khác gắn liền </w:t>
            </w:r>
            <w:r>
              <w:rPr>
                <w:rFonts w:ascii="Times New Roman" w:hAnsi="Times New Roman" w:eastAsia="Times New Roman" w:cs="Times New Roman"/>
                <w:b/>
                <w:color w:val="000000"/>
                <w:sz w:val="24"/>
              </w:rPr>
              <w:t xml:space="preserve">với đất số: CK 844744, số vào sổ cấp GCN: CS-NTL: 08882 do Sở tài nguyên và môi trường thành phố Hà Nội cấp ngày 29/11/2017; Chủ sử dụng đất là Bà Nguyễn Kim Anh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366; 367</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Phương Canh, quận Nam Từ Liêm, thành phố Hà Nội (nay là phường Xuân Phương, thành phố Hà Nội)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38,9</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38,9m2; Sử dụng chung 68,5m2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quyền sử dụng đất như giao đất có thu tiền sử dụng đất./.</w:t>
            </w:r>
            <w:r/>
          </w:p>
        </w:tc>
      </w:tr>
      <w:tr>
        <w:trPr>
          <w:trHeight w:val="1429"/>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Giấy chứng nhận này được cấp đổi từ Giấy chứng nhận quyền sử dụng đất số: AO 969819 được UBND huyện Từ Liêm cấp ngày 13/11/2009. </w:t>
              <w:br/>
              <w:t xml:space="preserve"> + Số hiệu và diện tích thửa đất chưa được xác định trên bản đồ địa chính.</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2580"/>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dung thay đổi và cơ sở pháp lý</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Ngày 22 tháng 10 năm 2025: </w:t>
              <w:br/>
              <w:t xml:space="preserve"> - Đổi tên địa chỉ thửa đất từ "phường Phương Canh, quận Nam Từ Liêm, thành phố Hà Nội" thành "phường Xuân Phương, thành phố Hà Nội". </w:t>
              <w:br/>
              <w:t xml:space="preserve"> - Thay đổi thông tin của chủ sử dụng đất: </w:t>
              <w:br/>
              <w:t xml:space="preserve"> + từ "CMND số: 013282625" thành "CCCD số: 015183</w:t>
            </w:r>
            <w:r>
              <w:rPr>
                <w:rFonts w:ascii="Times New Roman" w:hAnsi="Times New Roman" w:eastAsia="Times New Roman" w:cs="Times New Roman"/>
                <w:color w:val="000000"/>
                <w:sz w:val="24"/>
              </w:rPr>
              <w:t xml:space="preserve">000453" </w:t>
              <w:br/>
              <w:t xml:space="preserve"> + từ "Địa chỉ thường trú: Nhân Mỹ - Mỹ Đình, huyện Từ Liêm, (nay là phường Mỹ Đình 1, quận Nam Từ Liêm), TP Hà Nội." thành "TDP số 2 Tu Hoàng, phường Xuân Phương, thành phố Hà Nội". Theo hồ sơ số H26.103.25.16-251020-0030./.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Phương Canh, quận Nam Từ Liêm, thành phố Hà Nội (nay là phường Xuân Phương,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BTX</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vào 1,7m</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1,7m (ngõ cụt)</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Phường Phương Canh, quận Nam Từ Liêm, thành phố Hà Nội (nay là phường Xuân Phương, thành phố Hà Nội); cách đường DT70A khoảng 400m</w:t>
            </w:r>
            <w:r/>
          </w:p>
        </w:tc>
      </w:tr>
      <w:tr>
        <w:trPr>
          <w:trHeight w:val="9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Bắc: Tiếp giáp đường bê tông xây khoảng 1,7m (ngõ cụt)</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(21.049313, 105.732561)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6048375" cy="3187567"/>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54017" name=""/>
                              <pic:cNvPicPr>
                                <a:picLocks noChangeAspect="1"/>
                              </pic:cNvPicPr>
                              <pic:nvPr/>
                            </pic:nvPicPr>
                            <pic:blipFill>
                              <a:blip r:embed="rId14"/>
                              <a:stretch/>
                            </pic:blipFill>
                            <pic:spPr bwMode="auto">
                              <a:xfrm>
                                <a:off x="0" y="0"/>
                                <a:ext cx="6048374" cy="3187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76.25pt;height:250.99pt;mso-wrap-distance-left:0.00pt;mso-wrap-distance-top:0.00pt;mso-wrap-distance-right:0.00pt;mso-wrap-distance-bottom:0.00pt;z-index:1;" stroked="false">
                      <v:imagedata r:id="rId14"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38,9</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3,58</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10,86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2 tầng, không được ghi nhận GCN số CK 844744, xây hết đất, xây dựng đã lâu.</w:t>
            </w:r>
            <w:r/>
          </w:p>
        </w:tc>
      </w:tr>
    </w:tbl>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b/>
          <w:color w:val="000000"/>
          <w:sz w:val="24"/>
          <w:u w:val="single"/>
        </w:rPr>
        <w:t xml:space="preserve"> Các hạn chế của thửa đất:</w:t>
      </w:r>
      <w:r/>
    </w:p>
    <w:tbl>
      <w:tblPr>
        <w:tblStyle w:val="990"/>
        <w:tblInd w:w="0" w:type="dxa"/>
        <w:tblW w:w="5000" w:type="pct"/>
        <w:tblCellMar>
          <w:left w:w="0" w:type="dxa"/>
          <w:top w:w="0" w:type="dxa"/>
          <w:right w:w="0"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autofit"/>
        <w:tblLook w:val="04A0" w:firstRow="1" w:lastRow="0" w:firstColumn="1" w:lastColumn="0" w:noHBand="0" w:noVBand="1"/>
      </w:tblPr>
      <w:tblGrid>
        <w:gridCol w:w="2381"/>
        <w:gridCol w:w="2381"/>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Nội dung</w:t>
            </w:r>
            <w:r/>
          </w:p>
        </w:tc>
        <w:tc>
          <w:tcPr>
            <w:gridSpan w:val="2"/>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Đánh giá</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Trên đất/công trình có mộ</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Trên đất/công trình có điện thờ</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nghĩa trang, nhà tang lễ (≤ 100m)</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cây xăng (≤ 50m)</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ô nhiễm</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Thuộc khu vực có nguy cơ sạt lở</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Trên đất/công trình có nhà thờ họ, dòng tộc</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gia tộc, anh em họ hàng sống xung quanh</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Am, Đình, Chùa, Miếu (≤ 50m)</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đường sắt (≤ 50m)</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hướng vào thửa đất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Có, cụ thể: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yếu tố khác</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bl>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với bất kỳ bên nào. Trường hợp sau ngày phát hành Chứng thư thẩm định giá, tài sản nêu trên xảy ra tranh chấp với một bên nào khác thì sẽ được tiến hành thẩm định ở một cuộc thẩm định gi</w:t>
      </w:r>
      <w:r>
        <w:rPr>
          <w:rFonts w:ascii="Times New Roman" w:hAnsi="Times New Roman" w:eastAsia="Times New Roman" w:cs="Times New Roman"/>
          <w:color w:val="000000"/>
          <w:sz w:val="24"/>
        </w:rPr>
        <w:t xml:space="preserve">á khác.</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VI. CƠ SỞ GIÁ TRỊ CỦA TÀI SẢN THẨM ĐỊNH GIÁ</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VII. CÁCH TIẾP CẬN, PHƯƠNG PHÁP THẨM ĐỊNH GIÁ</w:t>
      </w:r>
      <w:r/>
    </w:p>
    <w:p>
      <w:pPr>
        <w:numPr>
          <w:ilvl w:val="0"/>
          <w:numId w:val="42"/>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3"/>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3"/>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Phương pháp so sánh: </w:t>
      </w:r>
      <w:r>
        <w:rPr>
          <w:rFonts w:ascii="Times New Roman" w:hAnsi="Times New Roman" w:eastAsia="Times New Roman" w:cs="Times New Roman"/>
          <w:color w:val="000000"/>
          <w:sz w:val="24"/>
        </w:rPr>
        <w:t xml:space="preserve">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w:t>
      </w:r>
      <w:r>
        <w:rPr>
          <w:rFonts w:ascii="Times New Roman" w:hAnsi="Times New Roman" w:eastAsia="Times New Roman" w:cs="Times New Roman"/>
          <w:color w:val="000000"/>
          <w:sz w:val="24"/>
        </w:rPr>
        <w:t xml:space="preserve">h giá. </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 GIÁ</w:t>
      </w:r>
      <w:r/>
    </w:p>
    <w:p>
      <w:pPr>
        <w:numPr>
          <w:ilvl w:val="0"/>
          <w:numId w:val="40"/>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b/>
          <w:color w:val="000000"/>
          <w:sz w:val="24"/>
        </w:rPr>
        <w:t xml:space="preserve">Xác định đơn giá quyền sử dụng đất kinh doanh dịch vụ phi nông nghiệp:</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có các đặc điểm tương đồng với tài sản thẩm định tại địa bàn khu vực tài sản thẩm định giá, cụ thể như sau:</w:t>
      </w:r>
      <w:r>
        <w:rPr>
          <w:rFonts w:ascii="Times New Roman" w:hAnsi="Times New Roman" w:eastAsia="Times New Roman" w:cs="Times New Roman"/>
          <w:sz w:val="24"/>
        </w:rPr>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jc w:val="both"/>
        <w:rPr/>
      </w:pPr>
      <w:r>
        <w:rPr>
          <w:rFonts w:ascii="Times New Roman" w:hAnsi="Times New Roman" w:eastAsia="Times New Roman" w:cs="Times New Roman"/>
          <w:b/>
          <w:color w:val="000000"/>
          <w:sz w:val="24"/>
        </w:rPr>
        <w:t xml:space="preserve">Thông tin tài sản so sánh: </w:t>
      </w:r>
      <w:r/>
    </w:p>
    <w:tbl>
      <w:tblPr>
        <w:tblStyle w:val="99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27"/>
        <w:gridCol w:w="1102"/>
        <w:gridCol w:w="1414"/>
        <w:gridCol w:w="1523"/>
        <w:gridCol w:w="2419"/>
        <w:gridCol w:w="2440"/>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0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10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41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164"/>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Phường Phương Canh, Nam Từ Liêm, Hà Nội</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Phường Xuân Phương, Nam Từ Liêm, Hà Nội</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Phường Phương Canh, Nam Từ Liêm, Hà Nội</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Phường Phương Canh, Nam Từ Liêm, Hà Nội</w:t>
            </w:r>
            <w:r/>
          </w:p>
        </w:tc>
      </w:tr>
      <w:tr>
        <w:trPr>
          <w:trHeight w:val="151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https://alonhadat.com.vn/can-ban-gap-giap-my-dinh-nam-tu-liem-34-8m-5-tang-mt-4m-nha-moi-o-to-20m-gia-hon-5-ty-17335797.html</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https://www.nhatot.com/mua-ban-nha-dat-quan-nam-tu-liem-ha-noi/129220585.htm</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0398987279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0985.709.889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0398987279</w:t>
            </w:r>
            <w:r/>
          </w:p>
        </w:tc>
      </w:tr>
      <w:tr>
        <w:trPr>
          <w:trHeight w:val="348"/>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Đã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r>
      <w:tr>
        <w:trPr>
          <w:trHeight w:val="8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771"/>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DT70A khoảng 400m</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DT70A khoảng 100m</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DT70A khoảng 300m</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DT70A khoảng 100m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 (ngõ cụt)</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38,90</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75,30</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70,00</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Hóp hậu</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Hóp hậu</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1200"/>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Nhà 4 tầng + 1 tum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4,5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157,50</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11.671.000.000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6.000.000.000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9.400.000.000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9.920.350.000</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5.640.000.000</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9.212.000.000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1.142.707.734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w:t>
            </w:r>
            <w:r>
              <w:rPr>
                <w:rFonts w:ascii="Times New Roman" w:hAnsi="Times New Roman" w:eastAsia="Times New Roman" w:cs="Times New Roman"/>
                <w:color w:val="ff0000"/>
                <w:sz w:val="22"/>
              </w:rPr>
              <w:t xml:space="preserve"> 409/QĐ-BXD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8.535.632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85%</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9.920.350.000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4.497.292.266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9.212.000.000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131.744.356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128.494.065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131.600.000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4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right="0" w:firstLine="0" w:left="0"/>
        <w:jc w:val="both"/>
        <w:rPr/>
      </w:pPr>
      <w:r>
        <w:rPr>
          <w:rFonts w:ascii="Times New Roman" w:hAnsi="Times New Roman" w:eastAsia="Times New Roman" w:cs="Times New Roman"/>
          <w:color w:val="000000"/>
          <w:sz w:val="24"/>
        </w:rPr>
        <w:t xml:space="preserve"> Các yếu tố như vị trí, giao thông, diện tích, mặt tiền,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60" w:before="6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jc w:val="both"/>
        <w:rPr/>
      </w:pPr>
      <w:r>
        <w:rPr>
          <w:rFonts w:ascii="Times New Roman" w:hAnsi="Times New Roman" w:eastAsia="Times New Roman" w:cs="Times New Roman"/>
          <w:b/>
          <w:color w:val="000000"/>
          <w:sz w:val="24"/>
        </w:rPr>
        <w:t xml:space="preserve">Bảng điều chỉnh:</w:t>
      </w:r>
      <w:r/>
    </w:p>
    <w:tbl>
      <w:tblPr>
        <w:tblStyle w:val="99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915"/>
        <w:gridCol w:w="850"/>
        <w:gridCol w:w="1557"/>
        <w:gridCol w:w="1557"/>
        <w:gridCol w:w="1557"/>
        <w:gridCol w:w="1557"/>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9.570.220.000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4.257.292.266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8.930.000.000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127.094.555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121.636.922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127.571.429 </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127.094.555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121.636.922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127.571.429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127.094.555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121.636.922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127.571.429 </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127.094.555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121.636.922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127.571.429 </w:t>
            </w:r>
            <w:r/>
          </w:p>
        </w:tc>
      </w:tr>
      <w:tr>
        <w:trPr>
          <w:trHeight w:val="12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DT70A khoảng 400m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DT70A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DT70A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DT70A khoảng 100m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-6,00%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-7.625.673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-7.654.286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119.468.882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121.636.922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119.917.143 </w:t>
            </w:r>
            <w:r/>
          </w:p>
        </w:tc>
      </w:tr>
      <w:tr>
        <w:trPr>
          <w:trHeight w:val="8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 (ngõ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-6.354.728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-6.081.846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-6.378.571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113.114.154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115.555.076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113.538.571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3.812.837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3.827.143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116.926.991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115.555.076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117.365.714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-2.541.891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114.385.100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115.555.076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117.365.714 </w:t>
            </w:r>
            <w:r/>
          </w:p>
        </w:tc>
      </w:tr>
      <w:tr>
        <w:trPr>
          <w:trHeight w:val="5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114.385.100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115.555.076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117.365.714 </w:t>
            </w:r>
            <w:r/>
          </w:p>
        </w:tc>
      </w:tr>
      <w:tr>
        <w:trPr>
          <w:trHeight w:val="3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-3.649.108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-3.827.143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114.385.100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111.905.968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113.538.571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114.385.100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111.905.968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113.538.571 </w:t>
            </w: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114.385.100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111.905.968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113.538.571 </w:t>
            </w: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2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113.276.546</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20.335.129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9.730.954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21.687.143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 - 6%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 - 6%</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12.709.456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9.730.954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14.032.857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2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113.000.000</w:t>
            </w:r>
            <w:r/>
          </w:p>
        </w:tc>
      </w:tr>
    </w:tbl>
    <w:p>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z w:val="24"/>
          <w:u w:val="single"/>
        </w:rPr>
        <w:t xml:space="preserve"> Về nguyên tắc khống chế:</w:t>
      </w:r>
      <w:r/>
    </w:p>
    <w:p>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-1,2% đến 1,0%, đảm bảo không quá 15% (theo Thông tư số 32/2024/TT-BTC ngày 12/4/2024 của Bộ Tài Chính).</w:t>
      </w:r>
      <w:r/>
    </w:p>
    <w:p>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z w:val="24"/>
          <w:u w:val="single"/>
        </w:rPr>
        <w:t xml:space="preserve">Về thống nhất các mức giá chỉ dẫn:</w:t>
      </w:r>
      <w:r/>
    </w:p>
    <w:p>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pacing w:val="-4"/>
          <w:sz w:val="24"/>
        </w:rPr>
        <w:t xml:space="preserve">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w:t>
      </w:r>
      <w:r>
        <w:rPr>
          <w:rFonts w:ascii="Times New Roman" w:hAnsi="Times New Roman" w:eastAsia="Times New Roman" w:cs="Times New Roman"/>
          <w:b/>
          <w:color w:val="000000"/>
          <w:sz w:val="24"/>
        </w:rPr>
        <w:t xml:space="preserve"> 113.000.000 đồng/m²</w:t>
      </w:r>
      <w:r>
        <w:rPr>
          <w:rFonts w:ascii="Times New Roman" w:hAnsi="Times New Roman" w:eastAsia="Times New Roman" w:cs="Times New Roman"/>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b/>
          <w:color w:val="000000"/>
          <w:sz w:val="24"/>
        </w:rPr>
        <w:t xml:space="preserve">Kết quả thẩm định giá: </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11/2025 như sau: </w:t>
      </w:r>
      <w:r/>
    </w:p>
    <w:tbl>
      <w:tblPr>
        <w:tblStyle w:val="99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86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Diện tích</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2"/>
              </w:rPr>
              <w:t xml:space="preserve">Đơn giá</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Giá trị thẩm định</w:t>
              <w:br/>
              <w:t xml:space="preserve">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366; 367, tờ bản đồ số 4 có địa chỉ: Phường Phương Canh, quận Nam Từ Liêm, thành phố Hà Nội (nay là phường Xuân Phương, thành phố Hà Nội) theo Giấy chứng nhận quyền sử dụng đất quyền sở hữu nhà ở và tài sản khác gắn liền </w:t>
            </w:r>
            <w:r>
              <w:rPr>
                <w:rFonts w:ascii="Times New Roman" w:hAnsi="Times New Roman" w:eastAsia="Times New Roman" w:cs="Times New Roman"/>
                <w:b/>
                <w:color w:val="000000"/>
                <w:sz w:val="24"/>
              </w:rPr>
              <w:t xml:space="preserve">với đất số: CK 844744, số vào sổ cấp GCN: CS-NTL: 08882 do Sở tài nguyên và môi trường thành phố Hà Nội cấp ngày 29/11/2017; Chủ sử dụng đất là Bà Nguyễn Kim Anh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Quyền sử dụng đất ở nông thôn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38,9</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113.000.000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4.395.700.000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spacing w:after="0" w:before="0" w:line="240" w:lineRule="auto"/>
              <w:ind/>
              <w:rPr/>
            </w:pPr>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4.395.700.000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4.396.000.000 </w:t>
            </w:r>
            <w:r/>
          </w:p>
        </w:tc>
      </w:tr>
      <w:tr>
        <w:trPr>
          <w:trHeight w:val="2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Bốn tỷ ba trăm chín mươi sáu triệu đồng chẵn./.)</w:t>
            </w: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X. TUYÊN BỐ CHUNG VÀ MIỄN TRỪ TRÁCH NHIỆM</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Chứng thư, Báo cáo này được soạn thảo theo Hợp đồng số 275/2025/1673/VFI-HĐTĐ.55.A được ký kết ngày 24/11/2025 và tuân theo các điều khoản được nêu trong Hợp đồng. Chứng thư, báo cáo này chỉ nhằm phục vụ cho mục đích sử dụng được nêu trong Báo cáo và không</w:t>
      </w:r>
      <w:r>
        <w:rPr>
          <w:rFonts w:ascii="Times New Roman" w:hAnsi="Times New Roman" w:eastAsia="Times New Roman" w:cs="Times New Roman"/>
          <w:color w:val="000000"/>
          <w:sz w:val="24"/>
        </w:rPr>
        <w:t xml:space="preserve"> nhằm mục đích sử dụng cho bất kỳ bên nào khác không được đề cập đến trong Hợp đồng (gọi tắt là “các bên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3"/>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XI. NHỮNG ĐIỀU KHOẢN LOẠI TRỪ VÀ HẠN CHẾ CỦA KẾT QUẢ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sz w:val="24"/>
        </w:rPr>
        <w:t xml:space="preserve"> sử dụng bản báo cáo nên thận trọng trong việc làm rõ các tài liệu pháp lý có liên quan đến vấn đề này trước khi đưa ra các quyết định về tài sản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rPr>
        <w:t xml:space="preserve">Giá trị ước tính này không nhất thiết phải trùng khớp với giá trị dùng để giao dịch.</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rPr>
        <w:t xml:space="preserve">ch, số ô, số thửa, tờ bản đồ theo Giấy chứng nhận quyền sử dụng đất  đã cung cấp cho chúng tôi.</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w:t>
      </w:r>
      <w:r>
        <w:rPr>
          <w:rFonts w:ascii="Times New Roman" w:hAnsi="Times New Roman" w:eastAsia="Times New Roman" w:cs="Times New Roman"/>
          <w:color w:val="000000"/>
          <w:spacing w:val="-2"/>
          <w:sz w:val="24"/>
        </w:rPr>
        <w:t xml:space="preserve">m định hay những chuyên gia kỹ thuật thuộc các lĩnh vực này.</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Phụ lục 2: Hình ảnh các tài sản so sánh.</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275/2025/1673/VFI-CT.55.Angày 25/11/2025 tại Công ty cổ phần Thẩm định và Đầu tư tài chính Hoa Sen.</w:t>
      </w:r>
      <w:r/>
    </w:p>
    <w:tbl>
      <w:tblPr>
        <w:tblStyle w:val="990"/>
        <w:tblInd w:w="-284" w:type="dxa"/>
        <w:tblW w:w="51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854"/>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Tổng Giám đốc</w:t>
            </w:r>
            <w:r/>
          </w:p>
        </w:tc>
      </w:tr>
      <w:tr>
        <w:trPr>
          <w:trHeight w:val="170"/>
        </w:trPr>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677"/>
        </w:trPr>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Đặng Quang Bách</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w:t>
            </w:r>
            <w:r>
              <w:rPr>
                <w:rFonts w:ascii="Times New Roman" w:hAnsi="Times New Roman" w:eastAsia="Times New Roman" w:cs="Times New Roman"/>
                <w:color w:val="081b3a"/>
                <w:spacing w:val="3"/>
                <w:sz w:val="24"/>
                <w:highlight w:val="white"/>
              </w:rPr>
              <w:t xml:space="preserve"> VIII13.721</w:t>
            </w: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Nguyễn Trọng Điệp</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X15.1272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tbl>
      <w:tblPr>
        <w:tblStyle w:val="99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525"/>
      </w:tblGrid>
      <w:tr>
        <w:trPr>
          <w:trHeight w:val="851"/>
        </w:trPr>
        <w:tc>
          <w:tcPr>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TRỢ LÝ THẨM ĐỊNH VIÊN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Đặng Quốc Đại</w:t>
            </w:r>
            <w:r/>
          </w:p>
        </w:tc>
      </w:tr>
    </w:tbl>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u w:val="singl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1</w:t>
      </w:r>
      <w:r>
        <w:rPr>
          <w:rFonts w:ascii="Times New Roman" w:hAnsi="Times New Roman" w:eastAsia="Times New Roman" w:cs="Times New Roman"/>
          <w:b/>
          <w:color w:val="000000"/>
          <w:sz w:val="24"/>
        </w:rPr>
        <w:t xml:space="preserve">: HÌNH ẢNH HIỆN TRẠNG CỦA TÀI SẢN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275/2025/1673/VFI-BC.55.A ngày 25 tháng 11 năm 2025 của </w:t>
      </w: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99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10"/>
        <w:gridCol w:w="4810"/>
      </w:tblGrid>
      <w:tr>
        <w:trPr>
          <w:trHeight w:val="20"/>
        </w:trPr>
        <w:tc>
          <w:tcPr>
            <w:tcBorders/>
            <w:tcMar>
              <w:left w:w="108" w:type="dxa"/>
              <w:top w:w="0" w:type="dxa"/>
              <w:right w:w="108" w:type="dxa"/>
              <w:bottom w:w="0" w:type="dxa"/>
            </w:tcMar>
            <w:tcW w:w="481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4010025" cy="39338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67777" name=""/>
                              <pic:cNvPicPr>
                                <a:picLocks noChangeAspect="1"/>
                              </pic:cNvPicPr>
                              <pic:nvPr/>
                            </pic:nvPicPr>
                            <pic:blipFill>
                              <a:blip r:embed="rId15"/>
                              <a:stretch/>
                            </pic:blipFill>
                            <pic:spPr bwMode="auto">
                              <a:xfrm>
                                <a:off x="0" y="0"/>
                                <a:ext cx="4010024" cy="3933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15.75pt;height:309.75pt;mso-wrap-distance-left:0.00pt;mso-wrap-distance-top:0.00pt;mso-wrap-distance-right:0.00pt;mso-wrap-distance-bottom:0.00pt;z-index:1;" stroked="false">
                      <v:imagedata r:id="rId15" o:title=""/>
                      <o:lock v:ext="edit" rotation="t"/>
                    </v:shape>
                  </w:pict>
                </mc:Fallback>
              </mc:AlternateContent>
            </w:r>
            <w:r/>
          </w:p>
        </w:tc>
        <w:tc>
          <w:tcPr>
            <w:tcBorders/>
            <w:tcMar>
              <w:left w:w="108" w:type="dxa"/>
              <w:top w:w="0" w:type="dxa"/>
              <w:right w:w="108" w:type="dxa"/>
              <w:bottom w:w="0" w:type="dxa"/>
            </w:tcMar>
            <w:tcW w:w="481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4562475" cy="341947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11146" name=""/>
                              <pic:cNvPicPr>
                                <a:picLocks noChangeAspect="1"/>
                              </pic:cNvPicPr>
                              <pic:nvPr/>
                            </pic:nvPicPr>
                            <pic:blipFill>
                              <a:blip r:embed="rId16"/>
                              <a:stretch/>
                            </pic:blipFill>
                            <pic:spPr bwMode="auto">
                              <a:xfrm>
                                <a:off x="0" y="0"/>
                                <a:ext cx="4562474" cy="3419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359.25pt;height:269.25pt;mso-wrap-distance-left:0.00pt;mso-wrap-distance-top:0.00pt;mso-wrap-distance-right:0.00pt;mso-wrap-distance-bottom:0.00pt;z-index:1;" stroked="false">
                      <v:imagedata r:id="rId16" o:title=""/>
                      <o:lock v:ext="edit" rotation="t"/>
                    </v:shape>
                  </w:pict>
                </mc:Fallback>
              </mc:AlternateContent>
            </w:r>
            <w:r/>
          </w:p>
        </w:tc>
      </w:tr>
      <w:tr>
        <w:trPr>
          <w:trHeight w:val="20"/>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 </w:t>
            </w:r>
            <w:r>
              <mc:AlternateContent>
                <mc:Choice Requires="wpg">
                  <w:drawing>
                    <wp:inline xmlns:wp="http://schemas.openxmlformats.org/drawingml/2006/wordprocessingDrawing" distT="0" distB="0" distL="0" distR="0">
                      <wp:extent cx="4286250" cy="33718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52339" name=""/>
                              <pic:cNvPicPr>
                                <a:picLocks noChangeAspect="1"/>
                              </pic:cNvPicPr>
                              <pic:nvPr/>
                            </pic:nvPicPr>
                            <pic:blipFill>
                              <a:blip r:embed="rId17"/>
                              <a:stretch/>
                            </pic:blipFill>
                            <pic:spPr bwMode="auto">
                              <a:xfrm>
                                <a:off x="0" y="0"/>
                                <a:ext cx="4286250" cy="3371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37.50pt;height:265.5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b/>
                <w:i/>
                <w:color w:val="000000"/>
                <w:sz w:val="22"/>
              </w:rPr>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 </w:t>
            </w:r>
            <w:r>
              <mc:AlternateContent>
                <mc:Choice Requires="wpg">
                  <w:drawing>
                    <wp:inline xmlns:wp="http://schemas.openxmlformats.org/drawingml/2006/wordprocessingDrawing" distT="0" distB="0" distL="0" distR="0">
                      <wp:extent cx="4562475" cy="34194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11397" name=""/>
                              <pic:cNvPicPr>
                                <a:picLocks noChangeAspect="1"/>
                              </pic:cNvPicPr>
                              <pic:nvPr/>
                            </pic:nvPicPr>
                            <pic:blipFill>
                              <a:blip r:embed="rId18"/>
                              <a:stretch/>
                            </pic:blipFill>
                            <pic:spPr bwMode="auto">
                              <a:xfrm>
                                <a:off x="0" y="0"/>
                                <a:ext cx="4562474" cy="3419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9.25pt;height:269.2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b/>
                <w:i/>
                <w:color w:val="000000"/>
                <w:sz w:val="22"/>
              </w:rPr>
            </w:r>
            <w:r/>
          </w:p>
        </w:tc>
      </w:tr>
      <w:tr>
        <w:trPr>
          <w:trHeight w:val="20"/>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 </w:t>
            </w:r>
            <w:r>
              <mc:AlternateContent>
                <mc:Choice Requires="wpg">
                  <w:drawing>
                    <wp:inline xmlns:wp="http://schemas.openxmlformats.org/drawingml/2006/wordprocessingDrawing" distT="0" distB="0" distL="0" distR="0">
                      <wp:extent cx="4286250" cy="39338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72436" name=""/>
                              <pic:cNvPicPr>
                                <a:picLocks noChangeAspect="1"/>
                              </pic:cNvPicPr>
                              <pic:nvPr/>
                            </pic:nvPicPr>
                            <pic:blipFill>
                              <a:blip r:embed="rId19"/>
                              <a:stretch/>
                            </pic:blipFill>
                            <pic:spPr bwMode="auto">
                              <a:xfrm>
                                <a:off x="0" y="0"/>
                                <a:ext cx="4286250" cy="3933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37.50pt;height:309.7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b/>
                <w:i/>
                <w:color w:val="000000"/>
                <w:sz w:val="22"/>
              </w:rPr>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2"/>
              </w:rPr>
              <w:t xml:space="preserve"> </w:t>
            </w:r>
            <w:r>
              <mc:AlternateContent>
                <mc:Choice Requires="wpg">
                  <w:drawing>
                    <wp:inline xmlns:wp="http://schemas.openxmlformats.org/drawingml/2006/wordprocessingDrawing" distT="0" distB="0" distL="0" distR="0">
                      <wp:extent cx="4505325" cy="39338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12805" name=""/>
                              <pic:cNvPicPr>
                                <a:picLocks noChangeAspect="1"/>
                              </pic:cNvPicPr>
                              <pic:nvPr/>
                            </pic:nvPicPr>
                            <pic:blipFill>
                              <a:blip r:embed="rId20"/>
                              <a:stretch/>
                            </pic:blipFill>
                            <pic:spPr bwMode="auto">
                              <a:xfrm>
                                <a:off x="0" y="0"/>
                                <a:ext cx="4505324" cy="3933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54.75pt;height:309.7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b/>
                <w:i/>
                <w:color w:val="000000"/>
                <w:sz w:val="22"/>
              </w:rPr>
            </w:r>
            <w:r/>
          </w:p>
        </w:tc>
      </w:tr>
      <w:tr>
        <w:trPr>
          <w:trHeight w:val="20"/>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562475" cy="34194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55211" name=""/>
                              <pic:cNvPicPr>
                                <a:picLocks noChangeAspect="1"/>
                              </pic:cNvPicPr>
                              <pic:nvPr/>
                            </pic:nvPicPr>
                            <pic:blipFill>
                              <a:blip r:embed="rId21"/>
                              <a:stretch/>
                            </pic:blipFill>
                            <pic:spPr bwMode="auto">
                              <a:xfrm>
                                <a:off x="0" y="0"/>
                                <a:ext cx="4562474" cy="3419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9.25pt;height:269.25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857500" cy="39338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473748" name=""/>
                              <pic:cNvPicPr>
                                <a:picLocks noChangeAspect="1"/>
                              </pic:cNvPicPr>
                              <pic:nvPr/>
                            </pic:nvPicPr>
                            <pic:blipFill>
                              <a:blip r:embed="rId22"/>
                              <a:stretch/>
                            </pic:blipFill>
                            <pic:spPr bwMode="auto">
                              <a:xfrm>
                                <a:off x="0" y="0"/>
                                <a:ext cx="2857500" cy="3933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00pt;height:309.75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83936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58346" name=""/>
                        <pic:cNvPicPr>
                          <a:picLocks noChangeAspect="1"/>
                        </pic:cNvPicPr>
                        <pic:nvPr/>
                      </pic:nvPicPr>
                      <pic:blipFill>
                        <a:blip r:embed="rId23"/>
                        <a:stretch/>
                      </pic:blipFill>
                      <pic:spPr bwMode="auto">
                        <a:xfrm>
                          <a:off x="0" y="0"/>
                          <a:ext cx="6048374" cy="8393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60.92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901908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24786" name=""/>
                        <pic:cNvPicPr>
                          <a:picLocks noChangeAspect="1"/>
                        </pic:cNvPicPr>
                        <pic:nvPr/>
                      </pic:nvPicPr>
                      <pic:blipFill>
                        <a:blip r:embed="rId24"/>
                        <a:stretch/>
                      </pic:blipFill>
                      <pic:spPr bwMode="auto">
                        <a:xfrm>
                          <a:off x="0" y="0"/>
                          <a:ext cx="6048374" cy="9019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710.16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924615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63807" name=""/>
                        <pic:cNvPicPr>
                          <a:picLocks noChangeAspect="1"/>
                        </pic:cNvPicPr>
                        <pic:nvPr/>
                      </pic:nvPicPr>
                      <pic:blipFill>
                        <a:blip r:embed="rId25"/>
                        <a:stretch/>
                      </pic:blipFill>
                      <pic:spPr bwMode="auto">
                        <a:xfrm>
                          <a:off x="0" y="0"/>
                          <a:ext cx="6048374" cy="9246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728.04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903684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82318" name=""/>
                        <pic:cNvPicPr>
                          <a:picLocks noChangeAspect="1"/>
                        </pic:cNvPicPr>
                        <pic:nvPr/>
                      </pic:nvPicPr>
                      <pic:blipFill>
                        <a:blip r:embed="rId26"/>
                        <a:stretch/>
                      </pic:blipFill>
                      <pic:spPr bwMode="auto">
                        <a:xfrm>
                          <a:off x="0" y="0"/>
                          <a:ext cx="6048374" cy="9036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711.56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mc:AlternateContent>
          <mc:Choice Requires="wpg">
            <w:drawing>
              <wp:inline xmlns:wp="http://schemas.openxmlformats.org/drawingml/2006/wordprocessingDrawing" distT="0" distB="0" distL="0" distR="0">
                <wp:extent cx="6048375" cy="806852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62782" name=""/>
                        <pic:cNvPicPr>
                          <a:picLocks noChangeAspect="1"/>
                        </pic:cNvPicPr>
                        <pic:nvPr/>
                      </pic:nvPicPr>
                      <pic:blipFill>
                        <a:blip r:embed="rId27"/>
                        <a:stretch/>
                      </pic:blipFill>
                      <pic:spPr bwMode="auto">
                        <a:xfrm>
                          <a:off x="0" y="0"/>
                          <a:ext cx="6048374" cy="80685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32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b/>
          <w:color w:val="000000"/>
          <w:sz w:val="24"/>
          <w:u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2</w:t>
      </w:r>
      <w:r>
        <w:rPr>
          <w:rFonts w:ascii="Times New Roman" w:hAnsi="Times New Roman" w:eastAsia="Times New Roman" w:cs="Times New Roman"/>
          <w:b/>
          <w:color w:val="000000"/>
          <w:sz w:val="24"/>
        </w:rPr>
        <w:t xml:space="preserve">: THÔNG TIN CÁC TÀI SẢN SO SÁNH</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275/2025/1673/VFI-CT.55.A ngày 25 tháng 11 năm 2025 của </w:t>
      </w: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color w:val="000000"/>
          <w:sz w:val="24"/>
        </w:rPr>
        <w:t xml:space="preserve">TSSS1</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441303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02690" name=""/>
                        <pic:cNvPicPr>
                          <a:picLocks noChangeAspect="1"/>
                        </pic:cNvPicPr>
                        <pic:nvPr/>
                      </pic:nvPicPr>
                      <pic:blipFill>
                        <a:blip r:embed="rId28"/>
                        <a:stretch/>
                      </pic:blipFill>
                      <pic:spPr bwMode="auto">
                        <a:xfrm flipH="0" flipV="0">
                          <a:off x="0" y="0"/>
                          <a:ext cx="6048374" cy="44130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47.48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mc:AlternateContent>
          <mc:Choice Requires="wpg">
            <w:drawing>
              <wp:inline xmlns:wp="http://schemas.openxmlformats.org/drawingml/2006/wordprocessingDrawing" distT="0" distB="0" distL="0" distR="0">
                <wp:extent cx="2028825" cy="253022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07064" name=""/>
                        <pic:cNvPicPr>
                          <a:picLocks noChangeAspect="1"/>
                        </pic:cNvPicPr>
                        <pic:nvPr/>
                      </pic:nvPicPr>
                      <pic:blipFill>
                        <a:blip r:embed="rId29"/>
                        <a:stretch/>
                      </pic:blipFill>
                      <pic:spPr bwMode="auto">
                        <a:xfrm flipH="0" flipV="0">
                          <a:off x="0" y="0"/>
                          <a:ext cx="2028825" cy="2530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9.75pt;height:199.23pt;mso-wrap-distance-left:0.00pt;mso-wrap-distance-top:0.00pt;mso-wrap-distance-right:0.00pt;mso-wrap-distance-bottom:0.00pt;z-index:1;" stroked="false">
                <v:imagedata r:id="rId29" o:title=""/>
                <o:lock v:ext="edit" rotation="t"/>
              </v:shape>
            </w:pict>
          </mc:Fallback>
        </mc:AlternateContent>
      </w:r>
      <w:r>
        <mc:AlternateContent>
          <mc:Choice Requires="wpg">
            <w:drawing>
              <wp:inline xmlns:wp="http://schemas.openxmlformats.org/drawingml/2006/wordprocessingDrawing" distT="0" distB="0" distL="0" distR="0">
                <wp:extent cx="2247900" cy="24445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43462" name=""/>
                        <pic:cNvPicPr>
                          <a:picLocks noChangeAspect="1"/>
                        </pic:cNvPicPr>
                        <pic:nvPr/>
                      </pic:nvPicPr>
                      <pic:blipFill>
                        <a:blip r:embed="rId30"/>
                        <a:stretch/>
                      </pic:blipFill>
                      <pic:spPr bwMode="auto">
                        <a:xfrm flipH="0" flipV="0">
                          <a:off x="0" y="0"/>
                          <a:ext cx="2247899" cy="24445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7.00pt;height:192.48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b/>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Người thu thập thông tin</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Đặng Quốc Đại</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345037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81982" name=""/>
                        <pic:cNvPicPr>
                          <a:picLocks noChangeAspect="1"/>
                        </pic:cNvPicPr>
                        <pic:nvPr/>
                      </pic:nvPicPr>
                      <pic:blipFill>
                        <a:blip r:embed="rId31"/>
                        <a:stretch/>
                      </pic:blipFill>
                      <pic:spPr bwMode="auto">
                        <a:xfrm>
                          <a:off x="0" y="0"/>
                          <a:ext cx="6048374" cy="3450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271.68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276" w:lineRule="auto"/>
        <w:ind w:right="0" w:firstLine="0" w:left="0"/>
        <w:jc w:val="right"/>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5667375" cy="33718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73226" name=""/>
                        <pic:cNvPicPr>
                          <a:picLocks noChangeAspect="1"/>
                        </pic:cNvPicPr>
                        <pic:nvPr/>
                      </pic:nvPicPr>
                      <pic:blipFill>
                        <a:blip r:embed="rId32"/>
                        <a:stretch/>
                      </pic:blipFill>
                      <pic:spPr bwMode="auto">
                        <a:xfrm>
                          <a:off x="0" y="0"/>
                          <a:ext cx="5667374" cy="3371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6.25pt;height:265.5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right"/>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Người thu thập thông tin</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right"/>
        <w:rPr/>
      </w:pPr>
      <w:r>
        <w:rPr>
          <w:rFonts w:ascii="Times New Roman" w:hAnsi="Times New Roman" w:eastAsia="Times New Roman" w:cs="Times New Roman"/>
          <w:b/>
          <w:color w:val="000000"/>
          <w:sz w:val="24"/>
        </w:rPr>
        <w:t xml:space="preserve">Đặng Quốc Đại</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TSSS3</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380441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83068" name=""/>
                        <pic:cNvPicPr>
                          <a:picLocks noChangeAspect="1"/>
                        </pic:cNvPicPr>
                        <pic:nvPr/>
                      </pic:nvPicPr>
                      <pic:blipFill>
                        <a:blip r:embed="rId33"/>
                        <a:stretch/>
                      </pic:blipFill>
                      <pic:spPr bwMode="auto">
                        <a:xfrm>
                          <a:off x="0" y="0"/>
                          <a:ext cx="6048374" cy="3804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299.56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3248025" cy="367611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01341" name=""/>
                        <pic:cNvPicPr>
                          <a:picLocks noChangeAspect="1"/>
                        </pic:cNvPicPr>
                        <pic:nvPr/>
                      </pic:nvPicPr>
                      <pic:blipFill>
                        <a:blip r:embed="rId34"/>
                        <a:stretch/>
                      </pic:blipFill>
                      <pic:spPr bwMode="auto">
                        <a:xfrm flipH="0" flipV="0">
                          <a:off x="0" y="0"/>
                          <a:ext cx="3248024" cy="3676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55.75pt;height:289.46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right"/>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Người thu thập thông tin</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right"/>
        <w:rPr/>
      </w:pPr>
      <w:r>
        <w:rPr>
          <w:rFonts w:ascii="Times New Roman" w:hAnsi="Times New Roman" w:eastAsia="Times New Roman" w:cs="Times New Roman"/>
          <w:b/>
          <w:color w:val="000000"/>
          <w:sz w:val="24"/>
        </w:rPr>
        <w:t xml:space="preserve">Đặng Quốc Đại</w:t>
      </w:r>
      <w:r/>
    </w:p>
    <w:p>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7341D5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B093AC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957EE4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536B6D02"/>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525" w:left="885"/>
      </w:pPr>
      <w:rPr/>
      <w:start w:val="2"/>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440" w:left="180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800" w:left="2160"/>
      </w:pPr>
      <w:rPr/>
      <w:start w:val="1"/>
      <w:suff w:val="tab"/>
    </w:lvl>
    <w:lvl w:ilvl="8">
      <w:isLgl w:val="false"/>
      <w:lvlJc w:val="left"/>
      <w:lvlText w:val="%1.%2.%3.%4.%5.%6.%7.%8.%9"/>
      <w:numFmt w:val="decimal"/>
      <w:pPr>
        <w:pBdr/>
        <w:spacing/>
        <w:ind w:hanging="1800" w:left="2160"/>
      </w:pPr>
      <w:rPr/>
      <w:start w:val="1"/>
      <w:suff w:val="tab"/>
    </w:lvl>
  </w:abstractNum>
  <w:abstractNum w:abstractNumId="41">
    <w:nsid w:val="5467DC3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4D30089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8">
    <w:name w:val="Table Grid Light"/>
    <w:basedOn w:val="97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1"/>
    <w:basedOn w:val="97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2"/>
    <w:basedOn w:val="97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3"/>
    <w:basedOn w:val="9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Plain Table 4"/>
    <w:basedOn w:val="9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Plain Table 5"/>
    <w:basedOn w:val="9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w:basedOn w:val="97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1"/>
    <w:basedOn w:val="9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2"/>
    <w:basedOn w:val="9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3"/>
    <w:basedOn w:val="9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4"/>
    <w:basedOn w:val="9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 Accent 5"/>
    <w:basedOn w:val="9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 Accent 6"/>
    <w:basedOn w:val="9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w:basedOn w:val="9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1"/>
    <w:basedOn w:val="9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2"/>
    <w:basedOn w:val="9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3"/>
    <w:basedOn w:val="9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4"/>
    <w:basedOn w:val="9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 Accent 5"/>
    <w:basedOn w:val="9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 Accent 6"/>
    <w:basedOn w:val="9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w:basedOn w:val="9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1"/>
    <w:basedOn w:val="9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2"/>
    <w:basedOn w:val="9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3"/>
    <w:basedOn w:val="9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4"/>
    <w:basedOn w:val="9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 Accent 5"/>
    <w:basedOn w:val="9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 Accent 6"/>
    <w:basedOn w:val="9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w:basedOn w:val="97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1"/>
    <w:basedOn w:val="97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2"/>
    <w:basedOn w:val="97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3"/>
    <w:basedOn w:val="97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4"/>
    <w:basedOn w:val="97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 Accent 5"/>
    <w:basedOn w:val="97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 Accent 6"/>
    <w:basedOn w:val="97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Accent 1"/>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 Accent 2"/>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 Accent 3"/>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Accent 4"/>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 Accent 5"/>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 Accent 6"/>
    <w:basedOn w:val="9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6 Colorful"/>
    <w:basedOn w:val="97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0">
    <w:name w:val="Grid Table 6 Colorful - Accent 1"/>
    <w:basedOn w:val="97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1">
    <w:name w:val="Grid Table 6 Colorful - Accent 2"/>
    <w:basedOn w:val="9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2">
    <w:name w:val="Grid Table 6 Colorful - Accent 3"/>
    <w:basedOn w:val="97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3">
    <w:name w:val="Grid Table 6 Colorful - Accent 4"/>
    <w:basedOn w:val="9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4">
    <w:name w:val="Grid Table 6 Colorful - Accent 5"/>
    <w:basedOn w:val="97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5">
    <w:name w:val="Grid Table 6 Colorful - Accent 6"/>
    <w:basedOn w:val="97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6">
    <w:name w:val="Grid Table 7 Colorful"/>
    <w:basedOn w:val="97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1"/>
    <w:basedOn w:val="97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2"/>
    <w:basedOn w:val="97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3"/>
    <w:basedOn w:val="97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4"/>
    <w:basedOn w:val="97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7 Colorful - Accent 5"/>
    <w:basedOn w:val="97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7 Colorful - Accent 6"/>
    <w:basedOn w:val="97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1"/>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2"/>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3"/>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4"/>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 Accent 5"/>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 Accent 6"/>
    <w:basedOn w:val="9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w:basedOn w:val="97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1"/>
    <w:basedOn w:val="97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2"/>
    <w:basedOn w:val="97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3"/>
    <w:basedOn w:val="97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4"/>
    <w:basedOn w:val="97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 Accent 5"/>
    <w:basedOn w:val="97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 Accent 6"/>
    <w:basedOn w:val="97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w:basedOn w:val="9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1"/>
    <w:basedOn w:val="97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2"/>
    <w:basedOn w:val="9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3"/>
    <w:basedOn w:val="97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4"/>
    <w:basedOn w:val="9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 Accent 5"/>
    <w:basedOn w:val="97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 Accent 6"/>
    <w:basedOn w:val="97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w:basedOn w:val="9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1"/>
    <w:basedOn w:val="97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2"/>
    <w:basedOn w:val="97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3"/>
    <w:basedOn w:val="97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4"/>
    <w:basedOn w:val="97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 Accent 5"/>
    <w:basedOn w:val="97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 Accent 6"/>
    <w:basedOn w:val="97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5 Dark"/>
    <w:basedOn w:val="97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2">
    <w:name w:val="List Table 5 Dark - Accent 1"/>
    <w:basedOn w:val="97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3">
    <w:name w:val="List Table 5 Dark - Accent 2"/>
    <w:basedOn w:val="97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5 Dark - Accent 3"/>
    <w:basedOn w:val="97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5">
    <w:name w:val="List Table 5 Dark - Accent 4"/>
    <w:basedOn w:val="97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5 Dark - Accent 5"/>
    <w:basedOn w:val="97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7">
    <w:name w:val="List Table 5 Dark - Accent 6"/>
    <w:basedOn w:val="97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8">
    <w:name w:val="List Table 6 Colorful"/>
    <w:basedOn w:val="97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1"/>
    <w:basedOn w:val="97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2"/>
    <w:basedOn w:val="97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3"/>
    <w:basedOn w:val="97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4"/>
    <w:basedOn w:val="97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6 Colorful - Accent 5"/>
    <w:basedOn w:val="97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6 Colorful - Accent 6"/>
    <w:basedOn w:val="97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7 Colorful"/>
    <w:basedOn w:val="97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6">
    <w:name w:val="List Table 7 Colorful - Accent 1"/>
    <w:basedOn w:val="97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97">
    <w:name w:val="List Table 7 Colorful - Accent 2"/>
    <w:basedOn w:val="97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98">
    <w:name w:val="List Table 7 Colorful - Accent 3"/>
    <w:basedOn w:val="97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99">
    <w:name w:val="List Table 7 Colorful - Accent 4"/>
    <w:basedOn w:val="97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00">
    <w:name w:val="List Table 7 Colorful - Accent 5"/>
    <w:basedOn w:val="97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01">
    <w:name w:val="List Table 7 Colorful - Accent 6"/>
    <w:basedOn w:val="97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02">
    <w:name w:val="Lined - Accent"/>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1"/>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2"/>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3"/>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4"/>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ned - Accent 5"/>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ned - Accent 6"/>
    <w:basedOn w:val="9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w:basedOn w:val="97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1"/>
    <w:basedOn w:val="97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2"/>
    <w:basedOn w:val="97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3"/>
    <w:basedOn w:val="97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4"/>
    <w:basedOn w:val="97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5"/>
    <w:basedOn w:val="97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6"/>
    <w:basedOn w:val="97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w:basedOn w:val="97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1"/>
    <w:basedOn w:val="9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2"/>
    <w:basedOn w:val="9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3"/>
    <w:basedOn w:val="9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4"/>
    <w:basedOn w:val="9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 Accent 5"/>
    <w:basedOn w:val="9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 Accent 6"/>
    <w:basedOn w:val="9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3">
    <w:name w:val="Heading 5"/>
    <w:basedOn w:val="964"/>
    <w:next w:val="964"/>
    <w:link w:val="92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4">
    <w:name w:val="Heading 6"/>
    <w:basedOn w:val="964"/>
    <w:next w:val="964"/>
    <w:link w:val="92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5">
    <w:name w:val="Heading 7"/>
    <w:basedOn w:val="964"/>
    <w:next w:val="964"/>
    <w:link w:val="93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26">
    <w:name w:val="Heading 8"/>
    <w:basedOn w:val="964"/>
    <w:next w:val="964"/>
    <w:link w:val="93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27">
    <w:name w:val="Heading 9"/>
    <w:basedOn w:val="964"/>
    <w:next w:val="964"/>
    <w:link w:val="93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28">
    <w:name w:val="Heading 5 Char"/>
    <w:basedOn w:val="969"/>
    <w:link w:val="923"/>
    <w:uiPriority w:val="9"/>
    <w:pPr>
      <w:pBdr/>
      <w:spacing/>
      <w:ind/>
    </w:pPr>
    <w:rPr>
      <w:rFonts w:ascii="Arial" w:hAnsi="Arial" w:eastAsia="Arial" w:cs="Arial"/>
      <w:color w:val="0f4761" w:themeColor="accent1" w:themeShade="BF"/>
    </w:rPr>
  </w:style>
  <w:style w:type="character" w:styleId="929">
    <w:name w:val="Heading 6 Char"/>
    <w:basedOn w:val="969"/>
    <w:link w:val="924"/>
    <w:uiPriority w:val="9"/>
    <w:pPr>
      <w:pBdr/>
      <w:spacing/>
      <w:ind/>
    </w:pPr>
    <w:rPr>
      <w:rFonts w:ascii="Arial" w:hAnsi="Arial" w:eastAsia="Arial" w:cs="Arial"/>
      <w:i/>
      <w:iCs/>
      <w:color w:val="595959" w:themeColor="text1" w:themeTint="A6"/>
    </w:rPr>
  </w:style>
  <w:style w:type="character" w:styleId="930">
    <w:name w:val="Heading 7 Char"/>
    <w:basedOn w:val="969"/>
    <w:link w:val="925"/>
    <w:uiPriority w:val="9"/>
    <w:pPr>
      <w:pBdr/>
      <w:spacing/>
      <w:ind/>
    </w:pPr>
    <w:rPr>
      <w:rFonts w:ascii="Arial" w:hAnsi="Arial" w:eastAsia="Arial" w:cs="Arial"/>
      <w:color w:val="595959" w:themeColor="text1" w:themeTint="A6"/>
    </w:rPr>
  </w:style>
  <w:style w:type="character" w:styleId="931">
    <w:name w:val="Heading 8 Char"/>
    <w:basedOn w:val="969"/>
    <w:link w:val="926"/>
    <w:uiPriority w:val="9"/>
    <w:pPr>
      <w:pBdr/>
      <w:spacing/>
      <w:ind/>
    </w:pPr>
    <w:rPr>
      <w:rFonts w:ascii="Arial" w:hAnsi="Arial" w:eastAsia="Arial" w:cs="Arial"/>
      <w:i/>
      <w:iCs/>
      <w:color w:val="272727" w:themeColor="text1" w:themeTint="D8"/>
    </w:rPr>
  </w:style>
  <w:style w:type="character" w:styleId="932">
    <w:name w:val="Heading 9 Char"/>
    <w:basedOn w:val="969"/>
    <w:link w:val="927"/>
    <w:uiPriority w:val="9"/>
    <w:pPr>
      <w:pBdr/>
      <w:spacing/>
      <w:ind/>
    </w:pPr>
    <w:rPr>
      <w:rFonts w:ascii="Arial" w:hAnsi="Arial" w:eastAsia="Arial" w:cs="Arial"/>
      <w:i/>
      <w:iCs/>
      <w:color w:val="272727" w:themeColor="text1" w:themeTint="D8"/>
    </w:rPr>
  </w:style>
  <w:style w:type="paragraph" w:styleId="933">
    <w:name w:val="Subtitle"/>
    <w:basedOn w:val="964"/>
    <w:next w:val="964"/>
    <w:link w:val="934"/>
    <w:uiPriority w:val="11"/>
    <w:qFormat/>
    <w:pPr>
      <w:numPr>
        <w:ilvl w:val="1"/>
      </w:numPr>
      <w:pBdr/>
      <w:spacing/>
      <w:ind/>
    </w:pPr>
    <w:rPr>
      <w:color w:val="595959" w:themeColor="text1" w:themeTint="A6"/>
      <w:spacing w:val="15"/>
      <w:sz w:val="28"/>
      <w:szCs w:val="28"/>
    </w:rPr>
  </w:style>
  <w:style w:type="character" w:styleId="934">
    <w:name w:val="Subtitle Char"/>
    <w:basedOn w:val="969"/>
    <w:link w:val="933"/>
    <w:uiPriority w:val="11"/>
    <w:pPr>
      <w:pBdr/>
      <w:spacing/>
      <w:ind/>
    </w:pPr>
    <w:rPr>
      <w:color w:val="595959" w:themeColor="text1" w:themeTint="A6"/>
      <w:spacing w:val="15"/>
      <w:sz w:val="28"/>
      <w:szCs w:val="28"/>
    </w:rPr>
  </w:style>
  <w:style w:type="paragraph" w:styleId="935">
    <w:name w:val="Quote"/>
    <w:basedOn w:val="964"/>
    <w:next w:val="964"/>
    <w:link w:val="936"/>
    <w:uiPriority w:val="29"/>
    <w:qFormat/>
    <w:pPr>
      <w:pBdr/>
      <w:spacing w:before="160"/>
      <w:ind/>
      <w:jc w:val="center"/>
    </w:pPr>
    <w:rPr>
      <w:i/>
      <w:iCs/>
      <w:color w:val="404040" w:themeColor="text1" w:themeTint="BF"/>
    </w:rPr>
  </w:style>
  <w:style w:type="character" w:styleId="936">
    <w:name w:val="Quote Char"/>
    <w:basedOn w:val="969"/>
    <w:link w:val="935"/>
    <w:uiPriority w:val="29"/>
    <w:pPr>
      <w:pBdr/>
      <w:spacing/>
      <w:ind/>
    </w:pPr>
    <w:rPr>
      <w:i/>
      <w:iCs/>
      <w:color w:val="404040" w:themeColor="text1" w:themeTint="BF"/>
    </w:rPr>
  </w:style>
  <w:style w:type="character" w:styleId="937">
    <w:name w:val="Intense Emphasis"/>
    <w:basedOn w:val="969"/>
    <w:uiPriority w:val="21"/>
    <w:qFormat/>
    <w:pPr>
      <w:pBdr/>
      <w:spacing/>
      <w:ind/>
    </w:pPr>
    <w:rPr>
      <w:i/>
      <w:iCs/>
      <w:color w:val="0f4761" w:themeColor="accent1" w:themeShade="BF"/>
    </w:rPr>
  </w:style>
  <w:style w:type="paragraph" w:styleId="938">
    <w:name w:val="Intense Quote"/>
    <w:basedOn w:val="964"/>
    <w:next w:val="964"/>
    <w:link w:val="93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9">
    <w:name w:val="Intense Quote Char"/>
    <w:basedOn w:val="969"/>
    <w:link w:val="938"/>
    <w:uiPriority w:val="30"/>
    <w:pPr>
      <w:pBdr/>
      <w:spacing/>
      <w:ind/>
    </w:pPr>
    <w:rPr>
      <w:i/>
      <w:iCs/>
      <w:color w:val="0f4761" w:themeColor="accent1" w:themeShade="BF"/>
    </w:rPr>
  </w:style>
  <w:style w:type="character" w:styleId="940">
    <w:name w:val="Intense Reference"/>
    <w:basedOn w:val="969"/>
    <w:uiPriority w:val="32"/>
    <w:qFormat/>
    <w:pPr>
      <w:pBdr/>
      <w:spacing/>
      <w:ind/>
    </w:pPr>
    <w:rPr>
      <w:b/>
      <w:bCs/>
      <w:smallCaps/>
      <w:color w:val="0f4761" w:themeColor="accent1" w:themeShade="BF"/>
      <w:spacing w:val="5"/>
    </w:rPr>
  </w:style>
  <w:style w:type="paragraph" w:styleId="941">
    <w:name w:val="No Spacing"/>
    <w:basedOn w:val="964"/>
    <w:uiPriority w:val="1"/>
    <w:qFormat/>
    <w:pPr>
      <w:pBdr/>
      <w:spacing w:after="0" w:line="240" w:lineRule="auto"/>
      <w:ind/>
    </w:pPr>
  </w:style>
  <w:style w:type="character" w:styleId="942">
    <w:name w:val="Subtle Emphasis"/>
    <w:basedOn w:val="969"/>
    <w:uiPriority w:val="19"/>
    <w:qFormat/>
    <w:pPr>
      <w:pBdr/>
      <w:spacing/>
      <w:ind/>
    </w:pPr>
    <w:rPr>
      <w:i/>
      <w:iCs/>
      <w:color w:val="404040" w:themeColor="text1" w:themeTint="BF"/>
    </w:rPr>
  </w:style>
  <w:style w:type="character" w:styleId="943">
    <w:name w:val="Subtle Reference"/>
    <w:basedOn w:val="969"/>
    <w:uiPriority w:val="31"/>
    <w:qFormat/>
    <w:pPr>
      <w:pBdr/>
      <w:spacing/>
      <w:ind/>
    </w:pPr>
    <w:rPr>
      <w:smallCaps/>
      <w:color w:val="5a5a5a" w:themeColor="text1" w:themeTint="A5"/>
    </w:rPr>
  </w:style>
  <w:style w:type="character" w:styleId="944">
    <w:name w:val="Book Title"/>
    <w:basedOn w:val="969"/>
    <w:uiPriority w:val="33"/>
    <w:qFormat/>
    <w:pPr>
      <w:pBdr/>
      <w:spacing/>
      <w:ind/>
    </w:pPr>
    <w:rPr>
      <w:b/>
      <w:bCs/>
      <w:i/>
      <w:iCs/>
      <w:spacing w:val="5"/>
    </w:rPr>
  </w:style>
  <w:style w:type="paragraph" w:styleId="945">
    <w:name w:val="Caption"/>
    <w:basedOn w:val="964"/>
    <w:next w:val="964"/>
    <w:uiPriority w:val="35"/>
    <w:unhideWhenUsed/>
    <w:qFormat/>
    <w:pPr>
      <w:pBdr/>
      <w:spacing w:after="200" w:line="240" w:lineRule="auto"/>
      <w:ind/>
    </w:pPr>
    <w:rPr>
      <w:i/>
      <w:iCs/>
      <w:color w:val="0e2841" w:themeColor="text2"/>
      <w:sz w:val="18"/>
      <w:szCs w:val="18"/>
    </w:rPr>
  </w:style>
  <w:style w:type="paragraph" w:styleId="946">
    <w:name w:val="footnote text"/>
    <w:basedOn w:val="964"/>
    <w:link w:val="947"/>
    <w:uiPriority w:val="99"/>
    <w:semiHidden/>
    <w:unhideWhenUsed/>
    <w:pPr>
      <w:pBdr/>
      <w:spacing w:after="0" w:line="240" w:lineRule="auto"/>
      <w:ind/>
    </w:pPr>
    <w:rPr>
      <w:sz w:val="20"/>
      <w:szCs w:val="20"/>
    </w:rPr>
  </w:style>
  <w:style w:type="character" w:styleId="947">
    <w:name w:val="Footnote Text Char"/>
    <w:basedOn w:val="969"/>
    <w:link w:val="946"/>
    <w:uiPriority w:val="99"/>
    <w:semiHidden/>
    <w:pPr>
      <w:pBdr/>
      <w:spacing/>
      <w:ind/>
    </w:pPr>
    <w:rPr>
      <w:sz w:val="20"/>
      <w:szCs w:val="20"/>
    </w:rPr>
  </w:style>
  <w:style w:type="character" w:styleId="948">
    <w:name w:val="footnote reference"/>
    <w:basedOn w:val="969"/>
    <w:uiPriority w:val="99"/>
    <w:semiHidden/>
    <w:unhideWhenUsed/>
    <w:pPr>
      <w:pBdr/>
      <w:spacing/>
      <w:ind/>
    </w:pPr>
    <w:rPr>
      <w:vertAlign w:val="superscript"/>
    </w:rPr>
  </w:style>
  <w:style w:type="paragraph" w:styleId="949">
    <w:name w:val="endnote text"/>
    <w:basedOn w:val="964"/>
    <w:link w:val="950"/>
    <w:uiPriority w:val="99"/>
    <w:semiHidden/>
    <w:unhideWhenUsed/>
    <w:pPr>
      <w:pBdr/>
      <w:spacing w:after="0" w:line="240" w:lineRule="auto"/>
      <w:ind/>
    </w:pPr>
    <w:rPr>
      <w:sz w:val="20"/>
      <w:szCs w:val="20"/>
    </w:rPr>
  </w:style>
  <w:style w:type="character" w:styleId="950">
    <w:name w:val="Endnote Text Char"/>
    <w:basedOn w:val="969"/>
    <w:link w:val="949"/>
    <w:uiPriority w:val="99"/>
    <w:semiHidden/>
    <w:pPr>
      <w:pBdr/>
      <w:spacing/>
      <w:ind/>
    </w:pPr>
    <w:rPr>
      <w:sz w:val="20"/>
      <w:szCs w:val="20"/>
    </w:rPr>
  </w:style>
  <w:style w:type="character" w:styleId="951">
    <w:name w:val="endnote reference"/>
    <w:basedOn w:val="969"/>
    <w:uiPriority w:val="99"/>
    <w:semiHidden/>
    <w:unhideWhenUsed/>
    <w:pPr>
      <w:pBdr/>
      <w:spacing/>
      <w:ind/>
    </w:pPr>
    <w:rPr>
      <w:vertAlign w:val="superscript"/>
    </w:rPr>
  </w:style>
  <w:style w:type="paragraph" w:styleId="952">
    <w:name w:val="toc 1"/>
    <w:basedOn w:val="964"/>
    <w:next w:val="964"/>
    <w:uiPriority w:val="39"/>
    <w:unhideWhenUsed/>
    <w:pPr>
      <w:pBdr/>
      <w:spacing w:after="100"/>
      <w:ind/>
    </w:pPr>
  </w:style>
  <w:style w:type="paragraph" w:styleId="953">
    <w:name w:val="toc 2"/>
    <w:basedOn w:val="964"/>
    <w:next w:val="964"/>
    <w:uiPriority w:val="39"/>
    <w:unhideWhenUsed/>
    <w:pPr>
      <w:pBdr/>
      <w:spacing w:after="100"/>
      <w:ind w:left="220"/>
    </w:pPr>
  </w:style>
  <w:style w:type="paragraph" w:styleId="954">
    <w:name w:val="toc 3"/>
    <w:basedOn w:val="964"/>
    <w:next w:val="964"/>
    <w:uiPriority w:val="39"/>
    <w:unhideWhenUsed/>
    <w:pPr>
      <w:pBdr/>
      <w:spacing w:after="100"/>
      <w:ind w:left="440"/>
    </w:pPr>
  </w:style>
  <w:style w:type="paragraph" w:styleId="955">
    <w:name w:val="toc 4"/>
    <w:basedOn w:val="964"/>
    <w:next w:val="964"/>
    <w:uiPriority w:val="39"/>
    <w:unhideWhenUsed/>
    <w:pPr>
      <w:pBdr/>
      <w:spacing w:after="100"/>
      <w:ind w:left="660"/>
    </w:pPr>
  </w:style>
  <w:style w:type="paragraph" w:styleId="956">
    <w:name w:val="toc 5"/>
    <w:basedOn w:val="964"/>
    <w:next w:val="964"/>
    <w:uiPriority w:val="39"/>
    <w:unhideWhenUsed/>
    <w:pPr>
      <w:pBdr/>
      <w:spacing w:after="100"/>
      <w:ind w:left="880"/>
    </w:pPr>
  </w:style>
  <w:style w:type="paragraph" w:styleId="957">
    <w:name w:val="toc 6"/>
    <w:basedOn w:val="964"/>
    <w:next w:val="964"/>
    <w:uiPriority w:val="39"/>
    <w:unhideWhenUsed/>
    <w:pPr>
      <w:pBdr/>
      <w:spacing w:after="100"/>
      <w:ind w:left="1100"/>
    </w:pPr>
  </w:style>
  <w:style w:type="paragraph" w:styleId="958">
    <w:name w:val="toc 7"/>
    <w:basedOn w:val="964"/>
    <w:next w:val="964"/>
    <w:uiPriority w:val="39"/>
    <w:unhideWhenUsed/>
    <w:pPr>
      <w:pBdr/>
      <w:spacing w:after="100"/>
      <w:ind w:left="1320"/>
    </w:pPr>
  </w:style>
  <w:style w:type="paragraph" w:styleId="959">
    <w:name w:val="toc 8"/>
    <w:basedOn w:val="964"/>
    <w:next w:val="964"/>
    <w:uiPriority w:val="39"/>
    <w:unhideWhenUsed/>
    <w:pPr>
      <w:pBdr/>
      <w:spacing w:after="100"/>
      <w:ind w:left="1540"/>
    </w:pPr>
  </w:style>
  <w:style w:type="paragraph" w:styleId="960">
    <w:name w:val="toc 9"/>
    <w:basedOn w:val="964"/>
    <w:next w:val="964"/>
    <w:uiPriority w:val="39"/>
    <w:unhideWhenUsed/>
    <w:pPr>
      <w:pBdr/>
      <w:spacing w:after="100"/>
      <w:ind w:left="1760"/>
    </w:pPr>
  </w:style>
  <w:style w:type="character" w:styleId="961">
    <w:name w:val="Placeholder Text"/>
    <w:basedOn w:val="969"/>
    <w:uiPriority w:val="99"/>
    <w:semiHidden/>
    <w:pPr>
      <w:pBdr/>
      <w:spacing/>
      <w:ind/>
    </w:pPr>
    <w:rPr>
      <w:color w:val="666666"/>
    </w:rPr>
  </w:style>
  <w:style w:type="paragraph" w:styleId="962">
    <w:name w:val="TOC Heading"/>
    <w:uiPriority w:val="39"/>
    <w:unhideWhenUsed/>
    <w:pPr>
      <w:pBdr/>
      <w:spacing/>
      <w:ind/>
    </w:pPr>
  </w:style>
  <w:style w:type="paragraph" w:styleId="963">
    <w:name w:val="table of figures"/>
    <w:basedOn w:val="964"/>
    <w:next w:val="964"/>
    <w:uiPriority w:val="99"/>
    <w:unhideWhenUsed/>
    <w:pPr>
      <w:pBdr/>
      <w:spacing w:after="0" w:afterAutospacing="0"/>
      <w:ind/>
    </w:pPr>
  </w:style>
  <w:style w:type="paragraph" w:styleId="964" w:default="1">
    <w:name w:val="Normal"/>
    <w:qFormat/>
    <w:pPr>
      <w:pBdr/>
      <w:spacing w:after="0" w:line="240" w:lineRule="auto"/>
      <w:ind/>
    </w:pPr>
    <w:rPr>
      <w:rFonts w:ascii="Times New Roman" w:hAnsi="Times New Roman" w:eastAsia="Times New Roman" w:cs="Times New Roman"/>
      <w:sz w:val="24"/>
      <w:szCs w:val="24"/>
    </w:rPr>
  </w:style>
  <w:style w:type="paragraph" w:styleId="965">
    <w:name w:val="Heading 1"/>
    <w:basedOn w:val="964"/>
    <w:next w:val="964"/>
    <w:link w:val="972"/>
    <w:qFormat/>
    <w:pPr>
      <w:keepNext w:val="true"/>
      <w:pBdr/>
      <w:spacing w:after="120" w:before="120"/>
      <w:ind/>
      <w:jc w:val="center"/>
      <w:outlineLvl w:val="0"/>
    </w:pPr>
    <w:rPr>
      <w:b/>
      <w:bCs/>
      <w:sz w:val="27"/>
      <w:szCs w:val="27"/>
    </w:rPr>
  </w:style>
  <w:style w:type="paragraph" w:styleId="966">
    <w:name w:val="Heading 2"/>
    <w:basedOn w:val="964"/>
    <w:next w:val="964"/>
    <w:link w:val="97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67">
    <w:name w:val="Heading 3"/>
    <w:basedOn w:val="964"/>
    <w:next w:val="964"/>
    <w:link w:val="974"/>
    <w:qFormat/>
    <w:pPr>
      <w:keepNext w:val="true"/>
      <w:pBdr/>
      <w:spacing w:before="60"/>
      <w:ind/>
      <w:outlineLvl w:val="2"/>
    </w:pPr>
    <w:rPr>
      <w:sz w:val="28"/>
      <w:szCs w:val="28"/>
    </w:rPr>
  </w:style>
  <w:style w:type="paragraph" w:styleId="968">
    <w:name w:val="Heading 4"/>
    <w:basedOn w:val="964"/>
    <w:next w:val="964"/>
    <w:link w:val="975"/>
    <w:qFormat/>
    <w:pPr>
      <w:keepNext w:val="true"/>
      <w:pBdr/>
      <w:spacing/>
      <w:ind/>
      <w:jc w:val="center"/>
      <w:outlineLvl w:val="3"/>
    </w:pPr>
    <w:rPr>
      <w:b/>
      <w:bCs/>
    </w:rPr>
  </w:style>
  <w:style w:type="character" w:styleId="969" w:default="1">
    <w:name w:val="Default Paragraph Font"/>
    <w:uiPriority w:val="1"/>
    <w:semiHidden/>
    <w:unhideWhenUsed/>
    <w:pPr>
      <w:pBdr/>
      <w:spacing/>
      <w:ind/>
    </w:pPr>
  </w:style>
  <w:style w:type="table" w:styleId="97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1" w:default="1">
    <w:name w:val="No List"/>
    <w:uiPriority w:val="99"/>
    <w:semiHidden/>
    <w:unhideWhenUsed/>
    <w:pPr>
      <w:pBdr/>
      <w:spacing/>
      <w:ind/>
    </w:pPr>
  </w:style>
  <w:style w:type="character" w:styleId="972" w:customStyle="1">
    <w:name w:val="Heading 1 Char"/>
    <w:basedOn w:val="969"/>
    <w:link w:val="965"/>
    <w:pPr>
      <w:pBdr/>
      <w:spacing/>
      <w:ind/>
    </w:pPr>
    <w:rPr>
      <w:rFonts w:ascii="Times New Roman" w:hAnsi="Times New Roman" w:eastAsia="Times New Roman" w:cs="Times New Roman"/>
      <w:b/>
      <w:bCs/>
      <w:sz w:val="27"/>
      <w:szCs w:val="27"/>
    </w:rPr>
  </w:style>
  <w:style w:type="character" w:styleId="973" w:customStyle="1">
    <w:name w:val="Heading 2 Char"/>
    <w:basedOn w:val="969"/>
    <w:link w:val="966"/>
    <w:uiPriority w:val="9"/>
    <w:pPr>
      <w:pBdr/>
      <w:spacing/>
      <w:ind/>
    </w:pPr>
    <w:rPr>
      <w:rFonts w:asciiTheme="majorHAnsi" w:hAnsiTheme="majorHAnsi" w:eastAsiaTheme="majorEastAsia" w:cstheme="majorBidi"/>
      <w:color w:val="365f91" w:themeColor="accent1" w:themeShade="BF"/>
      <w:sz w:val="26"/>
      <w:szCs w:val="26"/>
    </w:rPr>
  </w:style>
  <w:style w:type="character" w:styleId="974" w:customStyle="1">
    <w:name w:val="Heading 3 Char"/>
    <w:basedOn w:val="969"/>
    <w:link w:val="967"/>
    <w:pPr>
      <w:pBdr/>
      <w:spacing/>
      <w:ind/>
    </w:pPr>
    <w:rPr>
      <w:rFonts w:ascii="Times New Roman" w:hAnsi="Times New Roman" w:eastAsia="Times New Roman" w:cs="Times New Roman"/>
      <w:sz w:val="28"/>
      <w:szCs w:val="28"/>
    </w:rPr>
  </w:style>
  <w:style w:type="character" w:styleId="975" w:customStyle="1">
    <w:name w:val="Heading 4 Char"/>
    <w:basedOn w:val="969"/>
    <w:link w:val="968"/>
    <w:pPr>
      <w:pBdr/>
      <w:spacing/>
      <w:ind/>
    </w:pPr>
    <w:rPr>
      <w:rFonts w:ascii="Times New Roman" w:hAnsi="Times New Roman" w:eastAsia="Times New Roman" w:cs="Times New Roman"/>
      <w:b/>
      <w:bCs/>
      <w:sz w:val="24"/>
      <w:szCs w:val="24"/>
    </w:rPr>
  </w:style>
  <w:style w:type="character" w:styleId="976">
    <w:name w:val="Hyperlink"/>
    <w:uiPriority w:val="99"/>
    <w:pPr>
      <w:pBdr/>
      <w:spacing/>
      <w:ind/>
    </w:pPr>
    <w:rPr>
      <w:color w:val="000000"/>
      <w:u w:val="single"/>
    </w:rPr>
  </w:style>
  <w:style w:type="character" w:styleId="977">
    <w:name w:val="Strong"/>
    <w:uiPriority w:val="22"/>
    <w:qFormat/>
    <w:pPr>
      <w:pBdr/>
      <w:spacing/>
      <w:ind/>
    </w:pPr>
    <w:rPr>
      <w:b/>
      <w:bCs/>
    </w:rPr>
  </w:style>
  <w:style w:type="paragraph" w:styleId="978">
    <w:name w:val="Balloon Text"/>
    <w:basedOn w:val="964"/>
    <w:link w:val="979"/>
    <w:uiPriority w:val="99"/>
    <w:semiHidden/>
    <w:unhideWhenUsed/>
    <w:pPr>
      <w:pBdr/>
      <w:spacing/>
      <w:ind/>
    </w:pPr>
    <w:rPr>
      <w:rFonts w:ascii="Tahoma" w:hAnsi="Tahoma" w:cs="Tahoma"/>
      <w:sz w:val="16"/>
      <w:szCs w:val="16"/>
    </w:rPr>
  </w:style>
  <w:style w:type="character" w:styleId="979" w:customStyle="1">
    <w:name w:val="Balloon Text Char"/>
    <w:basedOn w:val="969"/>
    <w:link w:val="978"/>
    <w:uiPriority w:val="99"/>
    <w:semiHidden/>
    <w:pPr>
      <w:pBdr/>
      <w:spacing/>
      <w:ind/>
    </w:pPr>
    <w:rPr>
      <w:rFonts w:ascii="Tahoma" w:hAnsi="Tahoma" w:eastAsia="Times New Roman" w:cs="Tahoma"/>
      <w:sz w:val="16"/>
      <w:szCs w:val="16"/>
    </w:rPr>
  </w:style>
  <w:style w:type="paragraph" w:styleId="980">
    <w:name w:val="Header"/>
    <w:basedOn w:val="964"/>
    <w:link w:val="981"/>
    <w:unhideWhenUsed/>
    <w:pPr>
      <w:pBdr/>
      <w:tabs>
        <w:tab w:val="center" w:leader="none" w:pos="4680"/>
        <w:tab w:val="right" w:leader="none" w:pos="9360"/>
      </w:tabs>
      <w:spacing/>
      <w:ind/>
    </w:pPr>
  </w:style>
  <w:style w:type="character" w:styleId="981" w:customStyle="1">
    <w:name w:val="Header Char"/>
    <w:basedOn w:val="969"/>
    <w:link w:val="980"/>
    <w:pPr>
      <w:pBdr/>
      <w:spacing/>
      <w:ind/>
    </w:pPr>
    <w:rPr>
      <w:rFonts w:ascii="Times New Roman" w:hAnsi="Times New Roman" w:eastAsia="Times New Roman" w:cs="Times New Roman"/>
      <w:sz w:val="24"/>
      <w:szCs w:val="24"/>
    </w:rPr>
  </w:style>
  <w:style w:type="paragraph" w:styleId="982">
    <w:name w:val="Footer"/>
    <w:basedOn w:val="964"/>
    <w:link w:val="983"/>
    <w:uiPriority w:val="99"/>
    <w:unhideWhenUsed/>
    <w:pPr>
      <w:pBdr/>
      <w:tabs>
        <w:tab w:val="center" w:leader="none" w:pos="4680"/>
        <w:tab w:val="right" w:leader="none" w:pos="9360"/>
      </w:tabs>
      <w:spacing/>
      <w:ind/>
    </w:pPr>
  </w:style>
  <w:style w:type="character" w:styleId="983" w:customStyle="1">
    <w:name w:val="Footer Char"/>
    <w:basedOn w:val="969"/>
    <w:link w:val="982"/>
    <w:uiPriority w:val="99"/>
    <w:pPr>
      <w:pBdr/>
      <w:spacing/>
      <w:ind/>
    </w:pPr>
    <w:rPr>
      <w:rFonts w:ascii="Times New Roman" w:hAnsi="Times New Roman" w:eastAsia="Times New Roman" w:cs="Times New Roman"/>
      <w:sz w:val="24"/>
      <w:szCs w:val="24"/>
    </w:rPr>
  </w:style>
  <w:style w:type="character" w:styleId="984" w:customStyle="1">
    <w:name w:val="normal-h1"/>
    <w:pPr>
      <w:pBdr/>
      <w:spacing/>
      <w:ind/>
    </w:pPr>
    <w:rPr>
      <w:rFonts w:hint="default" w:ascii=".VnTime" w:hAnsi=".VnTime"/>
      <w:color w:val="0000ff"/>
      <w:sz w:val="24"/>
      <w:szCs w:val="24"/>
    </w:rPr>
  </w:style>
  <w:style w:type="paragraph" w:styleId="985" w:customStyle="1">
    <w:name w:val="normal-p"/>
    <w:basedOn w:val="964"/>
    <w:pPr>
      <w:pBdr/>
      <w:spacing/>
      <w:ind/>
      <w:jc w:val="both"/>
    </w:pPr>
    <w:rPr>
      <w:sz w:val="20"/>
      <w:szCs w:val="20"/>
    </w:rPr>
  </w:style>
  <w:style w:type="paragraph" w:styleId="986">
    <w:name w:val="List Paragraph"/>
    <w:basedOn w:val="964"/>
    <w:link w:val="1073"/>
    <w:uiPriority w:val="34"/>
    <w:qFormat/>
    <w:pPr>
      <w:pBdr/>
      <w:spacing/>
      <w:ind w:left="720"/>
    </w:pPr>
  </w:style>
  <w:style w:type="paragraph" w:styleId="987">
    <w:name w:val="Normal (Web)"/>
    <w:basedOn w:val="964"/>
    <w:uiPriority w:val="99"/>
    <w:pPr>
      <w:pBdr/>
      <w:spacing w:after="100" w:afterAutospacing="1" w:before="100" w:beforeAutospacing="1"/>
      <w:ind/>
    </w:pPr>
  </w:style>
  <w:style w:type="paragraph" w:styleId="988">
    <w:name w:val="Body Text"/>
    <w:basedOn w:val="964"/>
    <w:link w:val="989"/>
    <w:pPr>
      <w:pBdr/>
      <w:spacing w:after="120"/>
      <w:ind/>
      <w:jc w:val="both"/>
    </w:pPr>
  </w:style>
  <w:style w:type="character" w:styleId="989" w:customStyle="1">
    <w:name w:val="Body Text Char"/>
    <w:basedOn w:val="969"/>
    <w:link w:val="988"/>
    <w:pPr>
      <w:pBdr/>
      <w:spacing/>
      <w:ind/>
    </w:pPr>
    <w:rPr>
      <w:rFonts w:ascii="Times New Roman" w:hAnsi="Times New Roman" w:eastAsia="Times New Roman" w:cs="Times New Roman"/>
      <w:sz w:val="24"/>
      <w:szCs w:val="24"/>
    </w:rPr>
  </w:style>
  <w:style w:type="table" w:styleId="990">
    <w:name w:val="Table Grid"/>
    <w:basedOn w:val="97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2">
    <w:name w:val="annotation reference"/>
    <w:basedOn w:val="969"/>
    <w:uiPriority w:val="99"/>
    <w:semiHidden/>
    <w:unhideWhenUsed/>
    <w:pPr>
      <w:pBdr/>
      <w:spacing/>
      <w:ind/>
    </w:pPr>
    <w:rPr>
      <w:sz w:val="16"/>
      <w:szCs w:val="16"/>
    </w:rPr>
  </w:style>
  <w:style w:type="paragraph" w:styleId="993">
    <w:name w:val="annotation text"/>
    <w:basedOn w:val="964"/>
    <w:link w:val="994"/>
    <w:uiPriority w:val="99"/>
    <w:unhideWhenUsed/>
    <w:pPr>
      <w:pBdr/>
      <w:spacing/>
      <w:ind/>
    </w:pPr>
    <w:rPr>
      <w:sz w:val="20"/>
      <w:szCs w:val="20"/>
    </w:rPr>
  </w:style>
  <w:style w:type="character" w:styleId="994" w:customStyle="1">
    <w:name w:val="Comment Text Char"/>
    <w:basedOn w:val="969"/>
    <w:link w:val="993"/>
    <w:uiPriority w:val="99"/>
    <w:pPr>
      <w:pBdr/>
      <w:spacing/>
      <w:ind/>
    </w:pPr>
    <w:rPr>
      <w:rFonts w:ascii="Times New Roman" w:hAnsi="Times New Roman" w:eastAsia="Times New Roman" w:cs="Times New Roman"/>
      <w:sz w:val="20"/>
      <w:szCs w:val="20"/>
    </w:rPr>
  </w:style>
  <w:style w:type="paragraph" w:styleId="995">
    <w:name w:val="annotation subject"/>
    <w:basedOn w:val="993"/>
    <w:next w:val="993"/>
    <w:link w:val="996"/>
    <w:uiPriority w:val="99"/>
    <w:semiHidden/>
    <w:unhideWhenUsed/>
    <w:pPr>
      <w:pBdr/>
      <w:spacing/>
      <w:ind/>
    </w:pPr>
    <w:rPr>
      <w:b/>
      <w:bCs/>
    </w:rPr>
  </w:style>
  <w:style w:type="character" w:styleId="996" w:customStyle="1">
    <w:name w:val="Comment Subject Char"/>
    <w:basedOn w:val="994"/>
    <w:link w:val="995"/>
    <w:uiPriority w:val="99"/>
    <w:semiHidden/>
    <w:pPr>
      <w:pBdr/>
      <w:spacing/>
      <w:ind/>
    </w:pPr>
    <w:rPr>
      <w:rFonts w:ascii="Times New Roman" w:hAnsi="Times New Roman" w:eastAsia="Times New Roman" w:cs="Times New Roman"/>
      <w:b/>
      <w:bCs/>
      <w:sz w:val="20"/>
      <w:szCs w:val="20"/>
    </w:rPr>
  </w:style>
  <w:style w:type="paragraph" w:styleId="997" w:customStyle="1">
    <w:name w:val="font5"/>
    <w:basedOn w:val="964"/>
    <w:pPr>
      <w:pBdr/>
      <w:spacing w:after="100" w:afterAutospacing="1" w:before="100" w:beforeAutospacing="1"/>
      <w:ind/>
    </w:pPr>
    <w:rPr>
      <w:rFonts w:ascii="Tahoma" w:hAnsi="Tahoma" w:cs="Tahoma"/>
      <w:color w:val="000000"/>
      <w:sz w:val="18"/>
      <w:szCs w:val="18"/>
    </w:rPr>
  </w:style>
  <w:style w:type="paragraph" w:styleId="998" w:customStyle="1">
    <w:name w:val="font6"/>
    <w:basedOn w:val="964"/>
    <w:pPr>
      <w:pBdr/>
      <w:spacing w:after="100" w:afterAutospacing="1" w:before="100" w:beforeAutospacing="1"/>
      <w:ind/>
    </w:pPr>
    <w:rPr>
      <w:rFonts w:ascii="Tahoma" w:hAnsi="Tahoma" w:cs="Tahoma"/>
      <w:b/>
      <w:bCs/>
      <w:color w:val="000000"/>
      <w:sz w:val="18"/>
      <w:szCs w:val="18"/>
    </w:rPr>
  </w:style>
  <w:style w:type="paragraph" w:styleId="999" w:customStyle="1">
    <w:name w:val="xl233"/>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0" w:customStyle="1">
    <w:name w:val="xl234"/>
    <w:basedOn w:val="964"/>
    <w:pPr>
      <w:pBdr/>
      <w:spacing w:after="100" w:afterAutospacing="1" w:before="100" w:beforeAutospacing="1"/>
      <w:ind/>
      <w:jc w:val="center"/>
    </w:pPr>
  </w:style>
  <w:style w:type="paragraph" w:styleId="1001" w:customStyle="1">
    <w:name w:val="xl235"/>
    <w:basedOn w:val="964"/>
    <w:pPr>
      <w:pBdr/>
      <w:spacing w:after="100" w:afterAutospacing="1" w:before="100" w:beforeAutospacing="1"/>
      <w:ind/>
      <w:jc w:val="center"/>
    </w:pPr>
    <w:rPr>
      <w:b/>
      <w:bCs/>
    </w:rPr>
  </w:style>
  <w:style w:type="paragraph" w:styleId="1002" w:customStyle="1">
    <w:name w:val="xl236"/>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3" w:customStyle="1">
    <w:name w:val="xl237"/>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4" w:customStyle="1">
    <w:name w:val="xl238"/>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5" w:customStyle="1">
    <w:name w:val="xl23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06" w:customStyle="1">
    <w:name w:val="xl240"/>
    <w:basedOn w:val="964"/>
    <w:pPr>
      <w:pBdr/>
      <w:spacing w:after="100" w:afterAutospacing="1" w:before="100" w:beforeAutospacing="1"/>
      <w:ind/>
    </w:pPr>
  </w:style>
  <w:style w:type="paragraph" w:styleId="1007" w:customStyle="1">
    <w:name w:val="xl241"/>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8" w:customStyle="1">
    <w:name w:val="xl242"/>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9" w:customStyle="1">
    <w:name w:val="xl243"/>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0" w:customStyle="1">
    <w:name w:val="xl244"/>
    <w:basedOn w:val="964"/>
    <w:pPr>
      <w:pBdr/>
      <w:spacing w:after="100" w:afterAutospacing="1" w:before="100" w:beforeAutospacing="1"/>
      <w:ind/>
    </w:pPr>
    <w:rPr>
      <w:b/>
      <w:bCs/>
    </w:rPr>
  </w:style>
  <w:style w:type="paragraph" w:styleId="1011" w:customStyle="1">
    <w:name w:val="xl245"/>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2" w:customStyle="1">
    <w:name w:val="xl246"/>
    <w:basedOn w:val="96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3" w:customStyle="1">
    <w:name w:val="xl247"/>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4" w:customStyle="1">
    <w:name w:val="xl248"/>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5" w:customStyle="1">
    <w:name w:val="xl24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6" w:customStyle="1">
    <w:name w:val="xl250"/>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17" w:customStyle="1">
    <w:name w:val="xl251"/>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18" w:customStyle="1">
    <w:name w:val="xl252"/>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9" w:customStyle="1">
    <w:name w:val="xl253"/>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0" w:customStyle="1">
    <w:name w:val="xl254"/>
    <w:basedOn w:val="96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1" w:customStyle="1">
    <w:name w:val="xl255"/>
    <w:basedOn w:val="96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2" w:customStyle="1">
    <w:name w:val="xl256"/>
    <w:basedOn w:val="96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3" w:customStyle="1">
    <w:name w:val="xl257"/>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4" w:customStyle="1">
    <w:name w:val="xl258"/>
    <w:basedOn w:val="96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5" w:customStyle="1">
    <w:name w:val="xl25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6" w:customStyle="1">
    <w:name w:val="xl260"/>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7" w:customStyle="1">
    <w:name w:val="xl261"/>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8" w:customStyle="1">
    <w:name w:val="xl262"/>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9" w:customStyle="1">
    <w:name w:val="xl263"/>
    <w:basedOn w:val="964"/>
    <w:pPr>
      <w:pBdr/>
      <w:shd w:val="clear" w:color="000000" w:fill="ffffff"/>
      <w:spacing w:after="100" w:afterAutospacing="1" w:before="100" w:beforeAutospacing="1"/>
      <w:ind/>
    </w:pPr>
  </w:style>
  <w:style w:type="paragraph" w:styleId="1030" w:customStyle="1">
    <w:name w:val="xl264"/>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1" w:customStyle="1">
    <w:name w:val="xl265"/>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2" w:customStyle="1">
    <w:name w:val="xl266"/>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3" w:customStyle="1">
    <w:name w:val="xl267"/>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4" w:customStyle="1">
    <w:name w:val="xl268"/>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5" w:customStyle="1">
    <w:name w:val="xl269"/>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6" w:customStyle="1">
    <w:name w:val="xl270"/>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7" w:customStyle="1">
    <w:name w:val="xl271"/>
    <w:basedOn w:val="96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8" w:customStyle="1">
    <w:name w:val="xl272"/>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9" w:customStyle="1">
    <w:name w:val="xl273"/>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0" w:customStyle="1">
    <w:name w:val="xl274"/>
    <w:basedOn w:val="96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1" w:customStyle="1">
    <w:name w:val="xl275"/>
    <w:basedOn w:val="964"/>
    <w:pPr>
      <w:pBdr/>
      <w:spacing w:after="100" w:afterAutospacing="1" w:before="100" w:beforeAutospacing="1"/>
      <w:ind/>
    </w:pPr>
  </w:style>
  <w:style w:type="paragraph" w:styleId="1042" w:customStyle="1">
    <w:name w:val="xl276"/>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3" w:customStyle="1">
    <w:name w:val="xl277"/>
    <w:basedOn w:val="96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4" w:customStyle="1">
    <w:name w:val="xl278"/>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79"/>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80"/>
    <w:basedOn w:val="96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81"/>
    <w:basedOn w:val="96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82"/>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83"/>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84"/>
    <w:basedOn w:val="964"/>
    <w:pPr>
      <w:pBdr>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85"/>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86"/>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87"/>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88"/>
    <w:basedOn w:val="964"/>
    <w:pPr>
      <w:pBdr>
        <w:top w:val="single" w:color="000000" w:sz="4" w:space="0"/>
        <w:left w:val="single" w:color="000000" w:sz="4" w:space="0"/>
        <w:right w:val="single" w:color="000000" w:sz="4" w:space="0"/>
      </w:pBdr>
      <w:spacing w:after="100" w:afterAutospacing="1" w:before="100" w:beforeAutospacing="1"/>
      <w:ind/>
    </w:pPr>
  </w:style>
  <w:style w:type="paragraph" w:styleId="1055" w:customStyle="1">
    <w:name w:val="xl289"/>
    <w:basedOn w:val="964"/>
    <w:pPr>
      <w:pBdr>
        <w:left w:val="single" w:color="000000" w:sz="4" w:space="0"/>
        <w:right w:val="single" w:color="000000" w:sz="4" w:space="0"/>
      </w:pBdr>
      <w:spacing w:after="100" w:afterAutospacing="1" w:before="100" w:beforeAutospacing="1"/>
      <w:ind/>
    </w:pPr>
    <w:rPr>
      <w:b/>
      <w:bCs/>
    </w:rPr>
  </w:style>
  <w:style w:type="paragraph" w:styleId="1056" w:customStyle="1">
    <w:name w:val="xl290"/>
    <w:basedOn w:val="96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91"/>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8" w:customStyle="1">
    <w:name w:val="xl292"/>
    <w:basedOn w:val="964"/>
    <w:pPr>
      <w:pBdr>
        <w:top w:val="single" w:color="000000" w:sz="4" w:space="0"/>
        <w:left w:val="single" w:color="000000" w:sz="4" w:space="0"/>
        <w:right w:val="single" w:color="000000" w:sz="4" w:space="0"/>
      </w:pBdr>
      <w:spacing w:after="100" w:afterAutospacing="1" w:before="100" w:beforeAutospacing="1"/>
      <w:ind/>
    </w:pPr>
  </w:style>
  <w:style w:type="paragraph" w:styleId="1059" w:customStyle="1">
    <w:name w:val="xl293"/>
    <w:basedOn w:val="964"/>
    <w:pPr>
      <w:pBdr>
        <w:left w:val="single" w:color="000000" w:sz="4" w:space="0"/>
        <w:bottom w:val="single" w:color="000000" w:sz="4" w:space="0"/>
        <w:right w:val="single" w:color="000000" w:sz="4" w:space="0"/>
      </w:pBdr>
      <w:spacing w:after="100" w:afterAutospacing="1" w:before="100" w:beforeAutospacing="1"/>
      <w:ind/>
    </w:pPr>
  </w:style>
  <w:style w:type="paragraph" w:styleId="1060" w:customStyle="1">
    <w:name w:val="xl294"/>
    <w:basedOn w:val="96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name w:val="Title"/>
    <w:basedOn w:val="964"/>
    <w:link w:val="1062"/>
    <w:qFormat/>
    <w:pPr>
      <w:pBdr/>
      <w:spacing/>
      <w:ind/>
      <w:jc w:val="center"/>
    </w:pPr>
    <w:rPr>
      <w:b/>
      <w:bCs/>
      <w:sz w:val="32"/>
      <w:szCs w:val="26"/>
    </w:rPr>
  </w:style>
  <w:style w:type="character" w:styleId="1062" w:customStyle="1">
    <w:name w:val="Title Char"/>
    <w:basedOn w:val="969"/>
    <w:link w:val="1061"/>
    <w:pPr>
      <w:pBdr/>
      <w:spacing/>
      <w:ind/>
    </w:pPr>
    <w:rPr>
      <w:rFonts w:ascii="Times New Roman" w:hAnsi="Times New Roman" w:eastAsia="Times New Roman" w:cs="Times New Roman"/>
      <w:b/>
      <w:bCs/>
      <w:sz w:val="32"/>
      <w:szCs w:val="26"/>
    </w:rPr>
  </w:style>
  <w:style w:type="character" w:styleId="1063" w:customStyle="1">
    <w:name w:val="Unresolved Mention1"/>
    <w:basedOn w:val="969"/>
    <w:uiPriority w:val="99"/>
    <w:semiHidden/>
    <w:unhideWhenUsed/>
    <w:pPr>
      <w:pBdr/>
      <w:spacing/>
      <w:ind/>
    </w:pPr>
    <w:rPr>
      <w:color w:val="605e5c"/>
      <w:shd w:val="clear" w:color="auto" w:fill="e1dfdd"/>
    </w:rPr>
  </w:style>
  <w:style w:type="character" w:styleId="1064" w:customStyle="1">
    <w:name w:val="Body text (3)_"/>
    <w:link w:val="1065"/>
    <w:pPr>
      <w:pBdr/>
      <w:spacing/>
      <w:ind/>
    </w:pPr>
    <w:rPr>
      <w:rFonts w:ascii="Times New Roman" w:hAnsi="Times New Roman" w:cs="Times New Roman"/>
      <w:i/>
      <w:iCs/>
      <w:spacing w:val="4"/>
      <w:shd w:val="clear" w:color="auto" w:fill="ffffff"/>
    </w:rPr>
  </w:style>
  <w:style w:type="paragraph" w:styleId="1065" w:customStyle="1">
    <w:name w:val="Body text (3)1"/>
    <w:basedOn w:val="964"/>
    <w:link w:val="106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66" w:customStyle="1">
    <w:name w:val="t-j"/>
    <w:basedOn w:val="964"/>
    <w:pPr>
      <w:pBdr/>
      <w:spacing w:after="100" w:afterAutospacing="1" w:before="100" w:beforeAutospacing="1"/>
      <w:ind/>
    </w:pPr>
  </w:style>
  <w:style w:type="character" w:styleId="1067" w:customStyle="1">
    <w:name w:val="Unresolved Mention2"/>
    <w:basedOn w:val="969"/>
    <w:uiPriority w:val="99"/>
    <w:semiHidden/>
    <w:unhideWhenUsed/>
    <w:pPr>
      <w:pBdr/>
      <w:spacing/>
      <w:ind/>
    </w:pPr>
    <w:rPr>
      <w:color w:val="605e5c"/>
      <w:shd w:val="clear" w:color="auto" w:fill="e1dfdd"/>
    </w:rPr>
  </w:style>
  <w:style w:type="character" w:styleId="1068">
    <w:name w:val="FollowedHyperlink"/>
    <w:basedOn w:val="969"/>
    <w:uiPriority w:val="99"/>
    <w:semiHidden/>
    <w:unhideWhenUsed/>
    <w:pPr>
      <w:pBdr/>
      <w:spacing/>
      <w:ind/>
    </w:pPr>
    <w:rPr>
      <w:color w:val="800080" w:themeColor="followedHyperlink"/>
      <w:u w:val="single"/>
    </w:rPr>
  </w:style>
  <w:style w:type="character" w:styleId="1069" w:customStyle="1">
    <w:name w:val="text"/>
    <w:basedOn w:val="969"/>
    <w:pPr>
      <w:pBdr/>
      <w:spacing/>
      <w:ind/>
    </w:pPr>
  </w:style>
  <w:style w:type="character" w:styleId="1070" w:customStyle="1">
    <w:name w:val="card-send-time__sendtime"/>
    <w:basedOn w:val="969"/>
    <w:pPr>
      <w:pBdr/>
      <w:spacing/>
      <w:ind/>
    </w:pPr>
  </w:style>
  <w:style w:type="character" w:styleId="1071" w:customStyle="1">
    <w:name w:val="Đề cập Chưa giải quyết1"/>
    <w:basedOn w:val="969"/>
    <w:uiPriority w:val="99"/>
    <w:semiHidden/>
    <w:unhideWhenUsed/>
    <w:pPr>
      <w:pBdr/>
      <w:spacing/>
      <w:ind/>
    </w:pPr>
    <w:rPr>
      <w:color w:val="605e5c"/>
      <w:shd w:val="clear" w:color="auto" w:fill="e1dfdd"/>
    </w:rPr>
  </w:style>
  <w:style w:type="paragraph" w:styleId="1072" w:customStyle="1">
    <w:name w:val="nqtitle"/>
    <w:basedOn w:val="964"/>
    <w:pPr>
      <w:pBdr/>
      <w:spacing w:after="100" w:afterAutospacing="1" w:before="100" w:beforeAutospacing="1"/>
      <w:ind/>
    </w:pPr>
    <w:rPr>
      <w:lang w:val="vi-VN" w:eastAsia="vi-VN"/>
    </w:rPr>
  </w:style>
  <w:style w:type="character" w:styleId="1073" w:customStyle="1">
    <w:name w:val="List Paragraph Char"/>
    <w:link w:val="986"/>
    <w:uiPriority w:val="34"/>
    <w:qFormat/>
    <w:pPr>
      <w:pBdr/>
      <w:spacing/>
      <w:ind/>
    </w:pPr>
    <w:rPr>
      <w:rFonts w:ascii="Times New Roman" w:hAnsi="Times New Roman" w:eastAsia="Times New Roman" w:cs="Times New Roman"/>
      <w:sz w:val="24"/>
      <w:szCs w:val="24"/>
    </w:rPr>
  </w:style>
  <w:style w:type="character" w:styleId="1074" w:customStyle="1">
    <w:name w:val="Đề cập Chưa giải quyết2"/>
    <w:basedOn w:val="969"/>
    <w:uiPriority w:val="99"/>
    <w:semiHidden/>
    <w:unhideWhenUsed/>
    <w:pPr>
      <w:pBdr/>
      <w:spacing/>
      <w:ind/>
    </w:pPr>
    <w:rPr>
      <w:color w:val="605e5c"/>
      <w:shd w:val="clear" w:color="auto" w:fill="e1dfdd"/>
    </w:rPr>
  </w:style>
  <w:style w:type="character" w:styleId="1075" w:customStyle="1">
    <w:name w:val="Unresolved Mention3"/>
    <w:basedOn w:val="969"/>
    <w:uiPriority w:val="99"/>
    <w:semiHidden/>
    <w:unhideWhenUsed/>
    <w:pPr>
      <w:pBdr/>
      <w:spacing/>
      <w:ind/>
    </w:pPr>
    <w:rPr>
      <w:color w:val="605e5c"/>
      <w:shd w:val="clear" w:color="auto" w:fill="e1dfdd"/>
    </w:rPr>
  </w:style>
  <w:style w:type="character" w:styleId="1076" w:customStyle="1">
    <w:name w:val="copy"/>
    <w:basedOn w:val="969"/>
    <w:pPr>
      <w:pBdr/>
      <w:spacing/>
      <w:ind/>
    </w:pPr>
  </w:style>
  <w:style w:type="paragraph" w:styleId="1077" w:customStyle="1">
    <w:name w:val="align-justify"/>
    <w:basedOn w:val="964"/>
    <w:pPr>
      <w:pBdr/>
      <w:spacing w:after="100" w:afterAutospacing="1" w:before="100" w:beforeAutospacing="1"/>
      <w:ind/>
    </w:pPr>
  </w:style>
  <w:style w:type="character" w:styleId="1078" w:customStyle="1">
    <w:name w:val="btn"/>
    <w:basedOn w:val="969"/>
    <w:pPr>
      <w:pBdr/>
      <w:spacing/>
      <w:ind/>
    </w:pPr>
  </w:style>
  <w:style w:type="character" w:styleId="1079" w:customStyle="1">
    <w:name w:val="hide_mobile"/>
    <w:basedOn w:val="969"/>
    <w:pPr>
      <w:pBdr/>
      <w:spacing/>
      <w:ind/>
    </w:pPr>
  </w:style>
  <w:style w:type="character" w:styleId="1080">
    <w:name w:val="Emphasis"/>
    <w:basedOn w:val="969"/>
    <w:uiPriority w:val="20"/>
    <w:qFormat/>
    <w:pPr>
      <w:pBdr/>
      <w:spacing/>
      <w:ind/>
    </w:pPr>
    <w:rPr>
      <w:i/>
      <w:iCs/>
    </w:rPr>
  </w:style>
  <w:style w:type="character" w:styleId="1081" w:customStyle="1">
    <w:name w:val="t1"/>
    <w:basedOn w:val="969"/>
    <w:pPr>
      <w:pBdr/>
      <w:spacing/>
      <w:ind/>
    </w:pPr>
  </w:style>
  <w:style w:type="character" w:styleId="1082" w:customStyle="1">
    <w:name w:val="Unresolved Mention4"/>
    <w:basedOn w:val="969"/>
    <w:uiPriority w:val="99"/>
    <w:semiHidden/>
    <w:unhideWhenUsed/>
    <w:pPr>
      <w:pBdr/>
      <w:spacing/>
      <w:ind/>
    </w:pPr>
    <w:rPr>
      <w:color w:val="605e5c"/>
      <w:shd w:val="clear" w:color="auto" w:fill="e1dfdd"/>
    </w:rPr>
  </w:style>
  <w:style w:type="character" w:styleId="1083">
    <w:name w:val="Unresolved Mention"/>
    <w:basedOn w:val="96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mailto:ilotus.contact@gmail.com" TargetMode="External"/><Relationship Id="rId12" Type="http://schemas.openxmlformats.org/officeDocument/2006/relationships/hyperlink" Target="mailto:ilotus.contact@gmail.com" TargetMode="External"/><Relationship Id="rId13" Type="http://schemas.openxmlformats.org/officeDocument/2006/relationships/hyperlink" Target="https://xuanphuong.hanoi.gov.vn/gioi-thieu-chung/gioi-thieu-chung-ve-phuong-xuan-phuong-2793250629005846811.htm"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270</cp:revision>
  <dcterms:created xsi:type="dcterms:W3CDTF">2025-09-15T09:58:00Z</dcterms:created>
  <dcterms:modified xsi:type="dcterms:W3CDTF">2025-12-06T07:51:33Z</dcterms:modified>
</cp:coreProperties>
</file>