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016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016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275/2025/1700/VFI-CT.21.A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TRẦN THỊ HẢI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b w:val="0"/>
                                <w:bCs w:val="0"/>
                              </w:rPr>
                              <w:t xml:space="preserve">Quyền sử dụng đất tại thửa đất số: 666, tờ bản đồ số 14 có địa chỉ: Tổ dân phố Đống Khê 1, phường Đồng Hoà, quận Kiến An, thành phố Hải Phòng </w:t>
                            </w:r>
                            <w:r>
                              <w:rPr>
                                <w:b w:val="0"/>
                                <w:bCs w:val="0"/>
                                <w:i/>
                                <w:iCs/>
                              </w:rPr>
                              <w:t xml:space="preserve">(Nay là phường Kiến An, thành phố Hải Phòng)</w:t>
                            </w:r>
                            <w:r>
                              <w:rPr>
                                <w:b w:val="0"/>
                                <w:bCs w:val="0"/>
                              </w:rPr>
                              <w:t xml:space="preserve"> theo Giấy chứng nhận quyền sử dụng đất quyền sở hữu nhà ở và tài sản k</w:t>
                            </w:r>
                            <w:r>
                              <w:rPr>
                                <w:b w:val="0"/>
                                <w:bCs w:val="0"/>
                              </w:rPr>
                              <w:t xml:space="preserve">hác gắn liền với đất số: DQ 013557, số vào sổ cấp GCN: CN 604 do Chi nhánh văn phòng đăng ký đất đai quận Kiến An cấp ngày 15/11/2024; Chủ sử dụng đất là Bà Trần Thị Hải</w:t>
                            </w:r>
                            <w:r>
                              <w:rPr>
                                <w:b w:val="0"/>
                                <w:bCs w:val="0"/>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7.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275/2025/1700/VFI-CT.21.A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TRẦN THỊ HẢI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b w:val="0"/>
                          <w:bCs w:val="0"/>
                        </w:rPr>
                        <w:t xml:space="preserve">Quyền sử dụng đất tại thửa đất số: 666, tờ bản đồ số 14 có địa chỉ: Tổ dân phố Đống Khê 1, phường Đồng Hoà, quận Kiến An, thành phố Hải Phòng </w:t>
                      </w:r>
                      <w:r>
                        <w:rPr>
                          <w:b w:val="0"/>
                          <w:bCs w:val="0"/>
                          <w:i/>
                          <w:iCs/>
                        </w:rPr>
                        <w:t xml:space="preserve">(Nay là phường Kiến An, thành phố Hải Phòng)</w:t>
                      </w:r>
                      <w:r>
                        <w:rPr>
                          <w:b w:val="0"/>
                          <w:bCs w:val="0"/>
                        </w:rPr>
                        <w:t xml:space="preserve"> theo Giấy chứng nhận quyền sử dụng đất quyền sở hữu nhà ở và tài sản k</w:t>
                      </w:r>
                      <w:r>
                        <w:rPr>
                          <w:b w:val="0"/>
                          <w:bCs w:val="0"/>
                        </w:rPr>
                        <w:t xml:space="preserve">hác gắn liền với đất số: DQ 013557, số vào sổ cấp GCN: CN 604 do Chi nhánh văn phòng đăng ký đất đai quận Kiến An cấp ngày 15/11/2024; Chủ sử dụng đất là Bà Trần Thị Hải</w:t>
                      </w:r>
                      <w:r>
                        <w:rPr>
                          <w:b w:val="0"/>
                          <w:bCs w:val="0"/>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25-27</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pPr>
              <w:pStyle w:val="1030"/>
              <w:pBdr/>
              <w:spacing w:after="60" w:before="200"/>
              <w:ind/>
              <w:rPr>
                <w:rStyle w:val="1029"/>
                <w:rFonts w:ascii="Times New Roman" w:hAnsi="Times New Roman"/>
                <w:color w:val="auto"/>
                <w:lang w:val="pt-BR"/>
              </w:rPr>
            </w:pPr>
            <w:r>
              <w:rPr>
                <w:rFonts w:ascii="Times New Roman" w:hAnsi="Times New Roman"/>
                <w:color w:val="auto"/>
                <w:lang w:val="pt-BR"/>
              </w:rPr>
            </w:r>
            <w:r>
              <w:rPr>
                <w:rStyle w:val="1029"/>
                <w:rFonts w:ascii="Times New Roman" w:hAnsi="Times New Roman"/>
                <w:color w:val="auto"/>
                <w:lang w:val="pt-BR"/>
              </w:rPr>
            </w:r>
            <w:r>
              <w:rPr>
                <w:rStyle w:val="1029"/>
                <w:rFonts w:ascii="Times New Roman" w:hAnsi="Times New Roman"/>
                <w:color w:val="auto"/>
                <w:lang w:val="pt-BR"/>
              </w:rPr>
            </w:r>
          </w:p>
          <w:p>
            <w:pPr>
              <w:pStyle w:val="1030"/>
              <w:pBdr/>
              <w:spacing w:after="60" w:before="200"/>
              <w:ind/>
              <w:rPr>
                <w:sz w:val="24"/>
                <w:szCs w:val="24"/>
              </w:rPr>
            </w:pPr>
            <w:r>
              <w:rPr>
                <w:rStyle w:val="1029"/>
                <w:rFonts w:ascii="Times New Roman" w:hAnsi="Times New Roman"/>
                <w:color w:val="auto"/>
                <w:lang w:val="pt-BR"/>
              </w:rPr>
              <w:t xml:space="preserve">Số:</w:t>
            </w:r>
            <w:r>
              <w:rPr>
                <w:rStyle w:val="1029"/>
                <w:rFonts w:ascii="Times New Roman" w:hAnsi="Times New Roman"/>
                <w:color w:val="auto"/>
                <w:lang w:val="pt-BR"/>
              </w:rPr>
              <w:t xml:space="preserve"> </w:t>
            </w:r>
            <w:r>
              <w:rPr>
                <w:rStyle w:val="1029"/>
                <w:rFonts w:ascii="Times New Roman" w:hAnsi="Times New Roman"/>
                <w:color w:val="000000" w:themeColor="text1"/>
                <w:lang w:val="pt-BR"/>
              </w:rPr>
              <w:t xml:space="preserve">275/2025/1700/VFI-CT.21.A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pPr>
              <w:pStyle w:val="1030"/>
              <w:pBdr/>
              <w:spacing w:after="60" w:before="200"/>
              <w:ind w:right="-56"/>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p>
            <w:pPr>
              <w:pStyle w:val="1030"/>
              <w:pBdr/>
              <w:spacing w:after="60" w:before="200"/>
              <w:ind w:right="-56"/>
              <w:jc w:val="right"/>
              <w:rPr>
                <w:sz w:val="24"/>
                <w:szCs w:val="24"/>
                <w:lang w:val="vi-VN"/>
              </w:rPr>
            </w:pPr>
            <w:r>
              <w:rPr>
                <w:rStyle w:val="1029"/>
                <w:rFonts w:ascii="Times New Roman" w:hAnsi="Times New Roman"/>
                <w:i/>
                <w:color w:val="auto"/>
                <w:lang w:val="vi-VN"/>
              </w:rPr>
            </w:r>
            <w:r>
              <w:rPr>
                <w:rFonts w:ascii="Times New Roman" w:hAnsi="Times New Roman" w:eastAsia="Times New Roman" w:cs="Times New Roman"/>
                <w:i/>
                <w:color w:val="000000"/>
                <w:sz w:val="24"/>
              </w:rPr>
              <w:t xml:space="preserve">TP. Hà Nội, ngày 01 tháng 12 năm 2025</w:t>
            </w:r>
            <w:r>
              <w:rPr>
                <w:rStyle w:val="1029"/>
                <w:rFonts w:ascii="Times New Roman" w:hAnsi="Times New Roman" w:eastAsia="Times New Roman" w:cs="Times New Roman"/>
                <w:i/>
                <w:color w:val="auto"/>
                <w:lang w:val="vi-VN"/>
              </w:rPr>
              <w:t xml:space="preserve">   </w:t>
            </w:r>
            <w:r>
              <w:rPr>
                <w:rStyle w:val="1029"/>
                <w:rFonts w:ascii="Times New Roman" w:hAnsi="Times New Roman" w:eastAsia="Times New Roman" w:cs="Times New Roman"/>
                <w:i/>
                <w:color w:val="auto"/>
                <w:lang w:val="vi-VN"/>
              </w:rPr>
              <w:t xml:space="preserve"> </w:t>
            </w:r>
            <w:r>
              <w:rPr>
                <w:rStyle w:val="1029"/>
                <w:rFonts w:ascii="Times New Roman" w:hAnsi="Times New Roman"/>
                <w:i/>
                <w:color w:val="auto"/>
                <w:lang w:val="vi-VN"/>
              </w:rPr>
              <w:t xml:space="preserve"> </w:t>
            </w:r>
            <w:r>
              <w:rPr>
                <w:sz w:val="24"/>
                <w:szCs w:val="24"/>
                <w:lang w:val="vi-VN"/>
              </w:rPr>
            </w:r>
            <w:r>
              <w:rPr>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TRẦN THỊ HẢI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275/2025/1700/VFI-HĐTĐ.21.A</w:t>
      </w:r>
      <w:r>
        <w:rPr>
          <w:spacing w:val="-4"/>
          <w:lang w:val="vi-VN"/>
        </w:rPr>
        <w:t xml:space="preserve"> ký ngày </w:t>
      </w:r>
      <w:r>
        <w:rPr>
          <w:color w:val="000000" w:themeColor="text1"/>
          <w:spacing w:val="-4"/>
        </w:rPr>
        <w:t xml:space="preserve">28/11/2025</w:t>
      </w:r>
      <w:r>
        <w:rPr>
          <w:spacing w:val="-4"/>
          <w:lang w:val="vi-VN"/>
        </w:rPr>
        <w:t xml:space="preserve"> </w:t>
      </w:r>
      <w:r>
        <w:rPr>
          <w:spacing w:val="-4"/>
          <w:lang w:val="vi-VN"/>
        </w:rPr>
        <w:t xml:space="preserve">giữa </w:t>
      </w:r>
      <w:r>
        <w:rPr>
          <w:color w:val="000000" w:themeColor="text1"/>
          <w:spacing w:val="-4"/>
        </w:rPr>
        <w:t xml:space="preserve">Bà Trần Thị Hải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275/2025/1700/VFI-BC.21.A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01/12/2025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 </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highlight w:val="none"/>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highlight w:val="none"/>
        </w:rPr>
      </w:r>
      <w:r>
        <w:rPr>
          <w:b/>
          <w:bCs/>
          <w:highlight w:val="non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Khách hàng</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ind/>
              <w:rPr/>
            </w:pPr>
            <w:r>
              <w:rPr>
                <w:b/>
                <w:lang w:val="pt-BR"/>
              </w:rPr>
            </w:r>
            <w:r>
              <w:rPr>
                <w:rFonts w:ascii="Times New Roman Bold" w:hAnsi="Times New Roman Bold"/>
                <w:b/>
                <w:color w:val="000000" w:themeColor="text1"/>
                <w:lang w:val="pt-BR"/>
              </w:rPr>
              <w:t xml:space="preserve">BÀ TRẦN THỊ HẢI</w:t>
            </w: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CCCD số</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spacing w:val="-6"/>
                <w:lang w:val="pt-BR"/>
              </w:rPr>
            </w:pPr>
            <w:r>
              <w:rPr>
                <w:color w:val="000000" w:themeColor="text1"/>
                <w:spacing w:val="-2"/>
              </w:rPr>
              <w:t xml:space="preserve">031179002201</w:t>
            </w:r>
            <w:r>
              <w:rPr>
                <w:spacing w:val="-6"/>
                <w:lang w:val="pt-BR"/>
              </w:rPr>
            </w:r>
            <w:r>
              <w:rPr>
                <w:spacing w:val="-6"/>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spacing w:val="-6"/>
                <w:lang w:val="pt-BR"/>
              </w:rPr>
            </w:pPr>
            <w:r>
              <w:rPr>
                <w:color w:val="000000" w:themeColor="text1"/>
                <w:spacing w:val="-2"/>
              </w:rPr>
              <w:t xml:space="preserve">BT5-23 Khu đô thị mới Văn Phú, phường Kiến Hưng, Thành phố Hà Nội, Việt Nam</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i w:val="0"/>
          <w:iCs w:val="0"/>
          <w:color w:val="000000" w:themeColor="text1"/>
        </w:rPr>
        <w:t xml:space="preserve"> </w:t>
      </w:r>
      <w:r>
        <w:rPr>
          <w:i w:val="0"/>
          <w:iCs w:val="0"/>
        </w:rPr>
        <w:t xml:space="preserve">Quyền sử dụng đất tại thửa đất số: 666, tờ bản đồ số 14 có địa chỉ: Tổ dân phố Đống Khê 1, phường Đồng Hoà, quận Kiến An, thành phố Hải Phòng </w:t>
      </w:r>
      <w:r>
        <w:rPr>
          <w:i/>
          <w:iCs/>
        </w:rPr>
        <w:t xml:space="preserve">(Nay là phường Kiến An, Thành phố Hải Phòng)</w:t>
      </w:r>
      <w:r>
        <w:rPr>
          <w:i w:val="0"/>
          <w:iCs w:val="0"/>
        </w:rPr>
        <w:t xml:space="preserve"> theo Giấy chứng nhận quyền sử dụng đất quyền sở hữu nhà ở và tài sản k</w:t>
      </w:r>
      <w:r>
        <w:rPr>
          <w:i w:val="0"/>
          <w:iCs w:val="0"/>
        </w:rPr>
        <w:t xml:space="preserve">hác gắn liền với đất số: DQ 013557, số vào sổ cấp GCN: CN 604 do Chi nhánh văn phòng đăng ký đất đai quận Kiến An cấp ngày 15/11/2024; Chủ sử dụng đất là Bà Trần Thị Hải.</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04"/>
        <w:gridCol w:w="2410"/>
        <w:gridCol w:w="1417"/>
        <w:gridCol w:w="1843"/>
        <w:gridCol w:w="1276"/>
        <w:gridCol w:w="186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CLCL </w:t>
              <w:br/>
              <w:t xml:space="preserve">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666, tờ bản đồ số 14 có địa chỉ: Tổ dân phố Đống Khê 1, phường Đồng Hoà, quận Kiến An, thành phố Hải Phòng (Nay là phường Kiến An, Thành phố Hải Phòng) theo Giấy chứng nhận quyền sử dụng đất quyền sở hữu nhà ở và tài sản </w:t>
            </w:r>
            <w:r>
              <w:rPr>
                <w:rFonts w:ascii="Times New Roman" w:hAnsi="Times New Roman" w:eastAsia="Times New Roman" w:cs="Times New Roman"/>
                <w:b/>
                <w:color w:val="000000"/>
                <w:sz w:val="24"/>
              </w:rPr>
              <w:t xml:space="preserve">khác gắn liền với đất số: DQ 013557, số vào sổ cấp GCN: CN 604 do Chi nhánh văn phòng đăng ký đất đai quận Kiến An cấp ngày 15/11/2024; Chủ sử dụng đất là Bà Trần Thị Hải.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40,5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35.000.000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color w:val="000000"/>
                <w:sz w:val="24"/>
              </w:rPr>
              <w:t xml:space="preserve">1.417.500.000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117,6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7.797.300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98,0%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color w:val="000000"/>
                <w:sz w:val="24"/>
              </w:rPr>
              <w:t xml:space="preserve">898.623.230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64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right"/>
              <w:rPr/>
            </w:pPr>
            <w:r>
              <w:rPr>
                <w:rFonts w:ascii="Times New Roman" w:hAnsi="Times New Roman" w:eastAsia="Times New Roman" w:cs="Times New Roman"/>
                <w:b/>
                <w:color w:val="000000"/>
                <w:sz w:val="24"/>
              </w:rPr>
              <w:t xml:space="preserve">2.316.123.230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64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right"/>
              <w:rPr/>
            </w:pPr>
            <w:r>
              <w:rPr>
                <w:rFonts w:ascii="Times New Roman" w:hAnsi="Times New Roman" w:eastAsia="Times New Roman" w:cs="Times New Roman"/>
                <w:b/>
                <w:color w:val="000000"/>
                <w:sz w:val="24"/>
              </w:rPr>
              <w:t xml:space="preserve">2.316.000.000</w:t>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5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Hai tỷ, ba trăm mười sáu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highlight w:val="none"/>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highlight w:val="none"/>
          <w:lang w:val="vi-VN"/>
        </w:rPr>
      </w:r>
      <w:r>
        <w:rPr>
          <w:spacing w:val="-6"/>
          <w:highlight w:val="none"/>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pPr>
              <w:pStyle w:val="1030"/>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pPr>
              <w:pStyle w:val="1030"/>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275/2025/1700/VFI-BC.21.A</w:t>
            </w:r>
            <w:r>
              <w:rPr>
                <w:sz w:val="24"/>
                <w:szCs w:val="24"/>
              </w:rPr>
            </w:r>
            <w:r>
              <w:rPr>
                <w:sz w:val="24"/>
                <w:szCs w:val="24"/>
              </w:rPr>
            </w:r>
          </w:p>
        </w:tc>
        <w:tc>
          <w:tcPr>
            <w:tcBorders/>
            <w:tcW w:w="4781" w:type="dxa"/>
            <w:textDirection w:val="lrTb"/>
            <w:noWrap w:val="false"/>
          </w:tcPr>
          <w:p>
            <w:pPr>
              <w:pStyle w:val="1030"/>
              <w:pBdr/>
              <w:tabs>
                <w:tab w:val="left" w:leader="none" w:pos="5103"/>
              </w:tabs>
              <w:spacing w:before="100" w:line="360" w:lineRule="auto"/>
              <w:ind/>
              <w:jc w:val="right"/>
              <w:rPr>
                <w:rStyle w:val="1029"/>
                <w:rFonts w:ascii="Times New Roman" w:hAnsi="Times New Roman"/>
                <w:i/>
                <w:color w:val="auto"/>
              </w:rPr>
            </w:pPr>
            <w:r>
              <w:rPr>
                <w:rFonts w:ascii="Times New Roman" w:hAnsi="Times New Roman"/>
                <w:i/>
                <w:color w:val="auto"/>
              </w:rPr>
            </w:r>
            <w:r>
              <w:rPr>
                <w:rStyle w:val="1029"/>
                <w:rFonts w:ascii="Times New Roman" w:hAnsi="Times New Roman"/>
                <w:i/>
                <w:color w:val="auto"/>
              </w:rPr>
            </w:r>
            <w:r>
              <w:rPr>
                <w:rStyle w:val="1029"/>
                <w:rFonts w:ascii="Times New Roman" w:hAnsi="Times New Roman"/>
                <w:i/>
                <w:color w:val="auto"/>
              </w:rPr>
            </w:r>
          </w:p>
          <w:p>
            <w:pPr>
              <w:pStyle w:val="1030"/>
              <w:pBdr/>
              <w:tabs>
                <w:tab w:val="left" w:leader="none" w:pos="5103"/>
              </w:tabs>
              <w:spacing w:before="100" w:line="360" w:lineRule="auto"/>
              <w:ind/>
              <w:jc w:val="right"/>
              <w:rPr>
                <w:i/>
                <w:iCs/>
                <w:sz w:val="24"/>
                <w:szCs w:val="24"/>
              </w:rPr>
            </w:pPr>
            <w:r>
              <w:rPr>
                <w:rStyle w:val="1029"/>
                <w:rFonts w:ascii="Times New Roman" w:hAnsi="Times New Roman"/>
                <w:i/>
                <w:color w:val="auto"/>
              </w:rPr>
              <w:t xml:space="preserve">TP</w:t>
            </w:r>
            <w:r>
              <w:rPr>
                <w:rStyle w:val="1029"/>
                <w:rFonts w:ascii="Times New Roman" w:hAnsi="Times New Roman"/>
                <w:color w:val="auto"/>
              </w:rPr>
              <w:t xml:space="preserve">. </w:t>
            </w:r>
            <w:r>
              <w:rPr>
                <w:rStyle w:val="1029"/>
                <w:rFonts w:ascii="Times New Roman" w:hAnsi="Times New Roman"/>
                <w:i/>
                <w:color w:val="auto"/>
              </w:rPr>
              <w:t xml:space="preserve">Hà Nội</w:t>
            </w:r>
            <w:r>
              <w:rPr>
                <w:rStyle w:val="1029"/>
                <w:rFonts w:ascii="Times New Roman" w:hAnsi="Times New Roman"/>
                <w:i/>
                <w:color w:val="auto"/>
                <w:lang w:val="vi-VN"/>
              </w:rPr>
              <w:t xml:space="preserve">, ngày 01 tháng 12 năm 2025 </w:t>
            </w:r>
            <w:r>
              <w:rPr>
                <w:rStyle w:val="1029"/>
                <w:rFonts w:ascii="Times New Roman" w:hAnsi="Times New Roman"/>
                <w:i/>
                <w:color w:val="auto"/>
                <w:lang w:val="vi-VN"/>
              </w:rPr>
              <w:t xml:space="preserve">  </w:t>
            </w:r>
            <w:r>
              <w:rPr>
                <w:rStyle w:val="1029"/>
                <w:rFonts w:ascii="Times New Roman" w:hAnsi="Times New Roman"/>
                <w:i/>
                <w:color w:val="auto"/>
                <w:lang w:val="vi-VN"/>
              </w:rPr>
              <w:t xml:space="preserve">  </w:t>
            </w:r>
            <w:r>
              <w:rPr>
                <w:i/>
                <w:iCs/>
                <w:sz w:val="24"/>
                <w:szCs w:val="24"/>
              </w:rPr>
            </w:r>
            <w:r>
              <w:rPr>
                <w:i/>
                <w:iCs/>
                <w:sz w:val="24"/>
                <w:szCs w:val="24"/>
              </w:rPr>
            </w:r>
          </w:p>
        </w:tc>
      </w:tr>
    </w:tbl>
    <w:p>
      <w:pPr>
        <w:pStyle w:val="1030"/>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275/2025/1700/VFI-CT.21.A ngày 01 tháng 12 năm 2025</w:t>
      </w:r>
      <w:r>
        <w:rPr>
          <w:b w:val="0"/>
          <w:i/>
          <w:color w:val="000000" w:themeColor="text1"/>
          <w:spacing w:val="-6"/>
          <w:sz w:val="24"/>
          <w:szCs w:val="24"/>
          <w:lang w:val="pt-BR"/>
        </w:rPr>
        <w:t xml:space="preserve"> </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BT5-23 Khu đô thị mới Văn Phú, phường Kiến Hưng, Thành phố Hà Nội, Việt Nam</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vMerge w:val="restart"/>
            <w:textDirection w:val="lrTb"/>
            <w:noWrap w:val="false"/>
          </w:tcPr>
          <w:p>
            <w:pPr>
              <w:pBdr/>
              <w:spacing w:after="40" w:before="40" w:line="276" w:lineRule="auto"/>
              <w:ind/>
              <w:rPr>
                <w:bCs/>
                <w:lang w:val="pt-BR"/>
              </w:rPr>
            </w:pPr>
            <w:r>
              <w:rPr>
                <w:bCs/>
                <w:lang w:val="pt-BR"/>
              </w:rPr>
              <w:t xml:space="preserve">Khách hàng</w:t>
            </w:r>
            <w:r>
              <w:rPr>
                <w:bCs/>
                <w:lang w:val="pt-BR"/>
              </w:rPr>
            </w:r>
            <w:r>
              <w:rPr>
                <w:bCs/>
                <w:lang w:val="pt-BR"/>
              </w:rPr>
            </w:r>
          </w:p>
        </w:tc>
        <w:tc>
          <w:tcPr>
            <w:tcBorders/>
            <w:tcW w:w="284" w:type="dxa"/>
            <w:vAlign w:val="center"/>
            <w:vMerge w:val="restart"/>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pPr>
              <w:pBdr/>
              <w:spacing/>
              <w:ind/>
              <w:rPr/>
            </w:pPr>
            <w:r>
              <w:rPr>
                <w:rFonts w:ascii="Times New Roman Bold" w:hAnsi="Times New Roman Bold"/>
                <w:b/>
                <w:color w:val="000000" w:themeColor="text1"/>
                <w:lang w:val="pt-BR"/>
              </w:rPr>
              <w:t xml:space="preserve">BÀ TRẦN THỊ HẢI</w:t>
            </w:r>
            <w:r/>
          </w:p>
        </w:tc>
      </w:tr>
      <w:tr>
        <w:trPr>
          <w:trHeight w:val="20"/>
        </w:trPr>
        <w:tc>
          <w:tcPr>
            <w:tcBorders/>
            <w:tcW w:w="2518" w:type="dxa"/>
            <w:vAlign w:val="center"/>
            <w:vMerge w:val="restart"/>
            <w:textDirection w:val="lrTb"/>
            <w:noWrap w:val="false"/>
          </w:tcPr>
          <w:p>
            <w:pPr>
              <w:pBdr/>
              <w:spacing w:after="40" w:before="40" w:line="276" w:lineRule="auto"/>
              <w:ind/>
              <w:rPr>
                <w:bCs/>
              </w:rPr>
            </w:pPr>
            <w:r>
              <w:rPr>
                <w:bCs/>
              </w:rPr>
              <w:t xml:space="preserve">CCCD số</w:t>
            </w:r>
            <w:r>
              <w:rPr>
                <w:bCs/>
              </w:rPr>
            </w:r>
            <w:r>
              <w:rPr>
                <w:bCs/>
              </w:rPr>
            </w:r>
          </w:p>
        </w:tc>
        <w:tc>
          <w:tcPr>
            <w:tcBorders/>
            <w:tcW w:w="284" w:type="dxa"/>
            <w:vAlign w:val="center"/>
            <w:vMerge w:val="restart"/>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pPr>
              <w:pBdr/>
              <w:spacing w:after="40" w:before="40" w:line="276" w:lineRule="auto"/>
              <w:ind/>
              <w:jc w:val="both"/>
              <w:rPr>
                <w:spacing w:val="-6"/>
                <w:lang w:val="pt-BR"/>
              </w:rPr>
            </w:pPr>
            <w:r>
              <w:rPr>
                <w:color w:val="000000" w:themeColor="text1"/>
                <w:spacing w:val="-2"/>
              </w:rPr>
              <w:t xml:space="preserve">031179002201</w:t>
            </w:r>
            <w:r>
              <w:rPr>
                <w:spacing w:val="-6"/>
                <w:lang w:val="pt-BR"/>
              </w:rPr>
            </w:r>
            <w:r>
              <w:rPr>
                <w:spacing w:val="-6"/>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jc w:val="both"/>
              <w:rPr/>
            </w:pPr>
            <w:r>
              <w:t xml:space="preserve">Quyền sử dụng đất tại thửa đất số: 666, tờ bản đồ số 14 có địa chỉ: Tổ dân phố Đống Khê 1, phường Đồng Hoà, quận Kiến An, thành phố Hải Phòng</w:t>
            </w:r>
            <w:r>
              <w:rPr>
                <w:i/>
                <w:iCs/>
              </w:rPr>
              <w:t xml:space="preserve"> (Nay là phường Kiến An, Thành phố Hải Phòng)</w:t>
            </w:r>
            <w:r>
              <w:t xml:space="preserve"> theo Giấy chứng nhận quyền sử dụng đất quyền sở hữu nhà ở và tài sản k</w:t>
            </w:r>
            <w:r>
              <w:t xml:space="preserve">hác gắn liền với đất số: DQ 013557, số vào sổ cấp GCN: CN 604 do Chi nhánh văn phòng đăng ký đất đai quận Kiến An cấp ngày 15/11/2024; Chủ sử dụng đất là Bà Trần Thị Hải.</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Tổ dân phố Đống Khê 1, phường Đồng Hoà, quận Kiến An, thành phố Hải Phòng (Nay là phường Kiến An, Thành phố Hải Phòng)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auto"/>
                <w:sz w:val="24"/>
                <w:szCs w:val="24"/>
              </w:rPr>
              <w:t xml:space="preserve">20.822234, 106.656305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Cs/>
          <w:color w:val="000000" w:themeColor="text1"/>
          <w:lang w:val="pt-BR"/>
        </w:rPr>
        <w:t xml:space="preserve">Giấy chứng nhận quyền sử dụng đất quyền sở hữu nhà ở và tài sản khác gắn liền với đất số: DQ 013557, số vào sổ cấp GCN: CN 604 do Chi nhánh văn phòng đăng ký đất đai quận Kiến An cấp ngày 15/11/2024; Chủ sử dụng đất là Bà Trần Thị Hải</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bCs/>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275/2025/1700/VFI-HĐTĐ.21.A</w:t>
      </w:r>
      <w:r>
        <w:rPr>
          <w:spacing w:val="-4"/>
          <w:lang w:val="vi-VN"/>
        </w:rPr>
        <w:t xml:space="preserve"> ký ngày </w:t>
      </w:r>
      <w:r>
        <w:rPr>
          <w:color w:val="000000" w:themeColor="text1"/>
          <w:spacing w:val="-4"/>
        </w:rPr>
        <w:t xml:space="preserve">28/11/2025</w:t>
      </w:r>
      <w:r>
        <w:rPr>
          <w:spacing w:val="-4"/>
          <w:lang w:val="vi-VN"/>
        </w:rPr>
        <w:t xml:space="preserve"> </w:t>
      </w:r>
      <w:r>
        <w:rPr>
          <w:spacing w:val="-4"/>
          <w:lang w:val="vi-VN"/>
        </w:rPr>
        <w:t xml:space="preserve">giữa </w:t>
      </w:r>
      <w:r>
        <w:rPr>
          <w:color w:val="000000" w:themeColor="text1"/>
          <w:spacing w:val="-4"/>
        </w:rPr>
        <w:t xml:space="preserve">Bà Trần Thị Hải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bCs/>
          <w:lang w:val="pt-BR"/>
        </w:rPr>
      </w:r>
      <w:r>
        <w:rPr>
          <w:b/>
          <w:bCs/>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Bất động sản Hải Phòng năm 2025 đang chứng kiến sự trỗi dậy mạnh mẽ nhờ vào hàng loạt đại dự án tỷ đô được triển khai. Những dự án này không chỉ làm thay đổi diện mạo thành phố cảng mà còn tạo ra cơ hội đầu tư hấp dẫn cho nhiều doanh nghiệp và cá nhân. Với</w:t>
      </w:r>
      <w:r>
        <w:rPr>
          <w:rFonts w:ascii="Times New Roman" w:hAnsi="Times New Roman" w:eastAsia="Times New Roman" w:cs="Times New Roman"/>
          <w:color w:val="000000"/>
          <w:sz w:val="24"/>
        </w:rPr>
        <w:t xml:space="preserve"> tiềm năng phát triển mạnh mẽ, bất động sản Hải Phòng hứa hẹn sẽ trở thành một trong những thị trường sôi động nhất tại Việt Nam.</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Số lượng dự án bất động sản tăng gần gấp đôi trong 5 năm qua</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Sự xuất hiện của nhiều ông lớn đã khiến số lượng dự án bất động sản tại Hải Phòng tăng gần gấp đôi trong vòng 5 năm qua. Từ sau Tết, anh Nguyễn Văn Tiến, một môi giới có gần mười năm kinh nghiệm tại Hải Phòng, cho biết đã liên tục tiếp xúc với các nhà đầu</w:t>
      </w:r>
      <w:r>
        <w:rPr>
          <w:rFonts w:ascii="Times New Roman" w:hAnsi="Times New Roman" w:eastAsia="Times New Roman" w:cs="Times New Roman"/>
          <w:color w:val="000000"/>
          <w:sz w:val="24"/>
        </w:rPr>
        <w:t xml:space="preserve"> tư từ nhiều địa phương như Hà Nội, Hải Dương, Hưng Yên, và cả từ phía Nam, tìm kiếm cơ hội mua bất động sản. Khu vực Thuỷ Nguyên, An Dương và Dương Kinh là những điểm đến được họ chú ý nhiều nhất.</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anh Tiến, sự thay đổi này là rất rõ rệt so với 3-4 năm trước bởi bất động sản Hải Phòng trước đây khá khép kín, với ít sự tham gia của nhà đầu tư từ tỉnh khác, nhất là khi so sánh với Quảng Ninh. Quảng Ninh đã phát triển thị trường sớm hơn, với sự đa</w:t>
      </w:r>
      <w:r>
        <w:rPr>
          <w:rFonts w:ascii="Times New Roman" w:hAnsi="Times New Roman" w:eastAsia="Times New Roman" w:cs="Times New Roman"/>
          <w:color w:val="000000"/>
          <w:sz w:val="24"/>
        </w:rPr>
        <w:t xml:space="preserve"> dạng về sản phẩm phục vụ nhu cầu ở, dịch vụ và nghỉ dưỡng cao cấp.</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Giao dịch và giá nhà đất tăng 10–30% tùy khu vực trong quý I/2025</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quý I/2025, ông Nguyễn Quang Văn - Chủ tịch Hiệp hội Bất động sản Hải Phòng, cho biết các sàn giao dịch trong thành phố ghi nhận lượng giao dịch tăng khoảng 30% so với cùng kỳ năm 2024, với giá cả biến động 10-30% tùy thuộc vào từng phân khúc và khu</w:t>
      </w:r>
      <w:r>
        <w:rPr>
          <w:rFonts w:ascii="Times New Roman" w:hAnsi="Times New Roman" w:eastAsia="Times New Roman" w:cs="Times New Roman"/>
          <w:color w:val="000000"/>
          <w:sz w:val="24"/>
        </w:rPr>
        <w:t xml:space="preserve"> vực. Đặc biệt, giá đất nền thay đổi mạnh mẽ tại Thủy Nguyên, Tràng Cát và Dương Kinh. Hiệp hội Môi giới Bất động sản Việt Nam (VARS) cũng cho hay lượng giao dịch và giá bán thứ cấp tại Hải Phòng đang có xu hướng tăng bình quân từ 5-10%, riêng Thủy Nguyên </w:t>
      </w:r>
      <w:r>
        <w:rPr>
          <w:rFonts w:ascii="Times New Roman" w:hAnsi="Times New Roman" w:eastAsia="Times New Roman" w:cs="Times New Roman"/>
          <w:color w:val="000000"/>
          <w:sz w:val="24"/>
        </w:rPr>
        <w:t xml:space="preserve">ghi nhận mức tăng lên tới 30%. Các dự án nhà thấp tầng và nhà xã hội mới mở bán cũng đạt tỷ lệ hấp thụ trên 60%.</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Thị trường thu hút nhà đầu tư khắp cả nước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Theo đánh giá từ các đơn vị nghiên cứu và giới chuyên gia, một trong những lý do chủ yếu khiến Hải Phòng trở thành một trong những thị trường bất động sản sôi động và được chú ý hàng đầu tại miền Bắc, nhất là Hà Nội, Hưng Yên và miền Nam với hàng loạt dự </w:t>
      </w:r>
      <w:r>
        <w:rPr>
          <w:rFonts w:ascii="Times New Roman" w:hAnsi="Times New Roman" w:eastAsia="Times New Roman" w:cs="Times New Roman"/>
          <w:color w:val="000000"/>
          <w:sz w:val="24"/>
        </w:rPr>
        <w:t xml:space="preserve">án khu đô thị và chung cư cao cấp. Trong khoảng một năm qua, số lượng dự án khu đô thị, chung cư thương mại và nhà xã hội được đầu tư tại thành phố cảng cũng nằm trong nhóm cao nhất toàn quốc.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Hạ tầng và vị thế kinh tế tạo lực đẩy cho thị trường địa ốc Hải Phòng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Savills cho biết Hải Phòng đang có nhiều yếu tố thuận lợi để thị trường địa ốc tiếp tục phát triển trong thời gian tới. Thành phố này nằm trong vùng tam giác kinh tế phát triển cùng với Hà Nội và Quảng Ninh, sở hữu hệ thống cảng biển lớn nhất miền Bắc và </w:t>
      </w:r>
      <w:r>
        <w:rPr>
          <w:rFonts w:ascii="Times New Roman" w:hAnsi="Times New Roman" w:eastAsia="Times New Roman" w:cs="Times New Roman"/>
          <w:color w:val="000000"/>
          <w:sz w:val="24"/>
        </w:rPr>
        <w:t xml:space="preserve">hạ tầng giao thông đa dạng.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tháng vừa qua, Hải Phòng đã đưa vào hoạt động thêm 2 bến cảng nước sâu (số 3 và 4) thuộc cụm cảng Lạch Huyện, với tổng giá trị 7.000 tỷ đồng, có khả năng xử lý sản lượng hàng hóa lên tới 1,5 triệu TEU mỗi năm. Trước đó, bến cảng số 5 và 6 cũng đã ch</w:t>
      </w:r>
      <w:r>
        <w:rPr>
          <w:rFonts w:ascii="Times New Roman" w:hAnsi="Times New Roman" w:eastAsia="Times New Roman" w:cs="Times New Roman"/>
          <w:color w:val="000000"/>
          <w:sz w:val="24"/>
        </w:rPr>
        <w:t xml:space="preserve">ính thức hoạt động, cho phép đón cùng lúc 2 tàu container lớn nhất thế giới hiện nay.</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Sân bay quốc tế Cát Bi cũng đang được mở rộng sân đỗ và sẽ xây dựng nhà ga hành khách T2, được thiết kế với công suất 5 triệu hành khách mỗi năm khi hoàn thành. Một tuyến giao thông quan trọng khác, có vai trò lớn trong sự phát triển của thành phố trong t</w:t>
      </w:r>
      <w:r>
        <w:rPr>
          <w:rFonts w:ascii="Times New Roman" w:hAnsi="Times New Roman" w:eastAsia="Times New Roman" w:cs="Times New Roman"/>
          <w:color w:val="000000"/>
          <w:sz w:val="24"/>
        </w:rPr>
        <w:t xml:space="preserve">ương lai, là đường sắt Lào Cai - Hà Nội - Hải Phòng, với tổng mức đầu tư dự kiến là 11 tỷ USD. Mới đây, Thủ tướng đã yêu cầu khởi công dự án này vào cuối năm nay.</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Trong lĩnh vực bất động sản khu công nghiệp, Hải Phòng cũng là một trong những địa phương phát triển mạnh mẽ nhất cả nước, với các khu công nghiệp như Tràng Duệ, VSIP, Đình Vũ, Deep C thu hút nhiều doanh nghiệp nổi tiếng trong và ngoài nước.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Sáp nhập Hải Dương – Hải Phòng: Gia tăng nhu cầu nhà ở, dịch vụ</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Savills còn cho rằng việc hợp nhất với Hải Dương sẽ đóng góp đáng kể vào việc tăng cường nhu cầu về nhà ở, khách sạn và văn phòng tại Hải Phòng. Sự mở rộng này không chỉ tạo ra nhiều cơ hội đầu tư mới mà còn thu hút thêm nguồn lực và lao động từ các khu v</w:t>
      </w:r>
      <w:r>
        <w:rPr>
          <w:rFonts w:ascii="Times New Roman" w:hAnsi="Times New Roman" w:eastAsia="Times New Roman" w:cs="Times New Roman"/>
          <w:color w:val="000000"/>
          <w:sz w:val="24"/>
        </w:rPr>
        <w:t xml:space="preserve">ực lân cận, góp phần làm phong phú thêm thị trường bất động sản.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Bên cạnh đó, việc hợp nhất sẽ giúp cải thiện hạ tầng giao thông và dịch vụ công cộng, từ đó nâng cao chất lượng cuộc sống cho cư dân. Điều này sẽ kích thích sự phát triển bền vững của thị trường bất động sản trong tương lai, tạo điều kiện cho các nhà đầu </w:t>
      </w:r>
      <w:r>
        <w:rPr>
          <w:rFonts w:ascii="Times New Roman" w:hAnsi="Times New Roman" w:eastAsia="Times New Roman" w:cs="Times New Roman"/>
          <w:color w:val="000000"/>
          <w:sz w:val="24"/>
        </w:rPr>
        <w:t xml:space="preserve">tư và doanh nghiệp khai thác tiềm năng phát triển của thành phố.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Việc gia tăng nhu cầu về bất động sản cũng sẽ thúc đẩy các dự án xây dựng mới, đáp ứng nhu cầu ngày càng cao của người dân và doanh nghiệp, từ đó tạo nên một thị trường bất động sản sôi động và đầy triển vọng.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i/>
          <w:color w:val="000000"/>
          <w:sz w:val="24"/>
        </w:rPr>
        <w:tab/>
        <w:t xml:space="preserve">Hải Phòng hấp dẫn doanh nghiệp và người dân đến an cư, đầu tư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Hiện nay, Hải Phòng có diện tích tự nhiên vượt quá 1.500 km² và dân số đạt hơn 2,1 triệu người. Năm 2024, thành phố ghi nhận tốc độ tăng trưởng tổng sản phẩm trên địa bàn (GRDP) khoảng 11%, xếp thứ ba trong cả nước. Đây cũng là năm thứ mười liên tiếp Hải </w:t>
      </w:r>
      <w:r>
        <w:rPr>
          <w:rFonts w:ascii="Times New Roman" w:hAnsi="Times New Roman" w:eastAsia="Times New Roman" w:cs="Times New Roman"/>
          <w:color w:val="000000"/>
          <w:sz w:val="24"/>
        </w:rPr>
        <w:t xml:space="preserve">Phòng duy trì được mức tăng trưởng hai con số.</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Nhìn chung, trong năm 2025, bất động sản Hải Phòng dự kiến sẽ tiếp tục bùng nổ mạnh mẽ nhờ vào sự phát triển của các đại dự án tỷ đô, tạo ra nhiều cơ hội đầu tư hấp dẫn. Sự chuyển mình này không chỉ nâng cao giá trị bất động sản mà còn góp phần định hình </w:t>
      </w:r>
      <w:r>
        <w:rPr>
          <w:rFonts w:ascii="Times New Roman" w:hAnsi="Times New Roman" w:eastAsia="Times New Roman" w:cs="Times New Roman"/>
          <w:color w:val="000000"/>
          <w:sz w:val="24"/>
        </w:rPr>
        <w:t xml:space="preserve">tương lai kinh tế vững mạnh cho thành phố cảng.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https://onehousing.vn/blog/bat-dong-san-hai-phong-nam-2025-troi-day-manh-me-nho-loat-dai-du-an-ty-do-n17t)</w:t>
      </w:r>
      <w:r>
        <w:rPr>
          <w:rFonts w:ascii="Times New Roman" w:hAnsi="Times New Roman" w:eastAsia="Times New Roman" w:cs="Times New Roman"/>
          <w:sz w:val="24"/>
        </w:rPr>
      </w:r>
      <w:r/>
    </w:p>
    <w:p>
      <w:pPr>
        <w:pStyle w:val="103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016"/>
        <w:gridCol w:w="2126"/>
        <w:gridCol w:w="211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color w:val="000000"/>
                <w:sz w:val="24"/>
              </w:rPr>
              <w:t xml:space="preserve">Quyền sử dụng đất tại thửa đất số: 666, tờ bản đồ số 14 có địa chỉ: Tổ dân phố Đống Khê 1, phường Đồng Hoà, quận Kiến An, thành phố Hải Phòng </w:t>
            </w:r>
            <w:r>
              <w:rPr>
                <w:rFonts w:ascii="Times New Roman" w:hAnsi="Times New Roman" w:eastAsia="Times New Roman" w:cs="Times New Roman"/>
                <w:b/>
                <w:i/>
                <w:iCs/>
                <w:color w:val="000000"/>
                <w:sz w:val="24"/>
              </w:rPr>
              <w:t xml:space="preserve">(Nay là phường Kiến An, Thành phố Hải Phòng)</w:t>
            </w:r>
            <w:r>
              <w:rPr>
                <w:rFonts w:ascii="Times New Roman" w:hAnsi="Times New Roman" w:eastAsia="Times New Roman" w:cs="Times New Roman"/>
                <w:b/>
                <w:color w:val="000000"/>
                <w:sz w:val="24"/>
              </w:rPr>
              <w:t xml:space="preserve"> theo Giấy chứng nhận quyền sử dụng đất quyền sở hữu nhà ở và tài sản </w:t>
            </w:r>
            <w:r>
              <w:rPr>
                <w:rFonts w:ascii="Times New Roman" w:hAnsi="Times New Roman" w:eastAsia="Times New Roman" w:cs="Times New Roman"/>
                <w:b/>
                <w:color w:val="000000"/>
                <w:sz w:val="24"/>
              </w:rPr>
              <w:t xml:space="preserve">khác gắn liền với đất số: DQ 013557, số vào sổ cấp GCN: CN 604 do Chi nhánh văn phòng đăng ký đất đai quận Kiến An cấp ngày 15/11/2024; Chủ sử dụng đất là Bà Trần Thị Hải</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666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117" w:type="dxa"/>
            <w:vAlign w:val="center"/>
            <w:textDirection w:val="lrTb"/>
            <w:noWrap w:val="false"/>
          </w:tcPr>
          <w:p>
            <w:pPr>
              <w:pBdr/>
              <w:spacing/>
              <w:ind/>
              <w:jc w:val="center"/>
              <w:rPr>
                <w:color w:val="ee0000"/>
              </w:rPr>
            </w:pPr>
            <w:r>
              <w:rPr>
                <w:color w:val="000000" w:themeColor="text1"/>
              </w:rPr>
              <w:t xml:space="preserve">14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Cs/>
                <w:i/>
              </w:rPr>
            </w:pPr>
            <w:r>
              <w:t xml:space="preserve">Tổ dân phố Đống Khê 1, phường Đồng Hoà, quận Kiến An, thành phố Hải Phòng </w:t>
            </w:r>
            <w:r>
              <w:rPr>
                <w:i/>
                <w:iCs/>
              </w:rPr>
              <w:t xml:space="preserve">(Nay là phường Kiến An, Thành phố Hải Phòng)</w:t>
            </w:r>
            <w:r>
              <w:rPr>
                <w:bCs/>
                <w:i/>
              </w:rPr>
            </w:r>
            <w:r>
              <w:rPr>
                <w:bCs/>
                <w:i/>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272,0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117" w:type="dxa"/>
            <w:vAlign w:val="center"/>
            <w:textDirection w:val="lrTb"/>
            <w:noWrap w:val="false"/>
          </w:tcPr>
          <w:p>
            <w:pPr>
              <w:pBdr/>
              <w:spacing/>
              <w:ind/>
              <w:jc w:val="center"/>
              <w:rPr/>
            </w:pPr>
            <w:r>
              <w:t xml:space="preserve">231,5m2 sử dụng chung; 40,5m2 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Loại đất:</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Đất ở tại đô thị (ODT)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11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r>
            <w:r>
              <w:rPr>
                <w:color w:val="000000"/>
              </w:rPr>
              <w:t xml:space="preserve">Địa chỉ thực tế: </w:t>
            </w:r>
            <w:r>
              <w:rPr>
                <w:color w:val="000000"/>
              </w:rPr>
            </w:r>
            <w:r>
              <w:rPr>
                <w:color w:val="000000"/>
              </w:rPr>
            </w:r>
          </w:p>
        </w:tc>
        <w:tc>
          <w:tcPr>
            <w:gridSpan w:val="3"/>
            <w:tcBorders/>
            <w:tcW w:w="6259" w:type="dxa"/>
            <w:vAlign w:val="center"/>
            <w:vMerge w:val="restart"/>
            <w:textDirection w:val="lrTb"/>
            <w:noWrap w:val="false"/>
          </w:tcPr>
          <w:p>
            <w:pPr>
              <w:pBdr/>
              <w:spacing/>
              <w:ind/>
              <w:jc w:val="both"/>
              <w:rPr>
                <w:color w:val="000000"/>
              </w:rPr>
            </w:pPr>
            <w:r>
              <w:rPr>
                <w:color w:val="000000"/>
              </w:rPr>
            </w:r>
            <w:r>
              <w:rPr>
                <w:color w:val="000000"/>
              </w:rPr>
              <w:t xml:space="preserve">Số 15, ngõ 81/101 đường Đất Đỏ, phường Kiến An, thành phố Hải Phòng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117"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Khoảng 2m</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117" w:type="dxa"/>
            <w:vAlign w:val="center"/>
            <w:textDirection w:val="lrTb"/>
            <w:noWrap w:val="false"/>
          </w:tcPr>
          <w:p>
            <w:pPr>
              <w:pBdr/>
              <w:spacing/>
              <w:ind/>
              <w:jc w:val="center"/>
              <w:rPr>
                <w:color w:val="000000"/>
              </w:rPr>
            </w:pPr>
            <w:r>
              <w:rPr>
                <w:color w:val="000000" w:themeColor="text1"/>
              </w:rPr>
              <w:t xml:space="preserve">Khoảng 2m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themeColor="text1"/>
              </w:rPr>
              <w:t xml:space="preserve">Tài sản nằm tại số 15, ngõ 81/101 đường Đất Đỏ, phường Kiến An, Thành phố Hải Phòng; cách đường ô tô khoảng 50m, cách Ngã 5 Kiến An khoảng 850m.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pPr>
            <w:r>
              <w:rPr>
                <w:color w:val="000000" w:themeColor="text1"/>
              </w:rPr>
              <w:t xml:space="preserve">Hướng Bắc: Tiếp giáp đường bê tông khoảng 2m.</w:t>
            </w:r>
            <w:r/>
          </w:p>
          <w:p>
            <w:pPr>
              <w:pBdr/>
              <w:spacing/>
              <w:ind/>
              <w:rPr>
                <w:color w:val="000000" w:themeColor="text1"/>
              </w:rPr>
            </w:pPr>
            <w:r>
              <w:rPr>
                <w:color w:val="000000" w:themeColor="text1"/>
              </w:rPr>
              <w:t xml:space="preserve">Các hướng khác: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106.656305</w:t>
            </w:r>
            <w:r>
              <w:rPr>
                <w:color w:val="000000"/>
              </w:rPr>
              <w:t xml:space="preserve">, </w:t>
            </w:r>
            <w:r>
              <w:rPr>
                <w:color w:val="000000"/>
              </w:rPr>
              <w:t xml:space="preserve">20.822234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85001" cy="281644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95677" name=""/>
                              <pic:cNvPicPr>
                                <a:picLocks noChangeAspect="1"/>
                              </pic:cNvPicPr>
                              <pic:nvPr/>
                            </pic:nvPicPr>
                            <pic:blipFill>
                              <a:blip r:embed="rId15"/>
                              <a:stretch/>
                            </pic:blipFill>
                            <pic:spPr bwMode="auto">
                              <a:xfrm flipH="0" flipV="0">
                                <a:off x="0" y="0"/>
                                <a:ext cx="5485001" cy="28164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1.89pt;height:221.77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40,5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117" w:type="dxa"/>
            <w:vAlign w:val="center"/>
            <w:textDirection w:val="lrTb"/>
            <w:noWrap w:val="false"/>
          </w:tcPr>
          <w:p>
            <w:pPr>
              <w:pBdr/>
              <w:spacing/>
              <w:ind/>
              <w:jc w:val="center"/>
              <w:rPr>
                <w:color w:val="000000"/>
              </w:rPr>
            </w:pPr>
            <w:r>
              <w:rPr>
                <w:color w:val="000000" w:themeColor="text1"/>
              </w:rPr>
              <w:t xml:space="preserve">231,5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3,84</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117" w:type="dxa"/>
            <w:vAlign w:val="center"/>
            <w:textDirection w:val="lrTb"/>
            <w:noWrap w:val="false"/>
          </w:tcPr>
          <w:p>
            <w:pPr>
              <w:pBdr/>
              <w:spacing/>
              <w:ind/>
              <w:jc w:val="center"/>
              <w:rPr>
                <w:color w:val="000000" w:themeColor="text1"/>
              </w:rPr>
            </w:pPr>
            <w:r>
              <w:rPr>
                <w:color w:val="000000" w:themeColor="text1"/>
              </w:rPr>
              <w:t xml:space="preserve">10,34-10,5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11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w:t>
            </w:r>
            <w:r>
              <w:rPr>
                <w:color w:val="000000"/>
              </w:rPr>
            </w:r>
            <w:r>
              <w:rPr>
                <w:color w:val="000000"/>
              </w:rPr>
            </w:r>
          </w:p>
          <w:p>
            <w:pPr>
              <w:pBdr/>
              <w:spacing/>
              <w:ind/>
              <w:jc w:val="both"/>
              <w:rPr>
                <w:color w:val="000000"/>
              </w:rPr>
            </w:pPr>
            <w:r>
              <w:rPr>
                <w:color w:val="000000"/>
              </w:rPr>
              <w:t xml:space="preserve">Hạ tầng thoát nước: Rãnh có nắp, </w:t>
            </w:r>
            <w:r>
              <w:rPr>
                <w:color w:val="000000"/>
              </w:rPr>
            </w:r>
            <w:r>
              <w:rPr>
                <w:color w:val="000000"/>
              </w:rPr>
            </w:r>
          </w:p>
          <w:p>
            <w:pPr>
              <w:pBdr/>
              <w:spacing/>
              <w:ind/>
              <w:jc w:val="both"/>
              <w:rPr>
                <w:color w:val="000000"/>
              </w:rPr>
            </w:pPr>
            <w:r>
              <w:rPr>
                <w:color w:val="000000"/>
              </w:rPr>
              <w:t xml:space="preserve">Hạ tầng cấp điện: Điện lưới, </w:t>
            </w:r>
            <w:r>
              <w:rPr>
                <w:color w:val="000000"/>
              </w:rPr>
            </w:r>
            <w:r>
              <w:rPr>
                <w:color w:val="000000"/>
              </w:rPr>
            </w:r>
          </w:p>
          <w:p>
            <w:pPr>
              <w:pBdr/>
              <w:spacing/>
              <w:ind/>
              <w:jc w:val="both"/>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11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01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11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pPr>
            <w:r>
              <w:rPr>
                <w:color w:val="000000"/>
              </w:rPr>
              <w:t xml:space="preserve">+ </w:t>
            </w:r>
            <w:r>
              <w:rPr>
                <w:color w:val="000000"/>
              </w:rPr>
              <w:t xml:space="preserve">Tại thời điểm khảo sát dưới sự hướng dẫn của Khách hàng, CTXD gắn liền với đất là Nhà 03 tầng BTCT xây dựng năm 2024, diện tích xây dựng 39,2m2, diện tích sử dụng 117,6m2.</w:t>
            </w:r>
            <w:r/>
          </w:p>
          <w:p>
            <w:pPr>
              <w:pBdr/>
              <w:spacing/>
              <w:ind/>
              <w:jc w:val="both"/>
              <w:rPr>
                <w:color w:val="000000"/>
              </w:rPr>
            </w:pPr>
            <w:r>
              <w:rPr>
                <w:color w:val="000000"/>
              </w:rPr>
              <w:t xml:space="preserve">+ Công trình đã được chứng nhận trên GCN.</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360" w:lineRule="auto"/>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tbl>
      <w:tblPr>
        <w:tblStyle w:val="1035"/>
        <w:jc w:val="center"/>
        <w:tblW w:w="0" w:type="auto"/>
        <w:tblBorders/>
        <w:tblLayout w:type="fixed"/>
        <w:tblLook w:val="04A0" w:firstRow="1" w:lastRow="0" w:firstColumn="1" w:lastColumn="0" w:noHBand="0" w:noVBand="1"/>
      </w:tblPr>
      <w:tblGrid>
        <w:gridCol w:w="732"/>
        <w:gridCol w:w="2098"/>
        <w:gridCol w:w="1560"/>
        <w:gridCol w:w="1605"/>
        <w:gridCol w:w="1371"/>
        <w:gridCol w:w="2149"/>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2098"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2098"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Tổ dân phố Đồng Khê 1, Phường Đồng Hòa, Quận Kiến An, Thành phố Hải Phòng</w:t>
            </w:r>
            <w:r/>
          </w:p>
        </w:tc>
        <w:tc>
          <w:tcPr>
            <w:tcBorders/>
            <w:tcW w:w="1605" w:type="dxa"/>
            <w:vAlign w:val="center"/>
            <w:textDirection w:val="lrTb"/>
            <w:noWrap w:val="false"/>
          </w:tcPr>
          <w:p>
            <w:pPr>
              <w:pBdr/>
              <w:spacing/>
              <w:ind/>
              <w:jc w:val="center"/>
              <w:rPr/>
            </w:pPr>
            <w:r>
              <w:t xml:space="preserve">Tổ dân phố Đồng Khê 1, Phường Đồng Hòa, Quận Kiến An, Thành phố Hải Phòng</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2098"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Phường Đồng Hòa, Quận Kiến An, Tỉnh Hải Phòng</w:t>
            </w:r>
            <w:r/>
          </w:p>
        </w:tc>
        <w:tc>
          <w:tcPr>
            <w:tcBorders/>
            <w:tcW w:w="1605" w:type="dxa"/>
            <w:vAlign w:val="center"/>
            <w:textDirection w:val="lrTb"/>
            <w:noWrap w:val="false"/>
          </w:tcPr>
          <w:p>
            <w:pPr>
              <w:pBdr/>
              <w:spacing/>
              <w:ind/>
              <w:jc w:val="center"/>
              <w:rPr/>
            </w:pPr>
            <w:r>
              <w:t xml:space="preserve">Phường Đồng Hòa, Quận Kiến An, Tỉnh Hải Phòng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2098"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2098"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2098"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2098"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VT4 </w:t>
            </w:r>
            <w:r/>
          </w:p>
        </w:tc>
        <w:tc>
          <w:tcPr>
            <w:tcBorders/>
            <w:tcW w:w="1605" w:type="dxa"/>
            <w:vAlign w:val="center"/>
            <w:textDirection w:val="lrTb"/>
            <w:noWrap w:val="false"/>
          </w:tcPr>
          <w:p>
            <w:pPr>
              <w:pBdr/>
              <w:spacing/>
              <w:ind/>
              <w:jc w:val="center"/>
              <w:rPr/>
            </w:pPr>
            <w:r>
              <w:t xml:space="preserve">VT4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2098"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2098"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2</w:t>
            </w:r>
            <w:r/>
          </w:p>
        </w:tc>
        <w:tc>
          <w:tcPr>
            <w:tcBorders/>
            <w:tcW w:w="1605" w:type="dxa"/>
            <w:vAlign w:val="center"/>
            <w:textDirection w:val="lrTb"/>
            <w:noWrap w:val="false"/>
          </w:tcPr>
          <w:p>
            <w:pPr>
              <w:pBdr/>
              <w:spacing/>
              <w:ind/>
              <w:jc w:val="center"/>
              <w:rPr/>
            </w:pPr>
            <w:r>
              <w:t xml:space="preserve">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2098"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2098"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2098"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40,5</w:t>
            </w:r>
            <w:r/>
          </w:p>
        </w:tc>
        <w:tc>
          <w:tcPr>
            <w:tcBorders/>
            <w:tcW w:w="1605" w:type="dxa"/>
            <w:vAlign w:val="center"/>
            <w:textDirection w:val="lrTb"/>
            <w:noWrap w:val="false"/>
          </w:tcPr>
          <w:p>
            <w:pPr>
              <w:pBdr/>
              <w:spacing/>
              <w:ind/>
              <w:jc w:val="center"/>
              <w:rPr/>
            </w:pPr>
            <w:r>
              <w:t xml:space="preserve">40,5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2098"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3,84</w:t>
            </w:r>
            <w:r/>
          </w:p>
        </w:tc>
        <w:tc>
          <w:tcPr>
            <w:tcBorders/>
            <w:tcW w:w="1605" w:type="dxa"/>
            <w:vAlign w:val="center"/>
            <w:textDirection w:val="lrTb"/>
            <w:noWrap w:val="false"/>
          </w:tcPr>
          <w:p>
            <w:pPr>
              <w:pBdr/>
              <w:spacing/>
              <w:ind/>
              <w:jc w:val="center"/>
              <w:rPr/>
            </w:pPr>
            <w:r>
              <w:t xml:space="preserve">3,84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2098"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color w:val="000000" w:themeColor="text1"/>
              </w:rPr>
            </w:pPr>
            <w:r>
              <w:rPr>
                <w:color w:val="000000" w:themeColor="text1"/>
              </w:rPr>
              <w:t xml:space="preserve">10,34-10,5</w:t>
            </w:r>
            <w:r>
              <w:rPr>
                <w:color w:val="000000" w:themeColor="text1"/>
              </w:rPr>
            </w:r>
            <w:r>
              <w:rPr>
                <w:color w:val="000000" w:themeColor="text1"/>
              </w:rPr>
            </w:r>
          </w:p>
        </w:tc>
        <w:tc>
          <w:tcPr>
            <w:tcBorders/>
            <w:tcW w:w="1605" w:type="dxa"/>
            <w:vAlign w:val="center"/>
            <w:textDirection w:val="lrTb"/>
            <w:noWrap w:val="false"/>
          </w:tcPr>
          <w:p>
            <w:pPr>
              <w:pBdr/>
              <w:spacing/>
              <w:ind/>
              <w:jc w:val="center"/>
              <w:rPr>
                <w:color w:val="000000" w:themeColor="text1"/>
              </w:rPr>
            </w:pPr>
            <w:r>
              <w:rPr>
                <w:color w:val="000000" w:themeColor="text1"/>
              </w:rPr>
              <w:t xml:space="preserve">10,34-10,5</w:t>
            </w:r>
            <w:r>
              <w:t xml:space="preserve"> ✔</w:t>
            </w:r>
            <w:r>
              <w:rPr>
                <w:color w:val="000000" w:themeColor="text1"/>
              </w:rPr>
            </w:r>
            <w:r>
              <w:rPr>
                <w:color w:val="000000" w:themeColor="text1"/>
              </w:rP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14</w:t>
            </w:r>
            <w:r/>
          </w:p>
        </w:tc>
        <w:tc>
          <w:tcPr>
            <w:tcBorders/>
            <w:tcW w:w="2098"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2 mặt đường trước sau</w:t>
            </w:r>
            <w:r/>
          </w:p>
        </w:tc>
        <w:tc>
          <w:tcPr>
            <w:tcBorders/>
            <w:tcW w:w="1605" w:type="dxa"/>
            <w:vAlign w:val="center"/>
            <w:textDirection w:val="lrTb"/>
            <w:noWrap w:val="false"/>
          </w:tcPr>
          <w:p>
            <w:pPr>
              <w:pBdr/>
              <w:spacing/>
              <w:ind/>
              <w:jc w:val="center"/>
              <w:rPr/>
            </w:pPr>
            <w:r>
              <w:t xml:space="preserve">Tiếp giáp 2 mặt đường trước sau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15</w:t>
            </w:r>
            <w:r/>
          </w:p>
        </w:tc>
        <w:tc>
          <w:tcPr>
            <w:tcBorders/>
            <w:tcW w:w="2098"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16</w:t>
            </w:r>
            <w:r/>
          </w:p>
        </w:tc>
        <w:tc>
          <w:tcPr>
            <w:tcBorders/>
            <w:tcW w:w="2098"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Bắc</w:t>
            </w:r>
            <w:r/>
          </w:p>
        </w:tc>
        <w:tc>
          <w:tcPr>
            <w:tcBorders/>
            <w:tcW w:w="1605" w:type="dxa"/>
            <w:vAlign w:val="center"/>
            <w:textDirection w:val="lrTb"/>
            <w:noWrap w:val="false"/>
          </w:tcPr>
          <w:p>
            <w:pPr>
              <w:pBdr/>
              <w:spacing/>
              <w:ind/>
              <w:jc w:val="center"/>
              <w:rPr/>
            </w:pPr>
            <w:r>
              <w:t xml:space="preserve">Bắc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360"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360"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1"/>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thẩm định</w:t>
      </w:r>
      <w:r>
        <w:rPr>
          <w:spacing w:val="-2"/>
          <w:lang w:val="pt-BR"/>
        </w:rPr>
        <w:t xml:space="preserve">.</w:t>
      </w:r>
      <w:r>
        <w:rPr>
          <w:lang w:val="de-DE"/>
        </w:rPr>
      </w:r>
      <w:r>
        <w:rPr>
          <w:lang w:val="de-DE"/>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42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Kiến An, thành phố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Kiến An, thành phố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Phù Liễn, thành phố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Phù Liễn, thành phố Hải Phòng</w:t>
            </w:r>
            <w:r>
              <w:rPr>
                <w:sz w:val="22"/>
                <w:szCs w:val="22"/>
              </w:rPr>
            </w:r>
            <w:r>
              <w:rPr>
                <w:sz w:val="22"/>
                <w:szCs w:val="22"/>
              </w:rPr>
            </w:r>
          </w:p>
        </w:tc>
      </w:tr>
      <w:tr>
        <w:trPr>
          <w:trHeight w:val="39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hyperlink r:id="rId16" w:tooltip="https://www.facebook.com/groups/1003320189820948/permalink/3384689191684024/" w:history="1">
              <w:r>
                <w:rPr>
                  <w:rStyle w:val="1021"/>
                  <w:rFonts w:ascii="Times New Roman" w:hAnsi="Times New Roman" w:eastAsia="Times New Roman" w:cs="Times New Roman"/>
                  <w:color w:val="000000"/>
                  <w:sz w:val="22"/>
                  <w:u w:val="none"/>
                </w:rPr>
                <w:t xml:space="preserve">https://www.facebook.com/groups/1003320189820948/permalink/3384689191684024/</w:t>
              </w:r>
            </w:hyperlink>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hyperlink r:id="rId17" w:tooltip="https://www.facebook.com/groups/1003320189820948/permalink/3400088696810740/" w:history="1">
              <w:r>
                <w:rPr>
                  <w:rStyle w:val="1021"/>
                  <w:rFonts w:ascii="Times New Roman" w:hAnsi="Times New Roman" w:eastAsia="Times New Roman" w:cs="Times New Roman"/>
                  <w:color w:val="000000"/>
                  <w:sz w:val="22"/>
                  <w:u w:val="none"/>
                </w:rPr>
                <w:t xml:space="preserve">https://www.facebook.com/groups/1003320189820948/permalink/3400088696810740/</w:t>
              </w:r>
            </w:hyperlink>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hyperlink r:id="rId18" w:tooltip="https://www.facebook.com/groups/1003320189820948/permalink/3350675511752059/" w:history="1">
              <w:r>
                <w:rPr>
                  <w:rStyle w:val="1021"/>
                  <w:rFonts w:ascii="Times New Roman" w:hAnsi="Times New Roman" w:eastAsia="Times New Roman" w:cs="Times New Roman"/>
                  <w:color w:val="000000"/>
                  <w:sz w:val="22"/>
                  <w:u w:val="none"/>
                </w:rPr>
                <w:t xml:space="preserve">https://www.facebook.com/groups/1003320189820948/permalink/3350675511752059/</w:t>
              </w:r>
            </w:hyperlink>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0945.106.683</w:t>
            </w:r>
            <w:r>
              <w:rPr>
                <w:sz w:val="22"/>
                <w:szCs w:val="22"/>
              </w:rPr>
              <w:t xml:space="preserve"> </w:t>
            </w:r>
            <w:r>
              <w:rPr>
                <w:sz w:val="22"/>
                <w:szCs w:val="22"/>
              </w:rPr>
              <w:br/>
              <w:t xml:space="preserve">(</w:t>
            </w:r>
            <w:r>
              <w:rPr>
                <w:sz w:val="22"/>
                <w:szCs w:val="22"/>
              </w:rPr>
              <w:t xml:space="preserve">Sale Phạm Lan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0945.106.683</w:t>
            </w:r>
            <w:r>
              <w:rPr>
                <w:sz w:val="22"/>
                <w:szCs w:val="22"/>
              </w:rPr>
              <w:br/>
            </w:r>
            <w:r>
              <w:rPr>
                <w:sz w:val="22"/>
                <w:szCs w:val="22"/>
              </w:rPr>
              <w:t xml:space="preserve">(</w:t>
            </w:r>
            <w:r>
              <w:rPr>
                <w:sz w:val="22"/>
                <w:szCs w:val="22"/>
              </w:rPr>
              <w:t xml:space="preserve">Sale Phạm Lan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936.855.528</w:t>
            </w:r>
            <w:r>
              <w:rPr>
                <w:sz w:val="22"/>
                <w:szCs w:val="22"/>
              </w:rPr>
              <w:br/>
            </w:r>
            <w:r>
              <w:rPr>
                <w:sz w:val="22"/>
                <w:szCs w:val="22"/>
              </w:rPr>
              <w:t xml:space="preserve">(</w:t>
            </w:r>
            <w:r>
              <w:rPr>
                <w:sz w:val="22"/>
                <w:szCs w:val="22"/>
              </w:rPr>
              <w:t xml:space="preserve">Sale Quân Hoàng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r>
      <w:tr>
        <w:trPr>
          <w:trHeight w:val="3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nằm tại số 15, ngõ 81/101 đường Đất Đỏ, phường Kiến An, Thành phố Hải Phòng; cách đường ô tô khoảng 50m, cách Ngã 5 Kiến An khoảng 850m.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sz w:val="22"/>
                <w:szCs w:val="22"/>
              </w:rPr>
              <w:t xml:space="preserve">Tài sản nằm tại ngõ 837 Trần Nhân Tông, phường Kiến An, thành phố Hải Phòng; cách đường ô tô khoảng 50m, cách Ngã 5 Kiến An khoảng 1,6km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sz w:val="22"/>
                <w:szCs w:val="22"/>
              </w:rPr>
              <w:t xml:space="preserve">Tài sản nằm tại ngõ Đồng Hoà, phường Phù Liễn, thành phố Hải Phòng; cách đường ô tô tránh khoảng 40m; cách Ngã 5 Kiến An khoảng 900m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sz w:val="22"/>
                <w:szCs w:val="22"/>
              </w:rPr>
              <w:t xml:space="preserve">Tài sản nằm tại ngõ Đồng Hoà, phường Phù Liễn, thành phố Hải Phòng; cách đường ô tô tránh khoảng 50m; cách Ngã 5 Kiến An khoảng 900m</w:t>
            </w:r>
            <w:r>
              <w:rPr>
                <w:sz w:val="22"/>
                <w:szCs w:val="22"/>
              </w:rPr>
            </w:r>
            <w:r>
              <w:rPr>
                <w:sz w:val="22"/>
                <w:szCs w:val="22"/>
              </w:rPr>
            </w:r>
          </w:p>
        </w:tc>
      </w:tr>
      <w:tr>
        <w:trPr>
          <w:trHeight w:val="8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Khoảng 2m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Khoảng 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Khoảng 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Khoảng 2m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26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51,4</w:t>
            </w:r>
            <w:r>
              <w:rPr>
                <w:color w:val="000000"/>
                <w:sz w:val="22"/>
                <w:szCs w:val="22"/>
              </w:rPr>
            </w:r>
            <w:r>
              <w:rPr>
                <w:color w:val="000000"/>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28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32.142.857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39.850.746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p>
            <w:pPr>
              <w:pBdr/>
              <w:spacing/>
              <w:ind/>
              <w:jc w:val="left"/>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1.602.000.000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1.800.000.000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32.142.857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39.850.746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Có Giấy chứng nhận quyền sử dụng đất</w:t>
            </w:r>
            <w:r>
              <w:rPr>
                <w:b/>
                <w:bCs/>
              </w:rPr>
            </w:r>
            <w:r>
              <w:rPr>
                <w:b/>
                <w:bCs/>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Có Giấy chứng nhận quyền sử dụng đất</w:t>
            </w:r>
            <w:r>
              <w:rPr>
                <w:b/>
                <w:bCs/>
              </w:rPr>
            </w:r>
            <w:r>
              <w:rPr>
                <w:b/>
                <w:bCs/>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Có Giấy chứng nhận quyền sử dụng đất</w:t>
            </w:r>
            <w:r>
              <w:rPr>
                <w:b/>
                <w:bCs/>
              </w:rPr>
            </w:r>
            <w:r>
              <w:rPr>
                <w:b/>
                <w:bCs/>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32.142.857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39.850.746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Đất ở tại đô thị</w:t>
            </w:r>
            <w:r>
              <w:rPr>
                <w:b/>
                <w:bCs/>
              </w:rPr>
            </w:r>
            <w:r>
              <w:rPr>
                <w:b/>
                <w:bCs/>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Đất ở tại đô thị</w:t>
            </w:r>
            <w:r>
              <w:rPr>
                <w:b/>
                <w:bCs/>
              </w:rPr>
            </w:r>
            <w:r>
              <w:rPr>
                <w:b/>
                <w:bCs/>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Đất ở tại đô thị</w:t>
            </w:r>
            <w:r>
              <w:rPr>
                <w:b/>
                <w:bCs/>
              </w:rPr>
            </w:r>
            <w:r>
              <w:rPr>
                <w:b/>
                <w:bCs/>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32.142.857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39.850.746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Lâu dài</w:t>
            </w:r>
            <w:r>
              <w:rPr>
                <w:b/>
                <w:bCs/>
              </w:rPr>
            </w:r>
            <w:r>
              <w:rPr>
                <w:b/>
                <w:bCs/>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Lâu dài</w:t>
            </w:r>
            <w:r>
              <w:rPr>
                <w:b/>
                <w:bCs/>
              </w:rPr>
            </w:r>
            <w:r>
              <w:rPr>
                <w:b/>
                <w:bCs/>
              </w:rPr>
            </w:r>
          </w:p>
        </w:tc>
        <w:tc>
          <w:tcPr>
            <w:shd w:val="clear" w:color="000000" w:fill="ffffff"/>
            <w:tcBorders/>
            <w:tcW w:w="1522" w:type="dxa"/>
            <w:vAlign w:val="center"/>
            <w:textDirection w:val="lrTb"/>
            <w:noWrap w:val="false"/>
          </w:tcPr>
          <w:p>
            <w:pPr>
              <w:pBdr/>
              <w:spacing/>
              <w:ind/>
              <w:jc w:val="center"/>
              <w:rPr>
                <w:b/>
                <w:bCs/>
              </w:rPr>
            </w:pPr>
            <w:r>
              <w:rPr>
                <w:b/>
                <w:bCs/>
              </w:rPr>
            </w:r>
            <w:r>
              <w:rPr>
                <w:b/>
                <w:bCs/>
                <w:color w:val="000000" w:themeColor="text1"/>
                <w:sz w:val="22"/>
                <w:szCs w:val="22"/>
              </w:rPr>
              <w:t xml:space="preserve">Lâu dài</w:t>
            </w:r>
            <w:r>
              <w:rPr>
                <w:b/>
                <w:bCs/>
              </w:rPr>
            </w:r>
            <w:r>
              <w:rPr>
                <w:b/>
                <w:bCs/>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32.142.857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39.850.746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Tài sản nằm tại số 15, ngõ 81/101 đường Đất Đỏ, phường Kiến An, Thành phố Hải Phòng; cách đường ô tô khoảng 50m, cách Ngã 5 Kiến An khoảng 850m.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sz w:val="22"/>
                <w:szCs w:val="22"/>
              </w:rPr>
            </w:pPr>
            <w:r>
              <w:rPr>
                <w:b/>
                <w:bCs/>
                <w:sz w:val="22"/>
                <w:szCs w:val="22"/>
              </w:rPr>
            </w:r>
            <w:r>
              <w:rPr>
                <w:b/>
                <w:bCs/>
                <w:sz w:val="22"/>
                <w:szCs w:val="22"/>
              </w:rPr>
              <w:t xml:space="preserve">Tài sản nằm tại ngõ 837 Trần Nhân Tông, phường Kiến An, thành phố Hải Phòng; cách đường ô tô khoảng 50m, cách Ngã 5 Kiến An khoảng 1,6km</w:t>
            </w:r>
            <w:r>
              <w:rPr>
                <w:b/>
                <w:bCs/>
                <w:sz w:val="22"/>
                <w:szCs w:val="22"/>
              </w:rPr>
            </w:r>
            <w:r>
              <w:rPr>
                <w:b/>
                <w:bCs/>
                <w:sz w:val="22"/>
                <w:szCs w:val="22"/>
              </w:rPr>
            </w:r>
          </w:p>
        </w:tc>
        <w:tc>
          <w:tcPr>
            <w:shd w:val="clear" w:color="000000" w:fill="ffffff"/>
            <w:tcBorders/>
            <w:tcW w:w="1522" w:type="dxa"/>
            <w:vAlign w:val="center"/>
            <w:textDirection w:val="lrTb"/>
            <w:noWrap w:val="false"/>
          </w:tcPr>
          <w:p>
            <w:pPr>
              <w:pBdr/>
              <w:spacing/>
              <w:ind/>
              <w:jc w:val="center"/>
              <w:rPr>
                <w:b/>
                <w:bCs/>
                <w:sz w:val="22"/>
                <w:szCs w:val="22"/>
              </w:rPr>
            </w:pPr>
            <w:r>
              <w:rPr>
                <w:b/>
                <w:bCs/>
                <w:sz w:val="22"/>
                <w:szCs w:val="22"/>
              </w:rPr>
            </w:r>
            <w:r>
              <w:rPr>
                <w:b/>
                <w:bCs/>
                <w:sz w:val="22"/>
                <w:szCs w:val="22"/>
              </w:rPr>
              <w:t xml:space="preserve">Tài sản nằm tại ngõ Đồng Hoà, phường Phù Liễn, thành phố Hải Phòng; cách đường ô tô tránh khoảng 40m; cách Ngã 5 Kiến An khoảng 900m</w:t>
            </w:r>
            <w:r>
              <w:rPr>
                <w:b/>
                <w:bCs/>
                <w:sz w:val="22"/>
                <w:szCs w:val="22"/>
              </w:rPr>
            </w:r>
            <w:r>
              <w:rPr>
                <w:b/>
                <w:bCs/>
                <w:sz w:val="22"/>
                <w:szCs w:val="22"/>
              </w:rPr>
            </w:r>
          </w:p>
        </w:tc>
        <w:tc>
          <w:tcPr>
            <w:shd w:val="clear" w:color="000000" w:fill="ffffff"/>
            <w:tcBorders/>
            <w:tcW w:w="1522" w:type="dxa"/>
            <w:vAlign w:val="center"/>
            <w:textDirection w:val="lrTb"/>
            <w:noWrap w:val="false"/>
          </w:tcPr>
          <w:p>
            <w:pPr>
              <w:pBdr/>
              <w:spacing/>
              <w:ind/>
              <w:jc w:val="center"/>
              <w:rPr>
                <w:b/>
                <w:bCs/>
                <w:sz w:val="22"/>
                <w:szCs w:val="22"/>
              </w:rPr>
            </w:pPr>
            <w:r>
              <w:rPr>
                <w:b/>
                <w:bCs/>
                <w:sz w:val="22"/>
                <w:szCs w:val="22"/>
              </w:rPr>
            </w:r>
            <w:r>
              <w:rPr>
                <w:b/>
                <w:bCs/>
                <w:sz w:val="22"/>
                <w:szCs w:val="22"/>
              </w:rPr>
              <w:t xml:space="preserve">Tài sản nằm tại ngõ Đồng Hoà, phường Phù Liễn, thành phố Hải Phòng; cách đường ô tô tránh khoảng 50m; cách Ngã 5 Kiến An khoảng 900m</w:t>
            </w:r>
            <w:r>
              <w:rPr>
                <w:b/>
                <w:bCs/>
                <w:sz w:val="22"/>
                <w:szCs w:val="22"/>
              </w:rPr>
            </w:r>
            <w:r>
              <w:rPr>
                <w:b/>
                <w:bCs/>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3.214.286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35.357.143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39.850.746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35.357.143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39.850.746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Khoảng 2m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Khoảng 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Khoảng 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Khoảng 2m</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-3.188.060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36.662.686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51,4</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1.750.973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34.071.429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36.662.686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36.770.428</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5,4</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-797.015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-1.750.973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32.464.286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35.865.671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35.019.455</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964.286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1.195.522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1.050.584</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33.428.572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37.061.193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36.070.039</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-1.195.522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33.428.572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35.865.671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36.070.039</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33.428.572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35.865.671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36.070.039</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35.121.427</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778"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7.071.429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6.376.119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4.552.530</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- 5%</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1.285.715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3.985.075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1.050.584</w:t>
            </w:r>
            <w:r>
              <w:rPr>
                <w:sz w:val="22"/>
                <w:szCs w:val="22"/>
              </w:rPr>
            </w:r>
            <w:r>
              <w:rPr>
                <w:sz w:val="22"/>
                <w:szCs w:val="22"/>
              </w:rPr>
            </w:r>
          </w:p>
        </w:tc>
      </w:tr>
    </w:tbl>
    <w:p>
      <w:pPr>
        <w:pBdr/>
        <w:spacing w:after="120" w:before="120" w:line="276" w:lineRule="auto"/>
        <w:ind/>
        <w:jc w:val="both"/>
        <w:rPr>
          <w:b/>
          <w:bCs/>
          <w:i/>
        </w:rPr>
      </w:pPr>
      <w:r>
        <w:rPr>
          <w:b/>
          <w:bCs/>
          <w:i/>
          <w:iCs/>
          <w:highlight w:val="none"/>
        </w:rPr>
      </w:r>
      <w:r>
        <w:rPr>
          <w:b/>
          <w:bCs/>
          <w:i/>
          <w:iCs/>
          <w:highlight w:val="none"/>
        </w:rPr>
      </w:r>
      <w:r>
        <w:rPr>
          <w:b/>
          <w:bCs/>
          <w:i/>
          <w:iCs/>
          <w:highlight w:val="none"/>
        </w:rPr>
      </w:r>
    </w:p>
    <w:p>
      <w:pPr>
        <w:pBdr/>
        <w:shd w:val="nil"/>
        <w:spacing/>
        <w:ind/>
        <w:rPr>
          <w:b/>
          <w:bCs/>
          <w:i/>
          <w:highlight w:val="none"/>
        </w:rPr>
      </w:pPr>
      <w:r>
        <w:rPr>
          <w:b/>
          <w:bCs/>
          <w:i/>
          <w:iCs/>
          <w:highlight w:val="none"/>
        </w:rPr>
        <w:br w:type="page" w:clear="all"/>
      </w:r>
      <w:r>
        <w:rPr>
          <w:b/>
          <w:bCs/>
          <w:i/>
          <w:iCs/>
          <w:highlight w:val="none"/>
        </w:rPr>
      </w:r>
      <w:r>
        <w:rPr>
          <w:b/>
          <w:bCs/>
          <w:i/>
          <w:iCs/>
          <w:highlight w:val="none"/>
        </w:rPr>
      </w:r>
    </w:p>
    <w:p>
      <w:pPr>
        <w:pBdr/>
        <w:spacing w:after="120" w:before="120" w:line="276" w:lineRule="auto"/>
        <w:ind/>
        <w:jc w:val="both"/>
        <w:rPr>
          <w:b/>
          <w:bCs/>
          <w:i/>
          <w:iCs/>
          <w:highlight w:val="none"/>
        </w:rPr>
      </w:pP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-4,82</w:t>
      </w:r>
      <w:r>
        <w:t xml:space="preserve">% đến </w:t>
      </w:r>
      <w:r>
        <w:t xml:space="preserve">2,7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highlight w:val="none"/>
          <w:u w:val="single"/>
        </w:rPr>
      </w:r>
      <w:r>
        <w:rPr>
          <w:b/>
          <w:bCs/>
          <w:i/>
          <w:iCs/>
          <w:highlight w:val="none"/>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33.428.572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11.145.086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35.865.671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11.954.028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36.070.039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12.022.144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35.121.258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35.000.000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xây mới của công trình xây dựng trên đất:</w:t>
      </w: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03 tầng, cân nhắc và xem xét với mức độ hoàn thiện của công trình xây dựng hiện có, Tổ thẩm định nhận thấy đơn giá vận dụng theo Quyết định số 409/QĐ-BXD ngày 11/4/2025 của Bộ</w:t>
      </w:r>
      <w:r>
        <w:rPr>
          <w:rFonts w:ascii="Times New Roman" w:hAnsi="Times New Roman" w:eastAsia="Times New Roman" w:cs="Times New Roman"/>
          <w:color w:val="000000"/>
          <w:sz w:val="24"/>
        </w:rPr>
        <w:t xml:space="preserve"> Xây dựng về việc Công bố suất vốn đầu tư xây dựng công trình và giá xây dựng tổng hợp bộ phận kết cấu công trình năm 2024 là khá phù hợp với thị trường, theo đó</w:t>
      </w:r>
      <w:r>
        <w:rPr>
          <w:rFonts w:ascii="Times New Roman" w:hAnsi="Times New Roman" w:eastAsia="Times New Roman" w:cs="Times New Roman"/>
          <w:color w:val="000000"/>
          <w:spacing w:val="-4"/>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cs="Times New Roman"/>
          <w:bCs/>
          <w:i/>
          <w:szCs w:val="24"/>
        </w:rPr>
      </w:pPr>
      <w:r>
        <w:rPr>
          <w:rFonts w:ascii="Times New Roman" w:hAnsi="Times New Roman" w:eastAsia="Times New Roman" w:cs="Times New Roman"/>
          <w:i/>
          <w:iCs/>
          <w:color w:val="000000"/>
          <w:spacing w:val="3"/>
          <w:sz w:val="24"/>
          <w:szCs w:val="24"/>
          <w:highlight w:val="white"/>
        </w:rPr>
        <w:t xml:space="preserve">“Suất vốn đầu tư </w:t>
      </w:r>
      <w:r>
        <w:rPr>
          <w:rFonts w:ascii="Times New Roman" w:hAnsi="Times New Roman" w:eastAsia="Times New Roman" w:cs="Times New Roman"/>
          <w:i/>
          <w:iCs/>
          <w:color w:val="000000"/>
          <w:sz w:val="24"/>
          <w:szCs w:val="24"/>
        </w:rPr>
        <w:t xml:space="preserve">Nhà từ 2 đến 3 tầng, kết cấu khung chịu lực BTCT; tường bao xây gạch; sàn, mái BTCT đổ tại chỗ không có tầng hầm</w:t>
      </w:r>
      <w:r>
        <w:rPr>
          <w:rFonts w:ascii="Times New Roman" w:hAnsi="Times New Roman" w:eastAsia="Times New Roman" w:cs="Times New Roman"/>
          <w:i/>
          <w:iCs/>
          <w:color w:val="000000"/>
          <w:spacing w:val="3"/>
          <w:sz w:val="24"/>
          <w:szCs w:val="24"/>
          <w:highlight w:val="white"/>
        </w:rPr>
        <w:t xml:space="preserve"> có đơn giá đã bao gồm VAT là: </w:t>
      </w:r>
      <w:r>
        <w:rPr>
          <w:rFonts w:ascii="Times New Roman" w:hAnsi="Times New Roman" w:eastAsia="Times New Roman" w:cs="Times New Roman"/>
          <w:b/>
          <w:i/>
          <w:iCs/>
          <w:color w:val="000000"/>
          <w:sz w:val="24"/>
          <w:szCs w:val="24"/>
        </w:rPr>
        <w:t xml:space="preserve">8.225.000</w:t>
      </w:r>
      <w:r>
        <w:rPr>
          <w:rFonts w:ascii="Times New Roman" w:hAnsi="Times New Roman" w:eastAsia="Times New Roman" w:cs="Times New Roman"/>
          <w:i/>
          <w:iCs/>
          <w:color w:val="000000"/>
          <w:spacing w:val="3"/>
          <w:sz w:val="24"/>
          <w:szCs w:val="24"/>
          <w:highlight w:val="none"/>
        </w:rPr>
        <w:t xml:space="preserve"> </w:t>
      </w:r>
      <w:r>
        <w:rPr>
          <w:rFonts w:ascii="Times New Roman" w:hAnsi="Times New Roman" w:eastAsia="Times New Roman" w:cs="Times New Roman"/>
          <w:i/>
          <w:iCs/>
          <w:color w:val="000000"/>
          <w:spacing w:val="3"/>
          <w:sz w:val="24"/>
          <w:szCs w:val="24"/>
          <w:highlight w:val="white"/>
        </w:rPr>
        <w:t xml:space="preserve">đồng/m².</w:t>
      </w:r>
      <w:r>
        <w:rPr>
          <w:rFonts w:ascii="Times New Roman" w:hAnsi="Times New Roman" w:cs="Times New Roman"/>
          <w:bCs/>
          <w:i/>
          <w:szCs w:val="24"/>
        </w:rPr>
      </w:r>
      <w:r>
        <w:rPr>
          <w:rFonts w:ascii="Times New Roman" w:hAnsi="Times New Roman" w:cs="Times New Roman"/>
          <w:bCs/>
          <w:i/>
          <w:szCs w:val="24"/>
        </w:rPr>
      </w:r>
    </w:p>
    <w:p>
      <w:pPr>
        <w:pBdr>
          <w:top w:val="none" w:color="000000" w:sz="4" w:space="0"/>
          <w:left w:val="none" w:color="000000" w:sz="4" w:space="0"/>
          <w:bottom w:val="none" w:color="000000" w:sz="4" w:space="0"/>
          <w:right w:val="none" w:color="000000" w:sz="4" w:space="0"/>
        </w:pBdr>
        <w:tabs>
          <w:tab w:val="left" w:leader="none" w:pos="567"/>
        </w:tabs>
        <w:spacing w:after="120" w:before="120" w:line="276" w:lineRule="auto"/>
        <w:ind w:right="0" w:firstLine="284" w:left="0"/>
        <w:jc w:val="both"/>
        <w:rPr/>
      </w:pPr>
      <w:r>
        <w:rPr>
          <w:rFonts w:ascii="Times New Roman" w:hAnsi="Times New Roman" w:eastAsia="Times New Roman" w:cs="Times New Roman"/>
          <w:i/>
          <w:color w:val="000000"/>
          <w:sz w:val="24"/>
          <w:highlight w:val="white"/>
        </w:rPr>
        <w:t xml:space="preserve">Hệ số điều chỉnh vùng cho Suất vốn đầu tư: Thành phố Hải Phòng thuộc vùng 2 có hệ số điều chỉnh là 0,948.”</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i/>
          <w:color w:val="000000"/>
          <w:spacing w:val="3"/>
          <w:sz w:val="24"/>
          <w:highlight w:val="white"/>
        </w:rPr>
        <w:t xml:space="preserve">Do đó, Tổ thẩm định xác định đơn giá xây mới của công trình xây dựng là: (Suất vốn đầu tư) x (Hệ số vùng) = </w:t>
      </w:r>
      <w:r>
        <w:rPr>
          <w:rFonts w:ascii="Times New Roman" w:hAnsi="Times New Roman" w:eastAsia="Times New Roman" w:cs="Times New Roman"/>
          <w:b/>
          <w:i/>
          <w:color w:val="000000"/>
          <w:sz w:val="24"/>
        </w:rPr>
        <w:t xml:space="preserve">8.225.000 </w:t>
      </w:r>
      <w:r>
        <w:rPr>
          <w:rFonts w:ascii="Times New Roman" w:hAnsi="Times New Roman" w:eastAsia="Times New Roman" w:cs="Times New Roman"/>
          <w:i/>
          <w:color w:val="000000"/>
          <w:spacing w:val="3"/>
          <w:sz w:val="24"/>
          <w:highlight w:val="white"/>
        </w:rPr>
        <w:t xml:space="preserve">x</w:t>
      </w:r>
      <w:r>
        <w:rPr>
          <w:rFonts w:ascii="Times New Roman" w:hAnsi="Times New Roman" w:eastAsia="Times New Roman" w:cs="Times New Roman"/>
          <w:b/>
          <w:bCs/>
          <w:i/>
          <w:color w:val="000000"/>
          <w:spacing w:val="3"/>
          <w:sz w:val="24"/>
          <w:highlight w:val="white"/>
        </w:rPr>
        <w:t xml:space="preserve"> 0,948</w:t>
      </w:r>
      <w:r>
        <w:rPr>
          <w:rFonts w:ascii="Times New Roman" w:hAnsi="Times New Roman" w:eastAsia="Times New Roman" w:cs="Times New Roman"/>
          <w:i/>
          <w:color w:val="000000"/>
          <w:spacing w:val="3"/>
          <w:sz w:val="24"/>
          <w:highlight w:val="white"/>
        </w:rPr>
        <w:t xml:space="preserve">=</w:t>
      </w:r>
      <w:r>
        <w:rPr>
          <w:rFonts w:ascii="Times New Roman" w:hAnsi="Times New Roman" w:eastAsia="Times New Roman" w:cs="Times New Roman"/>
          <w:b/>
          <w:i/>
          <w:color w:val="000000"/>
          <w:spacing w:val="3"/>
          <w:sz w:val="24"/>
          <w:highlight w:val="white"/>
        </w:rPr>
        <w:t xml:space="preserve"> 7.797.300 đồng/m². </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2024, do vậy, Tổ thẩm định xác định tuổi đời hiệu quả của công trình là khoảng 01 năm.</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ước tính là 50 năm.</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r>
        <w:rPr>
          <w:rFonts w:ascii="Times New Roman" w:hAnsi="Times New Roman" w:eastAsia="Times New Roman" w:cs="Times New Roman"/>
          <w:color w:val="000000"/>
          <w:sz w:val="24"/>
          <w:szCs w:val="24"/>
          <w:highlight w:val="none"/>
        </w:rP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587"/>
        <w:gridCol w:w="1701"/>
        <w:gridCol w:w="1559"/>
        <w:gridCol w:w="1559"/>
        <w:gridCol w:w="1559"/>
        <w:gridCol w:w="1559"/>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58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2024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xác định tỉ lệ hao mòn của tài sản thẩm định là: </w:t>
      </w:r>
      <w:r>
        <w:rPr>
          <w:rFonts w:ascii="Times New Roman" w:hAnsi="Times New Roman" w:eastAsia="Times New Roman" w:cs="Times New Roman"/>
          <w:b/>
          <w:color w:val="000000"/>
          <w:sz w:val="24"/>
        </w:rPr>
        <w:t xml:space="preserve">2,0%, </w:t>
      </w:r>
      <w:r>
        <w:rPr>
          <w:rFonts w:ascii="Times New Roman" w:hAnsi="Times New Roman" w:eastAsia="Times New Roman" w:cs="Times New Roman"/>
          <w:color w:val="000000"/>
          <w:sz w:val="24"/>
        </w:rPr>
        <w:t xml:space="preserve">tương ứng tỷ lệ CLCL của tài sản thẩm định là</w:t>
      </w:r>
      <w:r>
        <w:rPr>
          <w:rFonts w:ascii="Times New Roman" w:hAnsi="Times New Roman" w:eastAsia="Times New Roman" w:cs="Times New Roman"/>
          <w:b/>
          <w:color w:val="000000"/>
          <w:sz w:val="24"/>
        </w:rPr>
        <w:t xml:space="preserve"> 98%.</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5"/>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633"/>
        <w:gridCol w:w="351"/>
        <w:gridCol w:w="3935"/>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9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before="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spacing w:after="120" w:before="120" w:line="276" w:lineRule="auto"/>
        <w:ind w:firstLine="0" w:left="357"/>
        <w:jc w:val="both"/>
        <w:rPr>
          <w:b/>
          <w:bCs/>
        </w:rPr>
      </w:pPr>
      <w:r>
        <w:rPr>
          <w:b/>
          <w:bCs/>
          <w:highlight w:val="none"/>
        </w:rPr>
      </w:r>
      <w:r>
        <w:rPr>
          <w:b/>
          <w:bCs/>
        </w:rPr>
      </w:r>
      <w:r>
        <w:rPr>
          <w:b/>
          <w:bCs/>
        </w:rPr>
      </w:r>
    </w:p>
    <w:tbl>
      <w:tblPr>
        <w:tblInd w:w="28" w:type="dxa"/>
        <w:tblW w:w="95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7"/>
        <w:gridCol w:w="992"/>
        <w:gridCol w:w="1417"/>
        <w:gridCol w:w="1559"/>
        <w:gridCol w:w="1134"/>
        <w:gridCol w:w="1465"/>
        <w:gridCol w:w="1559"/>
      </w:tblGrid>
      <w:tr>
        <w:trPr>
          <w:trHeight w:val="936"/>
        </w:trPr>
        <w:tc>
          <w:tcPr>
            <w:shd w:val="clear" w:color="000000" w:fill="ffffff"/>
            <w:tcBorders/>
            <w:tcW w:w="1417"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992"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417"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4"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465"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7"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992"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417"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4"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465"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7"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Nhà 3 tầng</w:t>
            </w:r>
            <w:r>
              <w:rPr>
                <w:sz w:val="22"/>
                <w:szCs w:val="22"/>
              </w:rPr>
            </w:r>
            <w:r>
              <w:rPr>
                <w:sz w:val="22"/>
                <w:szCs w:val="22"/>
              </w:rPr>
            </w:r>
          </w:p>
        </w:tc>
        <w:tc>
          <w:tcPr>
            <w:tcBorders/>
            <w:tcW w:w="992"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117,6</w:t>
            </w:r>
            <w:r>
              <w:rPr>
                <w:sz w:val="22"/>
                <w:szCs w:val="22"/>
              </w:rPr>
            </w:r>
            <w:r>
              <w:rPr>
                <w:sz w:val="22"/>
                <w:szCs w:val="22"/>
              </w:rPr>
            </w:r>
          </w:p>
        </w:tc>
        <w:tc>
          <w:tcPr>
            <w:tcBorders/>
            <w:tcW w:w="1417"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7.797.300</w:t>
            </w:r>
            <w:r>
              <w:rPr>
                <w:sz w:val="22"/>
                <w:szCs w:val="22"/>
              </w:rPr>
            </w:r>
            <w:r>
              <w:rPr>
                <w:sz w:val="22"/>
                <w:szCs w:val="22"/>
              </w:rPr>
            </w:r>
          </w:p>
        </w:tc>
        <w:tc>
          <w:tcPr>
            <w:tcBorders/>
            <w:tcW w:w="1559"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916.962.480</w:t>
            </w:r>
            <w:r>
              <w:rPr>
                <w:sz w:val="22"/>
                <w:szCs w:val="22"/>
              </w:rPr>
            </w:r>
            <w:r>
              <w:rPr>
                <w:sz w:val="22"/>
                <w:szCs w:val="22"/>
              </w:rPr>
            </w:r>
          </w:p>
        </w:tc>
        <w:tc>
          <w:tcPr>
            <w:tcBorders/>
            <w:tcW w:w="1134"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w:t>
            </w:r>
            <w:r>
              <w:rPr>
                <w:sz w:val="22"/>
                <w:szCs w:val="22"/>
              </w:rPr>
            </w:r>
            <w:r>
              <w:rPr>
                <w:sz w:val="22"/>
                <w:szCs w:val="22"/>
              </w:rPr>
            </w:r>
          </w:p>
        </w:tc>
        <w:tc>
          <w:tcPr>
            <w:tcBorders/>
            <w:tcW w:w="1465" w:type="dxa"/>
            <w:vAlign w:val="center"/>
            <w:textDirection w:val="lrTb"/>
            <w:noWrap/>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18.339.250</w:t>
            </w:r>
            <w:r>
              <w:rPr>
                <w:sz w:val="22"/>
                <w:szCs w:val="22"/>
              </w:rPr>
            </w:r>
            <w:r>
              <w:rPr>
                <w:sz w:val="22"/>
                <w:szCs w:val="22"/>
              </w:rPr>
            </w:r>
          </w:p>
        </w:tc>
        <w:tc>
          <w:tcPr>
            <w:tcBorders/>
            <w:tcW w:w="1559"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898.623.230</w:t>
            </w:r>
            <w:r>
              <w:rPr>
                <w:sz w:val="22"/>
                <w:szCs w:val="22"/>
              </w:rPr>
            </w:r>
            <w:r>
              <w:rPr>
                <w:sz w:val="22"/>
                <w:szCs w:val="22"/>
              </w:rPr>
            </w:r>
          </w:p>
        </w:tc>
      </w:tr>
    </w:tbl>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04"/>
        <w:gridCol w:w="2410"/>
        <w:gridCol w:w="1417"/>
        <w:gridCol w:w="1843"/>
        <w:gridCol w:w="1276"/>
        <w:gridCol w:w="186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CLCL </w:t>
              <w:br/>
              <w:t xml:space="preserve">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666, tờ bản đồ số 14 có địa chỉ: Tổ dân phố Đống Khê 1, phường Đồng Hoà, quận Kiến An, thành phố Hải Phòng (Nay là phường Kiến An, Thành phố Hải Phòng) theo Giấy chứng nhận quyền sử dụng đất quyền sở hữu nhà ở và tài sản </w:t>
            </w:r>
            <w:r>
              <w:rPr>
                <w:rFonts w:ascii="Times New Roman" w:hAnsi="Times New Roman" w:eastAsia="Times New Roman" w:cs="Times New Roman"/>
                <w:b/>
                <w:color w:val="000000"/>
                <w:sz w:val="24"/>
              </w:rPr>
              <w:t xml:space="preserve">khác gắn liền với đất số: DQ 013557, số vào sổ cấp GCN: CN 604 do Chi nhánh văn phòng đăng ký đất đai quận Kiến An cấp ngày 15/11/2024; Chủ sử dụng đất là Bà Trần Thị Hải.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b/>
                <w:color w:val="000000"/>
                <w:sz w:val="24"/>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40,5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35.000.000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color w:val="000000"/>
                <w:sz w:val="24"/>
              </w:rPr>
              <w:t xml:space="preserve">1.417.500.000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pPr>
            <w:r>
              <w:rPr>
                <w:rFonts w:ascii="Times New Roman" w:hAnsi="Times New Roman" w:eastAsia="Times New Roman" w:cs="Times New Roman"/>
                <w:color w:val="000000"/>
                <w:sz w:val="24"/>
              </w:rPr>
              <w:t xml:space="preserve">Nhà 3 tầng</w:t>
            </w:r>
            <w:r/>
          </w:p>
        </w:tc>
        <w:tc>
          <w:tcPr>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color w:val="000000"/>
                <w:sz w:val="24"/>
              </w:rPr>
              <w:t xml:space="preserve">117,6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7.797.300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7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pPr>
            <w:r>
              <w:rPr>
                <w:rFonts w:ascii="Times New Roman" w:hAnsi="Times New Roman" w:eastAsia="Times New Roman" w:cs="Times New Roman"/>
                <w:color w:val="000000"/>
                <w:sz w:val="24"/>
              </w:rPr>
              <w:t xml:space="preserve">98,0%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pPr>
            <w:r>
              <w:rPr>
                <w:rFonts w:ascii="Times New Roman" w:hAnsi="Times New Roman" w:eastAsia="Times New Roman" w:cs="Times New Roman"/>
                <w:color w:val="000000"/>
                <w:sz w:val="24"/>
              </w:rPr>
              <w:t xml:space="preserve">898.623.230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64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right"/>
              <w:rPr/>
            </w:pPr>
            <w:r>
              <w:rPr>
                <w:rFonts w:ascii="Times New Roman" w:hAnsi="Times New Roman" w:eastAsia="Times New Roman" w:cs="Times New Roman"/>
                <w:b/>
                <w:color w:val="000000"/>
                <w:sz w:val="24"/>
              </w:rPr>
              <w:t xml:space="preserve">2.316.123.230</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649"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86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right"/>
              <w:rPr/>
            </w:pPr>
            <w:r>
              <w:rPr>
                <w:rFonts w:ascii="Times New Roman" w:hAnsi="Times New Roman" w:eastAsia="Times New Roman" w:cs="Times New Roman"/>
                <w:b/>
                <w:color w:val="000000"/>
                <w:sz w:val="24"/>
              </w:rPr>
              <w:t xml:space="preserve">2.316.000.000</w:t>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5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pPr>
            <w:r>
              <w:rPr>
                <w:rFonts w:ascii="Times New Roman" w:hAnsi="Times New Roman" w:eastAsia="Times New Roman" w:cs="Times New Roman"/>
                <w:b/>
                <w:i/>
                <w:color w:val="000000"/>
                <w:sz w:val="24"/>
              </w:rPr>
              <w:t xml:space="preserve">(Bằng chữ: Hai tỷ, ba trăm mười sáu triệu đồng chẵn./.)</w:t>
            </w:r>
            <w:r/>
          </w:p>
        </w:tc>
      </w:tr>
    </w:tbl>
    <w:p>
      <w:pPr>
        <w:pStyle w:val="1031"/>
        <w:pBdr/>
        <w:tabs>
          <w:tab w:val="left" w:leader="none" w:pos="993"/>
        </w:tabs>
        <w:spacing w:after="120" w:before="120" w:line="312"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312"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312"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312" w:lineRule="auto"/>
        <w:ind/>
        <w:jc w:val="both"/>
        <w:rPr>
          <w:lang w:val="pt-BR"/>
        </w:rPr>
      </w:pPr>
      <w:r>
        <w:rPr>
          <w:lang w:val="pt-BR"/>
        </w:rPr>
        <w:t xml:space="preserve">Công ty Cổ phần Thẩm định và Đầu tư Tài chính Hoa Sen</w:t>
      </w:r>
      <w:r>
        <w:rPr>
          <w:lang w:val="pt-BR"/>
        </w:rPr>
        <w:t xml:space="preserve">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312"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312"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312"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312"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312"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312"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312"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312"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Cổ phần Thẩm định và Đầu tư Tài chính Hoa Sen</w:t>
      </w:r>
      <w:r>
        <w:rPr>
          <w:lang w:val="pt-BR"/>
        </w:rPr>
        <w:t xml:space="preserve"> cấp mới có giá trị. Mọi hành vi sử dụng bản sao Chứng thư/Báo cáo kết quả thẩm định giá mà không có xác nhận của Công ty Cổ phần Thẩm định và Đầu tư Tài chính Hoa Sen</w:t>
      </w:r>
      <w:r>
        <w:rPr>
          <w:lang w:val="pt-BR"/>
        </w:rPr>
        <w:t xml:space="preserve"> đều vi phạm pháp luật và không có giá trị.</w:t>
      </w:r>
      <w:r>
        <w:rPr>
          <w:lang w:val="pt-BR"/>
        </w:rPr>
      </w:r>
      <w:r>
        <w:rPr>
          <w:lang w:val="pt-BR"/>
        </w:rPr>
      </w:r>
    </w:p>
    <w:p>
      <w:pPr>
        <w:pStyle w:val="1031"/>
        <w:numPr>
          <w:ilvl w:val="0"/>
          <w:numId w:val="5"/>
        </w:numPr>
        <w:pBdr/>
        <w:tabs>
          <w:tab w:val="left" w:leader="none" w:pos="993"/>
        </w:tabs>
        <w:spacing w:after="120" w:before="120" w:line="312"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312"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312"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312"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312"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312"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312"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5"/>
        </w:numPr>
        <w:pBdr/>
        <w:spacing w:after="120" w:before="120" w:line="312"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w:t>
      </w:r>
      <w:r>
        <w:rPr>
          <w:rFonts w:ascii="Times New Roman" w:hAnsi="Times New Roman" w:eastAsia="Times New Roman" w:cs="Times New Roman"/>
          <w:color w:val="000000"/>
          <w:spacing w:val="-2"/>
          <w:sz w:val="24"/>
        </w:rPr>
        <w:t xml:space="preserve">trở ảnh hưởng đến việc giao dịch bình thường của tài sản trên thị trường.</w:t>
      </w:r>
      <w:r>
        <w:rPr>
          <w:rFonts w:ascii="Times New Roman" w:hAnsi="Times New Roman" w:eastAsia="Times New Roman" w:cs="Times New Roman"/>
          <w:sz w:val="24"/>
        </w:rPr>
      </w:r>
      <w:r/>
    </w:p>
    <w:p>
      <w:pPr>
        <w:pStyle w:val="1031"/>
        <w:numPr>
          <w:ilvl w:val="0"/>
          <w:numId w:val="5"/>
        </w:numPr>
        <w:pBdr/>
        <w:tabs>
          <w:tab w:val="left" w:leader="none" w:pos="993"/>
        </w:tabs>
        <w:spacing w:after="120" w:before="120" w:line="312"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1"/>
        <w:numPr>
          <w:ilvl w:val="0"/>
          <w:numId w:val="3"/>
        </w:numPr>
        <w:pBdr/>
        <w:tabs>
          <w:tab w:val="left" w:leader="none" w:pos="993"/>
        </w:tabs>
        <w:spacing w:after="120" w:before="120" w:line="312"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312"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312"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312"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312"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312"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color="auto"/>
        <w:spacing/>
        <w:ind/>
        <w:rPr>
          <w:lang w:val="pt-BR"/>
        </w:rPr>
      </w:pPr>
      <w:r>
        <w:rPr>
          <w:highlight w:val="none"/>
          <w:lang w:val="vi-VN"/>
        </w:rPr>
        <w:br w:type="page" w:clear="all"/>
      </w:r>
      <w:r>
        <w:rPr>
          <w:lang w:val="pt-BR"/>
        </w:rPr>
      </w:r>
      <w:r>
        <w:rPr>
          <w:lang w:val="pt-BR"/>
        </w:rPr>
      </w:r>
    </w:p>
    <w:p>
      <w:pPr>
        <w:pStyle w:val="103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275/2025/1700/VFI-CT.21.A</w:t>
      </w:r>
      <w:r>
        <w:rPr>
          <w:color w:val="ff0000"/>
          <w:lang w:val="vi-VN"/>
        </w:rPr>
        <w:t xml:space="preserve"> </w:t>
      </w:r>
      <w:r>
        <w:rPr>
          <w:color w:val="000000" w:themeColor="text1"/>
        </w:rPr>
        <w:t xml:space="preserve">ngày 01/12/2025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bCs/>
              </w:rPr>
            </w:pPr>
            <w:r>
              <w:rPr>
                <w:rFonts w:eastAsia="Calibri"/>
                <w:b/>
              </w:rPr>
            </w:r>
            <w:r>
              <w:rPr>
                <w:rFonts w:eastAsia="Calibri"/>
                <w:b/>
              </w:rPr>
            </w:r>
            <w:r>
              <w:rPr>
                <w:rFonts w:eastAsia="Calibri"/>
                <w:b/>
              </w:rPr>
            </w:r>
          </w:p>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XII.20112025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Đỗ Thanh Thảo</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275/2025/1700/VFI-BC.21.A</w:t>
      </w:r>
      <w:r>
        <w:rPr>
          <w:i/>
        </w:rPr>
        <w:t xml:space="preserve"> ngày</w:t>
      </w:r>
      <w:r>
        <w:rPr>
          <w:i/>
          <w:lang w:val="pt-BR"/>
        </w:rPr>
        <w:t xml:space="preserve"> </w:t>
      </w:r>
      <w:r>
        <w:rPr>
          <w:i/>
          <w:lang w:val="pt-BR"/>
        </w:rPr>
        <w:t xml:space="preserve">01 tháng 12 năm 2025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443037" cy="192405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91376" name=""/>
                              <pic:cNvPicPr>
                                <a:picLocks noChangeAspect="1"/>
                              </pic:cNvPicPr>
                              <pic:nvPr/>
                            </pic:nvPicPr>
                            <pic:blipFill>
                              <a:blip r:embed="rId20"/>
                              <a:stretch/>
                            </pic:blipFill>
                            <pic:spPr bwMode="auto">
                              <a:xfrm flipH="0" flipV="0">
                                <a:off x="0" y="0"/>
                                <a:ext cx="1443037" cy="1924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3.62pt;height:151.5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7768" cy="212082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134680" name=""/>
                              <pic:cNvPicPr>
                                <a:picLocks noChangeAspect="1"/>
                              </pic:cNvPicPr>
                              <pic:nvPr/>
                            </pic:nvPicPr>
                            <pic:blipFill>
                              <a:blip r:embed="rId21"/>
                              <a:stretch/>
                            </pic:blipFill>
                            <pic:spPr bwMode="auto">
                              <a:xfrm flipH="0" flipV="0">
                                <a:off x="0" y="0"/>
                                <a:ext cx="2827768" cy="21208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66pt;height:166.99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696325" cy="226176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58805" name=""/>
                              <pic:cNvPicPr>
                                <a:picLocks noChangeAspect="1"/>
                              </pic:cNvPicPr>
                              <pic:nvPr/>
                            </pic:nvPicPr>
                            <pic:blipFill>
                              <a:blip r:embed="rId22"/>
                              <a:stretch/>
                            </pic:blipFill>
                            <pic:spPr bwMode="auto">
                              <a:xfrm flipH="0" flipV="0">
                                <a:off x="0" y="0"/>
                                <a:ext cx="1696324" cy="22617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33.57pt;height:178.09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3"/>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50pt;height:150.0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425903" cy="190120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02873" name=""/>
                              <pic:cNvPicPr>
                                <a:picLocks noChangeAspect="1"/>
                              </pic:cNvPicPr>
                              <pic:nvPr/>
                            </pic:nvPicPr>
                            <pic:blipFill>
                              <a:blip r:embed="rId24"/>
                              <a:stretch/>
                            </pic:blipFill>
                            <pic:spPr bwMode="auto">
                              <a:xfrm flipH="0" flipV="0">
                                <a:off x="0" y="0"/>
                                <a:ext cx="1425902" cy="19012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12.28pt;height:149.7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275/2025/1700/VFI-BC.21.A</w:t>
      </w:r>
      <w:r>
        <w:rPr>
          <w:i/>
        </w:rPr>
        <w:t xml:space="preserve"> ngày</w:t>
      </w:r>
      <w:r>
        <w:rPr>
          <w:i/>
          <w:lang w:val="pt-BR"/>
        </w:rPr>
        <w:t xml:space="preserve"> </w:t>
      </w:r>
      <w:r>
        <w:rPr>
          <w:i/>
          <w:lang w:val="pt-BR"/>
        </w:rPr>
        <w:t xml:space="preserve">01 tháng 12 năm 2025</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5545709" cy="657848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90601" name=""/>
                        <pic:cNvPicPr>
                          <a:picLocks noChangeAspect="1"/>
                        </pic:cNvPicPr>
                        <pic:nvPr/>
                      </pic:nvPicPr>
                      <pic:blipFill>
                        <a:blip r:embed="rId25"/>
                        <a:stretch/>
                      </pic:blipFill>
                      <pic:spPr bwMode="auto">
                        <a:xfrm flipH="0" flipV="0">
                          <a:off x="0" y="0"/>
                          <a:ext cx="5545709" cy="65784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36.67pt;height:517.99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mc:AlternateContent>
                <mc:Choice Requires="wpg">
                  <w:drawing>
                    <wp:inline xmlns:wp="http://schemas.openxmlformats.org/drawingml/2006/wordprocessingDrawing" distT="0" distB="0" distL="0" distR="0">
                      <wp:extent cx="1898815" cy="106217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95588" name=""/>
                              <pic:cNvPicPr>
                                <a:picLocks noChangeAspect="1"/>
                              </pic:cNvPicPr>
                              <pic:nvPr/>
                            </pic:nvPicPr>
                            <pic:blipFill>
                              <a:blip r:embed="rId26"/>
                              <a:stretch/>
                            </pic:blipFill>
                            <pic:spPr bwMode="auto">
                              <a:xfrm flipH="0" flipV="0">
                                <a:off x="0" y="0"/>
                                <a:ext cx="1898814" cy="10621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9.51pt;height:83.64pt;mso-wrap-distance-left:0.00pt;mso-wrap-distance-top:0.00pt;mso-wrap-distance-right:0.00pt;mso-wrap-distance-bottom:0.00pt;z-index:1;" stroked="false">
                      <v:imagedata r:id="rId26" o:title=""/>
                      <o:lock v:ext="edit" rotation="t"/>
                    </v:shape>
                  </w:pict>
                </mc:Fallback>
              </mc:AlternateContent>
            </w:r>
            <w:r/>
          </w:p>
          <w:p>
            <w:pPr>
              <w:pBdr/>
              <w:spacing/>
              <w:ind/>
              <w:jc w:val="center"/>
              <w:rPr>
                <w:b/>
                <w:bCs/>
              </w:rPr>
            </w:pPr>
            <w:r>
              <w:rPr>
                <w:b/>
                <w:bCs/>
              </w:rPr>
              <w:t xml:space="preserve">Trương Thị Diệp</w:t>
            </w:r>
            <w:r>
              <w:rPr>
                <w:b/>
                <w:bCs/>
              </w:rPr>
            </w:r>
            <w:r>
              <w:rPr>
                <w:b/>
                <w:bCs/>
              </w:rPr>
            </w:r>
          </w:p>
        </w:tc>
      </w:tr>
    </w:tbl>
    <w:p>
      <w:pPr>
        <w:pBdr/>
        <w:spacing/>
        <w:ind/>
        <w:rPr/>
      </w:pPr>
      <w:r>
        <w:br w:type="page" w:clear="all"/>
      </w:r>
      <w:r/>
    </w:p>
    <w:p>
      <w:pPr>
        <w:pBdr/>
        <w:spacing w:after="200" w:line="276" w:lineRule="auto"/>
        <w:ind/>
        <w:jc w:val="center"/>
        <w:rPr>
          <w:i/>
          <w:lang w:val="pt-BR"/>
        </w:rPr>
      </w:pPr>
      <w:r>
        <w:rPr>
          <w:i/>
          <w:lang w:val="pt-BR"/>
        </w:rPr>
      </w:r>
      <w:r>
        <mc:AlternateContent>
          <mc:Choice Requires="wpg">
            <w:drawing>
              <wp:inline xmlns:wp="http://schemas.openxmlformats.org/drawingml/2006/wordprocessingDrawing" distT="0" distB="0" distL="0" distR="0">
                <wp:extent cx="5962990" cy="762535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56478" name=""/>
                        <pic:cNvPicPr>
                          <a:picLocks noChangeAspect="1"/>
                        </pic:cNvPicPr>
                        <pic:nvPr/>
                      </pic:nvPicPr>
                      <pic:blipFill>
                        <a:blip r:embed="rId27"/>
                        <a:stretch/>
                      </pic:blipFill>
                      <pic:spPr bwMode="auto">
                        <a:xfrm flipH="0" flipV="0">
                          <a:off x="0" y="0"/>
                          <a:ext cx="5962989" cy="76253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69.53pt;height:600.42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mc:AlternateContent>
                <mc:Choice Requires="wpg">
                  <w:drawing>
                    <wp:inline xmlns:wp="http://schemas.openxmlformats.org/drawingml/2006/wordprocessingDrawing" distT="0" distB="0" distL="0" distR="0">
                      <wp:extent cx="1820250" cy="1018224"/>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74391" name=""/>
                              <pic:cNvPicPr>
                                <a:picLocks noChangeAspect="1"/>
                              </pic:cNvPicPr>
                              <pic:nvPr/>
                            </pic:nvPicPr>
                            <pic:blipFill>
                              <a:blip r:embed="rId28"/>
                              <a:stretch/>
                            </pic:blipFill>
                            <pic:spPr bwMode="auto">
                              <a:xfrm flipH="0" flipV="0">
                                <a:off x="0" y="0"/>
                                <a:ext cx="1820250" cy="1018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3.33pt;height:80.18pt;mso-wrap-distance-left:0.00pt;mso-wrap-distance-top:0.00pt;mso-wrap-distance-right:0.00pt;mso-wrap-distance-bottom:0.00pt;z-index:1;" stroked="false">
                      <v:imagedata r:id="rId28" o:title=""/>
                      <o:lock v:ext="edit" rotation="t"/>
                    </v:shape>
                  </w:pict>
                </mc:Fallback>
              </mc:AlternateContent>
            </w:r>
            <w:r/>
          </w:p>
          <w:p>
            <w:pPr>
              <w:pBdr/>
              <w:spacing/>
              <w:ind/>
              <w:jc w:val="center"/>
              <w:rPr>
                <w:b/>
                <w:bCs/>
              </w:rPr>
            </w:pPr>
            <w:r>
              <w:rPr>
                <w:b/>
                <w:bCs/>
              </w:rPr>
              <w:t xml:space="preserve">Trương Thị Diệp</w:t>
            </w:r>
            <w:r>
              <w:rPr>
                <w:b/>
                <w:bCs/>
              </w:rPr>
            </w:r>
            <w:r>
              <w:rPr>
                <w:b/>
                <w:bCs/>
              </w:rP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398703" cy="706828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89042" name=""/>
                        <pic:cNvPicPr>
                          <a:picLocks noChangeAspect="1"/>
                        </pic:cNvPicPr>
                        <pic:nvPr/>
                      </pic:nvPicPr>
                      <pic:blipFill>
                        <a:blip r:embed="rId29"/>
                        <a:stretch/>
                      </pic:blipFill>
                      <pic:spPr bwMode="auto">
                        <a:xfrm flipH="0" flipV="0">
                          <a:off x="0" y="0"/>
                          <a:ext cx="5398703" cy="70682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25.09pt;height:556.56pt;mso-wrap-distance-left:0.00pt;mso-wrap-distance-top:0.00pt;mso-wrap-distance-right:0.00pt;mso-wrap-distance-bottom:0.00pt;z-index:1;" stroked="false">
                <v:imagedata r:id="rId29"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mc:AlternateContent>
                <mc:Choice Requires="wpg">
                  <w:drawing>
                    <wp:inline xmlns:wp="http://schemas.openxmlformats.org/drawingml/2006/wordprocessingDrawing" distT="0" distB="0" distL="0" distR="0">
                      <wp:extent cx="1943122" cy="108695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10231" name=""/>
                              <pic:cNvPicPr>
                                <a:picLocks noChangeAspect="1"/>
                              </pic:cNvPicPr>
                              <pic:nvPr/>
                            </pic:nvPicPr>
                            <pic:blipFill>
                              <a:blip r:embed="rId30"/>
                              <a:stretch/>
                            </pic:blipFill>
                            <pic:spPr bwMode="auto">
                              <a:xfrm flipH="0" flipV="0">
                                <a:off x="0" y="0"/>
                                <a:ext cx="1943122" cy="10869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53.00pt;height:85.59pt;mso-wrap-distance-left:0.00pt;mso-wrap-distance-top:0.00pt;mso-wrap-distance-right:0.00pt;mso-wrap-distance-bottom:0.00pt;z-index:1;" stroked="false">
                      <v:imagedata r:id="rId30" o:title=""/>
                      <o:lock v:ext="edit" rotation="t"/>
                    </v:shape>
                  </w:pict>
                </mc:Fallback>
              </mc:AlternateContent>
            </w:r>
            <w:r/>
          </w:p>
          <w:p>
            <w:pPr>
              <w:pBdr/>
              <w:spacing/>
              <w:ind/>
              <w:jc w:val="center"/>
              <w:rPr>
                <w:b/>
                <w:bCs/>
              </w:rPr>
            </w:pPr>
            <w:r>
              <w:rPr>
                <w:b/>
                <w:bCs/>
              </w:rPr>
              <w:t xml:space="preserve">Trương Thị Diệp</w:t>
            </w:r>
            <w:r>
              <w:rPr>
                <w:b/>
                <w:bCs/>
              </w:rPr>
            </w:r>
            <w:r>
              <w:rPr>
                <w:b/>
                <w:bCs/>
              </w:rP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58B7DC8"/>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1F684652"/>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29074F0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hyperlink" Target="https://www.facebook.com/groups/1003320189820948/permalink/3384689191684024/" TargetMode="External"/><Relationship Id="rId17" Type="http://schemas.openxmlformats.org/officeDocument/2006/relationships/hyperlink" Target="https://www.facebook.com/groups/1003320189820948/permalink/3400088696810740/" TargetMode="External"/><Relationship Id="rId18" Type="http://schemas.openxmlformats.org/officeDocument/2006/relationships/hyperlink" Target="https://www.facebook.com/groups/1003320189820948/permalink/3350675511752059/" TargetMode="External"/><Relationship Id="rId19" Type="http://schemas.openxmlformats.org/officeDocument/2006/relationships/image" Target="media/image4.jp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491</cp:revision>
  <dcterms:created xsi:type="dcterms:W3CDTF">2025-09-15T02:01:00Z</dcterms:created>
  <dcterms:modified xsi:type="dcterms:W3CDTF">2025-12-03T01:54:47Z</dcterms:modified>
</cp:coreProperties>
</file>