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41592"/>
                <wp:effectExtent l="12700" t="12700" r="31750" b="1968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41592"/>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rFonts w:ascii="Times New Roman" w:hAnsi="Times New Roman" w:eastAsia="Times New Roman" w:cs="Times New Roman"/>
                                <w:color w:val="000000"/>
                                <w:sz w:val="24"/>
                              </w:rPr>
                              <w:t xml:space="preserve">275/2025/1682/VFI-CT.53.A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VŨ KIM NGỌC</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và tài sản gắn liền với đất tại thửa đất số: 25-15;25-28, tờ bản đồ số: 38 có địa chỉ: Số 38 ngách 158/124 phố Ngọc Hà, Phường Ngọc Hà- Quận Ba Đình- Hà Nội (Nay là Phường Ba Đình, Thành phố Hà Nội) theo Giấy chứng nhận quyền sử dụng đất </w:t>
                            </w:r>
                            <w:r>
                              <w:rPr>
                                <w:rFonts w:ascii="Times New Roman" w:hAnsi="Times New Roman" w:eastAsia="Times New Roman" w:cs="Times New Roman"/>
                                <w:color w:val="000000"/>
                                <w:sz w:val="24"/>
                              </w:rPr>
                              <w:t xml:space="preserve">số: AE 752565, số vào sổ cấp GCN: H.1558/2007/QĐUB do Uỷ ban Nhân dân quận Ba Đình cấp ngày 03/07/2007 cho Ông Vũ Kim Ngọc và Bà Bùi Thị Hân</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11/2025</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28.47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rFonts w:ascii="Times New Roman" w:hAnsi="Times New Roman" w:eastAsia="Times New Roman" w:cs="Times New Roman"/>
                          <w:color w:val="000000"/>
                          <w:sz w:val="24"/>
                        </w:rPr>
                        <w:t xml:space="preserve">275/2025/1682/VFI-CT.53.A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VŨ KIM NGỌC</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và tài sản gắn liền với đất tại thửa đất số: 25-15;25-28, tờ bản đồ số: 38 có địa chỉ: Số 38 ngách 158/124 phố Ngọc Hà, Phường Ngọc Hà- Quận Ba Đình- Hà Nội (Nay là Phường Ba Đình, Thành phố Hà Nội) theo Giấy chứng nhận quyền sử dụng đất </w:t>
                      </w:r>
                      <w:r>
                        <w:rPr>
                          <w:rFonts w:ascii="Times New Roman" w:hAnsi="Times New Roman" w:eastAsia="Times New Roman" w:cs="Times New Roman"/>
                          <w:color w:val="000000"/>
                          <w:sz w:val="24"/>
                        </w:rPr>
                        <w:t xml:space="preserve">số: AE 752565, số vào sổ cấp GCN: H.1558/2007/QĐUB do Uỷ ban Nhân dân quận Ba Đình cấp ngày 03/07/2007 cho Ông Vũ Kim Ngọc và Bà Bùi Thị Hân</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11/2025</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highlight w:val="white"/>
                <w:u w:val="single"/>
              </w:rPr>
            </w:pPr>
            <w:r>
              <w:rPr>
                <w:rFonts w:eastAsia="Calibri"/>
                <w:b/>
                <w:highlight w:val="white"/>
                <w:u w:val="single"/>
              </w:rPr>
              <w:t xml:space="preserve">NỘI DUNG</w:t>
            </w:r>
            <w:r>
              <w:rPr>
                <w:rFonts w:eastAsia="Calibri"/>
                <w:b/>
                <w:highlight w:val="white"/>
                <w:u w:val="single"/>
              </w:rPr>
            </w:r>
            <w:r>
              <w:rPr>
                <w:rFonts w:eastAsia="Calibri"/>
                <w:b/>
                <w:highlight w:val="whit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u w:val="single"/>
              </w:rPr>
            </w:pPr>
            <w:r>
              <w:rPr>
                <w:b/>
                <w:highlight w:val="white"/>
                <w:u w:val="single"/>
              </w:rPr>
              <w:t xml:space="preserve">TRANG</w:t>
            </w:r>
            <w:r>
              <w:rPr>
                <w:b/>
                <w:highlight w:val="white"/>
                <w:u w:val="single"/>
              </w:rPr>
            </w:r>
            <w:r>
              <w:rPr>
                <w:b/>
                <w:highlight w:val="whit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highlight w:val="white"/>
              </w:rPr>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Chứng thư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Báo cáo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4-25</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Các phụ lục chi tiết kèm theo</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white"/>
              </w:rPr>
            </w:pPr>
            <w:r>
              <w:rPr>
                <w:b/>
                <w:bCs/>
                <w:highlight w:val="white"/>
              </w:rPr>
              <w:t xml:space="preserve">           26-32</w:t>
            </w:r>
            <w:r>
              <w:rPr>
                <w:b/>
                <w:bCs/>
                <w:highlight w:val="white"/>
              </w:rPr>
            </w:r>
            <w:r>
              <w:rPr>
                <w:b/>
                <w:bCs/>
                <w:highlight w:val="white"/>
              </w:rPr>
            </w:r>
          </w:p>
        </w:tc>
      </w:tr>
    </w:tbl>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pPr>
              <w:pStyle w:val="1030"/>
              <w:pBdr/>
              <w:spacing w:after="60" w:before="200"/>
              <w:ind/>
              <w:rPr>
                <w:rStyle w:val="1029"/>
                <w:rFonts w:ascii="Times New Roman" w:hAnsi="Times New Roman"/>
                <w:color w:val="auto"/>
                <w:lang w:val="pt-BR"/>
              </w:rPr>
            </w:pPr>
            <w:r>
              <w:rPr>
                <w:rFonts w:ascii="Times New Roman" w:hAnsi="Times New Roman"/>
                <w:color w:val="auto"/>
                <w:lang w:val="pt-BR"/>
              </w:rPr>
            </w:r>
            <w:r>
              <w:rPr>
                <w:rStyle w:val="1029"/>
                <w:rFonts w:ascii="Times New Roman" w:hAnsi="Times New Roman"/>
                <w:color w:val="auto"/>
                <w:lang w:val="pt-BR"/>
              </w:rPr>
            </w:r>
            <w:r>
              <w:rPr>
                <w:rStyle w:val="1029"/>
                <w:rFonts w:ascii="Times New Roman" w:hAnsi="Times New Roman"/>
                <w:color w:val="auto"/>
                <w:lang w:val="pt-BR"/>
              </w:rPr>
            </w:r>
          </w:p>
          <w:p>
            <w:pPr>
              <w:pStyle w:val="1030"/>
              <w:pBdr/>
              <w:spacing w:after="60" w:before="200"/>
              <w:ind/>
              <w:rPr>
                <w:sz w:val="24"/>
                <w:szCs w:val="24"/>
              </w:rPr>
            </w:pPr>
            <w:r>
              <w:rPr>
                <w:rStyle w:val="1029"/>
                <w:rFonts w:ascii="Times New Roman" w:hAnsi="Times New Roman"/>
                <w:color w:val="auto"/>
                <w:lang w:val="pt-BR"/>
              </w:rPr>
              <w:t xml:space="preserve">Số:</w:t>
            </w:r>
            <w:r>
              <w:rPr>
                <w:rStyle w:val="1029"/>
                <w:rFonts w:ascii="Times New Roman" w:hAnsi="Times New Roman"/>
                <w:color w:val="auto"/>
                <w:lang w:val="pt-BR"/>
              </w:rPr>
              <w:t xml:space="preserve"> </w:t>
            </w:r>
            <w:r>
              <w:rPr>
                <w:rFonts w:ascii="Times New Roman" w:hAnsi="Times New Roman" w:eastAsia="Times New Roman" w:cs="Times New Roman"/>
                <w:color w:val="000000"/>
                <w:sz w:val="24"/>
              </w:rPr>
              <w:t xml:space="preserve">275/2025/1682/VFI-CT.53.A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pPr>
              <w:pStyle w:val="1030"/>
              <w:pBdr/>
              <w:spacing w:after="60" w:before="200"/>
              <w:ind w:right="-56"/>
              <w:rPr>
                <w:rStyle w:val="1029"/>
                <w:rFonts w:ascii="Times New Roman" w:hAnsi="Times New Roman"/>
                <w:i/>
                <w:color w:val="auto"/>
              </w:rPr>
            </w:pPr>
            <w:r>
              <w:rPr>
                <w:rFonts w:ascii="Times New Roman" w:hAnsi="Times New Roman"/>
                <w:i/>
                <w:color w:val="auto"/>
              </w:rPr>
            </w:r>
            <w:r>
              <w:rPr>
                <w:rStyle w:val="1029"/>
                <w:rFonts w:ascii="Times New Roman" w:hAnsi="Times New Roman"/>
                <w:i/>
                <w:color w:val="auto"/>
              </w:rPr>
            </w:r>
            <w:r>
              <w:rPr>
                <w:rStyle w:val="1029"/>
                <w:rFonts w:ascii="Times New Roman" w:hAnsi="Times New Roman"/>
                <w:i/>
                <w:color w:val="auto"/>
              </w:rPr>
            </w:r>
          </w:p>
          <w:p>
            <w:pPr>
              <w:pStyle w:val="1030"/>
              <w:pBdr/>
              <w:spacing w:after="60" w:before="200"/>
              <w:ind w:right="-56"/>
              <w:jc w:val="right"/>
              <w:rPr>
                <w:sz w:val="24"/>
                <w:szCs w:val="24"/>
                <w:lang w:val="vi-VN"/>
              </w:rPr>
            </w:pPr>
            <w:r>
              <w:rPr>
                <w:rStyle w:val="1029"/>
                <w:rFonts w:ascii="Times New Roman" w:hAnsi="Times New Roman"/>
                <w:i/>
                <w:color w:val="auto"/>
              </w:rPr>
              <w:t xml:space="preserve">TP. </w:t>
            </w:r>
            <w:r>
              <w:rPr>
                <w:rStyle w:val="1029"/>
                <w:rFonts w:ascii="Times New Roman" w:hAnsi="Times New Roman"/>
                <w:i/>
                <w:color w:val="auto"/>
              </w:rPr>
              <w:t xml:space="preserve">Hà 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27 tháng 11 năm 2025</w:t>
            </w:r>
            <w:r>
              <w:rPr>
                <w:rStyle w:val="1029"/>
                <w:rFonts w:ascii="Times New Roman" w:hAnsi="Times New Roman"/>
                <w:i/>
                <w:color w:val="auto"/>
                <w:lang w:val="vi-VN"/>
              </w:rPr>
              <w:t xml:space="preserve"> </w:t>
            </w:r>
            <w:r>
              <w:rPr>
                <w:rStyle w:val="1029"/>
                <w:rFonts w:ascii="Times New Roman" w:hAnsi="Times New Roman"/>
                <w:i/>
                <w:color w:val="auto"/>
                <w:lang w:val="vi-VN"/>
              </w:rPr>
              <w:t xml:space="preserve">  </w:t>
            </w:r>
            <w:r>
              <w:rPr>
                <w:sz w:val="24"/>
                <w:szCs w:val="24"/>
                <w:lang w:val="vi-VN"/>
              </w:rPr>
            </w:r>
            <w:r>
              <w:rPr>
                <w:sz w:val="24"/>
                <w:szCs w:val="24"/>
                <w:lang w:val="vi-VN"/>
              </w:rPr>
            </w:r>
          </w:p>
        </w:tc>
      </w:tr>
    </w:tbl>
    <w:p>
      <w:pPr>
        <w:pStyle w:val="1030"/>
        <w:pBdr/>
        <w:spacing w:after="120" w:before="200" w:line="288" w:lineRule="auto"/>
        <w:ind/>
        <w:jc w:val="center"/>
        <w:rPr>
          <w:rStyle w:val="1029"/>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VŨ KIM NGỌC</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rFonts w:ascii="Times New Roman" w:hAnsi="Times New Roman" w:eastAsia="Times New Roman" w:cs="Times New Roman"/>
          <w:color w:val="000000"/>
          <w:sz w:val="24"/>
        </w:rPr>
        <w:t xml:space="preserve">275/2025/1682/VFI-HĐTĐ.53.A</w:t>
      </w:r>
      <w:r>
        <w:rPr>
          <w:spacing w:val="-4"/>
          <w:lang w:val="vi-VN"/>
        </w:rPr>
        <w:t xml:space="preserve"> ký ngày </w:t>
      </w:r>
      <w:r>
        <w:rPr>
          <w:color w:val="000000" w:themeColor="text1"/>
          <w:spacing w:val="-4"/>
        </w:rPr>
        <w:t xml:space="preserve">25/11/2025</w:t>
      </w:r>
      <w:r>
        <w:rPr>
          <w:spacing w:val="-4"/>
          <w:lang w:val="vi-VN"/>
        </w:rPr>
        <w:t xml:space="preserve"> </w:t>
      </w:r>
      <w:r>
        <w:rPr>
          <w:spacing w:val="-4"/>
          <w:lang w:val="vi-VN"/>
        </w:rPr>
        <w:t xml:space="preserve">giữa </w:t>
      </w:r>
      <w:r>
        <w:rPr>
          <w:bCs/>
        </w:rPr>
        <w:t xml:space="preserve">ông Vũ Kim Ngọc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rFonts w:ascii="Times New Roman" w:hAnsi="Times New Roman" w:eastAsia="Times New Roman" w:cs="Times New Roman"/>
          <w:color w:val="000000"/>
          <w:sz w:val="24"/>
        </w:rPr>
        <w:t xml:space="preserve">275/2025/1682/VFI-BC.53.A</w:t>
      </w:r>
      <w:r>
        <w:rPr>
          <w:spacing w:val="-2"/>
          <w:lang w:val="pt-BR"/>
        </w:rPr>
        <w:t xml:space="preserve"> ngày</w:t>
      </w:r>
      <w:r>
        <w:rPr>
          <w:spacing w:val="-2"/>
          <w:lang w:val="vi-VN"/>
        </w:rPr>
        <w:t xml:space="preserve"> </w:t>
      </w:r>
      <w:r>
        <w:rPr>
          <w:color w:val="000000" w:themeColor="text1"/>
          <w:spacing w:val="-2"/>
        </w:rPr>
        <w:t xml:space="preserve">27/11/2025 </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VŨ KIM NGỌC</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011604003</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BT5-23 Khu đô Thị mới Văn Phú, Phường Kiến Hưng, Thành phố Hà Nội, Việt Nam</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Số 275/TĐG của Bộ Tài Chính cấp lần đầu ngày 22/01/2018, cấp lại lần thứ 6 ngày 01/8/2024</w:t>
            </w: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và tài sản gắn liền với đất tại thửa đất số: 25-15;25-28, tờ bản đồ số: 38 có địa chỉ: Số 38 ngách 158/124 phố Ngọc Hà, Phường Ngọc Hà- Quận Ba Đình- Hà Nội (Nay là Phường Ba Đình, Thành phố Hà Nội) theo Giấy chứng nhận quyền sử dụng đất </w:t>
      </w:r>
      <w:r>
        <w:rPr>
          <w:rFonts w:ascii="Times New Roman" w:hAnsi="Times New Roman" w:eastAsia="Times New Roman" w:cs="Times New Roman"/>
          <w:color w:val="000000"/>
          <w:sz w:val="24"/>
        </w:rPr>
        <w:t xml:space="preserve"> số: AE 752565, số vào sổ cấp GCN: H.1558/2007/QĐUB do Uỷ ban Nhân dân quận Ba Đình cấp ngày 3/07/2007 cho Ông Vũ Kim Ngọc và Bà Bùi Thị Hân.</w:t>
        <w:tab/>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11/2025</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rPr>
          <w:highlight w:val="none"/>
          <w:lang w:val="vi-VN"/>
        </w:rPr>
      </w:r>
      <w:r>
        <w:rPr>
          <w:highlight w:val="none"/>
          <w:lang w:val="vi-VN"/>
        </w:rP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7"/>
        <w:gridCol w:w="2004"/>
        <w:gridCol w:w="1914"/>
        <w:gridCol w:w="2095"/>
        <w:gridCol w:w="1323"/>
        <w:gridCol w:w="1642"/>
      </w:tblGrid>
      <w:tr>
        <w:trPr>
          <w:trHeight w:val="624"/>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Hệ số/</w:t>
              <w:br/>
              <w:t xml:space="preserve"> CLCL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19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1</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73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25-15;25-28, tờ bản đồ số: 38 có địa chỉ: Số 38 ngách 158/124 phố Ngọc Hà, Phường Ngọc Hà- Quận Ba Đình- Hà Nội ( Nay là Phường Ba Đình, Thành phố Hà Nội) theo Giấy chứng nhận quyền sử dụng đất</w:t>
            </w:r>
            <w:r>
              <w:rPr>
                <w:rFonts w:ascii="Times New Roman" w:hAnsi="Times New Roman" w:eastAsia="Times New Roman" w:cs="Times New Roman"/>
                <w:b/>
                <w:color w:val="000000"/>
                <w:sz w:val="24"/>
              </w:rPr>
              <w:t xml:space="preserve">  số: AE 752565, số vào sổ cấp GCN: H.1558/2007/QĐUB do Uỷ ban Nhân dân quận Ba Đình cấp ngày 3/07/2007 cho Ông Vũ Kim Ngọc và Bà Bùi Thị Hân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Quyền sử dụng đất ở tại đô thị </w:t>
            </w:r>
            <w:r/>
          </w:p>
        </w:tc>
        <w:tc>
          <w:tcPr>
            <w:tcBorders>
              <w:bottom w:val="single" w:color="000000" w:sz="8" w:space="0"/>
              <w:right w:val="single" w:color="000000" w:sz="8" w:space="0"/>
            </w:tcBorders>
            <w:tcMar>
              <w:left w:w="108" w:type="dxa"/>
              <w:top w:w="0" w:type="dxa"/>
              <w:right w:w="108" w:type="dxa"/>
              <w:bottom w:w="0" w:type="dxa"/>
            </w:tcMar>
            <w:tcW w:w="191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20,60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120.000.000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2.472.000.000</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Nhà 2 tầng </w:t>
            </w:r>
            <w:r/>
          </w:p>
        </w:tc>
        <w:tc>
          <w:tcPr>
            <w:tcBorders>
              <w:bottom w:val="single" w:color="000000" w:sz="8" w:space="0"/>
              <w:right w:val="single" w:color="000000" w:sz="8" w:space="0"/>
            </w:tcBorders>
            <w:tcMar>
              <w:left w:w="108" w:type="dxa"/>
              <w:top w:w="0" w:type="dxa"/>
              <w:right w:w="108" w:type="dxa"/>
              <w:bottom w:w="0" w:type="dxa"/>
            </w:tcMar>
            <w:tcW w:w="191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25,20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5.679.800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85.878.576</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Nhà 1 tầng </w:t>
            </w:r>
            <w:r/>
          </w:p>
        </w:tc>
        <w:tc>
          <w:tcPr>
            <w:tcBorders>
              <w:bottom w:val="single" w:color="000000" w:sz="8" w:space="0"/>
              <w:right w:val="single" w:color="000000" w:sz="8" w:space="0"/>
            </w:tcBorders>
            <w:tcMar>
              <w:left w:w="108" w:type="dxa"/>
              <w:top w:w="0" w:type="dxa"/>
              <w:right w:w="108" w:type="dxa"/>
              <w:bottom w:w="0" w:type="dxa"/>
            </w:tcMar>
            <w:tcW w:w="191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8,00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2.885.600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13.850.880</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01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Tổng cộng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2.571.729.456</w:t>
            </w:r>
            <w:r/>
          </w:p>
        </w:tc>
      </w:tr>
      <w:tr>
        <w:trPr>
          <w:trHeight w:val="339"/>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01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Làm tròn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b/>
                <w:color w:val="000000"/>
                <w:sz w:val="24"/>
              </w:rPr>
              <w:t xml:space="preserve">2.572.000.000</w:t>
            </w:r>
            <w:r/>
          </w:p>
        </w:tc>
      </w:tr>
      <w:tr>
        <w:trPr>
          <w:trHeight w:val="309"/>
        </w:trPr>
        <w:tc>
          <w:tcPr>
            <w:gridSpan w:val="6"/>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9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i/>
                <w:color w:val="000000"/>
                <w:sz w:val="24"/>
              </w:rPr>
              <w:t xml:space="preserve">Bằng chữ: Hai tỷ, năm trăm bảy mươi hai triệu đồng chẵn ./.</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tiết như Báo cáo kèm theo.</w:t>
      </w:r>
      <w:r>
        <w:rPr>
          <w:rFonts w:eastAsia="Calibri"/>
          <w:b/>
          <w:spacing w:val="-4"/>
          <w:lang w:val="pt-BR"/>
        </w:rPr>
      </w:r>
      <w:r>
        <w:rPr>
          <w:rFonts w:eastAsia="Calibri"/>
          <w:b/>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XII.20112025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pPr>
              <w:pStyle w:val="1030"/>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pPr>
              <w:pStyle w:val="1030"/>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rFonts w:ascii="Times New Roman" w:hAnsi="Times New Roman" w:eastAsia="Times New Roman" w:cs="Times New Roman"/>
                <w:color w:val="000000"/>
                <w:sz w:val="24"/>
              </w:rPr>
              <w:t xml:space="preserve">275/2025/1682/VFI-BC.53.A</w:t>
            </w:r>
            <w:r>
              <w:rPr>
                <w:sz w:val="24"/>
                <w:szCs w:val="24"/>
              </w:rPr>
            </w:r>
            <w:r>
              <w:rPr>
                <w:sz w:val="24"/>
                <w:szCs w:val="24"/>
              </w:rPr>
            </w:r>
          </w:p>
        </w:tc>
        <w:tc>
          <w:tcPr>
            <w:tcBorders/>
            <w:tcW w:w="4781" w:type="dxa"/>
            <w:textDirection w:val="lrTb"/>
            <w:noWrap w:val="false"/>
          </w:tcPr>
          <w:p>
            <w:pPr>
              <w:pStyle w:val="1030"/>
              <w:pBdr/>
              <w:tabs>
                <w:tab w:val="left" w:leader="none" w:pos="5103"/>
              </w:tabs>
              <w:spacing w:before="100" w:line="360" w:lineRule="auto"/>
              <w:ind/>
              <w:jc w:val="right"/>
              <w:rPr>
                <w:rStyle w:val="1029"/>
                <w:rFonts w:ascii="Times New Roman" w:hAnsi="Times New Roman"/>
                <w:i/>
                <w:color w:val="auto"/>
              </w:rPr>
            </w:pPr>
            <w:r>
              <w:rPr>
                <w:rFonts w:ascii="Times New Roman" w:hAnsi="Times New Roman"/>
                <w:i/>
                <w:color w:val="auto"/>
              </w:rPr>
            </w:r>
            <w:r>
              <w:rPr>
                <w:rStyle w:val="1029"/>
                <w:rFonts w:ascii="Times New Roman" w:hAnsi="Times New Roman"/>
                <w:i/>
                <w:color w:val="auto"/>
              </w:rPr>
            </w:r>
            <w:r>
              <w:rPr>
                <w:rStyle w:val="1029"/>
                <w:rFonts w:ascii="Times New Roman" w:hAnsi="Times New Roman"/>
                <w:i/>
                <w:color w:val="auto"/>
              </w:rPr>
            </w:r>
          </w:p>
          <w:p>
            <w:pPr>
              <w:pStyle w:val="1030"/>
              <w:pBdr/>
              <w:tabs>
                <w:tab w:val="left" w:leader="none" w:pos="5103"/>
              </w:tabs>
              <w:spacing w:before="100" w:line="360" w:lineRule="auto"/>
              <w:ind/>
              <w:jc w:val="right"/>
              <w:rPr>
                <w:i/>
                <w:iCs/>
                <w:sz w:val="24"/>
                <w:szCs w:val="24"/>
              </w:rPr>
            </w:pPr>
            <w:r>
              <w:rPr>
                <w:rStyle w:val="1029"/>
                <w:rFonts w:ascii="Times New Roman" w:hAnsi="Times New Roman"/>
                <w:i/>
                <w:color w:val="auto"/>
              </w:rPr>
            </w:r>
            <w:r>
              <w:rPr>
                <w:rFonts w:ascii="Times New Roman" w:hAnsi="Times New Roman" w:eastAsia="Times New Roman" w:cs="Times New Roman"/>
                <w:i/>
                <w:color w:val="000000"/>
                <w:sz w:val="24"/>
              </w:rPr>
              <w:t xml:space="preserve">TP. Hà Nội, ngày 27 tháng 11 năm 2025</w:t>
            </w:r>
            <w:r>
              <w:rPr>
                <w:rStyle w:val="1029"/>
                <w:rFonts w:ascii="Times New Roman" w:hAnsi="Times New Roman"/>
                <w:i/>
                <w:color w:val="auto"/>
                <w:lang w:val="vi-VN"/>
              </w:rPr>
              <w:t xml:space="preserve">   </w:t>
            </w:r>
            <w:r>
              <w:rPr>
                <w:rStyle w:val="1029"/>
                <w:rFonts w:ascii="Times New Roman" w:hAnsi="Times New Roman"/>
                <w:i/>
                <w:color w:val="auto"/>
                <w:lang w:val="vi-VN"/>
              </w:rPr>
              <w:t xml:space="preserve">  </w:t>
            </w:r>
            <w:r>
              <w:rPr>
                <w:i/>
                <w:iCs/>
                <w:sz w:val="24"/>
                <w:szCs w:val="24"/>
              </w:rPr>
            </w:r>
            <w:r>
              <w:rPr>
                <w:i/>
                <w:iCs/>
                <w:sz w:val="24"/>
                <w:szCs w:val="24"/>
              </w:rPr>
            </w:r>
          </w:p>
        </w:tc>
      </w:tr>
    </w:tbl>
    <w:p>
      <w:pPr>
        <w:pStyle w:val="1030"/>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pPr>
        <w:pStyle w:val="1010"/>
        <w:pBdr/>
        <w:tabs>
          <w:tab w:val="left" w:leader="none" w:pos="0"/>
          <w:tab w:val="left" w:leader="none" w:pos="4820"/>
        </w:tabs>
        <w:spacing w:after="200" w:before="100" w:line="340" w:lineRule="atLeast"/>
        <w:ind w:hanging="180"/>
        <w:rPr>
          <w:b w:val="0"/>
          <w:bCs/>
          <w:i/>
          <w:spacing w:val="-6"/>
          <w:sz w:val="24"/>
          <w:szCs w:val="24"/>
        </w:rPr>
      </w:pPr>
      <w:r>
        <w:rPr>
          <w:b w:val="0"/>
          <w:i/>
          <w:iCs/>
          <w:spacing w:val="-6"/>
          <w:sz w:val="24"/>
          <w:szCs w:val="24"/>
          <w:lang w:val="pt-BR"/>
        </w:rPr>
        <w:t xml:space="preserve">(Kèm t</w:t>
      </w:r>
      <w:r>
        <w:rPr>
          <w:b w:val="0"/>
          <w:i/>
          <w:iCs/>
          <w:spacing w:val="-6"/>
          <w:sz w:val="24"/>
          <w:szCs w:val="24"/>
          <w:lang w:val="pt-BR"/>
        </w:rPr>
        <w:t xml:space="preserve">heo Chứng thư thẩm định giá số:</w:t>
      </w:r>
      <w:r>
        <w:rPr>
          <w:rFonts w:ascii="Times New Roman" w:hAnsi="Times New Roman" w:eastAsia="Times New Roman" w:cs="Times New Roman"/>
          <w:i/>
          <w:iCs/>
          <w:color w:val="000000"/>
          <w:sz w:val="24"/>
        </w:rPr>
        <w:t xml:space="preserve"> </w:t>
      </w:r>
      <w:r>
        <w:rPr>
          <w:rFonts w:ascii="Times New Roman" w:hAnsi="Times New Roman" w:eastAsia="Times New Roman" w:cs="Times New Roman"/>
          <w:b w:val="0"/>
          <w:bCs w:val="0"/>
          <w:i/>
          <w:iCs/>
          <w:color w:val="000000"/>
          <w:sz w:val="24"/>
        </w:rPr>
        <w:t xml:space="preserve">275/2025/1682/VFI-BC.53.A</w:t>
      </w:r>
      <w:r>
        <w:rPr>
          <w:b w:val="0"/>
          <w:bCs w:val="0"/>
          <w:i/>
          <w:iCs/>
          <w:color w:val="000000" w:themeColor="text1"/>
          <w:spacing w:val="-6"/>
          <w:sz w:val="24"/>
          <w:szCs w:val="24"/>
          <w:lang w:val="pt-BR"/>
        </w:rPr>
        <w:t xml:space="preserve"> ngày 27 tháng 11 năm 2025</w:t>
      </w:r>
      <w:r>
        <w:rPr>
          <w:b w:val="0"/>
          <w:bCs/>
          <w:i/>
          <w:spacing w:val="-6"/>
          <w:sz w:val="24"/>
          <w:szCs w:val="24"/>
        </w:rPr>
      </w:r>
      <w:r>
        <w:rPr>
          <w:b w:val="0"/>
          <w:bCs/>
          <w:i/>
          <w:spacing w:val="-6"/>
          <w:sz w:val="24"/>
          <w:szCs w:val="24"/>
        </w:rPr>
      </w:r>
    </w:p>
    <w:p>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BT5-23 Khu đô Thị mới Văn Phú, Phường Kiến Hưng, Thành phố Hà Nội, Việt Nam</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tabs>
                <w:tab w:val="left" w:leader="none" w:pos="1556"/>
              </w:tabs>
              <w:spacing w:after="60" w:before="60" w:line="276" w:lineRule="auto"/>
              <w:ind/>
              <w:rPr>
                <w:bCs/>
              </w:rPr>
            </w:pPr>
            <w:r>
              <w:rPr>
                <w:bCs/>
              </w:rPr>
            </w:r>
            <w:r>
              <w:rPr>
                <w:rFonts w:ascii="Times New Roman" w:hAnsi="Times New Roman" w:eastAsia="Times New Roman" w:cs="Times New Roman"/>
                <w:color w:val="000000"/>
                <w:sz w:val="24"/>
              </w:rPr>
              <w:t xml:space="preserve">Số 275/TĐG của Bộ Tài Chính cấp lần đầu ngày 22/01/2018, cấp lại lần thứ 6 ngày 01/8/2024</w:t>
            </w:r>
            <w:r>
              <w:rPr>
                <w:bCs/>
              </w:rPr>
              <w:tab/>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w:t>
            </w:r>
            <w:r>
              <w:rPr>
                <w:b/>
                <w:bCs/>
                <w:lang w:val="vi-VN"/>
              </w:rPr>
            </w:r>
            <w:r>
              <w:rPr>
                <w:b/>
                <w:bCs/>
                <w:lang w:val="vi-VN"/>
              </w:rPr>
            </w:r>
          </w:p>
        </w:tc>
      </w:tr>
    </w:tbl>
    <w:p>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VŨ KIM NGỌC </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64" w:lineRule="auto"/>
              <w:ind w:right="0" w:firstLine="0" w:left="0"/>
              <w:jc w:val="both"/>
              <w:rPr/>
            </w:pPr>
            <w:r>
              <w:rPr>
                <w:rFonts w:ascii="Times New Roman" w:hAnsi="Times New Roman" w:eastAsia="Times New Roman" w:cs="Times New Roman"/>
                <w:color w:val="000000"/>
                <w:sz w:val="24"/>
              </w:rPr>
              <w:t xml:space="preserve">011604003</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z w:val="24"/>
              </w:rPr>
              <w:t xml:space="preserve">Quyền sử dụng đất và tài sản gắn liền với đất tại thửa đất số: 25-15;25-28, tờ bản đồ số: 38 có địa chỉ: Số 38 ngách 158/124 phố Ngọc Hà, Phường Ngọc Hà- Quận Ba Đình- Hà Nội (Nay là Phường Ba Đình, Thành phố Hà Nội) theo Giấy chứng nhận quyền sử dụng đất </w:t>
            </w:r>
            <w:r>
              <w:rPr>
                <w:rFonts w:ascii="Times New Roman" w:hAnsi="Times New Roman" w:eastAsia="Times New Roman" w:cs="Times New Roman"/>
                <w:color w:val="000000"/>
                <w:sz w:val="24"/>
              </w:rPr>
              <w:t xml:space="preserve"> số: AE 752565, số vào sổ cấp GCN: H.1558/2007/QĐUB do Uỷ ban Nhân dân quận Ba Đình cấp ngày 3/07/2007 cho Ông Vũ Kim Ngọc và Bà Bùi Thị Hân.</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11/2025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Ba Đình,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21.03825, 105.82594444444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11/2025</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1"/>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1"/>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1"/>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1"/>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1"/>
        <w:pBdr/>
        <w:tabs>
          <w:tab w:val="left" w:leader="none" w:pos="993"/>
        </w:tabs>
        <w:spacing w:after="120" w:before="120" w:line="276" w:lineRule="auto"/>
        <w:ind w:left="0"/>
        <w:jc w:val="both"/>
        <w:rPr>
          <w:b/>
          <w:bCs/>
          <w:highlight w:val="none"/>
          <w:lang w:val="pt-BR"/>
        </w:rPr>
      </w:pPr>
      <w:r>
        <w:rPr>
          <w:b/>
          <w:lang w:val="pt-BR"/>
        </w:rPr>
        <w:t xml:space="preserve">a. </w:t>
      </w:r>
      <w:r>
        <w:rPr>
          <w:b/>
          <w:lang w:val="pt-BR"/>
        </w:rPr>
        <w:t xml:space="preserve">Hồ sơ pháp lý của tài sản</w:t>
      </w:r>
      <w:r>
        <w:rPr>
          <w:b/>
          <w:lang w:val="pt-BR"/>
        </w:rPr>
        <w:t xml:space="preserve">: </w:t>
      </w:r>
      <w:r>
        <w:rPr>
          <w:b/>
          <w:bCs/>
          <w:highlight w:val="none"/>
          <w:lang w:val="pt-BR"/>
        </w:rPr>
      </w:r>
      <w:r>
        <w:rPr>
          <w:b/>
          <w:bCs/>
          <w:highlight w:val="none"/>
          <w:lang w:val="pt-BR"/>
        </w:rPr>
      </w:r>
    </w:p>
    <w:p>
      <w:pPr>
        <w:pStyle w:val="1031"/>
        <w:pBdr/>
        <w:tabs>
          <w:tab w:val="left" w:leader="none" w:pos="993"/>
        </w:tabs>
        <w:spacing w:after="120" w:before="120" w:line="276" w:lineRule="auto"/>
        <w:ind w:left="0"/>
        <w:jc w:val="both"/>
        <w:rPr>
          <w:b/>
          <w:bCs/>
          <w:lang w:val="pt-BR"/>
        </w:rPr>
      </w:pPr>
      <w:r>
        <w:rPr>
          <w:b/>
          <w:highlight w:val="none"/>
          <w:lang w:val="pt-BR" w:bidi="pt-BR"/>
        </w:rPr>
      </w:r>
      <w:r>
        <w:rPr>
          <w:rFonts w:ascii="Times New Roman" w:hAnsi="Times New Roman" w:eastAsia="Times New Roman" w:cs="Times New Roman"/>
          <w:color w:val="000000"/>
          <w:sz w:val="24"/>
        </w:rPr>
        <w:t xml:space="preserve">Giấy chứng nhận quyền sử dụng đất  số: AE 752565, số vào sổ cấp GCN: H.1558/2007/QĐUB do Uỷ ban Nhân dân quận Ba Đình cấp ngày 3/07/2007 cho Ông Vũ Kim Ngọc và Bà Bùi Thị Hân.</w:t>
        <w:tab/>
      </w:r>
      <w:r>
        <w:rPr>
          <w:b/>
          <w:bCs/>
          <w:lang w:val="pt-BR"/>
        </w:rPr>
      </w:r>
      <w:r>
        <w:rPr>
          <w:b/>
          <w:b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rFonts w:ascii="Times New Roman" w:hAnsi="Times New Roman" w:eastAsia="Times New Roman" w:cs="Times New Roman"/>
          <w:color w:val="000000"/>
          <w:sz w:val="24"/>
        </w:rPr>
        <w:t xml:space="preserve">275/2025/1682/VFI-BC.53.A </w:t>
      </w:r>
      <w:r>
        <w:rPr>
          <w:color w:val="000000" w:themeColor="text1"/>
          <w:lang w:val="pt-BR"/>
        </w:rPr>
        <w:t xml:space="preserve"> ngày 25/11/2025 giữa Ông Vũ Kim Ngọc  với Công ty Cổ phần Thẩm định và Đầu tư Tài chính Hoa Sen.</w:t>
      </w:r>
      <w:r>
        <w:rPr>
          <w:b/>
          <w:lang w:val="pt-BR"/>
        </w:rPr>
      </w:r>
      <w:r>
        <w:rPr>
          <w:b/>
          <w:lang w:val="pt-BR"/>
        </w:rPr>
      </w:r>
    </w:p>
    <w:p>
      <w:pPr>
        <w:pStyle w:val="1031"/>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720" w:left="0"/>
        <w:jc w:val="both"/>
        <w:rPr/>
      </w:pPr>
      <w:r>
        <w:rPr>
          <w:rFonts w:ascii="Times New Roman" w:hAnsi="Times New Roman" w:eastAsia="Times New Roman" w:cs="Times New Roman"/>
          <w:color w:val="000000"/>
          <w:sz w:val="24"/>
        </w:rPr>
        <w:t xml:space="preserve">Sau khi thực hiện Nghị quyết của Ủy ban Thường vụ Quốc hội về sắp xếp các đơn vị hành chính cấp xã, quận Ba Đình – trái tim chính trị của Thủ đô đã có sự điều chỉnh đáng kể về mặt hành chính. Những thay đổi này không chỉ tác động đến bộ máy quản lý mà còn </w:t>
      </w:r>
      <w:r>
        <w:rPr>
          <w:rFonts w:ascii="Times New Roman" w:hAnsi="Times New Roman" w:eastAsia="Times New Roman" w:cs="Times New Roman"/>
          <w:color w:val="000000"/>
          <w:sz w:val="24"/>
        </w:rPr>
        <w:t xml:space="preserve">ảnh hưởng đến đời sống người dân, hạ tầng đô thị cũng như giá trị bất động sản. </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720" w:left="0"/>
        <w:jc w:val="both"/>
        <w:rPr/>
      </w:pPr>
      <w:r>
        <w:rPr>
          <w:rFonts w:ascii="Times New Roman" w:hAnsi="Times New Roman" w:eastAsia="Times New Roman" w:cs="Times New Roman"/>
          <w:color w:val="000000"/>
          <w:sz w:val="24"/>
        </w:rPr>
        <w:t xml:space="preserve">Trong giai đoạn đến năm 2030, công tác quy hoạch quận Ba Đình tập trung triển khai các dự án hạ tầng giao thông trọng điểm nhằm cải thiện kết nối và giảm thiểu ùn tắc. Một trong những dự án quan trọng là đường Vành đai 1, đoạn Hoàng Cầu - Voi Phục có tổng </w:t>
      </w:r>
      <w:r>
        <w:rPr>
          <w:rFonts w:ascii="Times New Roman" w:hAnsi="Times New Roman" w:eastAsia="Times New Roman" w:cs="Times New Roman"/>
          <w:color w:val="000000"/>
          <w:sz w:val="24"/>
        </w:rPr>
        <w:t xml:space="preserve">chiều dài 2,3km và tổng mức đầu tư cho giai đoạn 1 là hơn 7.000 tỷ đồng, với chi phí giải phóng mặt bằng gần 6.000 tỷ đồng. </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720" w:left="0"/>
        <w:jc w:val="both"/>
        <w:rPr/>
      </w:pPr>
      <w:r>
        <w:rPr>
          <w:rFonts w:ascii="Times New Roman" w:hAnsi="Times New Roman" w:eastAsia="Times New Roman" w:cs="Times New Roman"/>
          <w:color w:val="000000"/>
          <w:sz w:val="24"/>
        </w:rPr>
        <w:t xml:space="preserve">Ngoài ra, quận cũng đang đẩy mạnh việc hoàn thiện khung hạ tầng giao thông, mở rộng, cải tạo một số tuyến đường nhằm nâng cao chất lượng giao thông đô thị.</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720" w:left="0"/>
        <w:jc w:val="both"/>
        <w:rPr/>
      </w:pPr>
      <w:r>
        <w:rPr>
          <w:rFonts w:ascii="Times New Roman" w:hAnsi="Times New Roman" w:eastAsia="Times New Roman" w:cs="Times New Roman"/>
          <w:color w:val="000000"/>
          <w:sz w:val="24"/>
        </w:rPr>
        <w:t xml:space="preserve">Một số khu vực tại quận Ba Đình trong năm 2025 ghi nhận sự gia tăng đáng kể về giao dịch và quan tâm của người mua. Đặc biệt, khu vực phường Ngọc Khánh đang trở thành điểm nóng với dự án quy hoạch khu chung cư mới rộng 24,08ha, dự kiến sẽ cung cấp thêm nhi</w:t>
      </w:r>
      <w:r>
        <w:rPr>
          <w:rFonts w:ascii="Times New Roman" w:hAnsi="Times New Roman" w:eastAsia="Times New Roman" w:cs="Times New Roman"/>
          <w:color w:val="000000"/>
          <w:sz w:val="24"/>
        </w:rPr>
        <w:t xml:space="preserve">ều căn hộ cao tầng và công viên cây xanh, đáp ứng nhu cầu nhà ở ngày càng tăng </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720" w:left="0"/>
        <w:jc w:val="both"/>
        <w:rPr/>
      </w:pPr>
      <w:r>
        <w:rPr>
          <w:rFonts w:ascii="Times New Roman" w:hAnsi="Times New Roman" w:eastAsia="Times New Roman" w:cs="Times New Roman"/>
          <w:color w:val="000000"/>
          <w:sz w:val="24"/>
        </w:rPr>
        <w:t xml:space="preserve">Việc công bố Kế hoạch sử dụng đất năm 2025 và quy hoạch quận Ba Đình đến năm 2030 mở ra nhiều cơ hội cho nhà đầu tư, đặc biệt là trong việc đầu tư vào các dự án hạ tầng và khu đô thị mới, có tiềm năng tăng giá cao.</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720" w:left="0"/>
        <w:jc w:val="both"/>
        <w:rPr/>
      </w:pPr>
      <w:r>
        <w:rPr>
          <w:rFonts w:ascii="Times New Roman" w:hAnsi="Times New Roman" w:eastAsia="Times New Roman" w:cs="Times New Roman"/>
          <w:color w:val="000000"/>
          <w:sz w:val="24"/>
        </w:rPr>
        <w:t xml:space="preserve">Tuy nhiên, các chuyên gia cảnh báo rằng, năm 2025 sẽ là một năm nhạy cảm của thị trường bất động sản, do đó nhà đầu tư không có cơ hội để "ăn xổi". Xu hướng tăng giá nhanh trong năm 2025 gần như không thể xảy ra nên sẽ có một bộ phận tìm cách "thoát hàng".</w:t>
      </w:r>
      <w:r>
        <w:rPr>
          <w:rFonts w:ascii="Times New Roman" w:hAnsi="Times New Roman" w:eastAsia="Times New Roman" w:cs="Times New Roman"/>
          <w:color w:val="000000"/>
          <w:sz w:val="24"/>
        </w:rPr>
        <w:t xml:space="preserve">.</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60" w:lineRule="auto"/>
        <w:ind w:right="0" w:firstLine="0" w:left="0"/>
        <w:jc w:val="both"/>
        <w:rPr/>
      </w:pPr>
      <w:r>
        <w:rPr>
          <w:rFonts w:ascii="Times New Roman" w:hAnsi="Times New Roman" w:eastAsia="Times New Roman" w:cs="Times New Roman"/>
          <w:color w:val="000000"/>
          <w:sz w:val="24"/>
        </w:rPr>
        <w:t xml:space="preserve">          Việc sắp xếp lại đơn vị hành chính tại quận Ba Đình không chỉ thay đổi về địa giới và quản lý hành chính mà còn đặt nền móng cho sự phát triển kinh tế, văn hóa, xã hội, bất động sản. Trong bối cảnh này, người dân, nhà đầu tư và doanh nghiệp cần c</w:t>
      </w:r>
      <w:r>
        <w:rPr>
          <w:rFonts w:ascii="Times New Roman" w:hAnsi="Times New Roman" w:eastAsia="Times New Roman" w:cs="Times New Roman"/>
          <w:color w:val="000000"/>
          <w:sz w:val="24"/>
        </w:rPr>
        <w:t xml:space="preserve">hủ động cập nhật những thông tin mới nhất về quy hoạch quận Ba Đình để kịp thời nắm bắt cơ hội và xây dựng kế hoạch phù hợp với xu hướng phát triển của khu vực. </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60" w:lineRule="auto"/>
        <w:ind w:right="0" w:firstLine="0" w:left="0"/>
        <w:jc w:val="both"/>
        <w:rPr/>
      </w:pPr>
      <w:r>
        <w:rPr>
          <w:rFonts w:ascii="Times New Roman" w:hAnsi="Times New Roman" w:eastAsia="Times New Roman" w:cs="Times New Roman"/>
          <w:i/>
          <w:color w:val="000000"/>
          <w:sz w:val="24"/>
        </w:rPr>
        <w:t xml:space="preserve">(Nguồn tham khảo: </w:t>
      </w:r>
      <w:hyperlink r:id="rId15" w:tooltip="https://onehousing.vn/blog/quy-hoach-quan-ba-dinh-ha-noi-sau-khi-sap-xep-lai-don-vi-hanh-chinh-n17t" w:history="1">
        <w:r>
          <w:rPr>
            <w:rStyle w:val="1021"/>
            <w:rFonts w:ascii="Times New Roman" w:hAnsi="Times New Roman" w:eastAsia="Times New Roman" w:cs="Times New Roman"/>
            <w:i/>
            <w:color w:val="000000"/>
            <w:sz w:val="24"/>
            <w:u w:val="none"/>
          </w:rPr>
          <w:t xml:space="preserve">https://onehousing.vn/blog/quy-hoach-quan-ba-dinh-ha-noi-sau-khi-sap-xep-lai-don-vi-hanh-chinh-n17t</w:t>
        </w:r>
      </w:hyperlink>
      <w:r>
        <w:rPr>
          <w:rFonts w:ascii="Times New Roman" w:hAnsi="Times New Roman" w:eastAsia="Times New Roman" w:cs="Times New Roman"/>
          <w:i/>
          <w:color w:val="000000"/>
          <w:sz w:val="24"/>
        </w:rPr>
        <w:t xml:space="preserve">)</w:t>
      </w:r>
      <w:r/>
    </w:p>
    <w:p>
      <w:pPr>
        <w:pBdr/>
        <w:tabs>
          <w:tab w:val="left" w:leader="none" w:pos="426"/>
        </w:tabs>
        <w:spacing w:after="120" w:before="120" w:line="276" w:lineRule="auto"/>
        <w:ind/>
        <w:rPr>
          <w:i/>
          <w:iCs/>
          <w:lang w:val="pt-BR"/>
        </w:rPr>
      </w:pPr>
      <w:r>
        <w:rPr>
          <w:shd w:val="clear" w:color="auto" w:fill="ffffff"/>
        </w:rPr>
      </w:r>
      <w:r>
        <w:rPr>
          <w:i/>
          <w:iCs/>
          <w:lang w:val="pt-BR"/>
        </w:rPr>
      </w:r>
      <w:r>
        <w:rPr>
          <w:i/>
          <w:iCs/>
          <w:lang w:val="pt-BR"/>
        </w:rPr>
      </w:r>
    </w:p>
    <w:p>
      <w:pPr>
        <w:pStyle w:val="103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96"/>
        <w:gridCol w:w="2318"/>
        <w:gridCol w:w="2329"/>
        <w:gridCol w:w="2607"/>
        <w:gridCol w:w="1465"/>
      </w:tblGrid>
      <w:tr>
        <w:trPr>
          <w:trHeight w:val="1692"/>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71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25-15;25-28, tờ bản đồ số: 38 có địa chỉ: Số 38 ngách 158/124 phố Ngọc Hà, Phường Ngọc Hà- Quận Ba Đình- Hà Nội ( Nay là Phường Ba Đình, Thành phố Hà Nội) theo Giấy chứng nhận quyền sử dụng đất</w:t>
            </w:r>
            <w:r>
              <w:rPr>
                <w:rFonts w:ascii="Times New Roman" w:hAnsi="Times New Roman" w:eastAsia="Times New Roman" w:cs="Times New Roman"/>
                <w:b/>
                <w:color w:val="000000"/>
                <w:sz w:val="24"/>
              </w:rPr>
              <w:t xml:space="preserve">  số: AE 752565, số vào sổ cấp GCN: H.1558/2007/QĐUB do Uỷ ban Nhân dân quận Ba Đình cấp ngày 3/07/2007 cho Ông Vũ Kim Ngọc và Bà Bùi Thị Hân</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7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1.1</w:t>
            </w:r>
            <w:r/>
          </w:p>
        </w:tc>
        <w:tc>
          <w:tcPr>
            <w:gridSpan w:val="4"/>
            <w:tcBorders>
              <w:bottom w:val="single" w:color="000000" w:sz="8" w:space="0"/>
              <w:right w:val="single" w:color="000000" w:sz="8" w:space="0"/>
            </w:tcBorders>
            <w:tcMar>
              <w:left w:w="108" w:type="dxa"/>
              <w:top w:w="0" w:type="dxa"/>
              <w:right w:w="108" w:type="dxa"/>
              <w:bottom w:w="0" w:type="dxa"/>
            </w:tcMar>
            <w:tcW w:w="87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Thửa đất: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3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25-15;25-28</w:t>
            </w:r>
            <w:r/>
          </w:p>
        </w:tc>
        <w:tc>
          <w:tcPr>
            <w:tcBorders>
              <w:bottom w:val="single" w:color="000000" w:sz="8" w:space="0"/>
              <w:right w:val="single" w:color="000000" w:sz="8" w:space="0"/>
            </w:tcBorders>
            <w:tcMar>
              <w:left w:w="108" w:type="dxa"/>
              <w:top w:w="0" w:type="dxa"/>
              <w:right w:w="108" w:type="dxa"/>
              <w:bottom w:w="0" w:type="dxa"/>
            </w:tcMar>
            <w:tcW w:w="26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1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38</w:t>
            </w:r>
            <w:r/>
          </w:p>
        </w:tc>
      </w:tr>
      <w:tr>
        <w:trPr>
          <w:trHeight w:val="948"/>
        </w:trPr>
        <w:tc>
          <w:tcPr>
            <w:tcBorders>
              <w:left w:val="single" w:color="000000" w:sz="8" w:space="0"/>
              <w:bottom w:val="single" w:color="000000" w:sz="8" w:space="0"/>
              <w:right w:val="single" w:color="000000" w:sz="8" w:space="0"/>
            </w:tcBorders>
            <w:tcMar>
              <w:left w:w="108" w:type="dxa"/>
              <w:top w:w="0" w:type="dxa"/>
              <w:right w:w="108" w:type="dxa"/>
              <w:bottom w:w="0" w:type="dxa"/>
            </w:tcMar>
            <w:tcW w:w="7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4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38 ngách 158/124 phố Ngọc Hà, Phường Ngọc Hà- Quận Ba Đình- Hà Nội (Nay là Phường Ba Đình, Thành phố Hà Nội)</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3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20,6 </w:t>
            </w:r>
            <w:r/>
          </w:p>
        </w:tc>
        <w:tc>
          <w:tcPr>
            <w:tcBorders>
              <w:bottom w:val="single" w:color="000000" w:sz="8" w:space="0"/>
              <w:right w:val="single" w:color="000000" w:sz="8" w:space="0"/>
            </w:tcBorders>
            <w:tcMar>
              <w:left w:w="108" w:type="dxa"/>
              <w:top w:w="0" w:type="dxa"/>
              <w:right w:w="108" w:type="dxa"/>
              <w:bottom w:w="0" w:type="dxa"/>
            </w:tcMar>
            <w:tcW w:w="26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1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Sử dụng riêng</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3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Đất ở tại đô thị </w:t>
            </w:r>
            <w:r/>
          </w:p>
        </w:tc>
        <w:tc>
          <w:tcPr>
            <w:tcBorders>
              <w:bottom w:val="single" w:color="000000" w:sz="8" w:space="0"/>
              <w:right w:val="single" w:color="000000" w:sz="8" w:space="0"/>
            </w:tcBorders>
            <w:tcMar>
              <w:left w:w="108" w:type="dxa"/>
              <w:top w:w="0" w:type="dxa"/>
              <w:right w:w="108" w:type="dxa"/>
              <w:bottom w:w="0" w:type="dxa"/>
            </w:tcMar>
            <w:tcW w:w="26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1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Lâu dài </w:t>
            </w:r>
            <w:r/>
          </w:p>
        </w:tc>
      </w:tr>
      <w:tr>
        <w:trPr>
          <w:trHeight w:val="612"/>
        </w:trPr>
        <w:tc>
          <w:tcPr>
            <w:tcBorders>
              <w:left w:val="single" w:color="000000" w:sz="8" w:space="0"/>
              <w:bottom w:val="single" w:color="000000" w:sz="8" w:space="0"/>
              <w:right w:val="single" w:color="000000" w:sz="8" w:space="0"/>
            </w:tcBorders>
            <w:tcMar>
              <w:left w:w="108" w:type="dxa"/>
              <w:top w:w="0" w:type="dxa"/>
              <w:right w:w="108" w:type="dxa"/>
              <w:bottom w:w="0" w:type="dxa"/>
            </w:tcMar>
            <w:tcW w:w="7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4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Nhà nước công nhận quyền sử dụng đất </w:t>
            </w:r>
            <w:r/>
          </w:p>
        </w:tc>
      </w:tr>
      <w:tr>
        <w:trPr>
          <w:trHeight w:val="468"/>
        </w:trPr>
        <w:tc>
          <w:tcPr>
            <w:tcBorders>
              <w:left w:val="single" w:color="000000" w:sz="8" w:space="0"/>
              <w:bottom w:val="single" w:color="000000" w:sz="8" w:space="0"/>
              <w:right w:val="single" w:color="000000" w:sz="8" w:space="0"/>
            </w:tcBorders>
            <w:tcMar>
              <w:left w:w="108" w:type="dxa"/>
              <w:top w:w="0" w:type="dxa"/>
              <w:right w:w="108" w:type="dxa"/>
              <w:bottom w:w="0" w:type="dxa"/>
            </w:tcMar>
            <w:tcW w:w="7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7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7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648"/>
        </w:trPr>
        <w:tc>
          <w:tcPr>
            <w:tcBorders>
              <w:left w:val="single" w:color="000000" w:sz="8" w:space="0"/>
              <w:bottom w:val="single" w:color="000000" w:sz="8" w:space="0"/>
              <w:right w:val="single" w:color="000000" w:sz="8" w:space="0"/>
            </w:tcBorders>
            <w:tcMar>
              <w:left w:w="108" w:type="dxa"/>
              <w:top w:w="0" w:type="dxa"/>
              <w:right w:w="108" w:type="dxa"/>
              <w:bottom w:w="0" w:type="dxa"/>
            </w:tcMar>
            <w:tcW w:w="7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4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38 ngách 158/124 phố Ngọc Hà, Phường Ngọc Hà- Quận Ba Đình- Hà Nội ( Nay là Phường Ba Đình, Thành phố Hà Nội)</w:t>
            </w:r>
            <w:r/>
          </w:p>
        </w:tc>
      </w:tr>
      <w:tr>
        <w:trPr>
          <w:trHeight w:val="360"/>
        </w:trPr>
        <w:tc>
          <w:tcPr>
            <w:tcBorders>
              <w:left w:val="single" w:color="000000" w:sz="8" w:space="0"/>
              <w:bottom w:val="single" w:color="000000" w:sz="8" w:space="0"/>
              <w:right w:val="single" w:color="000000" w:sz="8" w:space="0"/>
            </w:tcBorders>
            <w:tcMar>
              <w:left w:w="108" w:type="dxa"/>
              <w:top w:w="0" w:type="dxa"/>
              <w:right w:w="108" w:type="dxa"/>
              <w:bottom w:w="0" w:type="dxa"/>
            </w:tcMar>
            <w:tcW w:w="7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2,1,1</w:t>
            </w:r>
            <w:r/>
          </w:p>
        </w:tc>
        <w:tc>
          <w:tcPr>
            <w:tcBorders>
              <w:bottom w:val="single" w:color="000000" w:sz="8" w:space="0"/>
              <w:right w:val="single" w:color="000000" w:sz="8" w:space="0"/>
            </w:tcBorders>
            <w:tcMar>
              <w:left w:w="108" w:type="dxa"/>
              <w:top w:w="0" w:type="dxa"/>
              <w:right w:w="108" w:type="dxa"/>
              <w:bottom w:w="0" w:type="dxa"/>
            </w:tcMar>
            <w:tcW w:w="23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 25-15</w:t>
            </w:r>
            <w:r/>
          </w:p>
        </w:tc>
        <w:tc>
          <w:tcPr>
            <w:gridSpan w:val="3"/>
            <w:tcBorders>
              <w:bottom w:val="single" w:color="000000" w:sz="8" w:space="0"/>
              <w:right w:val="single" w:color="000000" w:sz="8" w:space="0"/>
            </w:tcBorders>
            <w:tcMar>
              <w:left w:w="108" w:type="dxa"/>
              <w:top w:w="0" w:type="dxa"/>
              <w:right w:w="108" w:type="dxa"/>
              <w:bottom w:w="0" w:type="dxa"/>
            </w:tcMar>
            <w:tcW w:w="64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3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bê tông </w:t>
            </w:r>
            <w:r/>
          </w:p>
        </w:tc>
        <w:tc>
          <w:tcPr>
            <w:tcBorders>
              <w:bottom w:val="single" w:color="000000" w:sz="8" w:space="0"/>
              <w:right w:val="single" w:color="000000" w:sz="8" w:space="0"/>
            </w:tcBorders>
            <w:tcMar>
              <w:left w:w="108" w:type="dxa"/>
              <w:top w:w="0" w:type="dxa"/>
              <w:right w:w="108" w:type="dxa"/>
              <w:bottom w:w="0" w:type="dxa"/>
            </w:tcMar>
            <w:tcW w:w="26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14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1 mặt tiền</w:t>
            </w:r>
            <w:r/>
          </w:p>
        </w:tc>
      </w:tr>
      <w:tr>
        <w:trPr>
          <w:trHeight w:val="1470"/>
        </w:trPr>
        <w:tc>
          <w:tcPr>
            <w:tcBorders>
              <w:left w:val="single" w:color="000000" w:sz="8" w:space="0"/>
              <w:bottom w:val="single" w:color="000000" w:sz="8" w:space="0"/>
              <w:right w:val="single" w:color="000000" w:sz="8" w:space="0"/>
            </w:tcBorders>
            <w:tcMar>
              <w:left w:w="108" w:type="dxa"/>
              <w:top w:w="0" w:type="dxa"/>
              <w:right w:w="108" w:type="dxa"/>
              <w:bottom w:w="0" w:type="dxa"/>
            </w:tcMar>
            <w:tcW w:w="7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23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1,5m</w:t>
            </w:r>
            <w:r/>
          </w:p>
        </w:tc>
        <w:tc>
          <w:tcPr>
            <w:tcBorders>
              <w:bottom w:val="single" w:color="000000" w:sz="8" w:space="0"/>
              <w:right w:val="single" w:color="000000" w:sz="8" w:space="0"/>
            </w:tcBorders>
            <w:tcMar>
              <w:left w:w="108" w:type="dxa"/>
              <w:top w:w="0" w:type="dxa"/>
              <w:right w:w="108" w:type="dxa"/>
              <w:bottom w:w="0" w:type="dxa"/>
            </w:tcMar>
            <w:tcW w:w="26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1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1,8m</w:t>
            </w:r>
            <w:r/>
          </w:p>
        </w:tc>
      </w:tr>
      <w:tr>
        <w:trPr>
          <w:trHeight w:val="480"/>
        </w:trPr>
        <w:tc>
          <w:tcPr>
            <w:tcBorders>
              <w:left w:val="single" w:color="000000" w:sz="8" w:space="0"/>
              <w:bottom w:val="single" w:color="000000" w:sz="8" w:space="0"/>
              <w:right w:val="single" w:color="000000" w:sz="8" w:space="0"/>
            </w:tcBorders>
            <w:tcMar>
              <w:left w:w="108" w:type="dxa"/>
              <w:top w:w="0" w:type="dxa"/>
              <w:right w:w="108" w:type="dxa"/>
              <w:bottom w:w="0" w:type="dxa"/>
            </w:tcMar>
            <w:tcW w:w="7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w:t>
            </w:r>
            <w:r/>
          </w:p>
        </w:tc>
        <w:tc>
          <w:tcPr>
            <w:gridSpan w:val="3"/>
            <w:tcBorders>
              <w:bottom w:val="single" w:color="000000" w:sz="8" w:space="0"/>
              <w:right w:val="single" w:color="000000" w:sz="8" w:space="0"/>
            </w:tcBorders>
            <w:tcMar>
              <w:left w:w="108" w:type="dxa"/>
              <w:top w:w="0" w:type="dxa"/>
              <w:right w:w="108" w:type="dxa"/>
              <w:bottom w:w="0" w:type="dxa"/>
            </w:tcMar>
            <w:tcW w:w="64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Tài sản nằm trong ngách 158/124 phố Ngọc Hà, cách đường Hoàng Hoa Thám khoảng 250m</w:t>
            </w:r>
            <w:r/>
          </w:p>
        </w:tc>
      </w:tr>
      <w:tr>
        <w:trPr>
          <w:trHeight w:val="660"/>
        </w:trPr>
        <w:tc>
          <w:tcPr>
            <w:tcBorders>
              <w:left w:val="single" w:color="000000" w:sz="8" w:space="0"/>
              <w:bottom w:val="single" w:color="000000" w:sz="8" w:space="0"/>
              <w:right w:val="single" w:color="000000" w:sz="8" w:space="0"/>
            </w:tcBorders>
            <w:tcMar>
              <w:left w:w="108" w:type="dxa"/>
              <w:top w:w="0" w:type="dxa"/>
              <w:right w:w="108" w:type="dxa"/>
              <w:bottom w:w="0" w:type="dxa"/>
            </w:tcMar>
            <w:tcW w:w="7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Giao thông:</w:t>
            </w:r>
            <w:r/>
          </w:p>
        </w:tc>
        <w:tc>
          <w:tcPr>
            <w:gridSpan w:val="3"/>
            <w:tcBorders>
              <w:bottom w:val="single" w:color="000000" w:sz="8" w:space="0"/>
              <w:right w:val="single" w:color="000000" w:sz="8" w:space="0"/>
            </w:tcBorders>
            <w:tcMar>
              <w:left w:w="108" w:type="dxa"/>
              <w:top w:w="0" w:type="dxa"/>
              <w:right w:w="108" w:type="dxa"/>
              <w:bottom w:w="0" w:type="dxa"/>
            </w:tcMar>
            <w:tcW w:w="64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Tài sản nằm tiếp giáp đường ngách, đọ rộng đường nhỏ nhất dẫn vào tài sản là 1,5m, trước mặt 1,8m</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trên bản đồ vệ tinh: 21.038041875120843, 105.82608827347052</w:t>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7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450"/>
        </w:trPr>
        <w:tc>
          <w:tcPr>
            <w:tcBorders>
              <w:left w:val="single" w:color="000000" w:sz="8" w:space="0"/>
              <w:bottom w:val="single" w:color="000000" w:sz="8" w:space="0"/>
              <w:right w:val="single" w:color="000000" w:sz="8" w:space="0"/>
            </w:tcBorders>
            <w:tcMar>
              <w:left w:w="108" w:type="dxa"/>
              <w:top w:w="0" w:type="dxa"/>
              <w:right w:w="108" w:type="dxa"/>
              <w:bottom w:w="0" w:type="dxa"/>
            </w:tcMar>
            <w:tcW w:w="7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7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450"/>
        </w:trPr>
        <w:tc>
          <w:tcPr>
            <w:tcBorders>
              <w:left w:val="single" w:color="000000" w:sz="8" w:space="0"/>
              <w:bottom w:val="single" w:color="000000" w:sz="8" w:space="0"/>
              <w:right w:val="single" w:color="000000" w:sz="8" w:space="0"/>
            </w:tcBorders>
            <w:tcMar>
              <w:left w:w="108" w:type="dxa"/>
              <w:top w:w="0" w:type="dxa"/>
              <w:right w:w="108" w:type="dxa"/>
              <w:bottom w:w="0" w:type="dxa"/>
            </w:tcMar>
            <w:tcW w:w="7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2,2,1</w:t>
            </w:r>
            <w:r/>
          </w:p>
        </w:tc>
        <w:tc>
          <w:tcPr>
            <w:gridSpan w:val="4"/>
            <w:tcBorders>
              <w:bottom w:val="single" w:color="000000" w:sz="8" w:space="0"/>
              <w:right w:val="single" w:color="000000" w:sz="8" w:space="0"/>
            </w:tcBorders>
            <w:tcMar>
              <w:left w:w="108" w:type="dxa"/>
              <w:top w:w="0" w:type="dxa"/>
              <w:right w:w="108" w:type="dxa"/>
              <w:bottom w:w="0" w:type="dxa"/>
            </w:tcMar>
            <w:tcW w:w="87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Thửa đất số 25-15</w:t>
            </w:r>
            <w:r/>
          </w:p>
        </w:tc>
      </w:tr>
      <w:tr>
        <w:trPr>
          <w:trHeight w:val="780"/>
        </w:trPr>
        <w:tc>
          <w:tcPr>
            <w:tcBorders>
              <w:left w:val="single" w:color="000000" w:sz="8" w:space="0"/>
              <w:bottom w:val="single" w:color="000000" w:sz="8" w:space="0"/>
              <w:right w:val="single" w:color="000000" w:sz="8" w:space="0"/>
            </w:tcBorders>
            <w:tcMar>
              <w:left w:w="108" w:type="dxa"/>
              <w:top w:w="0" w:type="dxa"/>
              <w:right w:w="108" w:type="dxa"/>
              <w:bottom w:w="0" w:type="dxa"/>
            </w:tcMar>
            <w:tcW w:w="7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23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8,0 </w:t>
            </w:r>
            <w:r/>
          </w:p>
        </w:tc>
        <w:tc>
          <w:tcPr>
            <w:tcBorders>
              <w:bottom w:val="single" w:color="000000" w:sz="8" w:space="0"/>
              <w:right w:val="single" w:color="000000" w:sz="8" w:space="0"/>
            </w:tcBorders>
            <w:tcMar>
              <w:left w:w="108" w:type="dxa"/>
              <w:top w:w="0" w:type="dxa"/>
              <w:right w:w="108" w:type="dxa"/>
              <w:bottom w:w="0" w:type="dxa"/>
            </w:tcMar>
            <w:tcW w:w="26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1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KT mặt tiền (m):</w:t>
            </w:r>
            <w:r/>
          </w:p>
        </w:tc>
        <w:tc>
          <w:tcPr>
            <w:tcBorders>
              <w:bottom w:val="single" w:color="000000" w:sz="8" w:space="0"/>
              <w:right w:val="single" w:color="000000" w:sz="8" w:space="0"/>
            </w:tcBorders>
            <w:tcMar>
              <w:left w:w="108" w:type="dxa"/>
              <w:top w:w="0" w:type="dxa"/>
              <w:right w:w="108" w:type="dxa"/>
              <w:bottom w:w="0" w:type="dxa"/>
            </w:tcMar>
            <w:tcW w:w="23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1,7m</w:t>
            </w:r>
            <w:r/>
          </w:p>
        </w:tc>
        <w:tc>
          <w:tcPr>
            <w:tcBorders>
              <w:bottom w:val="single" w:color="000000" w:sz="8" w:space="0"/>
              <w:right w:val="single" w:color="000000" w:sz="8" w:space="0"/>
            </w:tcBorders>
            <w:tcMar>
              <w:left w:w="108" w:type="dxa"/>
              <w:top w:w="0" w:type="dxa"/>
              <w:right w:w="108" w:type="dxa"/>
              <w:bottom w:w="0" w:type="dxa"/>
            </w:tcMar>
            <w:tcW w:w="26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w:t>
            </w:r>
            <w:r/>
          </w:p>
        </w:tc>
        <w:tc>
          <w:tcPr>
            <w:tcBorders>
              <w:bottom w:val="single" w:color="000000" w:sz="8" w:space="0"/>
              <w:right w:val="single" w:color="000000" w:sz="8" w:space="0"/>
            </w:tcBorders>
            <w:tcMar>
              <w:left w:w="108" w:type="dxa"/>
              <w:top w:w="0" w:type="dxa"/>
              <w:right w:w="108" w:type="dxa"/>
              <w:bottom w:w="0" w:type="dxa"/>
            </w:tcMar>
            <w:tcW w:w="1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4,71</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Hinh dáng</w:t>
            </w:r>
            <w:r/>
          </w:p>
        </w:tc>
        <w:tc>
          <w:tcPr>
            <w:tcBorders>
              <w:bottom w:val="single" w:color="000000" w:sz="8" w:space="0"/>
              <w:right w:val="single" w:color="000000" w:sz="8" w:space="0"/>
            </w:tcBorders>
            <w:tcMar>
              <w:left w:w="108" w:type="dxa"/>
              <w:top w:w="0" w:type="dxa"/>
              <w:right w:w="108" w:type="dxa"/>
              <w:bottom w:w="0" w:type="dxa"/>
            </w:tcMar>
            <w:tcW w:w="23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Vuông vức </w:t>
            </w:r>
            <w:r/>
          </w:p>
        </w:tc>
        <w:tc>
          <w:tcPr>
            <w:tcBorders>
              <w:bottom w:val="single" w:color="000000" w:sz="8" w:space="0"/>
              <w:right w:val="single" w:color="000000" w:sz="8" w:space="0"/>
            </w:tcBorders>
            <w:tcMar>
              <w:left w:w="108" w:type="dxa"/>
              <w:top w:w="0" w:type="dxa"/>
              <w:right w:w="108" w:type="dxa"/>
              <w:bottom w:w="0" w:type="dxa"/>
            </w:tcMar>
            <w:tcW w:w="26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588"/>
        </w:trPr>
        <w:tc>
          <w:tcPr>
            <w:tcBorders>
              <w:left w:val="single" w:color="000000" w:sz="8" w:space="0"/>
              <w:bottom w:val="single" w:color="000000" w:sz="8" w:space="0"/>
              <w:right w:val="single" w:color="000000" w:sz="8" w:space="0"/>
            </w:tcBorders>
            <w:tcMar>
              <w:left w:w="108" w:type="dxa"/>
              <w:top w:w="0" w:type="dxa"/>
              <w:right w:w="108" w:type="dxa"/>
              <w:bottom w:w="0" w:type="dxa"/>
            </w:tcMar>
            <w:tcW w:w="7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2.2.2</w:t>
            </w:r>
            <w:r/>
          </w:p>
        </w:tc>
        <w:tc>
          <w:tcPr>
            <w:gridSpan w:val="4"/>
            <w:tcBorders>
              <w:bottom w:val="single" w:color="000000" w:sz="8" w:space="0"/>
              <w:right w:val="single" w:color="000000" w:sz="8" w:space="0"/>
            </w:tcBorders>
            <w:tcMar>
              <w:left w:w="108" w:type="dxa"/>
              <w:top w:w="0" w:type="dxa"/>
              <w:right w:w="108" w:type="dxa"/>
              <w:bottom w:w="0" w:type="dxa"/>
            </w:tcMar>
            <w:tcW w:w="87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Thửa đất số 25-28</w:t>
            </w:r>
            <w:r/>
          </w:p>
        </w:tc>
      </w:tr>
      <w:tr>
        <w:trPr>
          <w:trHeight w:val="672"/>
        </w:trPr>
        <w:tc>
          <w:tcPr>
            <w:tcBorders>
              <w:left w:val="single" w:color="000000" w:sz="8" w:space="0"/>
              <w:bottom w:val="single" w:color="000000" w:sz="8" w:space="0"/>
              <w:right w:val="single" w:color="000000" w:sz="8" w:space="0"/>
            </w:tcBorders>
            <w:tcMar>
              <w:left w:w="108" w:type="dxa"/>
              <w:top w:w="0" w:type="dxa"/>
              <w:right w:w="108" w:type="dxa"/>
              <w:bottom w:w="0" w:type="dxa"/>
            </w:tcMar>
            <w:tcW w:w="7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23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12,6 </w:t>
            </w:r>
            <w:r/>
          </w:p>
        </w:tc>
        <w:tc>
          <w:tcPr>
            <w:tcBorders>
              <w:bottom w:val="single" w:color="000000" w:sz="8" w:space="0"/>
              <w:right w:val="single" w:color="000000" w:sz="8" w:space="0"/>
            </w:tcBorders>
            <w:tcMar>
              <w:left w:w="108" w:type="dxa"/>
              <w:top w:w="0" w:type="dxa"/>
              <w:right w:w="108" w:type="dxa"/>
              <w:bottom w:w="0" w:type="dxa"/>
            </w:tcMar>
            <w:tcW w:w="26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1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w:t>
            </w:r>
            <w:r/>
          </w:p>
        </w:tc>
      </w:tr>
      <w:tr>
        <w:trPr>
          <w:trHeight w:val="804"/>
        </w:trPr>
        <w:tc>
          <w:tcPr>
            <w:tcBorders>
              <w:left w:val="single" w:color="000000" w:sz="8" w:space="0"/>
              <w:bottom w:val="single" w:color="000000" w:sz="8" w:space="0"/>
              <w:right w:val="single" w:color="000000" w:sz="8" w:space="0"/>
            </w:tcBorders>
            <w:tcMar>
              <w:left w:w="108" w:type="dxa"/>
              <w:top w:w="0" w:type="dxa"/>
              <w:right w:w="108" w:type="dxa"/>
              <w:bottom w:w="0" w:type="dxa"/>
            </w:tcMar>
            <w:tcW w:w="7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KT mặt tiền (m):</w:t>
            </w:r>
            <w:r/>
          </w:p>
        </w:tc>
        <w:tc>
          <w:tcPr>
            <w:tcBorders>
              <w:bottom w:val="single" w:color="000000" w:sz="8" w:space="0"/>
              <w:right w:val="single" w:color="000000" w:sz="8" w:space="0"/>
            </w:tcBorders>
            <w:tcMar>
              <w:left w:w="108" w:type="dxa"/>
              <w:top w:w="0" w:type="dxa"/>
              <w:right w:w="108" w:type="dxa"/>
              <w:bottom w:w="0" w:type="dxa"/>
            </w:tcMar>
            <w:tcW w:w="23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3,00m</w:t>
            </w:r>
            <w:r/>
          </w:p>
        </w:tc>
        <w:tc>
          <w:tcPr>
            <w:tcBorders>
              <w:bottom w:val="single" w:color="000000" w:sz="8" w:space="0"/>
              <w:right w:val="single" w:color="000000" w:sz="8" w:space="0"/>
            </w:tcBorders>
            <w:tcMar>
              <w:left w:w="108" w:type="dxa"/>
              <w:top w:w="0" w:type="dxa"/>
              <w:right w:w="108" w:type="dxa"/>
              <w:bottom w:w="0" w:type="dxa"/>
            </w:tcMar>
            <w:tcW w:w="26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w:t>
            </w:r>
            <w:r/>
          </w:p>
        </w:tc>
        <w:tc>
          <w:tcPr>
            <w:tcBorders>
              <w:bottom w:val="single" w:color="000000" w:sz="8" w:space="0"/>
              <w:right w:val="single" w:color="000000" w:sz="8" w:space="0"/>
            </w:tcBorders>
            <w:tcMar>
              <w:left w:w="108" w:type="dxa"/>
              <w:top w:w="0" w:type="dxa"/>
              <w:right w:w="108" w:type="dxa"/>
              <w:bottom w:w="0" w:type="dxa"/>
            </w:tcMar>
            <w:tcW w:w="1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4,20</w:t>
            </w:r>
            <w:r/>
          </w:p>
        </w:tc>
      </w:tr>
      <w:tr>
        <w:trPr>
          <w:trHeight w:val="164"/>
        </w:trPr>
        <w:tc>
          <w:tcPr>
            <w:tcBorders>
              <w:left w:val="single" w:color="000000" w:sz="8" w:space="0"/>
              <w:bottom w:val="single" w:color="000000" w:sz="8" w:space="0"/>
              <w:right w:val="single" w:color="000000" w:sz="8" w:space="0"/>
            </w:tcBorders>
            <w:tcMar>
              <w:left w:w="108" w:type="dxa"/>
              <w:top w:w="0" w:type="dxa"/>
              <w:right w:w="108" w:type="dxa"/>
              <w:bottom w:w="0" w:type="dxa"/>
            </w:tcMar>
            <w:tcW w:w="7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gridSpan w:val="3"/>
            <w:tcBorders>
              <w:bottom w:val="single" w:color="000000" w:sz="8" w:space="0"/>
              <w:right w:val="single" w:color="000000" w:sz="8" w:space="0"/>
            </w:tcBorders>
            <w:tcMar>
              <w:left w:w="108" w:type="dxa"/>
              <w:top w:w="0" w:type="dxa"/>
              <w:right w:w="108" w:type="dxa"/>
              <w:bottom w:w="0" w:type="dxa"/>
            </w:tcMar>
            <w:tcW w:w="64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Vuông vức</w:t>
            </w:r>
            <w:r/>
          </w:p>
        </w:tc>
      </w:tr>
      <w:tr>
        <w:trPr>
          <w:trHeight w:val="498"/>
        </w:trPr>
        <w:tc>
          <w:tcPr>
            <w:tcBorders>
              <w:left w:val="single" w:color="000000" w:sz="8" w:space="0"/>
              <w:bottom w:val="single" w:color="000000" w:sz="8" w:space="0"/>
              <w:right w:val="single" w:color="000000" w:sz="8" w:space="0"/>
            </w:tcBorders>
            <w:tcMar>
              <w:left w:w="108" w:type="dxa"/>
              <w:top w:w="0" w:type="dxa"/>
              <w:right w:w="108" w:type="dxa"/>
              <w:bottom w:w="0" w:type="dxa"/>
            </w:tcMar>
            <w:tcW w:w="7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7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4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432"/>
        </w:trPr>
        <w:tc>
          <w:tcPr>
            <w:tcBorders>
              <w:left w:val="single" w:color="000000" w:sz="8" w:space="0"/>
              <w:bottom w:val="single" w:color="000000" w:sz="8" w:space="0"/>
              <w:right w:val="single" w:color="000000" w:sz="8" w:space="0"/>
            </w:tcBorders>
            <w:tcMar>
              <w:left w:w="108" w:type="dxa"/>
              <w:top w:w="0" w:type="dxa"/>
              <w:right w:w="108" w:type="dxa"/>
              <w:bottom w:w="0" w:type="dxa"/>
            </w:tcMar>
            <w:tcW w:w="7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3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Thích hợp để ở</w:t>
            </w:r>
            <w:r/>
          </w:p>
        </w:tc>
        <w:tc>
          <w:tcPr>
            <w:tcBorders>
              <w:bottom w:val="single" w:color="000000" w:sz="8" w:space="0"/>
              <w:right w:val="single" w:color="000000" w:sz="8" w:space="0"/>
            </w:tcBorders>
            <w:tcMar>
              <w:left w:w="108" w:type="dxa"/>
              <w:top w:w="0" w:type="dxa"/>
              <w:right w:w="108" w:type="dxa"/>
              <w:bottom w:w="0" w:type="dxa"/>
            </w:tcMar>
            <w:tcW w:w="26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1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 </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3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Yếu tố khác (nếu có):</w:t>
            </w:r>
            <w:r/>
          </w:p>
        </w:tc>
        <w:tc>
          <w:tcPr>
            <w:gridSpan w:val="3"/>
            <w:tcBorders>
              <w:bottom w:val="single" w:color="000000" w:sz="8" w:space="0"/>
              <w:right w:val="single" w:color="000000" w:sz="8" w:space="0"/>
            </w:tcBorders>
            <w:tcMar>
              <w:left w:w="108" w:type="dxa"/>
              <w:top w:w="0" w:type="dxa"/>
              <w:right w:w="108" w:type="dxa"/>
              <w:bottom w:w="0" w:type="dxa"/>
            </w:tcMar>
            <w:tcW w:w="64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7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Tài sản gắn liền với đất:</w:t>
            </w:r>
            <w:r/>
          </w:p>
        </w:tc>
      </w:tr>
      <w:tr>
        <w:trPr>
          <w:trHeight w:val="468"/>
        </w:trPr>
        <w:tc>
          <w:tcPr>
            <w:tcBorders>
              <w:left w:val="single" w:color="000000" w:sz="8" w:space="0"/>
              <w:bottom w:val="single" w:color="000000" w:sz="8" w:space="0"/>
              <w:right w:val="single" w:color="000000" w:sz="8" w:space="0"/>
            </w:tcBorders>
            <w:tcMar>
              <w:left w:w="108" w:type="dxa"/>
              <w:top w:w="0" w:type="dxa"/>
              <w:right w:w="108" w:type="dxa"/>
              <w:bottom w:w="0" w:type="dxa"/>
            </w:tcMar>
            <w:tcW w:w="7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3.1</w:t>
            </w:r>
            <w:r/>
          </w:p>
        </w:tc>
        <w:tc>
          <w:tcPr>
            <w:gridSpan w:val="4"/>
            <w:tcBorders>
              <w:bottom w:val="single" w:color="000000" w:sz="8" w:space="0"/>
              <w:right w:val="single" w:color="000000" w:sz="8" w:space="0"/>
            </w:tcBorders>
            <w:tcMar>
              <w:left w:w="108" w:type="dxa"/>
              <w:top w:w="0" w:type="dxa"/>
              <w:right w:w="108" w:type="dxa"/>
              <w:bottom w:w="0" w:type="dxa"/>
            </w:tcMar>
            <w:tcW w:w="87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Nhà 02 tầng </w:t>
            </w:r>
            <w:r/>
          </w:p>
        </w:tc>
      </w:tr>
      <w:tr>
        <w:trPr>
          <w:trHeight w:val="936"/>
        </w:trPr>
        <w:tc>
          <w:tcPr>
            <w:tcBorders>
              <w:left w:val="single" w:color="000000" w:sz="8" w:space="0"/>
              <w:bottom w:val="single" w:color="000000" w:sz="8" w:space="0"/>
              <w:right w:val="single" w:color="000000" w:sz="8" w:space="0"/>
            </w:tcBorders>
            <w:tcMar>
              <w:left w:w="108" w:type="dxa"/>
              <w:top w:w="0" w:type="dxa"/>
              <w:right w:w="108" w:type="dxa"/>
              <w:bottom w:w="0" w:type="dxa"/>
            </w:tcMar>
            <w:tcW w:w="7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Nhà 02 tầng xây dựng trên thửa đất số 25-28, kết cấu tường gạch. Xây dựng khoảng năm 2007, cải tạo năm 2018. Diện tích xây dựng 12,6m2. Hiện tại công trình chưa được chứng nhận trên GCN quyền sử dụng đất số AE 752565.</w:t>
            </w:r>
            <w:r/>
          </w:p>
        </w:tc>
      </w:tr>
      <w:tr>
        <w:trPr>
          <w:trHeight w:val="576"/>
        </w:trPr>
        <w:tc>
          <w:tcPr>
            <w:tcBorders>
              <w:left w:val="single" w:color="000000" w:sz="8" w:space="0"/>
              <w:bottom w:val="single" w:color="000000" w:sz="8" w:space="0"/>
              <w:right w:val="single" w:color="000000" w:sz="8" w:space="0"/>
            </w:tcBorders>
            <w:tcMar>
              <w:left w:w="108" w:type="dxa"/>
              <w:top w:w="0" w:type="dxa"/>
              <w:right w:w="108" w:type="dxa"/>
              <w:bottom w:w="0" w:type="dxa"/>
            </w:tcMar>
            <w:tcW w:w="7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3.2</w:t>
            </w:r>
            <w:r/>
          </w:p>
        </w:tc>
        <w:tc>
          <w:tcPr>
            <w:gridSpan w:val="4"/>
            <w:tcBorders>
              <w:bottom w:val="single" w:color="000000" w:sz="8" w:space="0"/>
              <w:right w:val="single" w:color="000000" w:sz="8" w:space="0"/>
            </w:tcBorders>
            <w:tcMar>
              <w:left w:w="108" w:type="dxa"/>
              <w:top w:w="0" w:type="dxa"/>
              <w:right w:w="108" w:type="dxa"/>
              <w:bottom w:w="0" w:type="dxa"/>
            </w:tcMar>
            <w:tcW w:w="87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Nhà 01 tầng </w:t>
            </w:r>
            <w:r/>
          </w:p>
        </w:tc>
      </w:tr>
      <w:tr>
        <w:trPr>
          <w:trHeight w:val="1068"/>
        </w:trPr>
        <w:tc>
          <w:tcPr>
            <w:tcBorders>
              <w:left w:val="single" w:color="000000" w:sz="8" w:space="0"/>
              <w:bottom w:val="single" w:color="000000" w:sz="8" w:space="0"/>
              <w:right w:val="single" w:color="000000" w:sz="8" w:space="0"/>
            </w:tcBorders>
            <w:tcMar>
              <w:left w:w="108" w:type="dxa"/>
              <w:top w:w="0" w:type="dxa"/>
              <w:right w:w="108" w:type="dxa"/>
              <w:bottom w:w="0" w:type="dxa"/>
            </w:tcMar>
            <w:tcW w:w="7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Nhà 01 tầng được sử dụng làm Nhà bếp, nhà vệ sinh được xây dựng trên thửa đất số 25-15. Xây dựng khoảng năm 2007, cải tạo năm 2018. Diện tích xây dựng 8m2. Hiện tại công trình chưa được chứng nhận trên GCN quyền sử dụng đất số AE 752565.</w:t>
            </w: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5"/>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Phường Ngọc Hà, Quận Ba Đình, Thành phố Hà Nội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Phường Ngọc Hà, Quận Ba Đình, Thành phố Hà Nội</w:t>
            </w:r>
            <w:r/>
          </w:p>
        </w:tc>
        <w:tc>
          <w:tcPr>
            <w:tcBorders/>
            <w:tcW w:w="1605" w:type="dxa"/>
            <w:vAlign w:val="center"/>
            <w:textDirection w:val="lrTb"/>
            <w:noWrap w:val="false"/>
          </w:tcPr>
          <w:p>
            <w:pPr>
              <w:pBdr/>
              <w:spacing/>
              <w:ind/>
              <w:jc w:val="center"/>
              <w:rPr/>
            </w:pPr>
            <w:r>
              <w:t xml:space="preserve">Phường Ngọc Hà, Quận Ba Đình, Thành phố Hà Nội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VT4</w:t>
            </w:r>
            <w:r/>
          </w:p>
        </w:tc>
        <w:tc>
          <w:tcPr>
            <w:tcBorders/>
            <w:tcW w:w="1605" w:type="dxa"/>
            <w:vAlign w:val="center"/>
            <w:textDirection w:val="lrTb"/>
            <w:noWrap w:val="false"/>
          </w:tcPr>
          <w:p>
            <w:pPr>
              <w:pBdr/>
              <w:spacing/>
              <w:ind/>
              <w:jc w:val="center"/>
              <w:rPr/>
            </w:pPr>
            <w:r>
              <w:t xml:space="preserve">VT4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bê tông</w:t>
            </w:r>
            <w:r/>
          </w:p>
        </w:tc>
        <w:tc>
          <w:tcPr>
            <w:tcBorders/>
            <w:tcW w:w="1605" w:type="dxa"/>
            <w:vAlign w:val="center"/>
            <w:textDirection w:val="lrTb"/>
            <w:noWrap w:val="false"/>
          </w:tcPr>
          <w:p>
            <w:pPr>
              <w:pBdr/>
              <w:spacing/>
              <w:ind/>
              <w:jc w:val="center"/>
              <w:rPr/>
            </w:pPr>
            <w:r>
              <w:t xml:space="preserve">Đường bê tông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1.8</w:t>
            </w:r>
            <w:r/>
          </w:p>
        </w:tc>
        <w:tc>
          <w:tcPr>
            <w:tcBorders/>
            <w:tcW w:w="1605" w:type="dxa"/>
            <w:vAlign w:val="center"/>
            <w:textDirection w:val="lrTb"/>
            <w:noWrap w:val="false"/>
          </w:tcPr>
          <w:p>
            <w:pPr>
              <w:pBdr/>
              <w:spacing/>
              <w:ind/>
              <w:jc w:val="center"/>
              <w:rPr/>
            </w:pPr>
            <w:r>
              <w:t xml:space="preserve">1.8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dân cư thông thường</w:t>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left"/>
              <w:rPr/>
            </w:pPr>
            <w:r>
              <w:t xml:space="preserve">     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20.6</w:t>
            </w:r>
            <w:r/>
          </w:p>
        </w:tc>
        <w:tc>
          <w:tcPr>
            <w:tcBorders/>
            <w:tcW w:w="1605" w:type="dxa"/>
            <w:vAlign w:val="center"/>
            <w:textDirection w:val="lrTb"/>
            <w:noWrap w:val="false"/>
          </w:tcPr>
          <w:p>
            <w:pPr>
              <w:pBdr/>
              <w:spacing/>
              <w:ind/>
              <w:jc w:val="center"/>
              <w:rPr/>
            </w:pPr>
            <w:r>
              <w:t xml:space="preserve">20.6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Height w:val="282"/>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3m và 1,7m</w:t>
            </w:r>
            <w:r/>
          </w:p>
        </w:tc>
        <w:tc>
          <w:tcPr>
            <w:tcBorders/>
            <w:tcW w:w="1605" w:type="dxa"/>
            <w:vAlign w:val="center"/>
            <w:textDirection w:val="lrTb"/>
            <w:noWrap w:val="false"/>
          </w:tcPr>
          <w:p>
            <w:pPr>
              <w:pBdr/>
              <w:spacing/>
              <w:ind/>
              <w:jc w:val="center"/>
              <w:rPr/>
            </w:pPr>
            <w:r>
              <w:t xml:space="preserve">3m và 1,7m✔</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5.57</w:t>
            </w:r>
            <w:r/>
          </w:p>
        </w:tc>
        <w:tc>
          <w:tcPr>
            <w:tcBorders/>
            <w:tcW w:w="1605" w:type="dxa"/>
            <w:vAlign w:val="center"/>
            <w:textDirection w:val="lrTb"/>
            <w:noWrap w:val="false"/>
          </w:tcPr>
          <w:p>
            <w:pPr>
              <w:pBdr/>
              <w:spacing/>
              <w:ind/>
              <w:jc w:val="center"/>
              <w:rPr/>
            </w:pPr>
            <w:r>
              <w:t xml:space="preserve">5.57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 </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Tây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t xml:space="preserve">Trung bình</w:t>
            </w:r>
            <w:r/>
          </w:p>
        </w:tc>
        <w:tc>
          <w:tcPr>
            <w:tcBorders/>
            <w:tcW w:w="1605" w:type="dxa"/>
            <w:vAlign w:val="center"/>
            <w:textDirection w:val="lrTb"/>
            <w:noWrap w:val="false"/>
          </w:tcPr>
          <w:p>
            <w:pPr>
              <w:pBdr/>
              <w:spacing/>
              <w:ind/>
              <w:jc w:val="center"/>
              <w:rPr/>
            </w:pPr>
            <w:r>
              <w:t xml:space="preserve">Trung bình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19</w:t>
            </w:r>
            <w:r/>
          </w:p>
        </w:tc>
        <w:tc>
          <w:tcPr>
            <w:tcBorders/>
            <w:tcW w:w="1663" w:type="dxa"/>
            <w:vAlign w:val="center"/>
            <w:textDirection w:val="lrTb"/>
            <w:noWrap w:val="false"/>
          </w:tcPr>
          <w:p>
            <w:pPr>
              <w:pBdr/>
              <w:spacing/>
              <w:ind/>
              <w:jc w:val="center"/>
              <w:rPr/>
            </w:pPr>
            <w:r>
              <w:t xml:space="preserve">Lợi thế thương mại</w:t>
            </w:r>
            <w:r/>
          </w:p>
        </w:tc>
        <w:tc>
          <w:tcPr>
            <w:tcBorders/>
            <w:tcW w:w="1560" w:type="dxa"/>
            <w:vAlign w:val="center"/>
            <w:textDirection w:val="lrTb"/>
            <w:noWrap w:val="false"/>
          </w:tcPr>
          <w:p>
            <w:pPr>
              <w:pBdr/>
              <w:spacing/>
              <w:ind/>
              <w:jc w:val="center"/>
              <w:rPr/>
            </w:pPr>
            <w:r>
              <w:t xml:space="preserve">Không có lợi thế thương mại</w:t>
            </w:r>
            <w:r/>
          </w:p>
        </w:tc>
        <w:tc>
          <w:tcPr>
            <w:tcBorders/>
            <w:tcW w:w="1605" w:type="dxa"/>
            <w:vAlign w:val="center"/>
            <w:textDirection w:val="lrTb"/>
            <w:noWrap w:val="false"/>
          </w:tcPr>
          <w:p>
            <w:pPr>
              <w:pBdr/>
              <w:spacing/>
              <w:ind/>
              <w:jc w:val="center"/>
              <w:rPr/>
            </w:pPr>
            <w:r>
              <w:t xml:space="preserve">Không có lợi thế thương mại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ind/>
        <w:rPr>
          <w:b/>
          <w:bCs/>
        </w:rPr>
      </w:pPr>
      <w:r>
        <w:rPr>
          <w:b/>
          <w:bCs/>
        </w:rPr>
      </w:r>
      <w:r>
        <w:rPr>
          <w:b/>
          <w:bCs/>
        </w:rPr>
      </w:r>
      <w:r>
        <w:rPr>
          <w:b/>
          <w:bCs/>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1"/>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1"/>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1"/>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1"/>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1"/>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31"/>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31"/>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1"/>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1"/>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3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1"/>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1"/>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794"/>
        <w:gridCol w:w="1061"/>
        <w:gridCol w:w="2283"/>
        <w:gridCol w:w="2091"/>
        <w:gridCol w:w="1648"/>
        <w:gridCol w:w="1648"/>
      </w:tblGrid>
      <w:tr>
        <w:trPr>
          <w:trHeight w:val="34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9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06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2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TSSS1</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TSSS2</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TSSS3</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79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106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228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9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48"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79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0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22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số 38, ngách 158/124 Ngọc Hà, Ba Đình, Hà Nôị</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Phường Ngọc Hà, Ba Đình, Hà Nội </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Phường Ngọc Hà, Ba Đình, Hà Nội </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Phường Ngọc Hà, Ba Đình, Hà Nội </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79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0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228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hyperlink r:id="rId16" w:tooltip="https://alonhadat.com.vn/ngoc-ha-gan-lang-bac-thang-may-can-tien-ban-gap-17743653.html" w:history="1">
              <w:r>
                <w:rPr>
                  <w:rStyle w:val="1021"/>
                  <w:rFonts w:ascii="Times New Roman" w:hAnsi="Times New Roman" w:eastAsia="Times New Roman" w:cs="Times New Roman"/>
                  <w:color w:val="000000"/>
                  <w:sz w:val="22"/>
                  <w:u w:val="none"/>
                </w:rPr>
                <w:t xml:space="preserve">https://alonhadat.com.vn/ngoc-ha-gan-lang-bac-thang-may-can-tien-ban-gap-17743653.html</w:t>
              </w:r>
            </w:hyperlink>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 </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Lien hệ trực tiếp </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79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0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22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Môi giới: 0988399619</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Môi giới: 0988399619</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Môi giới: 0908246179</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79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0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22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  </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  </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  </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79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0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22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11/2025 </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11/2025 </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11/2025 </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79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0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22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79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0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22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79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0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2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 </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 </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 </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 </w:t>
            </w:r>
            <w:r/>
          </w:p>
        </w:tc>
      </w:tr>
      <w:tr>
        <w:trPr>
          <w:trHeight w:val="34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9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Thời hạn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8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79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0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22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nằm tiếp giáp đường nội khu, cách đường Hoàng Hoa Thám khoảng 250m</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nằm tiếp giáp đường nội khu, cách đường Hoàng Hoa Thám khoảng 200m</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nằm tiếp giáp đường nội khu, cách đường Hoàng Hoa Thám khoảng 180m</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nằm tiếp giáp đường nội khu, cách đường Hoàng Hoa Thám khoảng 180m</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79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0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22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Trước mặt 1,8m, đoạn nhỏ nhất 1,5m</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tiếp giáp đường rộng khoảng 3m</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tiếp giáp đường rộng khoảng 2,5m</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tiếp giáp đường rộng khoảng 2m</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79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0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ở </w:t>
            </w:r>
            <w:r/>
          </w:p>
        </w:tc>
        <w:tc>
          <w:tcPr>
            <w:tcBorders>
              <w:bottom w:val="single" w:color="000000" w:sz="8" w:space="0"/>
              <w:right w:val="single" w:color="000000" w:sz="8" w:space="0"/>
            </w:tcBorders>
            <w:tcMar>
              <w:left w:w="108" w:type="dxa"/>
              <w:top w:w="0" w:type="dxa"/>
              <w:right w:w="108" w:type="dxa"/>
              <w:bottom w:w="0" w:type="dxa"/>
            </w:tcMar>
            <w:tcW w:w="22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20,6 m²</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30,0 m²</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37,0 m²</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20,0 m²</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79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10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22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ee0000"/>
                <w:sz w:val="22"/>
              </w:rPr>
              <w:t xml:space="preserve">1,7m và 3m</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3,80 m</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3,80 m</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3,00 m</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79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10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diện tích </w:t>
            </w:r>
            <w:r/>
          </w:p>
        </w:tc>
        <w:tc>
          <w:tcPr>
            <w:tcBorders>
              <w:bottom w:val="single" w:color="000000" w:sz="8" w:space="0"/>
              <w:right w:val="single" w:color="000000" w:sz="8" w:space="0"/>
            </w:tcBorders>
            <w:tcMar>
              <w:left w:w="108" w:type="dxa"/>
              <w:top w:w="0" w:type="dxa"/>
              <w:right w:w="108" w:type="dxa"/>
              <w:bottom w:w="0" w:type="dxa"/>
            </w:tcMar>
            <w:tcW w:w="22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0,18</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0,13</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0,10</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0,15</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79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10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22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 mặt tiền </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 mặt </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 mặt tiền+1 mặt thoáng </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 mặt </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79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10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22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Vuông vức</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Vuông vức </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Vuông vức </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Vuông vức </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79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10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2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Phù hợp để ở </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Phù hợp để ở và kinh doanh </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Phù hợp để ở </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Phù hợp để ở </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79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10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Yếu tố khác (Yếu tố phong thủy/Yếu tố tâm linh)</w:t>
            </w:r>
            <w:r/>
          </w:p>
        </w:tc>
        <w:tc>
          <w:tcPr>
            <w:tcBorders>
              <w:bottom w:val="single" w:color="000000" w:sz="8" w:space="0"/>
              <w:right w:val="single" w:color="000000" w:sz="8" w:space="0"/>
            </w:tcBorders>
            <w:tcMar>
              <w:left w:w="108" w:type="dxa"/>
              <w:top w:w="0" w:type="dxa"/>
              <w:right w:w="108" w:type="dxa"/>
              <w:bottom w:w="0" w:type="dxa"/>
            </w:tcMar>
            <w:tcW w:w="22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79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10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22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79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10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22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79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10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22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7 tầng</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5 tầng</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5 tầng</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794"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0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tầng</w:t>
            </w:r>
            <w:r/>
          </w:p>
        </w:tc>
        <w:tc>
          <w:tcPr>
            <w:tcBorders>
              <w:bottom w:val="single" w:color="000000" w:sz="8" w:space="0"/>
              <w:right w:val="single" w:color="000000" w:sz="8" w:space="0"/>
            </w:tcBorders>
            <w:tcMar>
              <w:left w:w="108" w:type="dxa"/>
              <w:top w:w="0" w:type="dxa"/>
              <w:right w:w="108" w:type="dxa"/>
              <w:bottom w:w="0" w:type="dxa"/>
            </w:tcMar>
            <w:tcW w:w="22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7,0</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5,0</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5,0</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794"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0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sàn sử dụng (m²)</w:t>
            </w:r>
            <w:r/>
          </w:p>
        </w:tc>
        <w:tc>
          <w:tcPr>
            <w:tcBorders>
              <w:bottom w:val="single" w:color="000000" w:sz="8" w:space="0"/>
              <w:right w:val="single" w:color="000000" w:sz="8" w:space="0"/>
            </w:tcBorders>
            <w:tcMar>
              <w:left w:w="108" w:type="dxa"/>
              <w:top w:w="0" w:type="dxa"/>
              <w:right w:w="108" w:type="dxa"/>
              <w:bottom w:w="0" w:type="dxa"/>
            </w:tcMar>
            <w:tcW w:w="2283"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210,0</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185,0</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100,0</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79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10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22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8.680.000.000</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10.000.000.000</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6.500.000.000</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79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10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22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7.812.000.000</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9.000.000.000</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4.875.000.000</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79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10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Chi tiết tính toán</w:t>
            </w:r>
            <w:r/>
          </w:p>
        </w:tc>
        <w:tc>
          <w:tcPr>
            <w:tcBorders>
              <w:bottom w:val="single" w:color="000000" w:sz="8" w:space="0"/>
              <w:right w:val="single" w:color="000000" w:sz="8" w:space="0"/>
            </w:tcBorders>
            <w:tcMar>
              <w:left w:w="108" w:type="dxa"/>
              <w:top w:w="0" w:type="dxa"/>
              <w:right w:w="108" w:type="dxa"/>
              <w:bottom w:w="0" w:type="dxa"/>
            </w:tcMar>
            <w:tcW w:w="22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 </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79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0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8" w:space="0"/>
              <w:right w:val="single" w:color="000000" w:sz="8" w:space="0"/>
            </w:tcBorders>
            <w:tcMar>
              <w:left w:w="108" w:type="dxa"/>
              <w:top w:w="0" w:type="dxa"/>
              <w:right w:w="108" w:type="dxa"/>
              <w:bottom w:w="0" w:type="dxa"/>
            </w:tcMar>
            <w:tcW w:w="22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1.613.234.448</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1.421.182.728</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768.206.880</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79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0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Đơn giá xây dựng theo Quyết định 409/QĐ-BXD năm 2025 của Bộ Xây Dựng (đồng/m²)</w:t>
            </w:r>
            <w:r/>
          </w:p>
        </w:tc>
        <w:tc>
          <w:tcPr>
            <w:tcBorders>
              <w:bottom w:val="single" w:color="000000" w:sz="8" w:space="0"/>
              <w:right w:val="single" w:color="000000" w:sz="8" w:space="0"/>
            </w:tcBorders>
            <w:tcMar>
              <w:left w:w="108" w:type="dxa"/>
              <w:top w:w="0" w:type="dxa"/>
              <w:right w:w="108" w:type="dxa"/>
              <w:bottom w:w="0" w:type="dxa"/>
            </w:tcMar>
            <w:tcW w:w="22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8.535.632</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8.535.632</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8.535.632</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79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0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Tỷ lệ % CLCL </w:t>
            </w:r>
            <w:r/>
          </w:p>
        </w:tc>
        <w:tc>
          <w:tcPr>
            <w:tcBorders>
              <w:bottom w:val="single" w:color="000000" w:sz="8" w:space="0"/>
              <w:right w:val="single" w:color="000000" w:sz="8" w:space="0"/>
            </w:tcBorders>
            <w:tcMar>
              <w:left w:w="108" w:type="dxa"/>
              <w:top w:w="0" w:type="dxa"/>
              <w:right w:w="108" w:type="dxa"/>
              <w:bottom w:w="0" w:type="dxa"/>
            </w:tcMar>
            <w:tcW w:w="22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90%</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90%</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90%</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79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0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đất ở (đồng)</w:t>
            </w:r>
            <w:r/>
          </w:p>
        </w:tc>
        <w:tc>
          <w:tcPr>
            <w:tcBorders>
              <w:bottom w:val="single" w:color="000000" w:sz="8" w:space="0"/>
              <w:right w:val="single" w:color="000000" w:sz="8" w:space="0"/>
            </w:tcBorders>
            <w:tcMar>
              <w:left w:w="108" w:type="dxa"/>
              <w:top w:w="0" w:type="dxa"/>
              <w:right w:w="108" w:type="dxa"/>
              <w:bottom w:w="0" w:type="dxa"/>
            </w:tcMar>
            <w:tcW w:w="22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6.198.765.552</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7.578.817.272</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4.106.793.120</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79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0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22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206.625.518</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204.832.899</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205.339.656</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79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w:t>
            </w:r>
            <w:r/>
          </w:p>
        </w:tc>
        <w:tc>
          <w:tcPr>
            <w:tcBorders>
              <w:bottom w:val="single" w:color="000000" w:sz="8" w:space="0"/>
              <w:right w:val="single" w:color="000000" w:sz="8" w:space="0"/>
            </w:tcBorders>
            <w:tcMar>
              <w:left w:w="108" w:type="dxa"/>
              <w:top w:w="0" w:type="dxa"/>
              <w:right w:w="108" w:type="dxa"/>
              <w:bottom w:w="0" w:type="dxa"/>
            </w:tcMar>
            <w:tcW w:w="10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NHẬN XÉT</w:t>
            </w:r>
            <w:r/>
          </w:p>
        </w:tc>
        <w:tc>
          <w:tcPr>
            <w:tcBorders>
              <w:bottom w:val="single" w:color="000000" w:sz="8" w:space="0"/>
              <w:right w:val="single" w:color="000000" w:sz="8" w:space="0"/>
            </w:tcBorders>
            <w:tcMar>
              <w:left w:w="108" w:type="dxa"/>
              <w:top w:w="0" w:type="dxa"/>
              <w:right w:w="108" w:type="dxa"/>
              <w:bottom w:w="0" w:type="dxa"/>
            </w:tcMar>
            <w:tcW w:w="22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79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0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228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79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0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228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79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0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228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Lợi thế hơn</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Lợi thế hơn</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Lợi thế hơn</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79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0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ở </w:t>
            </w:r>
            <w:r/>
          </w:p>
        </w:tc>
        <w:tc>
          <w:tcPr>
            <w:tcBorders>
              <w:bottom w:val="single" w:color="000000" w:sz="8" w:space="0"/>
              <w:right w:val="single" w:color="000000" w:sz="8" w:space="0"/>
            </w:tcBorders>
            <w:tcMar>
              <w:left w:w="108" w:type="dxa"/>
              <w:top w:w="0" w:type="dxa"/>
              <w:right w:w="108" w:type="dxa"/>
              <w:bottom w:w="0" w:type="dxa"/>
            </w:tcMar>
            <w:tcW w:w="228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79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0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228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 </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Lợi thế hơn</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79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0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228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Lợi thế hơn</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Lợi thế hơn</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79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0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228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79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0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28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Lợi thế hơn</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79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0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Yếu tố khác (Yếu tố phong thủy/Yếu tố tâm linh)</w:t>
            </w:r>
            <w:r/>
          </w:p>
        </w:tc>
        <w:tc>
          <w:tcPr>
            <w:tcBorders>
              <w:bottom w:val="single" w:color="000000" w:sz="8" w:space="0"/>
              <w:right w:val="single" w:color="000000" w:sz="8" w:space="0"/>
            </w:tcBorders>
            <w:tcMar>
              <w:left w:w="108" w:type="dxa"/>
              <w:top w:w="0" w:type="dxa"/>
              <w:right w:w="108" w:type="dxa"/>
              <w:bottom w:w="0" w:type="dxa"/>
            </w:tcMar>
            <w:tcW w:w="228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Lợi thế hơn</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Lợi thế hơn</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Lợi thế hơn</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79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0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228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35"/>
        <w:tblInd w:w="-289"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544"/>
        <w:gridCol w:w="2749"/>
        <w:gridCol w:w="1302"/>
        <w:gridCol w:w="1053"/>
        <w:gridCol w:w="1376"/>
        <w:gridCol w:w="1351"/>
        <w:gridCol w:w="1437"/>
      </w:tblGrid>
      <w:tr>
        <w:trPr>
          <w:trHeight w:val="63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4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thẩm định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so sánh 1</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so sánh 2</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so sánh 3</w:t>
            </w:r>
            <w:r>
              <w:rPr>
                <w:color w:val="000000" w:themeColor="text1"/>
              </w:rPr>
            </w:r>
            <w:r>
              <w:rPr>
                <w:color w:val="000000" w:themeColor="text1"/>
              </w:rPr>
            </w:r>
          </w:p>
        </w:tc>
      </w:tr>
      <w:tr>
        <w:trPr>
          <w:trHeight w:val="85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6.198.765.552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7.578.817.272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4.106.793.120</w:t>
            </w:r>
            <w:r>
              <w:rPr>
                <w:color w:val="000000" w:themeColor="text1"/>
              </w:rPr>
            </w:r>
            <w:r>
              <w:rPr>
                <w:color w:val="000000" w:themeColor="text1"/>
              </w:rPr>
            </w:r>
          </w:p>
        </w:tc>
      </w:tr>
      <w:tr>
        <w:trPr>
          <w:trHeight w:val="39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206.625.518</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204.832.899</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205.339.656</w:t>
            </w:r>
            <w:r>
              <w:rPr>
                <w:color w:val="000000" w:themeColor="text1"/>
              </w:rPr>
            </w:r>
            <w:r>
              <w:rPr>
                <w:color w:val="000000" w:themeColor="text1"/>
              </w:rPr>
            </w:r>
          </w:p>
        </w:tc>
      </w:tr>
      <w:tr>
        <w:trPr>
          <w:trHeight w:val="52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93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72"/>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30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206.625.518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204.832.899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205.339.656 </w:t>
            </w:r>
            <w:r>
              <w:rPr>
                <w:color w:val="000000" w:themeColor="text1"/>
              </w:rPr>
            </w:r>
            <w:r>
              <w:rPr>
                <w:color w:val="000000" w:themeColor="text1"/>
              </w:rPr>
            </w:r>
          </w:p>
        </w:tc>
      </w:tr>
      <w:tr>
        <w:trPr>
          <w:trHeight w:val="165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nằm tiếp giáp đường nội khu, cách đường Hoàng Hoa Thám khoảng 250m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nằm tiếp giáp đường nội khu, cách đường Hoàng Hoa Thám khoảng 200m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nằm tiếp giáp đường nội khu, cách đường Hoàng Hoa Thám khoảng 180m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nằm tiếp giáp đường nội khu, cách đường Hoàng Hoa Thám khoảng 180m</w:t>
            </w:r>
            <w:r>
              <w:rPr>
                <w:color w:val="000000" w:themeColor="text1"/>
              </w:rPr>
            </w:r>
            <w:r>
              <w:rPr>
                <w:color w:val="000000" w:themeColor="text1"/>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30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206.625.518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204.832.899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205.339.656 </w:t>
            </w:r>
            <w:r>
              <w:rPr>
                <w:color w:val="000000" w:themeColor="text1"/>
              </w:rPr>
            </w:r>
            <w:r>
              <w:rPr>
                <w:color w:val="000000" w:themeColor="text1"/>
              </w:rPr>
            </w:r>
          </w:p>
        </w:tc>
      </w:tr>
      <w:tr>
        <w:trPr>
          <w:trHeight w:val="1429"/>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Giao thông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Trước mặt 1,8m, đoạn nhỏ nhất 1,5m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tiếp giáp đường rộng khoảng 3m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tiếp giáp đường rộng khoảng 2,5m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tiếp giáp đường rộng khoảng 2m</w:t>
            </w:r>
            <w:r>
              <w:rPr>
                <w:color w:val="000000" w:themeColor="text1"/>
              </w:rPr>
            </w:r>
            <w:r>
              <w:rPr>
                <w:color w:val="000000" w:themeColor="text1"/>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-25,00%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-18,00%</w:t>
            </w:r>
            <w:r>
              <w:rPr>
                <w:color w:val="000000" w:themeColor="text1"/>
              </w:rPr>
            </w:r>
            <w:r>
              <w:rPr>
                <w:color w:val="000000" w:themeColor="text1"/>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-51.656.380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-40.966.580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-36.961.138 </w:t>
            </w:r>
            <w:r>
              <w:rPr>
                <w:color w:val="000000" w:themeColor="text1"/>
              </w:rPr>
            </w:r>
            <w:r>
              <w:rPr>
                <w:color w:val="000000" w:themeColor="text1"/>
              </w:rPr>
            </w:r>
          </w:p>
        </w:tc>
      </w:tr>
      <w:tr>
        <w:trPr>
          <w:trHeight w:val="30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154.969.139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163.866.319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168.378.518 </w:t>
            </w:r>
            <w:r>
              <w:rPr>
                <w:color w:val="000000" w:themeColor="text1"/>
              </w:rPr>
            </w:r>
            <w:r>
              <w:rPr>
                <w:color w:val="000000" w:themeColor="text1"/>
              </w:rPr>
            </w:r>
          </w:p>
        </w:tc>
      </w:tr>
      <w:tr>
        <w:trPr>
          <w:trHeight w:val="6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Diện tích đất ở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20,6</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30,0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37,0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20,0</w:t>
            </w:r>
            <w:r>
              <w:rPr>
                <w:color w:val="000000" w:themeColor="text1"/>
              </w:rPr>
            </w:r>
            <w:r>
              <w:rPr>
                <w:color w:val="000000" w:themeColor="text1"/>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6.198.766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6.144.987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30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161.167.904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170.011.306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168.378.518 </w:t>
            </w:r>
            <w:r>
              <w:rPr>
                <w:color w:val="000000" w:themeColor="text1"/>
              </w:rPr>
            </w:r>
            <w:r>
              <w:rPr>
                <w:color w:val="000000" w:themeColor="text1"/>
              </w:rPr>
            </w:r>
          </w:p>
        </w:tc>
      </w:tr>
      <w:tr>
        <w:trPr>
          <w:trHeight w:val="30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Mặt tiền (m)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1,7m và 3m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3,8</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3,8</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3,0</w:t>
            </w:r>
            <w:r>
              <w:rPr>
                <w:color w:val="000000" w:themeColor="text1"/>
              </w:rPr>
            </w:r>
            <w:r>
              <w:rPr>
                <w:color w:val="000000" w:themeColor="text1"/>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469"/>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-10.331.276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-10.241.645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923"/>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150.836.628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159.769.661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168.378.518 </w:t>
            </w:r>
            <w:r>
              <w:rPr>
                <w:color w:val="000000" w:themeColor="text1"/>
              </w:rPr>
            </w:r>
            <w:r>
              <w:rPr>
                <w:color w:val="000000" w:themeColor="text1"/>
              </w:rPr>
            </w:r>
          </w:p>
        </w:tc>
      </w:tr>
      <w:tr>
        <w:trPr>
          <w:trHeight w:val="743"/>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 mặt tiền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 mặt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 mặt tiền+1 mặt thoáng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 mặt </w:t>
            </w:r>
            <w:r>
              <w:rPr>
                <w:color w:val="000000" w:themeColor="text1"/>
              </w:rPr>
            </w:r>
            <w:r>
              <w:rPr>
                <w:color w:val="000000" w:themeColor="text1"/>
              </w:rPr>
            </w:r>
          </w:p>
        </w:tc>
      </w:tr>
      <w:tr>
        <w:trPr>
          <w:trHeight w:val="4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r>
      <w:tr>
        <w:trPr>
          <w:trHeight w:val="4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-24.579.948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-20.533.966 </w:t>
            </w:r>
            <w:r>
              <w:rPr>
                <w:color w:val="000000" w:themeColor="text1"/>
              </w:rPr>
            </w:r>
            <w:r>
              <w:rPr>
                <w:color w:val="000000" w:themeColor="text1"/>
              </w:rPr>
            </w:r>
          </w:p>
        </w:tc>
      </w:tr>
      <w:tr>
        <w:trPr>
          <w:trHeight w:val="4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150.836.628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135.189.714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147.844.552 </w:t>
            </w:r>
            <w:r>
              <w:rPr>
                <w:color w:val="000000" w:themeColor="text1"/>
              </w:rPr>
            </w:r>
            <w:r>
              <w:rPr>
                <w:color w:val="000000" w:themeColor="text1"/>
              </w:rPr>
            </w:r>
          </w:p>
        </w:tc>
      </w:tr>
      <w:tr>
        <w:trPr>
          <w:trHeight w:val="44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Vuông vức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Vuông vức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Vuông vức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Vuông vức </w:t>
            </w:r>
            <w:r>
              <w:rPr>
                <w:color w:val="000000" w:themeColor="text1"/>
              </w:rPr>
            </w:r>
            <w:r>
              <w:rPr>
                <w:color w:val="000000" w:themeColor="text1"/>
              </w:rPr>
            </w:r>
          </w:p>
        </w:tc>
      </w:tr>
      <w:tr>
        <w:trPr>
          <w:trHeight w:val="447"/>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447"/>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447"/>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150.836.628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135.189.714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147.844.552 </w:t>
            </w:r>
            <w:r>
              <w:rPr>
                <w:color w:val="000000" w:themeColor="text1"/>
              </w:rPr>
            </w:r>
            <w:r>
              <w:rPr>
                <w:color w:val="000000" w:themeColor="text1"/>
              </w:rPr>
            </w:r>
          </w:p>
        </w:tc>
      </w:tr>
      <w:tr>
        <w:trPr>
          <w:trHeight w:val="8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Lợi thế kinh doanh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Phù hợp để ở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Phù hợp để ở và kinh doanh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Phù hợp để ở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Phù hợp để ở </w:t>
            </w:r>
            <w:r>
              <w:rPr>
                <w:color w:val="000000" w:themeColor="text1"/>
              </w:rPr>
            </w:r>
            <w:r>
              <w:rPr>
                <w:color w:val="000000" w:themeColor="text1"/>
              </w:rPr>
            </w:r>
          </w:p>
        </w:tc>
      </w:tr>
      <w:tr>
        <w:trPr>
          <w:trHeight w:val="30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0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-10.331.276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30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140.505.353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135.189.714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147.844.552 </w:t>
            </w:r>
            <w:r>
              <w:rPr>
                <w:color w:val="000000" w:themeColor="text1"/>
              </w:rPr>
            </w:r>
            <w:r>
              <w:rPr>
                <w:color w:val="000000" w:themeColor="text1"/>
              </w:rPr>
            </w:r>
          </w:p>
        </w:tc>
      </w:tr>
      <w:tr>
        <w:trPr>
          <w:trHeight w:val="109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Yếu tố khác (Yếu tố phong thủy/Yếu tố tâm linh)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Thửa đất tách 2 phần đối diện nhau, giữa là ngõ đi</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Không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Không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Không </w:t>
            </w:r>
            <w:r>
              <w:rPr>
                <w:color w:val="000000" w:themeColor="text1"/>
              </w:rPr>
            </w:r>
            <w:r>
              <w:rPr>
                <w:color w:val="000000" w:themeColor="text1"/>
              </w:rPr>
            </w:r>
          </w:p>
        </w:tc>
      </w:tr>
      <w:tr>
        <w:trPr>
          <w:trHeight w:val="30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r>
      <w:tr>
        <w:trPr>
          <w:trHeight w:val="30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-20.662.552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-20.483.290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-20.533.966 </w:t>
            </w:r>
            <w:r>
              <w:rPr>
                <w:color w:val="000000" w:themeColor="text1"/>
              </w:rPr>
            </w:r>
            <w:r>
              <w:rPr>
                <w:color w:val="000000" w:themeColor="text1"/>
              </w:rPr>
            </w:r>
          </w:p>
        </w:tc>
      </w:tr>
      <w:tr>
        <w:trPr>
          <w:trHeight w:val="30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119.842.801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114.706.424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127.310.587 </w:t>
            </w:r>
            <w:r>
              <w:rPr>
                <w:color w:val="000000" w:themeColor="text1"/>
              </w:rPr>
            </w:r>
            <w:r>
              <w:rPr>
                <w:color w:val="000000" w:themeColor="text1"/>
              </w:rPr>
            </w:r>
          </w:p>
        </w:tc>
      </w:tr>
      <w:tr>
        <w:trPr>
          <w:trHeight w:val="165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C10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Điều kiện cơ sở hạ tầng kỹ thuật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Hạ tầng khu dân cư thông thường: Hệ thống cấp điện, cấp thoát nước đầy đủ</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Hạ tầng khu dân cư thông thường: Hệ thống cấp điện, cấp thoát nước đầy đủ</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Hạ tầng khu dân cư thông thường: Hệ thống cấp điện, cấp thoát nước đầy đủ</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Hạ tầng khu dân cư thông thường: Hệ thống cấp điện, cấp thoát nước đầy đủ</w:t>
            </w:r>
            <w:r>
              <w:rPr>
                <w:color w:val="000000" w:themeColor="text1"/>
              </w:rPr>
            </w:r>
            <w:r>
              <w:rPr>
                <w:color w:val="000000" w:themeColor="text1"/>
              </w:rPr>
            </w:r>
          </w:p>
        </w:tc>
      </w:tr>
      <w:tr>
        <w:trPr>
          <w:trHeight w:val="30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0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30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119.842.801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114.706.424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127.310.587 </w:t>
            </w:r>
            <w:r>
              <w:rPr>
                <w:color w:val="000000" w:themeColor="text1"/>
              </w:rPr>
            </w:r>
            <w:r>
              <w:rPr>
                <w:color w:val="000000" w:themeColor="text1"/>
              </w:rPr>
            </w:r>
          </w:p>
        </w:tc>
      </w:tr>
      <w:tr>
        <w:trPr>
          <w:trHeight w:val="43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119.842.801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114.706.424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127.310.587 </w:t>
            </w:r>
            <w:r>
              <w:rPr>
                <w:color w:val="000000" w:themeColor="text1"/>
              </w:rPr>
            </w:r>
            <w:r>
              <w:rPr>
                <w:color w:val="000000" w:themeColor="text1"/>
              </w:rPr>
            </w:r>
          </w:p>
        </w:tc>
      </w:tr>
      <w:tr>
        <w:trPr>
          <w:trHeight w:val="43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4" w:type="dxa"/>
            <w:vAlign w:val="top"/>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F</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top"/>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4"/>
              </w:rPr>
              <w:t xml:space="preserve">Mức giá cho tài sản thẩm định (làm tròn)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top"/>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top"/>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1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120.000.000</w:t>
            </w:r>
            <w:r>
              <w:rPr>
                <w:color w:val="000000" w:themeColor="text1"/>
              </w:rPr>
            </w:r>
            <w:r>
              <w:rPr>
                <w:color w:val="000000" w:themeColor="text1"/>
              </w:rPr>
            </w:r>
          </w:p>
        </w:tc>
      </w:tr>
      <w:tr>
        <w:trPr>
          <w:trHeight w:val="30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1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120.619.937 </w:t>
            </w:r>
            <w:r>
              <w:rPr>
                <w:color w:val="000000" w:themeColor="text1"/>
              </w:rPr>
            </w:r>
            <w:r>
              <w:rPr>
                <w:color w:val="000000" w:themeColor="text1"/>
              </w:rPr>
            </w:r>
          </w:p>
        </w:tc>
      </w:tr>
      <w:tr>
        <w:trPr>
          <w:trHeight w:val="30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-0,6%</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-4,9%</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5,5%</w:t>
            </w:r>
            <w:r>
              <w:rPr>
                <w:color w:val="000000" w:themeColor="text1"/>
              </w:rPr>
            </w:r>
            <w:r>
              <w:rPr>
                <w:color w:val="000000" w:themeColor="text1"/>
              </w:rPr>
            </w:r>
          </w:p>
        </w:tc>
      </w:tr>
      <w:tr>
        <w:trPr>
          <w:trHeight w:val="39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gridSpan w:val="6"/>
            <w:shd w:val="clear" w:color="ffffff" w:fill="ffffff"/>
            <w:tcBorders>
              <w:bottom w:val="single" w:color="000000" w:sz="8" w:space="0"/>
              <w:right w:val="single" w:color="000000" w:sz="8" w:space="0"/>
            </w:tcBorders>
            <w:tcMar>
              <w:left w:w="108" w:type="dxa"/>
              <w:top w:w="0" w:type="dxa"/>
              <w:right w:w="108" w:type="dxa"/>
              <w:bottom w:w="0" w:type="dxa"/>
            </w:tcMar>
            <w:tcW w:w="92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r>
      <w:tr>
        <w:trPr>
          <w:trHeight w:val="60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99.180.249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102.416.450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78.029.069 </w:t>
            </w:r>
            <w:r>
              <w:rPr>
                <w:color w:val="000000" w:themeColor="text1"/>
              </w:rPr>
            </w:r>
            <w:r>
              <w:rPr>
                <w:color w:val="000000" w:themeColor="text1"/>
              </w:rPr>
            </w:r>
          </w:p>
        </w:tc>
      </w:tr>
      <w:tr>
        <w:trPr>
          <w:trHeight w:val="30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r>
      <w:tr>
        <w:trPr>
          <w:trHeight w:val="30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3%-25%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3%-20%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10%-18%</w:t>
            </w:r>
            <w:r>
              <w:rPr>
                <w:color w:val="000000" w:themeColor="text1"/>
              </w:rPr>
            </w:r>
            <w:r>
              <w:rPr>
                <w:color w:val="000000" w:themeColor="text1"/>
              </w:rPr>
            </w:r>
          </w:p>
        </w:tc>
      </w:tr>
      <w:tr>
        <w:trPr>
          <w:trHeight w:val="60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7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(86.782.718)</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(90.126.476)</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(78.029.069)</w:t>
            </w:r>
            <w:r>
              <w:rPr>
                <w:color w:val="000000" w:themeColor="text1"/>
              </w:rPr>
            </w:r>
            <w:r>
              <w:rPr>
                <w:color w:val="000000" w:themeColor="text1"/>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w:t>
      </w:r>
      <w:r>
        <w:t xml:space="preserve">-0,6</w:t>
      </w:r>
      <w:r>
        <w:t xml:space="preserve">% đến </w:t>
      </w:r>
      <w:r>
        <w:t xml:space="preserve">5.5</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after="120" w:before="120" w:line="276" w:lineRule="auto"/>
        <w:ind/>
        <w:jc w:val="both"/>
        <w:rPr>
          <w:b/>
          <w:bCs/>
          <w:highlight w:val="none"/>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120.000.000</w:t>
      </w:r>
      <w:r>
        <w:rPr>
          <w:b/>
          <w:bCs/>
          <w:color w:val="000000" w:themeColor="text1"/>
        </w:rPr>
        <w:t xml:space="preserve"> </w:t>
      </w:r>
      <w:r>
        <w:rPr>
          <w:b/>
          <w:bCs/>
        </w:rPr>
        <w:t xml:space="preserve">đồng/m².</w:t>
      </w:r>
      <w:r>
        <w:rPr>
          <w:b/>
          <w:bCs/>
        </w:rPr>
      </w:r>
      <w:r>
        <w:rPr>
          <w:b/>
          <w:bCs/>
          <w:highlight w:val="none"/>
        </w:rPr>
      </w:r>
    </w:p>
    <w:p>
      <w:pPr>
        <w:pBdr>
          <w:top w:val="none" w:color="000000" w:sz="4" w:space="0"/>
          <w:left w:val="none" w:color="000000" w:sz="4" w:space="0"/>
          <w:bottom w:val="none" w:color="000000" w:sz="4" w:space="0"/>
          <w:right w:val="none" w:color="000000" w:sz="4" w:space="0"/>
        </w:pBdr>
        <w:spacing w:after="120" w:before="120" w:line="276" w:lineRule="auto"/>
        <w:ind w:right="29" w:firstLine="0" w:left="0"/>
        <w:jc w:val="both"/>
        <w:rPr/>
      </w:pPr>
      <w:r>
        <w:rPr>
          <w:rFonts w:ascii="Times New Roman" w:hAnsi="Times New Roman" w:eastAsia="Times New Roman" w:cs="Times New Roman"/>
          <w:b/>
          <w:color w:val="000000"/>
          <w:sz w:val="24"/>
        </w:rPr>
        <w:t xml:space="preserve">2. Xác định giá trị công trình xây dựng trên đất</w:t>
      </w:r>
      <w:r/>
    </w:p>
    <w:p>
      <w:pPr>
        <w:numPr>
          <w:ilvl w:val="0"/>
          <w:numId w:val="39"/>
        </w:numPr>
        <w:pBdr>
          <w:top w:val="none" w:color="000000" w:sz="4" w:space="0"/>
          <w:left w:val="none" w:color="000000" w:sz="4" w:space="0"/>
          <w:bottom w:val="none" w:color="000000" w:sz="4" w:space="0"/>
          <w:right w:val="none" w:color="000000" w:sz="4" w:space="0"/>
        </w:pBdr>
        <w:spacing w:after="120" w:before="288"/>
        <w:ind/>
        <w:jc w:val="both"/>
        <w:rPr/>
      </w:pPr>
      <w:r>
        <w:rPr>
          <w:rFonts w:ascii="Times New Roman" w:hAnsi="Times New Roman" w:eastAsia="Times New Roman" w:cs="Times New Roman"/>
          <w:b/>
          <w:color w:val="000000"/>
          <w:sz w:val="24"/>
        </w:rPr>
        <w:t xml:space="preserve">Xác định đơn giá xây mới của công trình xây dựng trên thửa đất số 25-28</w:t>
      </w:r>
      <w:r/>
    </w:p>
    <w:p>
      <w:pPr>
        <w:pBdr>
          <w:top w:val="none" w:color="000000" w:sz="4" w:space="0"/>
          <w:left w:val="none" w:color="000000" w:sz="4" w:space="0"/>
          <w:bottom w:val="none" w:color="000000" w:sz="4" w:space="0"/>
          <w:right w:val="none" w:color="000000" w:sz="4" w:space="0"/>
        </w:pBdr>
        <w:spacing w:after="120" w:before="120" w:line="276" w:lineRule="auto"/>
        <w:ind w:right="0" w:firstLine="425"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Nhà 02 tầng đối chiếu với kết cấu của công trình xây dựng hiện có, Tổ thẩm định nhận thấy đơn giá vận dụng theo  QĐ số 01/2025/QĐ-UBND Quyết định về việc ban hành đơn giá xây dựng mới về </w:t>
      </w:r>
      <w:r>
        <w:rPr>
          <w:rFonts w:ascii="Times New Roman" w:hAnsi="Times New Roman" w:eastAsia="Times New Roman" w:cs="Times New Roman"/>
          <w:color w:val="000000"/>
          <w:sz w:val="24"/>
        </w:rPr>
        <w:t xml:space="preserve">nhà, nhà ở, công trình xây dựng gắn liền với đất để làm căn cứ tính bồi thường thiệt hại khi nhà nước thu hồi đất trên địa bàn Thành Phố Hà Nội là khá phù hợp với thị trường, theo đó:</w:t>
      </w:r>
      <w:r/>
    </w:p>
    <w:p>
      <w:pPr>
        <w:pBdr>
          <w:top w:val="none" w:color="000000" w:sz="4" w:space="0"/>
          <w:left w:val="none" w:color="000000" w:sz="4" w:space="0"/>
          <w:bottom w:val="none" w:color="000000" w:sz="4" w:space="0"/>
          <w:right w:val="none" w:color="000000" w:sz="4" w:space="0"/>
        </w:pBdr>
        <w:spacing w:after="120" w:before="120" w:line="276" w:lineRule="auto"/>
        <w:ind w:right="0" w:firstLine="425" w:left="0"/>
        <w:jc w:val="both"/>
        <w:rPr/>
      </w:pPr>
      <w:r>
        <w:rPr>
          <w:rFonts w:ascii="Times New Roman" w:hAnsi="Times New Roman" w:eastAsia="Times New Roman" w:cs="Times New Roman"/>
          <w:i/>
          <w:color w:val="000000"/>
          <w:sz w:val="24"/>
        </w:rPr>
        <w:t xml:space="preserve"> “Đơn giá xây dựng củaNhà cao từ 2 đến 3 tầng, tường xây gạch, mái bằng BTCT hoặc mái bằng BTCT trên lợp mái ngói hoặc tôn 5.679.800 đồng/m² (bao gồm VAT); </w:t>
      </w:r>
      <w:r/>
    </w:p>
    <w:p>
      <w:pPr>
        <w:pBdr>
          <w:top w:val="none" w:color="000000" w:sz="4" w:space="0"/>
          <w:left w:val="none" w:color="000000" w:sz="4" w:space="0"/>
          <w:bottom w:val="none" w:color="000000" w:sz="4" w:space="0"/>
          <w:right w:val="none" w:color="000000" w:sz="4" w:space="0"/>
        </w:pBdr>
        <w:spacing w:after="120" w:before="120" w:line="276" w:lineRule="auto"/>
        <w:ind w:right="0" w:firstLine="425" w:left="0"/>
        <w:jc w:val="both"/>
        <w:rPr/>
      </w:pPr>
      <w:r>
        <w:rPr>
          <w:rFonts w:ascii="Times New Roman" w:hAnsi="Times New Roman" w:eastAsia="Times New Roman" w:cs="Times New Roman"/>
          <w:color w:val="000000"/>
          <w:spacing w:val="3"/>
          <w:sz w:val="24"/>
          <w:highlight w:val="white"/>
        </w:rPr>
        <w:t xml:space="preserve">Do đó, Tổ thẩm định xác định đơn giá xây mới của công trình là: </w:t>
      </w:r>
      <w:r>
        <w:rPr>
          <w:rFonts w:ascii="Times New Roman" w:hAnsi="Times New Roman" w:eastAsia="Times New Roman" w:cs="Times New Roman"/>
          <w:b/>
          <w:color w:val="000000"/>
          <w:spacing w:val="3"/>
          <w:sz w:val="24"/>
          <w:highlight w:val="white"/>
        </w:rPr>
        <w:t xml:space="preserve">= 5.679.800 đồng/m²;</w:t>
      </w:r>
      <w:r>
        <w:rPr>
          <w:rFonts w:ascii="Times New Roman" w:hAnsi="Times New Roman" w:eastAsia="Times New Roman" w:cs="Times New Roman"/>
          <w:color w:val="000000"/>
          <w:spacing w:val="3"/>
          <w:sz w:val="24"/>
          <w:highlight w:val="white"/>
        </w:rPr>
        <w:t xml:space="preserve">(Đơn giá đã bao gồm VAT)</w:t>
      </w:r>
      <w:r>
        <w:rPr>
          <w:rFonts w:ascii="Times New Roman" w:hAnsi="Times New Roman" w:eastAsia="Times New Roman" w:cs="Times New Roman"/>
          <w:color w:val="000000"/>
          <w:sz w:val="24"/>
        </w:rPr>
        <w:t xml:space="preserve">.</w:t>
      </w: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hao mòn theo phương pháp chuyên gia:</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Qua khảo sát hiện trạng, dựa vào đặc điểm tài sản và tham khảo ý kiến các chuyên giá về xây dựng, Tổ thẩm định đánh giá tỷ lệ chất lượng còn lại của công trình xây dựng theo Văn bản số 1326/BXD-QLN do Bộ Xây dựng ban hành ngày 08/8/2011 về việc hướng dẫn k</w:t>
      </w:r>
      <w:r>
        <w:rPr>
          <w:rFonts w:ascii="Times New Roman" w:hAnsi="Times New Roman" w:eastAsia="Times New Roman" w:cs="Times New Roman"/>
          <w:color w:val="000000"/>
          <w:sz w:val="24"/>
        </w:rPr>
        <w:t xml:space="preserve">iểm kê, đánh giá lại giá trị tài sản cố định là nhà, vật kiến trúc như sau: Tỷ lệ chất lượng còn lại của nhà, vật kiến trúc được xác định căn cứ vào tỷ lệ chất lượng còn lại của các kết cấu chính (nếu là nhà thì kết cấu chính gồm: móng, khung, cột, tường, </w:t>
      </w:r>
      <w:r>
        <w:rPr>
          <w:rFonts w:ascii="Times New Roman" w:hAnsi="Times New Roman" w:eastAsia="Times New Roman" w:cs="Times New Roman"/>
          <w:color w:val="000000"/>
          <w:sz w:val="24"/>
        </w:rPr>
        <w:t xml:space="preserve">nền, sàn, kết cấu đỡ mái và mái) tạo nên nhà đó và tỷ lệ giá trị của các kết cấu chính đó so với tổng giá trị của nhà hoặc vật kiến trúc.</w:t>
      </w:r>
      <w:r/>
    </w:p>
    <w:p>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color w:val="000000"/>
          <w:sz w:val="24"/>
        </w:rPr>
        <w:t xml:space="preserve">Công thức tính như sau:</w:t>
      </w:r>
      <w:r/>
    </w:p>
    <w:tbl>
      <w:tblPr>
        <w:tblStyle w:val="1035"/>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068"/>
        <w:gridCol w:w="560"/>
        <w:gridCol w:w="700"/>
        <w:gridCol w:w="2864"/>
        <w:gridCol w:w="636"/>
        <w:gridCol w:w="2460"/>
      </w:tblGrid>
      <w:tr>
        <w:trPr/>
        <w:tc>
          <w:tcPr>
            <w:tcBorders/>
            <w:tcMar>
              <w:left w:w="108" w:type="dxa"/>
              <w:top w:w="0" w:type="dxa"/>
              <w:right w:w="108" w:type="dxa"/>
              <w:bottom w:w="0" w:type="dxa"/>
            </w:tcMar>
            <w:tcW w:w="206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Tỷ lệ chất lượng còn lại lại của nhà, vật kiến trúc (%)</w:t>
            </w:r>
            <w:r/>
          </w:p>
        </w:tc>
        <w:tc>
          <w:tcPr>
            <w:tcBorders/>
            <w:tcMar>
              <w:left w:w="108" w:type="dxa"/>
              <w:top w:w="0" w:type="dxa"/>
              <w:right w:w="108" w:type="dxa"/>
              <w:bottom w:w="0" w:type="dxa"/>
            </w:tcMar>
            <w:tcW w:w="56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tcBorders>
            <w:tcMar>
              <w:left w:w="108" w:type="dxa"/>
              <w:top w:w="0" w:type="dxa"/>
              <w:right w:w="108" w:type="dxa"/>
              <w:bottom w:w="0" w:type="dxa"/>
            </w:tcMar>
            <w:tcW w:w="700" w:type="dxa"/>
            <w:vAlign w:val="center"/>
            <w:textDirection w:val="lrTb"/>
            <w:noWrap w:val="false"/>
          </w:tcPr>
          <w:p>
            <w:pPr>
              <w:pBdr/>
              <w:spacing w:after="0" w:before="0" w:line="240" w:lineRule="auto"/>
              <w:ind/>
              <w:rPr/>
            </w:pPr>
            <w:r/>
            <w:r/>
          </w:p>
        </w:tc>
        <w:tc>
          <w:tcPr>
            <w:tcBorders>
              <w:bottom w:val="single" w:color="000000" w:sz="8" w:space="0"/>
            </w:tcBorders>
            <w:tcMar>
              <w:left w:w="108" w:type="dxa"/>
              <w:top w:w="0" w:type="dxa"/>
              <w:right w:w="108" w:type="dxa"/>
              <w:bottom w:w="0" w:type="dxa"/>
            </w:tcMar>
            <w:tcW w:w="28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Tỷ lệ chất lượng còn lại của kết cấu chính thức i (%)</w:t>
            </w:r>
            <w:r/>
          </w:p>
        </w:tc>
        <w:tc>
          <w:tcPr>
            <w:tcBorders>
              <w:bottom w:val="single" w:color="000000" w:sz="8" w:space="0"/>
            </w:tcBorders>
            <w:tcMar>
              <w:left w:w="108" w:type="dxa"/>
              <w:top w:w="0" w:type="dxa"/>
              <w:right w:w="108" w:type="dxa"/>
              <w:bottom w:w="0" w:type="dxa"/>
            </w:tcMar>
            <w:tcW w:w="6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x</w:t>
            </w:r>
            <w:r/>
          </w:p>
        </w:tc>
        <w:tc>
          <w:tcPr>
            <w:tcBorders>
              <w:bottom w:val="single" w:color="000000" w:sz="8" w:space="0"/>
            </w:tcBorders>
            <w:tcMar>
              <w:left w:w="108" w:type="dxa"/>
              <w:top w:w="0" w:type="dxa"/>
              <w:right w:w="108" w:type="dxa"/>
              <w:bottom w:w="0" w:type="dxa"/>
            </w:tcMar>
            <w:tcW w:w="24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Tỷ lệ giá trị của kết cấu chính thứ i so với tổng giá trị của ngôi nhà hoặc vật kiến trúc (%)</w:t>
            </w:r>
            <w:r/>
          </w:p>
        </w:tc>
      </w:tr>
      <w:tr>
        <w:trPr/>
        <w:tc>
          <w:tcPr>
            <w:tcBorders/>
            <w:vMerge w:val="continue"/>
            <w:textDirection w:val="lrTb"/>
            <w:noWrap w:val="false"/>
          </w:tcPr>
          <w:p>
            <w:pPr>
              <w:pBdr/>
              <w:spacing/>
              <w:ind/>
              <w:rPr/>
            </w:pPr>
            <w:r/>
            <w:r/>
          </w:p>
        </w:tc>
        <w:tc>
          <w:tcPr>
            <w:tcBorders/>
            <w:vMerge w:val="continue"/>
            <w:textDirection w:val="lrTb"/>
            <w:noWrap w:val="false"/>
          </w:tcPr>
          <w:p>
            <w:pPr>
              <w:pBdr/>
              <w:spacing/>
              <w:ind/>
              <w:rPr/>
            </w:pPr>
            <w:r/>
            <w:r/>
          </w:p>
        </w:tc>
        <w:tc>
          <w:tcPr>
            <w:gridSpan w:val="4"/>
            <w:tcBorders/>
            <w:tcMar>
              <w:left w:w="108" w:type="dxa"/>
              <w:top w:w="0" w:type="dxa"/>
              <w:right w:w="108" w:type="dxa"/>
              <w:bottom w:w="0" w:type="dxa"/>
            </w:tcMar>
            <w:tcW w:w="66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Tổng tỷ lệ giá trị của các kết cấu chính so với tổng giá trị của ngôi nhà hoặc vật kiến trúc (%)</w:t>
            </w:r>
            <w:r/>
          </w:p>
        </w:tc>
      </w:tr>
    </w:tbl>
    <w:p>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i/>
          <w:color w:val="000000"/>
          <w:sz w:val="24"/>
        </w:rPr>
        <w:t xml:space="preserve">Trong đó:</w:t>
      </w:r>
      <w:r/>
    </w:p>
    <w:p>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color w:val="000000"/>
          <w:sz w:val="24"/>
        </w:rPr>
        <w:t xml:space="preserve">i: số thứ tự của kết cấu chính</w:t>
      </w:r>
      <w:r/>
    </w:p>
    <w:p>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color w:val="000000"/>
          <w:sz w:val="24"/>
        </w:rPr>
        <w:t xml:space="preserve">n: số các kết cấu chính.</w:t>
      </w: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7"/>
        <w:gridCol w:w="2121"/>
        <w:gridCol w:w="2010"/>
        <w:gridCol w:w="2531"/>
        <w:gridCol w:w="2316"/>
      </w:tblGrid>
      <w:tr>
        <w:trPr>
          <w:trHeight w:val="93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KẾT CẤU CHÍNH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0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chất lượng còn lại các kết cấu chính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giá trị còn lại các kết cấu chính (%)</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a</w:t>
            </w:r>
            <w:r/>
          </w:p>
        </w:tc>
        <w:tc>
          <w:tcPr>
            <w:tcBorders>
              <w:bottom w:val="single" w:color="000000" w:sz="8" w:space="0"/>
              <w:right w:val="single" w:color="000000" w:sz="8" w:space="0"/>
            </w:tcBorders>
            <w:tcMar>
              <w:left w:w="108" w:type="dxa"/>
              <w:top w:w="0" w:type="dxa"/>
              <w:right w:w="108" w:type="dxa"/>
              <w:bottom w:w="0" w:type="dxa"/>
            </w:tcMar>
            <w:tcW w:w="21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b</w:t>
            </w:r>
            <w:r/>
          </w:p>
        </w:tc>
        <w:tc>
          <w:tcPr>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c</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d</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e = c x d/g</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212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Móng</w:t>
            </w:r>
            <w:r/>
          </w:p>
        </w:tc>
        <w:tc>
          <w:tcPr>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60%</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212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Khung, cột</w:t>
            </w:r>
            <w:r/>
          </w:p>
        </w:tc>
        <w:tc>
          <w:tcPr>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212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Tường</w:t>
            </w:r>
            <w:r/>
          </w:p>
        </w:tc>
        <w:tc>
          <w:tcPr>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16%</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60%</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212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Nền, sàn</w:t>
            </w:r>
            <w:r/>
          </w:p>
        </w:tc>
        <w:tc>
          <w:tcPr>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60%</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212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Kết cấu đỡ mái</w:t>
            </w:r>
            <w:r/>
          </w:p>
        </w:tc>
        <w:tc>
          <w:tcPr>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w:t>
            </w:r>
            <w:r/>
          </w:p>
        </w:tc>
        <w:tc>
          <w:tcPr>
            <w:tcBorders>
              <w:bottom w:val="single" w:color="000000" w:sz="8" w:space="0"/>
              <w:right w:val="single" w:color="000000" w:sz="8" w:space="0"/>
            </w:tcBorders>
            <w:tcMar>
              <w:left w:w="108" w:type="dxa"/>
              <w:top w:w="0" w:type="dxa"/>
              <w:right w:w="108" w:type="dxa"/>
              <w:bottom w:w="0" w:type="dxa"/>
            </w:tcMar>
            <w:tcW w:w="212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Mái</w:t>
            </w:r>
            <w:r/>
          </w:p>
        </w:tc>
        <w:tc>
          <w:tcPr>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26%</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60%</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25%</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1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Tổng cộng (g)</w:t>
            </w:r>
            <w:r/>
          </w:p>
        </w:tc>
        <w:tc>
          <w:tcPr>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62%</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1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chất lượng còn lại:</w:t>
            </w:r>
            <w:r/>
          </w:p>
        </w:tc>
        <w:tc>
          <w:tcPr>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60%</w:t>
            </w:r>
            <w:r/>
          </w:p>
        </w:tc>
      </w:tr>
    </w:tbl>
    <w:p>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Tổ thẩm định xác định, tỷ lệ chất lượng còn lại của công trình xây dựng là: </w:t>
      </w:r>
      <w:r>
        <w:rPr>
          <w:rFonts w:ascii="Times New Roman" w:hAnsi="Times New Roman" w:eastAsia="Times New Roman" w:cs="Times New Roman"/>
          <w:b/>
          <w:color w:val="000000"/>
          <w:sz w:val="24"/>
        </w:rPr>
        <w:t xml:space="preserve">60%</w:t>
      </w: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đơn giá xây mới của công trình xây dựng trên thửa đất số 25-15</w:t>
      </w:r>
      <w:r/>
    </w:p>
    <w:p>
      <w:pPr>
        <w:pBdr>
          <w:top w:val="none" w:color="000000" w:sz="4" w:space="0"/>
          <w:left w:val="none" w:color="000000" w:sz="4" w:space="0"/>
          <w:bottom w:val="none" w:color="000000" w:sz="4" w:space="0"/>
          <w:right w:val="none" w:color="000000" w:sz="4" w:space="0"/>
        </w:pBdr>
        <w:spacing w:after="120" w:before="120" w:line="276" w:lineRule="auto"/>
        <w:ind w:right="0" w:firstLine="425"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Nhà 1 tầng đối chiếu với kết cấu của công trình xây dựng hiện có, Tổ thẩm định nhận thấy đơn giá vận dụng theo  QĐ số 01/2025/QĐ-UBND Quyết định về việc ban hành đơn giá xây dựng mới về n</w:t>
      </w:r>
      <w:r>
        <w:rPr>
          <w:rFonts w:ascii="Times New Roman" w:hAnsi="Times New Roman" w:eastAsia="Times New Roman" w:cs="Times New Roman"/>
          <w:color w:val="000000"/>
          <w:sz w:val="24"/>
        </w:rPr>
        <w:t xml:space="preserve">hà, nhà ở, công trình xây dựng gắn liền với đất để làm căn cứ tính bồi thường thiệt hại khi nhà nước thu hồi đất trên địa bàn Thành Phố Hà Nội là khá phù hợp với thị trường, theo đó:</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i/>
          <w:color w:val="000000"/>
          <w:sz w:val="24"/>
        </w:rPr>
        <w:t xml:space="preserve">“Đơn giá xây dựng của Nhà 1 tầng, tường 220, tường bao quanh cao &gt;3m (không tính chiều cao tường thu hồi), mái ngói hoặc mái tôn (không có trần), nền lát gạch ceramic.: 2.855.600 đồng/m² (bao gồm VAT)</w:t>
      </w:r>
      <w:r/>
    </w:p>
    <w:p>
      <w:pPr>
        <w:pBdr>
          <w:top w:val="none" w:color="000000" w:sz="4" w:space="0"/>
          <w:left w:val="none" w:color="000000" w:sz="4" w:space="0"/>
          <w:bottom w:val="none" w:color="000000" w:sz="4" w:space="0"/>
          <w:right w:val="none" w:color="000000" w:sz="4" w:space="0"/>
        </w:pBdr>
        <w:spacing w:after="120" w:before="120" w:line="276" w:lineRule="auto"/>
        <w:ind w:right="0" w:firstLine="425" w:left="0"/>
        <w:jc w:val="both"/>
        <w:rPr/>
      </w:pPr>
      <w:r>
        <w:rPr>
          <w:rFonts w:ascii="Times New Roman" w:hAnsi="Times New Roman" w:eastAsia="Times New Roman" w:cs="Times New Roman"/>
          <w:color w:val="000000"/>
          <w:spacing w:val="3"/>
          <w:sz w:val="24"/>
          <w:highlight w:val="white"/>
        </w:rPr>
        <w:t xml:space="preserve">Do đó, Tổ thẩm định xác định đơn giá của công trình là: </w:t>
      </w:r>
      <w:r>
        <w:rPr>
          <w:rFonts w:ascii="Times New Roman" w:hAnsi="Times New Roman" w:eastAsia="Times New Roman" w:cs="Times New Roman"/>
          <w:b/>
          <w:color w:val="000000"/>
          <w:spacing w:val="3"/>
          <w:sz w:val="24"/>
          <w:highlight w:val="white"/>
        </w:rPr>
        <w:t xml:space="preserve">2.855.600 đồng/m²;</w:t>
      </w:r>
      <w:r>
        <w:rPr>
          <w:rFonts w:ascii="Times New Roman" w:hAnsi="Times New Roman" w:eastAsia="Times New Roman" w:cs="Times New Roman"/>
          <w:color w:val="000000"/>
          <w:spacing w:val="3"/>
          <w:sz w:val="24"/>
          <w:highlight w:val="white"/>
        </w:rPr>
        <w:t xml:space="preserve">(Đơn giá đã bao gồm VAT)</w:t>
      </w:r>
      <w:r>
        <w:rPr>
          <w:rFonts w:ascii="Times New Roman" w:hAnsi="Times New Roman" w:eastAsia="Times New Roman" w:cs="Times New Roman"/>
          <w:color w:val="000000"/>
          <w:sz w:val="24"/>
        </w:rPr>
        <w:t xml:space="preserve">.</w:t>
      </w: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hao mòn theo phương pháp chuyên gia: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Qua khảo sát hiện trạng, dựa vào đặc điểm tài sản và tham khảo ý kiến các chuyên giá về xây dựng, Tổ thẩm định đánh giá tỷ lệ chất lượng còn lại của công trình xây dựng theo Văn bản số 1326/BXD-QLN do Bộ Xây dựng ban hành ngày 08/8/2011 về việc hướng dẫn k</w:t>
      </w:r>
      <w:r>
        <w:rPr>
          <w:rFonts w:ascii="Times New Roman" w:hAnsi="Times New Roman" w:eastAsia="Times New Roman" w:cs="Times New Roman"/>
          <w:color w:val="000000"/>
          <w:sz w:val="24"/>
        </w:rPr>
        <w:t xml:space="preserve">iểm kê, đánh giá lại giá trị tài sản cố định là nhà, vật kiến trúc như sau: Tỷ lệ chất lượng còn lại của nhà, vật kiến trúc được xác định căn cứ vào tỷ lệ chất lượng còn lại của các kết cấu chính (nếu là nhà thì kết cấu chính gồm: móng, khung, cột, tường, </w:t>
      </w:r>
      <w:r>
        <w:rPr>
          <w:rFonts w:ascii="Times New Roman" w:hAnsi="Times New Roman" w:eastAsia="Times New Roman" w:cs="Times New Roman"/>
          <w:color w:val="000000"/>
          <w:sz w:val="24"/>
        </w:rPr>
        <w:t xml:space="preserve">nền, sàn, kết cấu đỡ mái và mái) tạo nên nhà đó và tỷ lệ giá trị của các kết cấu chính đó so với tổng giá trị của nhà hoặc vật kiến trúc.</w:t>
      </w:r>
      <w:r/>
    </w:p>
    <w:p>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color w:val="000000"/>
          <w:sz w:val="24"/>
        </w:rPr>
        <w:t xml:space="preserve">Công thức tính như sau:</w:t>
      </w:r>
      <w:r/>
    </w:p>
    <w:tbl>
      <w:tblPr>
        <w:tblStyle w:val="1035"/>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068"/>
        <w:gridCol w:w="560"/>
        <w:gridCol w:w="700"/>
        <w:gridCol w:w="2864"/>
        <w:gridCol w:w="636"/>
        <w:gridCol w:w="2460"/>
      </w:tblGrid>
      <w:tr>
        <w:trPr/>
        <w:tc>
          <w:tcPr>
            <w:tcBorders/>
            <w:tcMar>
              <w:left w:w="108" w:type="dxa"/>
              <w:top w:w="0" w:type="dxa"/>
              <w:right w:w="108" w:type="dxa"/>
              <w:bottom w:w="0" w:type="dxa"/>
            </w:tcMar>
            <w:tcW w:w="206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Tỷ lệ chất lượng còn lại lại của nhà, vật kiến trúc (%)</w:t>
            </w:r>
            <w:r/>
          </w:p>
        </w:tc>
        <w:tc>
          <w:tcPr>
            <w:tcBorders/>
            <w:tcMar>
              <w:left w:w="108" w:type="dxa"/>
              <w:top w:w="0" w:type="dxa"/>
              <w:right w:w="108" w:type="dxa"/>
              <w:bottom w:w="0" w:type="dxa"/>
            </w:tcMar>
            <w:tcW w:w="56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tcBorders>
            <w:tcMar>
              <w:left w:w="108" w:type="dxa"/>
              <w:top w:w="0" w:type="dxa"/>
              <w:right w:w="108" w:type="dxa"/>
              <w:bottom w:w="0" w:type="dxa"/>
            </w:tcMar>
            <w:tcW w:w="700" w:type="dxa"/>
            <w:vAlign w:val="center"/>
            <w:textDirection w:val="lrTb"/>
            <w:noWrap w:val="false"/>
          </w:tcPr>
          <w:p>
            <w:pPr>
              <w:pBdr/>
              <w:spacing w:after="0" w:before="0" w:line="240" w:lineRule="auto"/>
              <w:ind/>
              <w:rPr/>
            </w:pPr>
            <w:r/>
            <w:r/>
          </w:p>
        </w:tc>
        <w:tc>
          <w:tcPr>
            <w:tcBorders>
              <w:bottom w:val="single" w:color="000000" w:sz="8" w:space="0"/>
            </w:tcBorders>
            <w:tcMar>
              <w:left w:w="108" w:type="dxa"/>
              <w:top w:w="0" w:type="dxa"/>
              <w:right w:w="108" w:type="dxa"/>
              <w:bottom w:w="0" w:type="dxa"/>
            </w:tcMar>
            <w:tcW w:w="28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Tỷ lệ chất lượng còn lại của kết cấu chính thức i (%)</w:t>
            </w:r>
            <w:r/>
          </w:p>
        </w:tc>
        <w:tc>
          <w:tcPr>
            <w:tcBorders>
              <w:bottom w:val="single" w:color="000000" w:sz="8" w:space="0"/>
            </w:tcBorders>
            <w:tcMar>
              <w:left w:w="108" w:type="dxa"/>
              <w:top w:w="0" w:type="dxa"/>
              <w:right w:w="108" w:type="dxa"/>
              <w:bottom w:w="0" w:type="dxa"/>
            </w:tcMar>
            <w:tcW w:w="6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x</w:t>
            </w:r>
            <w:r/>
          </w:p>
        </w:tc>
        <w:tc>
          <w:tcPr>
            <w:tcBorders>
              <w:bottom w:val="single" w:color="000000" w:sz="8" w:space="0"/>
            </w:tcBorders>
            <w:tcMar>
              <w:left w:w="108" w:type="dxa"/>
              <w:top w:w="0" w:type="dxa"/>
              <w:right w:w="108" w:type="dxa"/>
              <w:bottom w:w="0" w:type="dxa"/>
            </w:tcMar>
            <w:tcW w:w="24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Tỷ lệ giá trị của kết cấu chính thứ i so với tổng giá trị của ngôi nhà hoặc vật kiến trúc (%)</w:t>
            </w:r>
            <w:r/>
          </w:p>
        </w:tc>
      </w:tr>
      <w:tr>
        <w:trPr/>
        <w:tc>
          <w:tcPr>
            <w:tcBorders/>
            <w:vMerge w:val="continue"/>
            <w:textDirection w:val="lrTb"/>
            <w:noWrap w:val="false"/>
          </w:tcPr>
          <w:p>
            <w:pPr>
              <w:pBdr/>
              <w:spacing/>
              <w:ind/>
              <w:rPr/>
            </w:pPr>
            <w:r/>
            <w:r/>
          </w:p>
        </w:tc>
        <w:tc>
          <w:tcPr>
            <w:tcBorders/>
            <w:vMerge w:val="continue"/>
            <w:textDirection w:val="lrTb"/>
            <w:noWrap w:val="false"/>
          </w:tcPr>
          <w:p>
            <w:pPr>
              <w:pBdr/>
              <w:spacing/>
              <w:ind/>
              <w:rPr/>
            </w:pPr>
            <w:r/>
            <w:r/>
          </w:p>
        </w:tc>
        <w:tc>
          <w:tcPr>
            <w:gridSpan w:val="4"/>
            <w:tcBorders/>
            <w:tcMar>
              <w:left w:w="108" w:type="dxa"/>
              <w:top w:w="0" w:type="dxa"/>
              <w:right w:w="108" w:type="dxa"/>
              <w:bottom w:w="0" w:type="dxa"/>
            </w:tcMar>
            <w:tcW w:w="66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Tổng tỷ lệ giá trị của các kết cấu chính so với tổng giá trị của ngôi nhà hoặc vật kiến trúc (%)</w:t>
            </w:r>
            <w:r/>
          </w:p>
        </w:tc>
      </w:tr>
    </w:tbl>
    <w:p>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i/>
          <w:color w:val="000000"/>
          <w:sz w:val="24"/>
        </w:rPr>
        <w:t xml:space="preserve">Trong đó:</w:t>
      </w:r>
      <w:r/>
    </w:p>
    <w:p>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color w:val="000000"/>
          <w:sz w:val="24"/>
        </w:rPr>
        <w:t xml:space="preserve">i: số thứ tự của kết cấu chính</w:t>
      </w:r>
      <w:r/>
    </w:p>
    <w:p>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color w:val="000000"/>
          <w:sz w:val="24"/>
        </w:rPr>
        <w:t xml:space="preserve">n: số các kết cấu chính.</w:t>
      </w: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7"/>
        <w:gridCol w:w="2121"/>
        <w:gridCol w:w="2010"/>
        <w:gridCol w:w="2531"/>
        <w:gridCol w:w="2316"/>
      </w:tblGrid>
      <w:tr>
        <w:trPr>
          <w:trHeight w:val="93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KẾT CẤU CHÍNH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0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chất lượng còn lại các kết cấu chính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giá trị còn lại các kết cấu chính (%)</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a</w:t>
            </w:r>
            <w:r/>
          </w:p>
        </w:tc>
        <w:tc>
          <w:tcPr>
            <w:tcBorders>
              <w:bottom w:val="single" w:color="000000" w:sz="8" w:space="0"/>
              <w:right w:val="single" w:color="000000" w:sz="8" w:space="0"/>
            </w:tcBorders>
            <w:tcMar>
              <w:left w:w="108" w:type="dxa"/>
              <w:top w:w="0" w:type="dxa"/>
              <w:right w:w="108" w:type="dxa"/>
              <w:bottom w:w="0" w:type="dxa"/>
            </w:tcMar>
            <w:tcW w:w="21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b</w:t>
            </w:r>
            <w:r/>
          </w:p>
        </w:tc>
        <w:tc>
          <w:tcPr>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c</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d</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e = c x d/g</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212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Móng</w:t>
            </w:r>
            <w:r/>
          </w:p>
        </w:tc>
        <w:tc>
          <w:tcPr>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60%</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212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Khung, cột</w:t>
            </w:r>
            <w:r/>
          </w:p>
        </w:tc>
        <w:tc>
          <w:tcPr>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212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Tường</w:t>
            </w:r>
            <w:r/>
          </w:p>
        </w:tc>
        <w:tc>
          <w:tcPr>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16%</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60%</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212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Nền, sàn</w:t>
            </w:r>
            <w:r/>
          </w:p>
        </w:tc>
        <w:tc>
          <w:tcPr>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60%</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212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Kết cấu đỡ mái</w:t>
            </w:r>
            <w:r/>
          </w:p>
        </w:tc>
        <w:tc>
          <w:tcPr>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w:t>
            </w:r>
            <w:r/>
          </w:p>
        </w:tc>
        <w:tc>
          <w:tcPr>
            <w:tcBorders>
              <w:bottom w:val="single" w:color="000000" w:sz="8" w:space="0"/>
              <w:right w:val="single" w:color="000000" w:sz="8" w:space="0"/>
            </w:tcBorders>
            <w:tcMar>
              <w:left w:w="108" w:type="dxa"/>
              <w:top w:w="0" w:type="dxa"/>
              <w:right w:w="108" w:type="dxa"/>
              <w:bottom w:w="0" w:type="dxa"/>
            </w:tcMar>
            <w:tcW w:w="212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Mái</w:t>
            </w:r>
            <w:r/>
          </w:p>
        </w:tc>
        <w:tc>
          <w:tcPr>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26%</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60%</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25%</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1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Tổng cộng (g)</w:t>
            </w:r>
            <w:r/>
          </w:p>
        </w:tc>
        <w:tc>
          <w:tcPr>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62%</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1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chất lượng còn lại:</w:t>
            </w:r>
            <w:r/>
          </w:p>
        </w:tc>
        <w:tc>
          <w:tcPr>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60%</w:t>
            </w:r>
            <w:r/>
          </w:p>
        </w:tc>
      </w:tr>
    </w:tbl>
    <w:p>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Tổ thẩm định xác định, tỷ lệ chất lượng còn lại của công trình xây dựng là: </w:t>
      </w:r>
      <w:r>
        <w:rPr>
          <w:rFonts w:ascii="Times New Roman" w:hAnsi="Times New Roman" w:eastAsia="Times New Roman" w:cs="Times New Roman"/>
          <w:b/>
          <w:color w:val="000000"/>
          <w:sz w:val="24"/>
        </w:rPr>
        <w:t xml:space="preserve">60%</w:t>
      </w:r>
      <w:r/>
    </w:p>
    <w:p>
      <w:pPr>
        <w:numPr>
          <w:ilvl w:val="0"/>
          <w:numId w:val="40"/>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của công trình xây dựng trên đất:</w:t>
      </w:r>
      <w:r/>
    </w:p>
    <w:p>
      <w:pPr>
        <w:pBdr>
          <w:top w:val="none" w:color="000000" w:sz="4" w:space="0"/>
          <w:left w:val="none" w:color="000000" w:sz="4" w:space="0"/>
          <w:bottom w:val="none" w:color="000000" w:sz="4" w:space="0"/>
          <w:right w:val="none" w:color="000000" w:sz="4" w:space="0"/>
        </w:pBdr>
        <w:shd w:val="clear" w:color="ffffff" w:fill="ffffff"/>
        <w:spacing w:after="80" w:before="80" w:line="276" w:lineRule="auto"/>
        <w:ind w:right="0" w:firstLine="284" w:left="0"/>
        <w:jc w:val="both"/>
        <w:rPr/>
      </w:pPr>
      <w:r>
        <w:rPr>
          <w:rFonts w:ascii="Times New Roman" w:hAnsi="Times New Roman" w:eastAsia="Times New Roman" w:cs="Times New Roman"/>
          <w:color w:val="000000"/>
          <w:spacing w:val="2"/>
          <w:sz w:val="24"/>
        </w:rPr>
        <w:t xml:space="preserve">Công thức:</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i/>
          <w:color w:val="000000"/>
          <w:sz w:val="24"/>
        </w:rPr>
        <w:t xml:space="preserve">Giá trị tài sản = Chi phí thay thế/ Chi phí tái tạo - Tổng giá trị hao mòn </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i/>
          <w:color w:val="000000"/>
          <w:sz w:val="24"/>
        </w:rPr>
        <w:t xml:space="preserve">                       = Chi phí thay thế/ Chi phí tái tạo x (1- tỷ lệ hao mòn)</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i/>
          <w:color w:val="000000"/>
          <w:sz w:val="24"/>
        </w:rPr>
        <w:t xml:space="preserve">                      = Chi phí thay thế/ Chi phí tái tạo x Tỷ lệ chất lượng còn lại</w:t>
      </w: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413"/>
        <w:gridCol w:w="1134"/>
        <w:gridCol w:w="1701"/>
        <w:gridCol w:w="1701"/>
        <w:gridCol w:w="1559"/>
        <w:gridCol w:w="2007"/>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Tên công trình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Diện tích  sàn (m²)</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Đơn giá xây mới (Đồng/m²)</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Chi phí thay thế (đồng)</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Chất lượng còn lại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Giá trị thẩm định (Đồng)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413"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A</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(3) = (1) * (2)</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(5)=(3)x(4)</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413" w:type="dxa"/>
            <w:vAlign w:val="center"/>
            <w:textDirection w:val="lrTb"/>
            <w:noWrap/>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color w:val="000000"/>
                <w:sz w:val="24"/>
              </w:rPr>
              <w:t xml:space="preserve">Nhà 2 tầng</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color w:val="000000"/>
                <w:sz w:val="24"/>
              </w:rPr>
              <w:t xml:space="preserve">25.2</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color w:val="000000"/>
                <w:sz w:val="24"/>
              </w:rPr>
              <w:t xml:space="preserve">5.679.800</w:t>
            </w:r>
            <w:r/>
          </w:p>
        </w:tc>
        <w:tc>
          <w:tcPr>
            <w:tcBorders>
              <w:bottom w:val="single" w:color="000000" w:sz="8" w:space="0"/>
              <w:right w:val="single" w:color="000000" w:sz="8" w:space="0"/>
            </w:tcBorders>
            <w:tcMar>
              <w:left w:w="108" w:type="dxa"/>
              <w:top w:w="0" w:type="dxa"/>
              <w:right w:w="108" w:type="dxa"/>
              <w:bottom w:w="0" w:type="dxa"/>
            </w:tcMar>
            <w:tcW w:w="1701" w:type="dxa"/>
            <w:vAlign w:val="top"/>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color w:val="000000"/>
                <w:sz w:val="24"/>
              </w:rPr>
              <w:t xml:space="preserve">143.130.960</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color w:val="000000"/>
                <w:sz w:val="24"/>
              </w:rPr>
              <w:t xml:space="preserve">60%</w:t>
            </w:r>
            <w:r/>
          </w:p>
        </w:tc>
        <w:tc>
          <w:tcPr>
            <w:tcBorders>
              <w:bottom w:val="single" w:color="000000" w:sz="8" w:space="0"/>
              <w:right w:val="single" w:color="000000" w:sz="8" w:space="0"/>
            </w:tcBorders>
            <w:tcMar>
              <w:left w:w="108" w:type="dxa"/>
              <w:top w:w="0" w:type="dxa"/>
              <w:right w:w="108" w:type="dxa"/>
              <w:bottom w:w="0" w:type="dxa"/>
            </w:tcMar>
            <w:tcW w:w="2007" w:type="dxa"/>
            <w:vAlign w:val="top"/>
            <w:textDirection w:val="lrTb"/>
            <w:noWrap/>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color w:val="000000"/>
                <w:sz w:val="24"/>
              </w:rPr>
              <w:t xml:space="preserve">85.878.576</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413" w:type="dxa"/>
            <w:vAlign w:val="center"/>
            <w:textDirection w:val="lrTb"/>
            <w:noWrap/>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color w:val="000000"/>
                <w:sz w:val="24"/>
              </w:rPr>
              <w:t xml:space="preserve">Nhà 01 tầng</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color w:val="000000"/>
                <w:sz w:val="24"/>
              </w:rPr>
              <w:t xml:space="preserve">8</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color w:val="000000"/>
                <w:sz w:val="24"/>
              </w:rPr>
              <w:t xml:space="preserve">2.747.091</w:t>
            </w:r>
            <w:r/>
          </w:p>
        </w:tc>
        <w:tc>
          <w:tcPr>
            <w:tcBorders>
              <w:bottom w:val="single" w:color="000000" w:sz="8" w:space="0"/>
              <w:right w:val="single" w:color="000000" w:sz="8" w:space="0"/>
            </w:tcBorders>
            <w:tcMar>
              <w:left w:w="108" w:type="dxa"/>
              <w:top w:w="0" w:type="dxa"/>
              <w:right w:w="108" w:type="dxa"/>
              <w:bottom w:w="0" w:type="dxa"/>
            </w:tcMar>
            <w:tcW w:w="1701" w:type="dxa"/>
            <w:vAlign w:val="top"/>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color w:val="000000"/>
                <w:sz w:val="24"/>
              </w:rPr>
              <w:t xml:space="preserve">21.976.730</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color w:val="000000"/>
                <w:sz w:val="24"/>
              </w:rPr>
              <w:t xml:space="preserve">60%</w:t>
            </w:r>
            <w:r/>
          </w:p>
        </w:tc>
        <w:tc>
          <w:tcPr>
            <w:tcBorders>
              <w:bottom w:val="single" w:color="000000" w:sz="8" w:space="0"/>
              <w:right w:val="single" w:color="000000" w:sz="8" w:space="0"/>
            </w:tcBorders>
            <w:tcMar>
              <w:left w:w="108" w:type="dxa"/>
              <w:top w:w="0" w:type="dxa"/>
              <w:right w:w="108" w:type="dxa"/>
              <w:bottom w:w="0" w:type="dxa"/>
            </w:tcMar>
            <w:tcW w:w="2007" w:type="dxa"/>
            <w:vAlign w:val="top"/>
            <w:textDirection w:val="lrTb"/>
            <w:noWrap/>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color w:val="000000"/>
                <w:sz w:val="24"/>
              </w:rPr>
              <w:t xml:space="preserve">13.186.038</w:t>
            </w:r>
            <w:r/>
          </w:p>
        </w:tc>
      </w:tr>
    </w:tbl>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3. Kết quả thẩm định giá:</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60" w:lineRule="auto"/>
        <w:ind w:right="0" w:firstLine="0" w:left="0"/>
        <w:jc w:val="both"/>
        <w:rPr>
          <w:highlight w:val="none"/>
        </w:rPr>
      </w:pPr>
      <w:r>
        <w:rPr>
          <w:rFonts w:ascii="Times New Roman" w:hAnsi="Times New Roman" w:eastAsia="Times New Roman" w:cs="Times New Roman"/>
          <w:color w:val="000000"/>
          <w:sz w:val="24"/>
        </w:rPr>
        <w:t xml:space="preserve">Dựa trên các lập luận trên, Tổ thẩm định ước tính giá trị tài sản thẩm định giá chưa bao gồm các loại thuế, phí và lệ phí liên quan đến việc chuyển nhượng tài sản tại thời điểm thẩm định giá tháng 11/2025 ước tính như sau:</w:t>
      </w:r>
      <w:r>
        <w:rPr>
          <w:rFonts w:ascii="Times New Roman" w:hAnsi="Times New Roman" w:eastAsia="Times New Roman" w:cs="Times New Roman"/>
          <w:sz w:val="24"/>
        </w:rPr>
      </w:r>
      <w:r>
        <w:rPr>
          <w:highlight w:val="none"/>
        </w:rP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7"/>
        <w:gridCol w:w="2004"/>
        <w:gridCol w:w="1914"/>
        <w:gridCol w:w="2095"/>
        <w:gridCol w:w="1323"/>
        <w:gridCol w:w="1642"/>
      </w:tblGrid>
      <w:tr>
        <w:trPr>
          <w:trHeight w:val="624"/>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Hệ số/</w:t>
              <w:br/>
              <w:t xml:space="preserve"> CLCL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19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1</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73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25-15;25-28, tờ bản đồ số: 38 có địa chỉ: Số 38 ngách 158/124 phố Ngọc Hà, Phường Ngọc Hà- Quận Ba Đình- Hà Nội ( Nay là Phường Ba Đình, Thành phố Hà Nội) theo Giấy chứng nhận quyền sử dụng đất</w:t>
            </w:r>
            <w:r>
              <w:rPr>
                <w:rFonts w:ascii="Times New Roman" w:hAnsi="Times New Roman" w:eastAsia="Times New Roman" w:cs="Times New Roman"/>
                <w:b/>
                <w:color w:val="000000"/>
                <w:sz w:val="24"/>
              </w:rPr>
              <w:t xml:space="preserve">  số: AE 752565, số vào sổ cấp GCN: H.1558/2007/QĐUB do Uỷ ban Nhân dân quận Ba Đình cấp ngày 3/07/2007 cho Ông Vũ Kim Ngọc và Bà Bùi Thị Hân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Quyền sử dụng đất ở tại đô thị </w:t>
            </w:r>
            <w:r/>
          </w:p>
        </w:tc>
        <w:tc>
          <w:tcPr>
            <w:tcBorders>
              <w:bottom w:val="single" w:color="000000" w:sz="8" w:space="0"/>
              <w:right w:val="single" w:color="000000" w:sz="8" w:space="0"/>
            </w:tcBorders>
            <w:tcMar>
              <w:left w:w="108" w:type="dxa"/>
              <w:top w:w="0" w:type="dxa"/>
              <w:right w:w="108" w:type="dxa"/>
              <w:bottom w:w="0" w:type="dxa"/>
            </w:tcMar>
            <w:tcW w:w="191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20,60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120.000.000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2.472.000.000</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Nhà 2 tầng </w:t>
            </w:r>
            <w:r/>
          </w:p>
        </w:tc>
        <w:tc>
          <w:tcPr>
            <w:tcBorders>
              <w:bottom w:val="single" w:color="000000" w:sz="8" w:space="0"/>
              <w:right w:val="single" w:color="000000" w:sz="8" w:space="0"/>
            </w:tcBorders>
            <w:tcMar>
              <w:left w:w="108" w:type="dxa"/>
              <w:top w:w="0" w:type="dxa"/>
              <w:right w:w="108" w:type="dxa"/>
              <w:bottom w:w="0" w:type="dxa"/>
            </w:tcMar>
            <w:tcW w:w="191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25,20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5.679.800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85.878.576</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Nhà 1 tầng </w:t>
            </w:r>
            <w:r/>
          </w:p>
        </w:tc>
        <w:tc>
          <w:tcPr>
            <w:tcBorders>
              <w:bottom w:val="single" w:color="000000" w:sz="8" w:space="0"/>
              <w:right w:val="single" w:color="000000" w:sz="8" w:space="0"/>
            </w:tcBorders>
            <w:tcMar>
              <w:left w:w="108" w:type="dxa"/>
              <w:top w:w="0" w:type="dxa"/>
              <w:right w:w="108" w:type="dxa"/>
              <w:bottom w:w="0" w:type="dxa"/>
            </w:tcMar>
            <w:tcW w:w="191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8,00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2.885.600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13.850.880</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01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Tổng cộng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2.571.729.456</w:t>
            </w:r>
            <w:r/>
          </w:p>
        </w:tc>
      </w:tr>
      <w:tr>
        <w:trPr>
          <w:trHeight w:val="339"/>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01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Làm tròn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b/>
                <w:color w:val="000000"/>
                <w:sz w:val="24"/>
              </w:rPr>
              <w:t xml:space="preserve">2.572.000.000</w:t>
            </w:r>
            <w:r/>
          </w:p>
        </w:tc>
      </w:tr>
      <w:tr>
        <w:trPr>
          <w:trHeight w:val="309"/>
        </w:trPr>
        <w:tc>
          <w:tcPr>
            <w:gridSpan w:val="6"/>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95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i/>
                <w:color w:val="000000"/>
                <w:sz w:val="24"/>
              </w:rPr>
              <w:t xml:space="preserve">Bằng chữ: Hai tỷ, năm trăm bảy mươi hai triệu đồng chẵn ./.</w:t>
            </w:r>
            <w:r/>
          </w:p>
        </w:tc>
      </w:tr>
    </w:tbl>
    <w:p>
      <w:pPr>
        <w:pBdr>
          <w:top w:val="none" w:color="000000" w:sz="4" w:space="0"/>
          <w:left w:val="none" w:color="000000" w:sz="4" w:space="0"/>
          <w:bottom w:val="none" w:color="000000" w:sz="4" w:space="0"/>
          <w:right w:val="none" w:color="000000" w:sz="4" w:space="0"/>
        </w:pBdr>
        <w:tabs>
          <w:tab w:val="left" w:leader="none" w:pos="993"/>
        </w:tabs>
        <w:spacing w:after="120" w:before="120" w:line="360" w:lineRule="auto"/>
        <w:ind w:right="0" w:firstLine="0" w:left="0"/>
        <w:jc w:val="both"/>
        <w:rPr>
          <w:rFonts w:ascii="Times New Roman" w:hAnsi="Times New Roman" w:eastAsia="Times New Roman" w:cs="Times New Roman"/>
          <w:sz w:val="24"/>
          <w:szCs w:val="24"/>
        </w:rPr>
      </w:pPr>
      <w:r>
        <w:rPr>
          <w:highlight w:val="none"/>
        </w:rPr>
      </w:r>
      <w:r>
        <w:rPr>
          <w:highlight w:val="none"/>
        </w:rPr>
      </w:r>
      <w:r>
        <w:rPr>
          <w:rFonts w:ascii="Times New Roman" w:hAnsi="Times New Roman" w:eastAsia="Times New Roman" w:cs="Times New Roman"/>
          <w:sz w:val="24"/>
          <w:szCs w:val="24"/>
        </w:rPr>
      </w:r>
    </w:p>
    <w:p>
      <w:pPr>
        <w:pStyle w:val="103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1"/>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w:t>
      </w:r>
      <w:r>
        <w:rPr>
          <w:lang w:val="pt-BR"/>
        </w:rPr>
        <w:t xml:space="preserve">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1"/>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1"/>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1"/>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1"/>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60" w:before="60" w:line="360" w:lineRule="auto"/>
        <w:ind/>
        <w:jc w:val="both"/>
        <w:rPr/>
      </w:pPr>
      <w:r>
        <w:rPr>
          <w:rFonts w:ascii="Times New Roman" w:hAnsi="Times New Roman" w:eastAsia="Times New Roman" w:cs="Times New Roman"/>
          <w:color w:val="000000"/>
          <w:sz w:val="24"/>
        </w:rPr>
        <w:t xml:space="preserve">Chúng tôi giả định rằng “</w:t>
      </w:r>
      <w:r>
        <w:rPr>
          <w:rFonts w:ascii="Times New Roman" w:hAnsi="Times New Roman" w:eastAsia="Times New Roman" w:cs="Times New Roman"/>
          <w:i/>
          <w:color w:val="000000"/>
          <w:sz w:val="24"/>
        </w:rPr>
        <w:t xml:space="preserve">Quyền sử dụng đất và tài sản gắn liền với đất tại thửa đất số: 25-15;25-28, tờ bản đồ số: 38 có   địa chỉ: Số 38 ngách 158/124 phố Ngọc Hà, Phường Ngọc Hà- Quận Ba Đình- Hà Nội ( Nay là Phường Ba Đình, Thành phố Hà Nội) theo Giấy chứng nhận quyền sử dụng đ</w:t>
      </w:r>
      <w:r>
        <w:rPr>
          <w:rFonts w:ascii="Times New Roman" w:hAnsi="Times New Roman" w:eastAsia="Times New Roman" w:cs="Times New Roman"/>
          <w:i/>
          <w:color w:val="000000"/>
          <w:sz w:val="24"/>
        </w:rPr>
        <w:t xml:space="preserve">ất và tài sản gắn liền với đất  số: AE 752565, số vào sổ cấp GCN: H.1558/2007/QĐUB do Uỷ ban Nhân dân quận Ba Đình cấp ngày 39148 cho Ông Vũ Kim Ngọc và Bà Bùi Thị Hân.</w:t>
      </w:r>
      <w:r>
        <w:rPr>
          <w:rFonts w:ascii="Times New Roman" w:hAnsi="Times New Roman" w:eastAsia="Times New Roman" w:cs="Times New Roman"/>
          <w:color w:val="000000"/>
          <w:sz w:val="24"/>
        </w:rPr>
        <w:t xml:space="preserve">”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đới (nế</w:t>
      </w:r>
      <w:r>
        <w:rPr>
          <w:rFonts w:ascii="Times New Roman" w:hAnsi="Times New Roman" w:eastAsia="Times New Roman" w:cs="Times New Roman"/>
          <w:color w:val="000000"/>
          <w:sz w:val="24"/>
        </w:rPr>
        <w:t xml:space="preserve">u có) trong trường hợp này.</w:t>
      </w:r>
      <w:r>
        <w:rPr>
          <w:rFonts w:ascii="Times New Roman" w:hAnsi="Times New Roman" w:eastAsia="Times New Roman" w:cs="Times New Roman"/>
          <w:sz w:val="24"/>
        </w:rPr>
      </w:r>
      <w:r/>
    </w:p>
    <w:p>
      <w:pPr>
        <w:pStyle w:val="1031"/>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w:t>
      </w:r>
      <w:r>
        <w:rPr>
          <w:bCs/>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spacing w:val="-2"/>
          <w:lang w:val="pt-BR"/>
        </w:rPr>
        <w:t xml:space="preserve">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31"/>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1"/>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1"/>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1"/>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1"/>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1"/>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rFonts w:ascii="Times New Roman" w:hAnsi="Times New Roman" w:eastAsia="Times New Roman" w:cs="Times New Roman"/>
          <w:i/>
          <w:color w:val="000000"/>
          <w:sz w:val="24"/>
        </w:rPr>
        <w:t xml:space="preserve">275/2025/1682/VFI-CT.53.A ngày 27 tháng 11 năm 2025</w:t>
      </w:r>
      <w:r>
        <w:rPr>
          <w:lang w:val="vi-VN"/>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XII.20112025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39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 - Chủ tịch</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HSTD-20251201-0004/BC-VFI</w:t>
      </w:r>
      <w:r>
        <w:rPr>
          <w:i/>
        </w:rPr>
        <w:t xml:space="preserve"> ngày</w:t>
      </w:r>
      <w:r>
        <w:rPr>
          <w:i/>
          <w:lang w:val="pt-BR"/>
        </w:rPr>
        <w:t xml:space="preserve"> </w:t>
      </w:r>
      <w:r>
        <w:rPr>
          <w:i/>
          <w:lang w:val="pt-BR"/>
        </w:rPr>
        <w:t xml:space="preserve">02/12/2025</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452143" cy="2269961"/>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531024" name=""/>
                              <pic:cNvPicPr>
                                <a:picLocks noChangeAspect="1"/>
                              </pic:cNvPicPr>
                              <pic:nvPr/>
                            </pic:nvPicPr>
                            <pic:blipFill>
                              <a:blip r:embed="rId17"/>
                              <a:stretch/>
                            </pic:blipFill>
                            <pic:spPr bwMode="auto">
                              <a:xfrm flipH="0" flipV="0">
                                <a:off x="0" y="0"/>
                                <a:ext cx="2452143" cy="22699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193.08pt;height:178.74pt;mso-wrap-distance-left:0.00pt;mso-wrap-distance-top:0.00pt;mso-wrap-distance-right:0.00pt;mso-wrap-distance-bottom:0.00pt;z-index:1;" stroked="false">
                      <v:imagedata r:id="rId17"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025610" cy="2700814"/>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379937" name=""/>
                              <pic:cNvPicPr>
                                <a:picLocks noChangeAspect="1"/>
                              </pic:cNvPicPr>
                              <pic:nvPr/>
                            </pic:nvPicPr>
                            <pic:blipFill>
                              <a:blip r:embed="rId18"/>
                              <a:stretch/>
                            </pic:blipFill>
                            <pic:spPr bwMode="auto">
                              <a:xfrm flipH="0" flipV="0">
                                <a:off x="0" y="0"/>
                                <a:ext cx="2025610" cy="27008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59.50pt;height:212.66pt;mso-wrap-distance-left:0.00pt;mso-wrap-distance-top:0.00pt;mso-wrap-distance-right:0.00pt;mso-wrap-distance-bottom:0.00pt;z-index:1;" stroked="false">
                      <v:imagedata r:id="rId18"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19"/>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893012" cy="252401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417353" name=""/>
                              <pic:cNvPicPr>
                                <a:picLocks noChangeAspect="1"/>
                              </pic:cNvPicPr>
                              <pic:nvPr/>
                            </pic:nvPicPr>
                            <pic:blipFill>
                              <a:blip r:embed="rId21"/>
                              <a:stretch/>
                            </pic:blipFill>
                            <pic:spPr bwMode="auto">
                              <a:xfrm flipH="0" flipV="0">
                                <a:off x="0" y="0"/>
                                <a:ext cx="1893011" cy="25240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49.06pt;height:198.74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121177" cy="2269804"/>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150708" name=""/>
                              <pic:cNvPicPr>
                                <a:picLocks noChangeAspect="1"/>
                              </pic:cNvPicPr>
                              <pic:nvPr/>
                            </pic:nvPicPr>
                            <pic:blipFill>
                              <a:blip r:embed="rId22"/>
                              <a:stretch/>
                            </pic:blipFill>
                            <pic:spPr bwMode="auto">
                              <a:xfrm flipH="0" flipV="0">
                                <a:off x="0" y="0"/>
                                <a:ext cx="2121176" cy="22698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67.02pt;height:178.72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HSTD-20251201-0004/BC-VFI</w:t>
      </w:r>
      <w:r>
        <w:rPr>
          <w:i/>
        </w:rPr>
        <w:t xml:space="preserve"> ngày</w:t>
      </w:r>
      <w:r>
        <w:rPr>
          <w:i/>
          <w:lang w:val="pt-BR"/>
        </w:rPr>
        <w:t xml:space="preserve"> </w:t>
      </w:r>
      <w:r>
        <w:rPr>
          <w:i/>
          <w:lang w:val="pt-BR"/>
        </w:rPr>
        <w:t xml:space="preserve">02/12/2025</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"Môi giới: 0988399619</w:t>
            </w:r>
            <w:r>
              <w:rPr>
                <w:color w:val="000000" w:themeColor="text1"/>
                <w:sz w:val="22"/>
                <w:szCs w:val="22"/>
              </w:rPr>
              <w:br/>
              <w:t xml:space="preserve">0988399619</w:t>
            </w:r>
            <w:r>
              <w:rPr>
                <w:sz w:val="22"/>
                <w:szCs w:val="22"/>
              </w:rPr>
              <w:t xml:space="preserve"> </w:t>
            </w:r>
            <w:r>
              <w:rPr>
                <w:sz w:val="22"/>
                <w:szCs w:val="22"/>
              </w:rPr>
              <w:br/>
              <w:t xml:space="preserve">(Chị Hiên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11/2025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(37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Ngọc Hà, Quận Ba Đình, Thành phố Hà Nội, độ rộng đường trước mặt tài sản 2.5m, trung bình, mặt tiền 3.8m, cách đường Hoàng Hoa Thám khoảng 180m, 21.03981905594383, 105.82497024662703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đường, phố + 1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30180"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3"/>
                              <a:stretch/>
                            </pic:blipFill>
                            <pic:spPr bwMode="auto">
                              <a:xfrm>
                                <a:off x="0" y="0"/>
                                <a:ext cx="143018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12.61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30819"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4"/>
                              <a:stretch/>
                            </pic:blipFill>
                            <pic:spPr bwMode="auto">
                              <a:xfrm>
                                <a:off x="0" y="0"/>
                                <a:ext cx="143081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12.66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30180"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5"/>
                              <a:stretch/>
                            </pic:blipFill>
                            <pic:spPr bwMode="auto">
                              <a:xfrm>
                                <a:off x="0" y="0"/>
                                <a:ext cx="143018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12.61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jc w:val="center"/>
          <w:trHeight w:val="29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t xml:space="preserve">Trần Thị Thanh Tâm</w:t>
            </w:r>
            <w:r/>
          </w:p>
          <w:p>
            <w:pPr>
              <w:pBdr/>
              <w:spacing/>
              <w:ind/>
              <w:jc w:val="center"/>
              <w:rPr/>
            </w:pPr>
            <w:r/>
            <w:r/>
          </w:p>
        </w:tc>
      </w:tr>
    </w:tbl>
    <w:p>
      <w:pPr>
        <w:pBdr/>
        <w:spacing/>
        <w:ind/>
        <w:rPr/>
      </w:pPr>
      <w:r>
        <w:br w:type="page" w:clear="all"/>
      </w:r>
      <w:r/>
    </w:p>
    <w:p>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https://alonhadat.com.vn/ngoc-ha-gan-lang-bac-thang-may-can-tien-ban-gap-17743653.html</w:t>
            </w:r>
            <w:r>
              <w:rPr>
                <w:color w:val="000000" w:themeColor="text1"/>
                <w:sz w:val="22"/>
                <w:szCs w:val="22"/>
              </w:rPr>
              <w:br/>
              <w:t xml:space="preserve">0988399619</w:t>
            </w:r>
            <w:r>
              <w:rPr>
                <w:sz w:val="22"/>
                <w:szCs w:val="22"/>
              </w:rPr>
              <w:t xml:space="preserve"> </w:t>
            </w:r>
            <w:r>
              <w:rPr>
                <w:sz w:val="22"/>
                <w:szCs w:val="22"/>
              </w:rPr>
              <w:br/>
              <w:t xml:space="preserve">(Đức Vinh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8.680.000.000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7.812.000.000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(30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Ngọc Hà, Quận Ba Đình, Thành phố Hà Nội, độ rộng đường trước mặt tài sản 3m, mặt tiền 3.8m, 21.039099875874854, 105.82586992857189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314842"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6"/>
                              <a:stretch/>
                            </pic:blipFill>
                            <pic:spPr bwMode="auto">
                              <a:xfrm>
                                <a:off x="0" y="0"/>
                                <a:ext cx="531484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8.49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441377" cy="2031128"/>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7"/>
                              <a:stretch/>
                            </pic:blipFill>
                            <pic:spPr bwMode="auto">
                              <a:xfrm flipH="0" flipV="0">
                                <a:off x="0" y="0"/>
                                <a:ext cx="4441376" cy="203112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49.71pt;height:159.93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rPr>
                <w:b/>
                <w:bCs/>
              </w:rPr>
            </w:pPr>
            <w:r>
              <w:rPr>
                <w:b/>
                <w:bCs/>
              </w:rPr>
            </w:r>
            <w:r>
              <w:rPr>
                <w:b/>
                <w:bCs/>
              </w:rPr>
            </w:r>
            <w:r>
              <w:rPr>
                <w:b/>
                <w:bCs/>
              </w:rPr>
            </w:r>
          </w:p>
        </w:tc>
        <w:tc>
          <w:tcPr>
            <w:tcBorders/>
            <w:tcW w:w="4701" w:type="dxa"/>
            <w:vAlign w:val="center"/>
            <w:textDirection w:val="lrTb"/>
            <w:noWrap/>
          </w:tcPr>
          <w:p>
            <w:pPr>
              <w:pBdr/>
              <w:spacing/>
              <w:ind/>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br/>
            </w:r>
            <w:r>
              <w:rPr>
                <w:sz w:val="22"/>
                <w:szCs w:val="22"/>
              </w:rPr>
              <w:t xml:space="preserve">SĐT: </w:t>
            </w:r>
            <w:r>
              <w:rPr>
                <w:color w:val="000000" w:themeColor="text1"/>
                <w:sz w:val="22"/>
                <w:szCs w:val="22"/>
              </w:rPr>
              <w:t xml:space="preserve">0908246179</w:t>
            </w:r>
            <w:r>
              <w:rPr>
                <w:sz w:val="22"/>
                <w:szCs w:val="22"/>
              </w:rPr>
              <w:t xml:space="preserve"> </w:t>
            </w:r>
            <w:r>
              <w:rPr>
                <w:sz w:val="22"/>
                <w:szCs w:val="22"/>
              </w:rPr>
              <w:br/>
              <w:t xml:space="preserve">(Việt Long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4.875.000.000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(20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Ngọc Hà, Quận Ba Đình, Thành phố Hà Nội, độ rộng đường trước mặt tài sản 2m, mặt tiền 3m, 21.039525775093043, 105.82666666666667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756642"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8"/>
                              <a:stretch/>
                            </pic:blipFill>
                            <pic:spPr bwMode="auto">
                              <a:xfrm>
                                <a:off x="0" y="0"/>
                                <a:ext cx="475664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74.54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756642"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9"/>
                              <a:stretch/>
                            </pic:blipFill>
                            <pic:spPr bwMode="auto">
                              <a:xfrm>
                                <a:off x="0" y="0"/>
                                <a:ext cx="475664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74.54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t xml:space="preserve">Trần Thị Thanh Tâm</w:t>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5A0A6F55"/>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38">
    <w:nsid w:val="793CA689"/>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9">
    <w:nsid w:val="72F7F3A3"/>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a38" w:themeColor="accent2" w:themeTint="97" w:themeShade="95"/>
      </w:rPr>
      <w:pPr>
        <w:pBdr/>
        <w:spacing/>
        <w:ind/>
      </w:pPr>
      <w:tblPr>
        <w:tblBorders/>
      </w:tblPr>
      <w:tcPr>
        <w:tcBorders/>
      </w:tcPr>
    </w:tblStylePr>
    <w:tblStylePr w:type="firstRow">
      <w:rPr>
        <w:b/>
        <w:color w:val="9f3a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a38" w:themeColor="accent2" w:themeTint="97" w:themeShade="95"/>
      </w:rPr>
      <w:pPr>
        <w:pBdr/>
        <w:spacing/>
        <w:ind/>
      </w:pPr>
      <w:tblPr>
        <w:tblBorders/>
      </w:tblPr>
      <w:tcPr>
        <w:tcBorders/>
      </w:tcPr>
    </w:tblStylePr>
    <w:tblStylePr w:type="lastRow">
      <w:rPr>
        <w:b/>
        <w:color w:val="9f3a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32f" w:themeColor="accent3" w:themeTint="FE" w:themeShade="95"/>
      </w:rPr>
      <w:pPr>
        <w:pBdr/>
        <w:spacing/>
        <w:ind/>
      </w:pPr>
      <w:tblPr>
        <w:tblBorders/>
      </w:tblPr>
      <w:tcPr>
        <w:tcBorders/>
      </w:tcPr>
    </w:tblStylePr>
    <w:tblStylePr w:type="firstRow">
      <w:rPr>
        <w:b/>
        <w:color w:val="5c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32f" w:themeColor="accent3" w:themeTint="FE" w:themeShade="95"/>
      </w:rPr>
      <w:pPr>
        <w:pBdr/>
        <w:spacing/>
        <w:ind/>
      </w:pPr>
      <w:tblPr>
        <w:tblBorders/>
      </w:tblPr>
      <w:tcPr>
        <w:tcBorders/>
      </w:tcPr>
    </w:tblStylePr>
    <w:tblStylePr w:type="lastRow">
      <w:rPr>
        <w:b/>
        <w:color w:val="5c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4" w:themeColor="accent4" w:themeTint="9A" w:themeShade="95"/>
      </w:rPr>
      <w:pPr>
        <w:pBdr/>
        <w:spacing/>
        <w:ind/>
      </w:pPr>
      <w:tblPr>
        <w:tblBorders/>
      </w:tblPr>
      <w:tcPr>
        <w:tcBorders/>
      </w:tcPr>
    </w:tblStylePr>
    <w:tblStylePr w:type="firstRow">
      <w:rPr>
        <w:b/>
        <w:color w:val="66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4" w:themeColor="accent4" w:themeTint="9A" w:themeShade="95"/>
      </w:rPr>
      <w:pPr>
        <w:pBdr/>
        <w:spacing/>
        <w:ind/>
      </w:pPr>
      <w:tblPr>
        <w:tblBorders/>
      </w:tblPr>
      <w:tcPr>
        <w:tcBorders/>
      </w:tcPr>
    </w:tblStylePr>
    <w:tblStylePr w:type="lastRow">
      <w:rPr>
        <w:b/>
        <w:color w:val="66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a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a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a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a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a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a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c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a38" w:themeColor="accent2" w:themeTint="97" w:themeShade="95"/>
      </w:rPr>
      <w:pPr>
        <w:pBdr/>
        <w:spacing/>
        <w:ind/>
      </w:pPr>
      <w:tblPr>
        <w:tblBorders/>
      </w:tblPr>
      <w:tcPr>
        <w:tcBorders/>
      </w:tcPr>
    </w:tblStylePr>
    <w:tblStylePr w:type="firstRow">
      <w:rPr>
        <w:b/>
        <w:color w:val="9f3a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a38" w:themeColor="accent2" w:themeTint="97" w:themeShade="95"/>
      </w:rPr>
      <w:pPr>
        <w:pBdr/>
        <w:spacing/>
        <w:ind/>
      </w:pPr>
      <w:tblPr>
        <w:tblBorders/>
      </w:tblPr>
      <w:tcPr>
        <w:tcBorders/>
      </w:tcPr>
    </w:tblStylePr>
    <w:tblStylePr w:type="lastRow">
      <w:rPr>
        <w:b/>
        <w:color w:val="9f3a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93f" w:themeColor="accent3" w:themeTint="98" w:themeShade="95"/>
      </w:rPr>
      <w:pPr>
        <w:pBdr/>
        <w:spacing/>
        <w:ind/>
      </w:pPr>
      <w:tblPr>
        <w:tblBorders/>
      </w:tblPr>
      <w:tcPr>
        <w:tcBorders/>
      </w:tcPr>
    </w:tblStylePr>
    <w:tblStylePr w:type="firstRow">
      <w:rPr>
        <w:b/>
        <w:color w:val="7c99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93f" w:themeColor="accent3" w:themeTint="98" w:themeShade="95"/>
      </w:rPr>
      <w:pPr>
        <w:pBdr/>
        <w:spacing/>
        <w:ind/>
      </w:pPr>
      <w:tblPr>
        <w:tblBorders/>
      </w:tblPr>
      <w:tcPr>
        <w:tcBorders/>
      </w:tcPr>
    </w:tblStylePr>
    <w:tblStylePr w:type="lastRow">
      <w:rPr>
        <w:b/>
        <w:color w:val="7c99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4" w:themeColor="accent4" w:themeTint="9A" w:themeShade="95"/>
      </w:rPr>
      <w:pPr>
        <w:pBdr/>
        <w:spacing/>
        <w:ind/>
      </w:pPr>
      <w:tblPr>
        <w:tblBorders/>
      </w:tblPr>
      <w:tcPr>
        <w:tcBorders/>
      </w:tcPr>
    </w:tblStylePr>
    <w:tblStylePr w:type="firstRow">
      <w:rPr>
        <w:b/>
        <w:color w:val="66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4" w:themeColor="accent4" w:themeTint="9A" w:themeShade="95"/>
      </w:rPr>
      <w:pPr>
        <w:pBdr/>
        <w:spacing/>
        <w:ind/>
      </w:pPr>
      <w:tblPr>
        <w:tblBorders/>
      </w:tblPr>
      <w:tcPr>
        <w:tcBorders/>
      </w:tcPr>
    </w:tblStylePr>
    <w:tblStylePr w:type="lastRow">
      <w:rPr>
        <w:b/>
        <w:color w:val="66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ba3" w:themeColor="accent5" w:themeTint="9A" w:themeShade="95"/>
      </w:rPr>
      <w:pPr>
        <w:pBdr/>
        <w:spacing/>
        <w:ind/>
      </w:pPr>
      <w:tblPr>
        <w:tblBorders/>
      </w:tblPr>
      <w:tcPr>
        <w:tcBorders/>
      </w:tcPr>
    </w:tblStylePr>
    <w:tblStylePr w:type="firstRow">
      <w:rPr>
        <w:b/>
        <w:color w:val="33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38ba3" w:themeColor="accent5" w:themeTint="9A" w:themeShade="95"/>
      </w:rPr>
      <w:pPr>
        <w:pBdr/>
        <w:spacing/>
        <w:ind/>
      </w:pPr>
      <w:tblPr>
        <w:tblBorders/>
      </w:tblPr>
      <w:tcPr>
        <w:tcBorders/>
      </w:tcPr>
    </w:tblStylePr>
    <w:tblStylePr w:type="lastRow">
      <w:rPr>
        <w:b/>
        <w:color w:val="33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80a" w:themeColor="accent6" w:themeTint="98" w:themeShade="95"/>
      </w:rPr>
      <w:pPr>
        <w:pBdr/>
        <w:spacing/>
        <w:ind/>
      </w:pPr>
      <w:tblPr>
        <w:tblBorders/>
      </w:tblPr>
      <w:tcPr>
        <w:tcBorders/>
      </w:tcPr>
    </w:tblStylePr>
    <w:tblStylePr w:type="firstRow">
      <w:rPr>
        <w:b/>
        <w:color w:val="dd68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80a" w:themeColor="accent6" w:themeTint="98" w:themeShade="95"/>
      </w:rPr>
      <w:pPr>
        <w:pBdr/>
        <w:spacing/>
        <w:ind/>
      </w:pPr>
      <w:tblPr>
        <w:tblBorders/>
      </w:tblPr>
      <w:tcPr>
        <w:tcBorders/>
      </w:tcPr>
    </w:tblStylePr>
    <w:tblStylePr w:type="lastRow">
      <w:rPr>
        <w:b/>
        <w:color w:val="dd68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a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a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a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a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a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a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a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9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9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9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9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9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9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9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6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3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8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8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8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8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8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8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8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https://onehousing.vn/blog/quy-hoach-quan-ba-dinh-ha-noi-sau-khi-sap-xep-lai-don-vi-hanh-chinh-n17t" TargetMode="External"/><Relationship Id="rId16" Type="http://schemas.openxmlformats.org/officeDocument/2006/relationships/hyperlink" Target="https://alonhadat.com.vn/ngoc-ha-gan-lang-bac-thang-may-can-tien-ban-gap-17743653.html"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onlyoffice/9.0.4.50</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Trọng Điệp</cp:lastModifiedBy>
  <cp:revision>488</cp:revision>
  <dcterms:created xsi:type="dcterms:W3CDTF">2025-09-15T02:01:00Z</dcterms:created>
  <dcterms:modified xsi:type="dcterms:W3CDTF">2025-12-02T04:21:05Z</dcterms:modified>
</cp:coreProperties>
</file>