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6207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6207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top w:val="none" w:color="000000" w:sz="4" w:space="0"/>
                                <w:left w:val="none" w:color="000000" w:sz="4" w:space="0"/>
                                <w:bottom w:val="none" w:color="000000" w:sz="4" w:space="0"/>
                                <w:right w:val="none" w:color="000000" w:sz="4" w:space="0"/>
                              </w:pBdr>
                              <w:spacing w:after="120" w:before="120"/>
                              <w:ind w:right="0" w:firstLine="0" w:left="0"/>
                              <w:jc w:val="center"/>
                              <w:rPr/>
                            </w:pPr>
                            <w:r>
                              <w:rPr>
                                <w:rFonts w:ascii="Times New Roman" w:hAnsi="Times New Roman" w:eastAsia="Times New Roman" w:cs="Times New Roman"/>
                                <w:b/>
                                <w:color w:val="000000"/>
                                <w:sz w:val="24"/>
                              </w:rPr>
                              <w:t xml:space="preserve">Số: 275/2025/1602/VFI-CT.48.A</w:t>
                            </w:r>
                            <w:r/>
                          </w:p>
                          <w:p>
                            <w:pPr>
                              <w:pBdr>
                                <w:top w:val="none" w:color="000000" w:sz="4" w:space="0"/>
                                <w:left w:val="none" w:color="000000" w:sz="4" w:space="0"/>
                                <w:bottom w:val="none" w:color="000000" w:sz="4" w:space="0"/>
                                <w:right w:val="none" w:color="000000" w:sz="4" w:space="0"/>
                              </w:pBdr>
                              <w:tabs>
                                <w:tab w:val="left" w:leader="none" w:pos="3002"/>
                              </w:tabs>
                              <w:spacing w:after="120" w:before="200"/>
                              <w:ind w:right="0" w:firstLine="0" w:left="0"/>
                              <w:jc w:val="center"/>
                              <w:rPr/>
                            </w:pPr>
                            <w:r>
                              <w:rPr>
                                <w:rFonts w:ascii="Times New Roman" w:hAnsi="Times New Roman" w:eastAsia="Times New Roman" w:cs="Times New Roman"/>
                                <w:b/>
                                <w:color w:val="000000"/>
                                <w:sz w:val="24"/>
                              </w:rPr>
                              <w:t xml:space="preserve">Khách hàng yêu cầu: ÔNG LÊ THANH TÙNG</w:t>
                            </w:r>
                            <w:r/>
                          </w:p>
                          <w:p>
                            <w:pPr>
                              <w:pBdr>
                                <w:top w:val="none" w:color="000000" w:sz="4" w:space="0"/>
                                <w:left w:val="none" w:color="000000" w:sz="4" w:space="0"/>
                                <w:bottom w:val="none" w:color="000000" w:sz="4" w:space="0"/>
                                <w:right w:val="none" w:color="000000" w:sz="4" w:space="0"/>
                              </w:pBdr>
                              <w:spacing w:before="240" w:line="360" w:lineRule="auto"/>
                              <w:ind w:right="0" w:firstLine="0" w:left="0"/>
                              <w:jc w:val="both"/>
                              <w:rPr/>
                            </w:pPr>
                            <w:r>
                              <w:rPr>
                                <w:rFonts w:ascii="Times New Roman" w:hAnsi="Times New Roman" w:eastAsia="Times New Roman" w:cs="Times New Roman"/>
                                <w:b/>
                                <w:color w:val="000000"/>
                                <w:sz w:val="24"/>
                              </w:rPr>
                              <w:t xml:space="preserve">Tài sản thẩm định: </w:t>
                            </w:r>
                            <w:r>
                              <w:rPr>
                                <w:rFonts w:ascii="Times New Roman" w:hAnsi="Times New Roman" w:eastAsia="Times New Roman" w:cs="Times New Roman"/>
                                <w:color w:val="000000"/>
                                <w:sz w:val="24"/>
                                <w:u w:val="none"/>
                              </w:rPr>
                              <w:t xml:space="preserve">Căn hộ chung cư số </w:t>
                            </w:r>
                            <w:r>
                              <w:rPr>
                                <w:rFonts w:ascii="Times New Roman" w:hAnsi="Times New Roman" w:eastAsia="Times New Roman" w:cs="Times New Roman"/>
                                <w:color w:val="000000"/>
                                <w:sz w:val="24"/>
                              </w:rPr>
                              <w:t xml:space="preserve">12A03 - Ô đất số B2-CT02, Toà U26-2 (S2.08) Dự án Khu đô thị Gia Lâm - Vinhomes Ocean Park, xã Đa Tốn, huyện Gia Lâm, thành phố Hà Nội (nay là xã Gia Lâm, thành phố Hà Nội) theo Giấy chứng nhận Quyền sử dụng đất, quyền sở hữu nhà ở và tài sản khác gắn liền</w:t>
                            </w:r>
                            <w:r>
                              <w:rPr>
                                <w:rFonts w:ascii="Times New Roman" w:hAnsi="Times New Roman" w:eastAsia="Times New Roman" w:cs="Times New Roman"/>
                                <w:color w:val="000000"/>
                                <w:sz w:val="24"/>
                              </w:rPr>
                              <w:t xml:space="preserve"> với đất số: DĐ 735201, số vào sổ cấp GCN: CS01147 do Sở Tài nguyên và Môi trường thành phố Hà Nội cấp ngày 06/01/2022 cho Ông Lê Thanh Tùng và Bà Hoàng Thuỳ Dương.</w:t>
                            </w:r>
                            <w:r/>
                          </w:p>
                          <w:p>
                            <w:pPr>
                              <w:pBdr/>
                              <w:spacing w:after="120" w:before="120" w:line="360" w:lineRule="auto"/>
                              <w:ind/>
                              <w:jc w:val="center"/>
                              <w:rPr>
                                <w:bCs/>
                                <w:i/>
                                <w:iCs/>
                              </w:rPr>
                            </w:pPr>
                            <w:r>
                              <w:rPr>
                                <w:rFonts w:ascii="Times New Roman" w:hAnsi="Times New Roman" w:eastAsia="Times New Roman" w:cs="Times New Roman"/>
                                <w:b/>
                                <w:color w:val="c00000"/>
                                <w:sz w:val="24"/>
                              </w:rPr>
                              <w:t xml:space="preserve">Thời</w:t>
                            </w:r>
                            <w:r>
                              <w:rPr>
                                <w:rFonts w:ascii="Times New Roman" w:hAnsi="Times New Roman" w:eastAsia="Times New Roman" w:cs="Times New Roman"/>
                                <w:b/>
                                <w:color w:val="000000"/>
                                <w:sz w:val="24"/>
                              </w:rPr>
                              <w:t xml:space="preserve"> điểm thẩm định: </w:t>
                            </w:r>
                            <w:r>
                              <w:rPr>
                                <w:rFonts w:ascii="Times New Roman" w:hAnsi="Times New Roman" w:eastAsia="Times New Roman" w:cs="Times New Roman"/>
                                <w:color w:val="000000"/>
                                <w:sz w:val="24"/>
                              </w:rPr>
                              <w:t xml:space="preserve">Tháng 11/2025</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85.1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top w:val="none" w:color="000000" w:sz="4" w:space="0"/>
                          <w:left w:val="none" w:color="000000" w:sz="4" w:space="0"/>
                          <w:bottom w:val="none" w:color="000000" w:sz="4" w:space="0"/>
                          <w:right w:val="none" w:color="000000" w:sz="4" w:space="0"/>
                        </w:pBdr>
                        <w:spacing w:after="120" w:before="120"/>
                        <w:ind w:right="0" w:firstLine="0" w:left="0"/>
                        <w:jc w:val="center"/>
                        <w:rPr/>
                      </w:pPr>
                      <w:r>
                        <w:rPr>
                          <w:rFonts w:ascii="Times New Roman" w:hAnsi="Times New Roman" w:eastAsia="Times New Roman" w:cs="Times New Roman"/>
                          <w:b/>
                          <w:color w:val="000000"/>
                          <w:sz w:val="24"/>
                        </w:rPr>
                        <w:t xml:space="preserve">Số: 275/2025/1602/VFI-CT.48.A</w:t>
                      </w:r>
                      <w:r/>
                    </w:p>
                    <w:p>
                      <w:pPr>
                        <w:pBdr>
                          <w:top w:val="none" w:color="000000" w:sz="4" w:space="0"/>
                          <w:left w:val="none" w:color="000000" w:sz="4" w:space="0"/>
                          <w:bottom w:val="none" w:color="000000" w:sz="4" w:space="0"/>
                          <w:right w:val="none" w:color="000000" w:sz="4" w:space="0"/>
                        </w:pBdr>
                        <w:tabs>
                          <w:tab w:val="left" w:leader="none" w:pos="3002"/>
                        </w:tabs>
                        <w:spacing w:after="120" w:before="200"/>
                        <w:ind w:right="0" w:firstLine="0" w:left="0"/>
                        <w:jc w:val="center"/>
                        <w:rPr/>
                      </w:pPr>
                      <w:r>
                        <w:rPr>
                          <w:rFonts w:ascii="Times New Roman" w:hAnsi="Times New Roman" w:eastAsia="Times New Roman" w:cs="Times New Roman"/>
                          <w:b/>
                          <w:color w:val="000000"/>
                          <w:sz w:val="24"/>
                        </w:rPr>
                        <w:t xml:space="preserve">Khách hàng yêu cầu: ÔNG LÊ THANH TÙNG</w:t>
                      </w:r>
                      <w:r/>
                    </w:p>
                    <w:p>
                      <w:pPr>
                        <w:pBdr>
                          <w:top w:val="none" w:color="000000" w:sz="4" w:space="0"/>
                          <w:left w:val="none" w:color="000000" w:sz="4" w:space="0"/>
                          <w:bottom w:val="none" w:color="000000" w:sz="4" w:space="0"/>
                          <w:right w:val="none" w:color="000000" w:sz="4" w:space="0"/>
                        </w:pBdr>
                        <w:spacing w:before="240" w:line="360" w:lineRule="auto"/>
                        <w:ind w:right="0" w:firstLine="0" w:left="0"/>
                        <w:jc w:val="both"/>
                        <w:rPr/>
                      </w:pPr>
                      <w:r>
                        <w:rPr>
                          <w:rFonts w:ascii="Times New Roman" w:hAnsi="Times New Roman" w:eastAsia="Times New Roman" w:cs="Times New Roman"/>
                          <w:b/>
                          <w:color w:val="000000"/>
                          <w:sz w:val="24"/>
                        </w:rPr>
                        <w:t xml:space="preserve">Tài sản thẩm định: </w:t>
                      </w:r>
                      <w:r>
                        <w:rPr>
                          <w:rFonts w:ascii="Times New Roman" w:hAnsi="Times New Roman" w:eastAsia="Times New Roman" w:cs="Times New Roman"/>
                          <w:color w:val="000000"/>
                          <w:sz w:val="24"/>
                          <w:u w:val="none"/>
                        </w:rPr>
                        <w:t xml:space="preserve">Căn hộ chung cư số </w:t>
                      </w:r>
                      <w:r>
                        <w:rPr>
                          <w:rFonts w:ascii="Times New Roman" w:hAnsi="Times New Roman" w:eastAsia="Times New Roman" w:cs="Times New Roman"/>
                          <w:color w:val="000000"/>
                          <w:sz w:val="24"/>
                        </w:rPr>
                        <w:t xml:space="preserve">12A03 - Ô đất số B2-CT02, Toà U26-2 (S2.08) Dự án Khu đô thị Gia Lâm - Vinhomes Ocean Park, xã Đa Tốn, huyện Gia Lâm, thành phố Hà Nội (nay là xã Gia Lâm, thành phố Hà Nội) theo Giấy chứng nhận Quyền sử dụng đất, quyền sở hữu nhà ở và tài sản khác gắn liền</w:t>
                      </w:r>
                      <w:r>
                        <w:rPr>
                          <w:rFonts w:ascii="Times New Roman" w:hAnsi="Times New Roman" w:eastAsia="Times New Roman" w:cs="Times New Roman"/>
                          <w:color w:val="000000"/>
                          <w:sz w:val="24"/>
                        </w:rPr>
                        <w:t xml:space="preserve"> với đất số: DĐ 735201, số vào sổ cấp GCN: CS01147 do Sở Tài nguyên và Môi trường thành phố Hà Nội cấp ngày 06/01/2022 cho Ông Lê Thanh Tùng và Bà Hoàng Thuỳ Dương.</w:t>
                      </w:r>
                      <w:r/>
                    </w:p>
                    <w:p>
                      <w:pPr>
                        <w:pBdr/>
                        <w:spacing w:after="120" w:before="120" w:line="360" w:lineRule="auto"/>
                        <w:ind/>
                        <w:jc w:val="center"/>
                        <w:rPr>
                          <w:bCs/>
                          <w:i/>
                          <w:iCs/>
                        </w:rPr>
                      </w:pPr>
                      <w:r>
                        <w:rPr>
                          <w:rFonts w:ascii="Times New Roman" w:hAnsi="Times New Roman" w:eastAsia="Times New Roman" w:cs="Times New Roman"/>
                          <w:b/>
                          <w:color w:val="c00000"/>
                          <w:sz w:val="24"/>
                        </w:rPr>
                        <w:t xml:space="preserve">Thời</w:t>
                      </w:r>
                      <w:r>
                        <w:rPr>
                          <w:rFonts w:ascii="Times New Roman" w:hAnsi="Times New Roman" w:eastAsia="Times New Roman" w:cs="Times New Roman"/>
                          <w:b/>
                          <w:color w:val="000000"/>
                          <w:sz w:val="24"/>
                        </w:rPr>
                        <w:t xml:space="preserve"> điểm thẩm định: </w:t>
                      </w:r>
                      <w:r>
                        <w:rPr>
                          <w:rFonts w:ascii="Times New Roman" w:hAnsi="Times New Roman" w:eastAsia="Times New Roman" w:cs="Times New Roman"/>
                          <w:color w:val="000000"/>
                          <w:sz w:val="24"/>
                        </w:rPr>
                        <w:t xml:space="preserve">Tháng 11/2025</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1"/>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31"/>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pPr>
              <w:pStyle w:val="1030"/>
              <w:pBdr/>
              <w:spacing w:after="60" w:before="200"/>
              <w:ind/>
              <w:rPr>
                <w:rStyle w:val="1029"/>
                <w:rFonts w:ascii="Times New Roman" w:hAnsi="Times New Roman"/>
                <w:color w:val="auto"/>
                <w:lang w:val="pt-BR"/>
              </w:rPr>
            </w:pPr>
            <w:r>
              <w:rPr>
                <w:rFonts w:ascii="Times New Roman" w:hAnsi="Times New Roman"/>
                <w:color w:val="auto"/>
                <w:lang w:val="pt-BR"/>
              </w:rPr>
            </w:r>
            <w:r>
              <w:rPr>
                <w:rStyle w:val="1029"/>
                <w:rFonts w:ascii="Times New Roman" w:hAnsi="Times New Roman"/>
                <w:color w:val="auto"/>
                <w:lang w:val="pt-BR"/>
              </w:rPr>
            </w:r>
            <w:r>
              <w:rPr>
                <w:rStyle w:val="1029"/>
                <w:rFonts w:ascii="Times New Roman" w:hAnsi="Times New Roman"/>
                <w:color w:val="auto"/>
                <w:lang w:val="pt-BR"/>
              </w:rPr>
            </w:r>
          </w:p>
          <w:p>
            <w:pPr>
              <w:pStyle w:val="1030"/>
              <w:pBdr/>
              <w:spacing w:after="60" w:before="200"/>
              <w:ind/>
              <w:rPr>
                <w:sz w:val="24"/>
                <w:szCs w:val="24"/>
              </w:rPr>
            </w:pPr>
            <w:r>
              <w:rPr>
                <w:rStyle w:val="1029"/>
                <w:rFonts w:ascii="Times New Roman" w:hAnsi="Times New Roman"/>
                <w:color w:val="auto"/>
                <w:lang w:val="pt-BR"/>
              </w:rPr>
              <w:t xml:space="preserve">Số:</w:t>
            </w:r>
            <w:r>
              <w:rPr>
                <w:rStyle w:val="1029"/>
                <w:rFonts w:ascii="Times New Roman" w:hAnsi="Times New Roman"/>
                <w:color w:val="auto"/>
                <w:lang w:val="pt-BR"/>
              </w:rPr>
              <w:t xml:space="preserve"> </w:t>
            </w:r>
            <w:r>
              <w:rPr>
                <w:rStyle w:val="1029"/>
                <w:rFonts w:ascii="Times New Roman" w:hAnsi="Times New Roman"/>
                <w:color w:val="000000" w:themeColor="text1"/>
                <w:lang w:val="pt-BR"/>
              </w:rPr>
              <w:t xml:space="preserve">275/2025/1602/VFI-CT.48.A</w:t>
            </w:r>
            <w:r>
              <w:rPr>
                <w:sz w:val="24"/>
                <w:szCs w:val="24"/>
              </w:rPr>
            </w:r>
            <w:r>
              <w:rPr>
                <w:sz w:val="24"/>
                <w:szCs w:val="24"/>
              </w:rPr>
            </w:r>
          </w:p>
        </w:tc>
        <w:tc>
          <w:tcPr>
            <w:tcBorders/>
            <w:tcMar>
              <w:left w:w="108" w:type="dxa"/>
              <w:top w:w="0" w:type="dxa"/>
              <w:right w:w="108" w:type="dxa"/>
              <w:bottom w:w="0" w:type="dxa"/>
            </w:tcMar>
            <w:tcW w:w="5536" w:type="dxa"/>
            <w:textDirection w:val="lrTb"/>
            <w:noWrap w:val="false"/>
          </w:tcPr>
          <w:p>
            <w:pPr>
              <w:pStyle w:val="1030"/>
              <w:pBdr/>
              <w:spacing w:after="60" w:before="200"/>
              <w:ind w:right="-56"/>
              <w:rPr>
                <w:rStyle w:val="1029"/>
                <w:rFonts w:ascii="Times New Roman" w:hAnsi="Times New Roman"/>
                <w:i/>
                <w:color w:val="auto"/>
              </w:rPr>
            </w:pPr>
            <w:r>
              <w:rPr>
                <w:rFonts w:ascii="Times New Roman" w:hAnsi="Times New Roman"/>
                <w:i/>
                <w:color w:val="auto"/>
              </w:rPr>
            </w:r>
            <w:r>
              <w:rPr>
                <w:rStyle w:val="1029"/>
                <w:rFonts w:ascii="Times New Roman" w:hAnsi="Times New Roman"/>
                <w:i/>
                <w:color w:val="auto"/>
              </w:rPr>
            </w:r>
            <w:r>
              <w:rPr>
                <w:rStyle w:val="1029"/>
                <w:rFonts w:ascii="Times New Roman" w:hAnsi="Times New Roman"/>
                <w:i/>
                <w:color w:val="auto"/>
              </w:rPr>
            </w:r>
          </w:p>
          <w:p>
            <w:pPr>
              <w:pStyle w:val="1030"/>
              <w:pBdr/>
              <w:spacing w:after="60" w:before="200"/>
              <w:ind w:right="-56"/>
              <w:jc w:val="right"/>
              <w:rPr>
                <w:rFonts w:ascii="Times New Roman" w:hAnsi="Times New Roman" w:cs="Times New Roman"/>
                <w:color w:val="000000" w:themeColor="text1"/>
                <w:sz w:val="24"/>
                <w:szCs w:val="24"/>
              </w:rPr>
            </w:pPr>
            <w:r>
              <w:rPr>
                <w:rStyle w:val="1029"/>
                <w:rFonts w:ascii="Times New Roman" w:hAnsi="Times New Roman" w:eastAsia="Times New Roman" w:cs="Times New Roman"/>
                <w:i/>
                <w:color w:val="000000" w:themeColor="text1"/>
              </w:rPr>
            </w:r>
            <w:r>
              <w:rPr>
                <w:rFonts w:ascii="Times New Roman" w:hAnsi="Times New Roman" w:eastAsia="Times New Roman" w:cs="Times New Roman"/>
                <w:i/>
                <w:color w:val="000000" w:themeColor="text1"/>
                <w:sz w:val="24"/>
              </w:rPr>
              <w:t xml:space="preserve">TP. Hà Nội, ngày 13 tháng 11 năm 2025</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bl>
    <w:p>
      <w:pPr>
        <w:pStyle w:val="1030"/>
        <w:pBdr/>
        <w:spacing w:after="120" w:before="200" w:line="288" w:lineRule="auto"/>
        <w:ind/>
        <w:jc w:val="center"/>
        <w:rPr>
          <w:rStyle w:val="1029"/>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1029"/>
          <w:rFonts w:ascii="Times New Roman" w:hAnsi="Times New Roman"/>
          <w:b/>
          <w:bCs/>
          <w:color w:val="auto"/>
          <w:sz w:val="30"/>
          <w:szCs w:val="30"/>
          <w:lang w:val="vi-VN"/>
        </w:rPr>
        <w:t xml:space="preserve">CHỨNG THƯ THẨM ĐỊNH GIÁ</w:t>
      </w:r>
      <w:r>
        <w:rPr>
          <w:rStyle w:val="1029"/>
          <w:rFonts w:ascii="Times New Roman" w:hAnsi="Times New Roman"/>
          <w:b/>
          <w:bCs/>
          <w:color w:val="auto"/>
          <w:sz w:val="30"/>
          <w:szCs w:val="30"/>
          <w:lang w:val="vi-VN"/>
        </w:rPr>
      </w:r>
      <w:r>
        <w:rPr>
          <w:rStyle w:val="1029"/>
          <w:rFonts w:ascii="Times New Roman" w:hAnsi="Times New Roman"/>
          <w:b/>
          <w:bCs/>
          <w:color w:val="auto"/>
          <w:sz w:val="30"/>
          <w:szCs w:val="30"/>
          <w:lang w:val="vi-VN"/>
        </w:rPr>
      </w:r>
    </w:p>
    <w:p>
      <w:pPr>
        <w:pBdr>
          <w:top w:val="none" w:color="000000" w:sz="4" w:space="0"/>
          <w:left w:val="none" w:color="000000" w:sz="4" w:space="0"/>
          <w:bottom w:val="none" w:color="000000" w:sz="4" w:space="0"/>
          <w:right w:val="none" w:color="000000" w:sz="4" w:space="0"/>
        </w:pBdr>
        <w:spacing w:before="120" w:line="264" w:lineRule="auto"/>
        <w:ind w:right="0" w:firstLine="0" w:left="0"/>
        <w:jc w:val="center"/>
        <w:rPr/>
      </w:pPr>
      <w:r>
        <w:rPr>
          <w:rFonts w:ascii="Times New Roman" w:hAnsi="Times New Roman" w:eastAsia="Times New Roman" w:cs="Times New Roman"/>
          <w:b/>
          <w:color w:val="000000"/>
          <w:sz w:val="24"/>
          <w:u w:val="single"/>
        </w:rPr>
        <w:t xml:space="preserve">Kính gửi</w:t>
      </w:r>
      <w:r>
        <w:rPr>
          <w:rFonts w:ascii="Times New Roman" w:hAnsi="Times New Roman" w:eastAsia="Times New Roman" w:cs="Times New Roman"/>
          <w:b/>
          <w:color w:val="000000"/>
          <w:sz w:val="24"/>
        </w:rPr>
        <w:t xml:space="preserve">: </w:t>
      </w:r>
      <w:r>
        <w:rPr>
          <w:rFonts w:ascii="Times New Roman" w:hAnsi="Times New Roman" w:eastAsia="Times New Roman" w:cs="Times New Roman"/>
          <w:b/>
          <w:color w:val="000000"/>
          <w:spacing w:val="-4"/>
          <w:sz w:val="24"/>
        </w:rPr>
        <w:t xml:space="preserve">ÔNG LÊ THANH TÙNG</w:t>
      </w:r>
      <w:r/>
    </w:p>
    <w:p>
      <w:pPr>
        <w:pBdr>
          <w:top w:val="none" w:color="000000" w:sz="4" w:space="0"/>
          <w:left w:val="none" w:color="000000" w:sz="4" w:space="0"/>
          <w:bottom w:val="none" w:color="000000" w:sz="4" w:space="0"/>
          <w:right w:val="none" w:color="000000" w:sz="4" w:space="0"/>
        </w:pBdr>
        <w:tabs>
          <w:tab w:val="left" w:leader="none" w:pos="450"/>
        </w:tabs>
        <w:spacing w:after="0" w:before="240" w:line="312" w:lineRule="auto"/>
        <w:ind w:right="0" w:firstLine="0" w:left="-74"/>
        <w:jc w:val="both"/>
        <w:rPr/>
      </w:pPr>
      <w:r>
        <w:rPr>
          <w:rFonts w:ascii="Times New Roman" w:hAnsi="Times New Roman" w:eastAsia="Times New Roman" w:cs="Times New Roman"/>
          <w:color w:val="000000"/>
          <w:spacing w:val="-4"/>
          <w:sz w:val="24"/>
        </w:rPr>
        <w:tab/>
      </w:r>
      <w:r>
        <w:rPr>
          <w:rFonts w:ascii="Times New Roman" w:hAnsi="Times New Roman" w:eastAsia="Times New Roman" w:cs="Times New Roman"/>
          <w:color w:val="000000"/>
          <w:spacing w:val="-2"/>
          <w:sz w:val="24"/>
        </w:rPr>
        <w:t xml:space="preserve">Căn cứ Hợp đồng thẩm định giá số 275/2025/1602/VFI-HĐTĐ.48.A ký ngày 8/11/2025 giữa </w:t>
      </w:r>
      <w:r>
        <w:rPr>
          <w:rFonts w:ascii="Times New Roman" w:hAnsi="Times New Roman" w:eastAsia="Times New Roman" w:cs="Times New Roman"/>
          <w:color w:val="000000"/>
          <w:sz w:val="24"/>
        </w:rPr>
        <w:t xml:space="preserve">Ông Lê Thanh Tùng </w:t>
      </w:r>
      <w:r>
        <w:rPr>
          <w:rFonts w:ascii="Times New Roman" w:hAnsi="Times New Roman" w:eastAsia="Times New Roman" w:cs="Times New Roman"/>
          <w:color w:val="000000"/>
          <w:spacing w:val="-2"/>
          <w:sz w:val="24"/>
        </w:rPr>
        <w:t xml:space="preserve">với Công ty cổ phần Thẩm định và Đầu tư tài chính Hoa Sen;</w:t>
      </w:r>
      <w:r/>
    </w:p>
    <w:p>
      <w:pPr>
        <w:pBdr>
          <w:top w:val="none" w:color="000000" w:sz="4" w:space="0"/>
          <w:left w:val="none" w:color="000000" w:sz="4" w:space="0"/>
          <w:bottom w:val="none" w:color="000000" w:sz="4" w:space="0"/>
          <w:right w:val="none" w:color="000000" w:sz="4" w:space="0"/>
        </w:pBdr>
        <w:spacing w:before="120" w:line="312" w:lineRule="auto"/>
        <w:ind w:right="0" w:firstLine="432" w:left="0"/>
        <w:jc w:val="both"/>
        <w:rPr/>
      </w:pPr>
      <w:r>
        <w:rPr>
          <w:rFonts w:ascii="Times New Roman" w:hAnsi="Times New Roman" w:eastAsia="Times New Roman" w:cs="Times New Roman"/>
          <w:color w:val="000000"/>
          <w:spacing w:val="-2"/>
          <w:sz w:val="24"/>
        </w:rPr>
        <w:t xml:space="preserve">Căn cứ Báo cáo thẩm định giá số 275/2025/1602/VFI-BC.48.A ngày 13/11/2025 của Công ty cổ phần Thẩm định và Đầu tư tài chính Hoa Sen,</w:t>
      </w:r>
      <w:r/>
    </w:p>
    <w:p>
      <w:pPr>
        <w:pBdr>
          <w:top w:val="none" w:color="000000" w:sz="4" w:space="0"/>
          <w:left w:val="none" w:color="000000" w:sz="4" w:space="0"/>
          <w:bottom w:val="none" w:color="000000" w:sz="4" w:space="0"/>
          <w:right w:val="none" w:color="000000" w:sz="4" w:space="0"/>
        </w:pBdr>
        <w:spacing w:before="120" w:line="312" w:lineRule="auto"/>
        <w:ind w:right="0" w:firstLine="432" w:left="0"/>
        <w:jc w:val="both"/>
        <w:rPr/>
      </w:pPr>
      <w:r>
        <w:rPr>
          <w:rFonts w:ascii="Times New Roman" w:hAnsi="Times New Roman" w:eastAsia="Times New Roman" w:cs="Times New Roman"/>
          <w:color w:val="000000"/>
          <w:sz w:val="24"/>
        </w:rPr>
        <w:t xml:space="preserve">Công ty cổ phần Thẩm định và Đầu tư tài chính Hoa Sen cung cấp Chứng thư thẩm định giá tài sản với nội dung sau:</w:t>
      </w:r>
      <w:r>
        <w:rPr>
          <w:rFonts w:ascii="Times New Roman" w:hAnsi="Times New Roman" w:eastAsia="Times New Roman" w:cs="Times New Roman"/>
          <w:sz w:val="24"/>
        </w:rPr>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Style w:val="1035"/>
        <w:tblInd w:w="0" w:type="dxa"/>
        <w:tblW w:w="3816"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2178"/>
        <w:gridCol w:w="360"/>
        <w:gridCol w:w="4731"/>
      </w:tblGrid>
      <w:tr>
        <w:trPr>
          <w:trHeight w:val="20"/>
        </w:trPr>
        <w:tc>
          <w:tcPr>
            <w:tcBorders/>
            <w:tcMar>
              <w:left w:w="108" w:type="dxa"/>
              <w:top w:w="0" w:type="dxa"/>
              <w:right w:w="108" w:type="dxa"/>
              <w:bottom w:w="0" w:type="dxa"/>
            </w:tcMar>
            <w:tcW w:w="2178"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64"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360"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64"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4731"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64" w:lineRule="auto"/>
              <w:ind w:right="0" w:firstLine="0" w:left="0"/>
              <w:jc w:val="both"/>
              <w:rPr/>
            </w:pPr>
            <w:r>
              <w:rPr>
                <w:rFonts w:ascii="Times New Roman" w:hAnsi="Times New Roman" w:eastAsia="Times New Roman" w:cs="Times New Roman"/>
                <w:b/>
                <w:color w:val="000000"/>
                <w:sz w:val="24"/>
              </w:rPr>
              <w:t xml:space="preserve">ÔNG LÊ THANH TÙNG</w:t>
            </w:r>
            <w:r/>
          </w:p>
        </w:tc>
      </w:tr>
      <w:tr>
        <w:trPr>
          <w:trHeight w:val="20"/>
        </w:trPr>
        <w:tc>
          <w:tcPr>
            <w:tcBorders/>
            <w:tcMar>
              <w:left w:w="108" w:type="dxa"/>
              <w:top w:w="0" w:type="dxa"/>
              <w:right w:w="108" w:type="dxa"/>
              <w:bottom w:w="0" w:type="dxa"/>
            </w:tcMar>
            <w:tcW w:w="2178"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64" w:lineRule="auto"/>
              <w:ind w:right="0" w:firstLine="0" w:left="0"/>
              <w:jc w:val="both"/>
              <w:rPr/>
            </w:pPr>
            <w:r>
              <w:rPr>
                <w:rFonts w:ascii="Times New Roman" w:hAnsi="Times New Roman" w:eastAsia="Times New Roman" w:cs="Times New Roman"/>
                <w:color w:val="000000"/>
                <w:sz w:val="24"/>
              </w:rPr>
              <w:t xml:space="preserve">Năm sinh</w:t>
            </w:r>
            <w:r/>
          </w:p>
        </w:tc>
        <w:tc>
          <w:tcPr>
            <w:tcBorders/>
            <w:tcMar>
              <w:left w:w="108" w:type="dxa"/>
              <w:top w:w="0" w:type="dxa"/>
              <w:right w:w="108" w:type="dxa"/>
              <w:bottom w:w="0" w:type="dxa"/>
            </w:tcMar>
            <w:tcW w:w="360"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64"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4731"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64" w:lineRule="auto"/>
              <w:ind w:right="0" w:firstLine="0" w:left="0"/>
              <w:jc w:val="both"/>
              <w:rPr/>
            </w:pPr>
            <w:r>
              <w:rPr>
                <w:rFonts w:ascii="Times New Roman" w:hAnsi="Times New Roman" w:eastAsia="Times New Roman" w:cs="Times New Roman"/>
                <w:color w:val="000000"/>
                <w:spacing w:val="-4"/>
                <w:sz w:val="24"/>
              </w:rPr>
              <w:t xml:space="preserve">1993</w:t>
            </w:r>
            <w:r/>
          </w:p>
        </w:tc>
      </w:tr>
      <w:tr>
        <w:trPr>
          <w:trHeight w:val="20"/>
        </w:trPr>
        <w:tc>
          <w:tcPr>
            <w:tcBorders/>
            <w:tcMar>
              <w:left w:w="108" w:type="dxa"/>
              <w:top w:w="0" w:type="dxa"/>
              <w:right w:w="108" w:type="dxa"/>
              <w:bottom w:w="0" w:type="dxa"/>
            </w:tcMar>
            <w:tcW w:w="2178"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64" w:lineRule="auto"/>
              <w:ind w:right="0" w:firstLine="0" w:left="0"/>
              <w:jc w:val="both"/>
              <w:rPr/>
            </w:pPr>
            <w:r>
              <w:rPr>
                <w:rFonts w:ascii="Times New Roman" w:hAnsi="Times New Roman" w:eastAsia="Times New Roman" w:cs="Times New Roman"/>
                <w:color w:val="000000"/>
                <w:sz w:val="24"/>
              </w:rPr>
              <w:t xml:space="preserve">CCCD</w:t>
            </w:r>
            <w:r/>
          </w:p>
        </w:tc>
        <w:tc>
          <w:tcPr>
            <w:tcBorders/>
            <w:tcMar>
              <w:left w:w="108" w:type="dxa"/>
              <w:top w:w="0" w:type="dxa"/>
              <w:right w:w="108" w:type="dxa"/>
              <w:bottom w:w="0" w:type="dxa"/>
            </w:tcMar>
            <w:tcW w:w="360"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64"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4731"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64" w:lineRule="auto"/>
              <w:ind w:right="0" w:firstLine="0" w:left="0"/>
              <w:jc w:val="both"/>
              <w:rPr/>
            </w:pPr>
            <w:r>
              <w:rPr>
                <w:rFonts w:ascii="Times New Roman" w:hAnsi="Times New Roman" w:eastAsia="Times New Roman" w:cs="Times New Roman"/>
                <w:color w:val="000000"/>
                <w:sz w:val="24"/>
              </w:rPr>
              <w:t xml:space="preserve">001093005490</w:t>
            </w: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BT5-23 Khu đô thị mới Văn Phú, phường Phú La, quận Hà Đông,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b/>
                <w:color w:val="000000"/>
                <w:sz w:val="24"/>
              </w:rPr>
              <w:t xml:space="preserve">Ông Nguyễn Trọng Điệp</w:t>
              <w:tab/>
              <w:tab/>
              <w:t xml:space="preserve">Chức vụ: Tổng Giám Đốc</w:t>
            </w: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Căn hộ chung cư số 12A03 - Ô đất số B2-CT02, Toà U26-2 (S2.08) Dự án Khu đô thị Gia Lâm - Vinhomes Ocean Park, xã Đa Tốn, huyện Gia Lâm, thành phố Hà Nội (nay là xã Gia Lâm, thành phố Hà Nội) theo Giấy chứng nhận Quyền sử dụng đất, quyền sở hữu nhà ở và tà</w:t>
      </w:r>
      <w:r>
        <w:rPr>
          <w:rFonts w:ascii="Times New Roman" w:hAnsi="Times New Roman" w:eastAsia="Times New Roman" w:cs="Times New Roman"/>
          <w:color w:val="000000"/>
          <w:sz w:val="24"/>
        </w:rPr>
        <w:t xml:space="preserve">i sản khác gắn liền với đất số: DĐ 735201, số vào sổ cấp GCN: CS01147 do Sở Tài nguyên và Môi trường thành phố Hà Nội cấp ngày 06/01/2022 cho Ông Lê Thanh Tùng và Bà Hoàng Thuỳ Dương</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11/2025</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11/2025</w:t>
      </w:r>
      <w:r>
        <w:rPr>
          <w:lang w:val="vi-VN"/>
        </w:rPr>
        <w:t xml:space="preserve"> ước tính</w:t>
      </w:r>
      <w:r>
        <w:t xml:space="preserve"> </w:t>
      </w:r>
      <w:r>
        <w:rPr>
          <w:lang w:val="vi-VN"/>
        </w:rPr>
        <w:t xml:space="preserve">như sau:</w:t>
      </w:r>
      <w:r/>
    </w:p>
    <w:tbl>
      <w:tblPr>
        <w:tblStyle w:val="1035"/>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8102"/>
        <w:gridCol w:w="41973"/>
        <w:gridCol w:w="30593"/>
        <w:gridCol w:w="34954"/>
        <w:gridCol w:w="32565"/>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1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419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305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Diện tích</w:t>
              <w:br/>
              <w:t xml:space="preserve"> (m2)</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3495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Đơn giá </w:t>
            </w:r>
            <w:r/>
          </w:p>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325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Thành tiền</w:t>
            </w:r>
            <w:r/>
          </w:p>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81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1</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075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Căn hộ chung cư số 12A03 - Ô đất số B2-CT02, Toà U26-2 (S2.08) Dự án Khu đô thị Gia Lâm - Vinhomes Ocean Park, xã Đa Tốn, huyện Gia Lâm, thành phố Hà Nội (nay là xã Gia Lâm, thành phố Hà Nội) theo Giấy chứng nhận Quyền sử dụng đất, quyền sở hữu nhà ở và tà</w:t>
            </w:r>
            <w:r>
              <w:rPr>
                <w:rFonts w:ascii="Times New Roman" w:hAnsi="Times New Roman" w:eastAsia="Times New Roman" w:cs="Times New Roman"/>
                <w:b/>
                <w:color w:val="000000"/>
                <w:sz w:val="24"/>
              </w:rPr>
              <w:t xml:space="preserve">i sản khác gắn liền với đất số: DĐ 735201, số vào sổ cấp GCN: CS01147 do Sở Tài nguyên và Môi trường thành phố Hà Nội cấp ngày 06/01/2022 cho Ông Lê Thanh Tùng và Bà Hoàng Thuỳ Dương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2565" w:type="dxa"/>
            <w:vAlign w:val="center"/>
            <w:textDirection w:val="lrTb"/>
            <w:noWrap w:val="false"/>
          </w:tcPr>
          <w:p>
            <w:pPr>
              <w:pBdr/>
              <w:spacing w:after="0" w:before="0" w:line="240" w:lineRule="auto"/>
              <w:ind/>
              <w:rPr/>
            </w:pPr>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81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19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4"/>
              </w:rPr>
              <w:t xml:space="preserve">Căn hộ chung cư</w:t>
            </w:r>
            <w:r/>
          </w:p>
        </w:tc>
        <w:tc>
          <w:tcPr>
            <w:tcBorders>
              <w:bottom w:val="single" w:color="000000" w:sz="8" w:space="0"/>
              <w:right w:val="single" w:color="000000" w:sz="8" w:space="0"/>
            </w:tcBorders>
            <w:tcMar>
              <w:left w:w="108" w:type="dxa"/>
              <w:top w:w="0" w:type="dxa"/>
              <w:right w:w="108" w:type="dxa"/>
              <w:bottom w:w="0" w:type="dxa"/>
            </w:tcMar>
            <w:tcW w:w="30593"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43,1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495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68.000.000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25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2.930.800.000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102" w:type="dxa"/>
            <w:vAlign w:val="center"/>
            <w:textDirection w:val="lrTb"/>
            <w:noWrap/>
          </w:tcPr>
          <w:p>
            <w:pPr>
              <w:pBdr/>
              <w:spacing w:after="0" w:before="0" w:line="240" w:lineRule="auto"/>
              <w:ind/>
              <w:rPr/>
            </w:pPr>
            <w:r/>
            <w:r/>
          </w:p>
        </w:tc>
        <w:tc>
          <w:tcPr>
            <w:gridSpan w:val="3"/>
            <w:tcBorders>
              <w:bottom w:val="single" w:color="000000" w:sz="8" w:space="0"/>
              <w:right w:val="single" w:color="000000" w:sz="8" w:space="0"/>
            </w:tcBorders>
            <w:tcMar>
              <w:left w:w="108" w:type="dxa"/>
              <w:top w:w="0" w:type="dxa"/>
              <w:right w:w="108" w:type="dxa"/>
              <w:bottom w:w="0" w:type="dxa"/>
            </w:tcMar>
            <w:tcW w:w="107520"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32565"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2.930.800.000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10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tc>
        <w:tc>
          <w:tcPr>
            <w:gridSpan w:val="3"/>
            <w:tcBorders>
              <w:bottom w:val="single" w:color="000000" w:sz="8" w:space="0"/>
              <w:right w:val="single" w:color="000000" w:sz="8" w:space="0"/>
            </w:tcBorders>
            <w:tcMar>
              <w:left w:w="108" w:type="dxa"/>
              <w:top w:w="0" w:type="dxa"/>
              <w:right w:w="108" w:type="dxa"/>
              <w:bottom w:w="0" w:type="dxa"/>
            </w:tcMar>
            <w:tcW w:w="107520"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32565"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2.931.000.000</w:t>
            </w:r>
            <w:r/>
          </w:p>
        </w:tc>
      </w:tr>
      <w:tr>
        <w:trPr>
          <w:trHeight w:val="20"/>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14818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i/>
                <w:color w:val="000000"/>
                <w:sz w:val="24"/>
              </w:rPr>
              <w:t xml:space="preserve">(Bằng chữ: Hai tỷ chín trăm ba mươi mốt triệu đồng chẵn ./.)</w:t>
            </w: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Style w:val="1035"/>
        <w:tblInd w:w="-284" w:type="dxa"/>
        <w:tblW w:w="52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5882"/>
        <w:gridCol w:w="80330"/>
      </w:tblGrid>
      <w:tr>
        <w:trPr>
          <w:trHeight w:val="851"/>
        </w:trPr>
        <w:tc>
          <w:tcPr>
            <w:tcBorders/>
            <w:tcMar>
              <w:left w:w="108" w:type="dxa"/>
              <w:top w:w="0" w:type="dxa"/>
              <w:right w:w="108" w:type="dxa"/>
              <w:bottom w:w="0" w:type="dxa"/>
            </w:tcMar>
            <w:tcW w:w="75882" w:type="dxa"/>
            <w:vAlign w:val="bottom"/>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pacing w:val="3"/>
                <w:sz w:val="24"/>
              </w:rPr>
              <w:t xml:space="preserve">THẨM ĐỊNH VIÊN VỀ GIÁ</w:t>
            </w:r>
            <w:r/>
          </w:p>
        </w:tc>
        <w:tc>
          <w:tcPr>
            <w:tcBorders/>
            <w:tcMar>
              <w:left w:w="108" w:type="dxa"/>
              <w:top w:w="0" w:type="dxa"/>
              <w:right w:w="108" w:type="dxa"/>
              <w:bottom w:w="0" w:type="dxa"/>
            </w:tcMar>
            <w:tcW w:w="80330" w:type="dxa"/>
            <w:vAlign w:val="bottom"/>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pacing w:val="3"/>
                <w:sz w:val="24"/>
              </w:rPr>
              <w:t xml:space="preserve">CÔNG TY CỔ PHẦN THẨM ĐỊNH VÀ ĐẦU TƯ TÀI CHÍNH HOA SEN</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TỔNG GIÁM ĐỐC</w:t>
            </w:r>
            <w:r/>
          </w:p>
        </w:tc>
      </w:tr>
      <w:tr>
        <w:trPr>
          <w:trHeight w:val="170"/>
        </w:trPr>
        <w:tc>
          <w:tcPr>
            <w:tcBorders/>
            <w:tcMar>
              <w:left w:w="108" w:type="dxa"/>
              <w:top w:w="0" w:type="dxa"/>
              <w:right w:w="108" w:type="dxa"/>
              <w:bottom w:w="0" w:type="dxa"/>
            </w:tcMar>
            <w:tcW w:w="75882" w:type="dxa"/>
            <w:vAlign w:val="top"/>
            <w:textDirection w:val="lrTb"/>
            <w:noWrap w:val="false"/>
          </w:tcPr>
          <w:p>
            <w:pPr>
              <w:pBdr>
                <w:top w:val="none" w:color="000000" w:sz="4" w:space="0"/>
                <w:left w:val="none" w:color="000000" w:sz="4" w:space="0"/>
                <w:bottom w:val="none" w:color="000000" w:sz="4" w:space="0"/>
                <w:right w:val="none" w:color="000000" w:sz="4" w:space="0"/>
              </w:pBdr>
              <w:spacing w:before="120"/>
              <w:ind w:right="0" w:firstLine="0" w:left="0"/>
              <w:jc w:val="center"/>
              <w:rPr/>
            </w:pPr>
            <w:r>
              <w:rPr>
                <w:rFonts w:ascii="Times New Roman" w:hAnsi="Times New Roman" w:eastAsia="Times New Roman" w:cs="Times New Roman"/>
                <w:b/>
                <w:color w:val="000000"/>
                <w:spacing w:val="3"/>
                <w:sz w:val="24"/>
              </w:rPr>
              <w:t xml:space="preserve"> </w:t>
            </w:r>
            <w:r/>
          </w:p>
          <w:p>
            <w:pPr>
              <w:pBdr>
                <w:top w:val="none" w:color="000000" w:sz="4" w:space="0"/>
                <w:left w:val="none" w:color="000000" w:sz="4" w:space="0"/>
                <w:bottom w:val="none" w:color="000000" w:sz="4" w:space="0"/>
                <w:right w:val="none" w:color="000000" w:sz="4" w:space="0"/>
              </w:pBdr>
              <w:spacing w:before="120"/>
              <w:ind w:right="0" w:firstLine="0" w:left="0"/>
              <w:jc w:val="center"/>
              <w:rPr/>
            </w:pPr>
            <w:r>
              <w:rPr>
                <w:rFonts w:ascii="Times New Roman" w:hAnsi="Times New Roman" w:eastAsia="Times New Roman" w:cs="Times New Roman"/>
                <w:b/>
                <w:color w:val="000000"/>
                <w:spacing w:val="3"/>
                <w:sz w:val="24"/>
              </w:rPr>
              <w:t xml:space="preserve"> </w:t>
            </w:r>
            <w:r/>
          </w:p>
          <w:p>
            <w:pPr>
              <w:pBdr>
                <w:top w:val="none" w:color="000000" w:sz="4" w:space="0"/>
                <w:left w:val="none" w:color="000000" w:sz="4" w:space="0"/>
                <w:bottom w:val="none" w:color="000000" w:sz="4" w:space="0"/>
                <w:right w:val="none" w:color="000000" w:sz="4" w:space="0"/>
              </w:pBdr>
              <w:spacing w:before="120"/>
              <w:ind w:right="0" w:firstLine="0" w:left="0"/>
              <w:rPr/>
            </w:pPr>
            <w:r>
              <w:rPr>
                <w:rFonts w:ascii="Times New Roman" w:hAnsi="Times New Roman" w:eastAsia="Times New Roman" w:cs="Times New Roman"/>
                <w:b/>
                <w:color w:val="000000"/>
                <w:spacing w:val="3"/>
                <w:sz w:val="24"/>
              </w:rPr>
              <w:t xml:space="preserve"> </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 </w:t>
            </w:r>
            <w:r/>
          </w:p>
        </w:tc>
        <w:tc>
          <w:tcPr>
            <w:tcBorders/>
            <w:tcMar>
              <w:left w:w="108" w:type="dxa"/>
              <w:top w:w="0" w:type="dxa"/>
              <w:right w:w="108" w:type="dxa"/>
              <w:bottom w:w="0" w:type="dxa"/>
            </w:tcMar>
            <w:tcW w:w="80330" w:type="dxa"/>
            <w:vAlign w:val="top"/>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tc>
      </w:tr>
      <w:tr>
        <w:trPr>
          <w:trHeight w:val="127"/>
        </w:trPr>
        <w:tc>
          <w:tcPr>
            <w:tcBorders/>
            <w:tcMar>
              <w:left w:w="108" w:type="dxa"/>
              <w:top w:w="0" w:type="dxa"/>
              <w:right w:w="108" w:type="dxa"/>
              <w:bottom w:w="0" w:type="dxa"/>
            </w:tcMar>
            <w:tcW w:w="75882"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Nguyễn Thị Thùy Dương</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Số thẻ thẩm định viên về giá: XVI25TS.2576</w:t>
            </w:r>
            <w:r/>
          </w:p>
        </w:tc>
        <w:tc>
          <w:tcPr>
            <w:tcBorders/>
            <w:tcMar>
              <w:left w:w="108" w:type="dxa"/>
              <w:top w:w="0" w:type="dxa"/>
              <w:right w:w="108" w:type="dxa"/>
              <w:bottom w:w="0" w:type="dxa"/>
            </w:tcMar>
            <w:tcW w:w="80330" w:type="dxa"/>
            <w:vAlign w:val="top"/>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Nguyễn Trọng Điệp</w:t>
            </w:r>
            <w:r/>
          </w:p>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pacing w:val="3"/>
                <w:sz w:val="24"/>
              </w:rPr>
              <w:t xml:space="preserve">Số thẻ thẩm định viên về giá: </w:t>
            </w:r>
            <w:r>
              <w:rPr>
                <w:rFonts w:ascii="Times New Roman" w:hAnsi="Times New Roman" w:eastAsia="Times New Roman" w:cs="Times New Roman"/>
                <w:color w:val="000000"/>
                <w:sz w:val="24"/>
              </w:rPr>
              <w:t xml:space="preserve"> X15.1272 </w:t>
            </w:r>
            <w:r/>
          </w:p>
        </w:tc>
      </w:tr>
    </w:tbl>
    <w:p>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pPr>
              <w:pStyle w:val="1030"/>
              <w:pBdr/>
              <w:tabs>
                <w:tab w:val="left" w:leader="none" w:pos="5103"/>
              </w:tabs>
              <w:spacing w:before="100" w:line="360" w:lineRule="auto"/>
              <w:ind/>
              <w:jc w:val="left"/>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30"/>
              <w:pBdr/>
              <w:tabs>
                <w:tab w:val="left" w:leader="none" w:pos="5103"/>
              </w:tabs>
              <w:spacing w:before="100" w:line="360" w:lineRule="auto"/>
              <w:ind/>
              <w:jc w:val="left"/>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Số:</w:t>
            </w:r>
            <w:r>
              <w:rPr>
                <w:rFonts w:ascii="Times New Roman" w:hAnsi="Times New Roman" w:eastAsia="Times New Roman" w:cs="Times New Roman"/>
                <w:color w:val="000000" w:themeColor="text1"/>
                <w:sz w:val="24"/>
                <w:szCs w:val="24"/>
              </w:rPr>
              <w:t xml:space="preserve"> </w:t>
            </w:r>
            <w:r>
              <w:rPr>
                <w:rFonts w:ascii="Times New Roman" w:hAnsi="Times New Roman" w:eastAsia="Times New Roman" w:cs="Times New Roman"/>
                <w:i/>
                <w:color w:val="000000" w:themeColor="text1"/>
                <w:sz w:val="24"/>
                <w:szCs w:val="24"/>
              </w:rPr>
              <w:t xml:space="preserve">275/2025/1602/VFI-CT.48.A</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c>
          <w:tcPr>
            <w:tcBorders/>
            <w:tcW w:w="4781" w:type="dxa"/>
            <w:textDirection w:val="lrTb"/>
            <w:noWrap w:val="false"/>
          </w:tcPr>
          <w:p>
            <w:pPr>
              <w:pStyle w:val="1030"/>
              <w:pBdr/>
              <w:tabs>
                <w:tab w:val="left" w:leader="none" w:pos="5103"/>
              </w:tabs>
              <w:spacing w:before="100" w:line="360" w:lineRule="auto"/>
              <w:ind/>
              <w:jc w:val="right"/>
              <w:rPr>
                <w:rStyle w:val="1029"/>
                <w:rFonts w:ascii="Times New Roman" w:hAnsi="Times New Roman" w:cs="Times New Roman"/>
                <w:i/>
                <w:color w:val="000000" w:themeColor="text1"/>
                <w:sz w:val="24"/>
                <w:szCs w:val="24"/>
              </w:rPr>
            </w:pPr>
            <w:r>
              <w:rPr>
                <w:rFonts w:ascii="Times New Roman" w:hAnsi="Times New Roman" w:eastAsia="Times New Roman" w:cs="Times New Roman"/>
                <w:i/>
                <w:color w:val="000000" w:themeColor="text1"/>
                <w:sz w:val="24"/>
                <w:szCs w:val="24"/>
              </w:rPr>
            </w:r>
            <w:r>
              <w:rPr>
                <w:rStyle w:val="1029"/>
                <w:rFonts w:ascii="Times New Roman" w:hAnsi="Times New Roman" w:cs="Times New Roman"/>
                <w:i/>
                <w:color w:val="000000" w:themeColor="text1"/>
                <w:sz w:val="24"/>
                <w:szCs w:val="24"/>
              </w:rPr>
            </w:r>
            <w:r>
              <w:rPr>
                <w:rStyle w:val="1029"/>
                <w:rFonts w:ascii="Times New Roman" w:hAnsi="Times New Roman" w:cs="Times New Roman"/>
                <w:i/>
                <w:color w:val="000000" w:themeColor="text1"/>
                <w:sz w:val="24"/>
                <w:szCs w:val="24"/>
              </w:rPr>
            </w:r>
          </w:p>
          <w:p>
            <w:pPr>
              <w:pStyle w:val="1030"/>
              <w:pBdr/>
              <w:tabs>
                <w:tab w:val="left" w:leader="none" w:pos="5103"/>
              </w:tabs>
              <w:spacing w:before="100" w:line="360" w:lineRule="auto"/>
              <w:ind/>
              <w:jc w:val="right"/>
              <w:rPr>
                <w:rFonts w:ascii="Times New Roman" w:hAnsi="Times New Roman" w:cs="Times New Roman"/>
                <w:i/>
                <w:iCs/>
                <w:color w:val="000000" w:themeColor="text1"/>
                <w:sz w:val="24"/>
                <w:szCs w:val="24"/>
              </w:rPr>
            </w:pPr>
            <w:r>
              <w:rPr>
                <w:rStyle w:val="1029"/>
                <w:rFonts w:ascii="Times New Roman" w:hAnsi="Times New Roman" w:eastAsia="Times New Roman" w:cs="Times New Roman"/>
                <w:i/>
                <w:color w:val="000000" w:themeColor="text1"/>
                <w:sz w:val="24"/>
                <w:szCs w:val="24"/>
              </w:rPr>
            </w:r>
            <w:r>
              <w:rPr>
                <w:rFonts w:ascii="Times New Roman" w:hAnsi="Times New Roman" w:eastAsia="Times New Roman" w:cs="Times New Roman"/>
                <w:i/>
                <w:color w:val="000000" w:themeColor="text1"/>
                <w:sz w:val="24"/>
                <w:szCs w:val="24"/>
              </w:rPr>
              <w:t xml:space="preserve">TP. Hà Nội, ngày 13 tháng 11 năm 2025  </w:t>
            </w:r>
            <w:r>
              <w:rPr>
                <w:rStyle w:val="1029"/>
                <w:rFonts w:ascii="Times New Roman" w:hAnsi="Times New Roman" w:eastAsia="Times New Roman" w:cs="Times New Roman"/>
                <w:i/>
                <w:color w:val="000000" w:themeColor="text1"/>
                <w:sz w:val="24"/>
                <w:szCs w:val="24"/>
                <w:lang w:val="vi-VN"/>
              </w:rPr>
              <w:t xml:space="preserve">  </w:t>
            </w:r>
            <w:r>
              <w:rPr>
                <w:rStyle w:val="1029"/>
                <w:rFonts w:ascii="Times New Roman" w:hAnsi="Times New Roman" w:eastAsia="Times New Roman" w:cs="Times New Roman"/>
                <w:i/>
                <w:color w:val="000000" w:themeColor="text1"/>
                <w:sz w:val="24"/>
                <w:szCs w:val="24"/>
                <w:lang w:val="vi-VN"/>
              </w:rPr>
              <w:t xml:space="preserve">  </w:t>
            </w:r>
            <w:r>
              <w:rPr>
                <w:rFonts w:ascii="Times New Roman" w:hAnsi="Times New Roman" w:cs="Times New Roman"/>
                <w:i/>
                <w:iCs/>
                <w:color w:val="000000" w:themeColor="text1"/>
                <w:sz w:val="24"/>
                <w:szCs w:val="24"/>
              </w:rPr>
            </w:r>
            <w:r>
              <w:rPr>
                <w:rFonts w:ascii="Times New Roman" w:hAnsi="Times New Roman" w:cs="Times New Roman"/>
                <w:i/>
                <w:iCs/>
                <w:color w:val="000000" w:themeColor="text1"/>
                <w:sz w:val="24"/>
                <w:szCs w:val="24"/>
              </w:rPr>
            </w:r>
          </w:p>
        </w:tc>
      </w:tr>
    </w:tbl>
    <w:p>
      <w:pPr>
        <w:pStyle w:val="1030"/>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pPr>
        <w:pStyle w:val="1010"/>
        <w:pBdr>
          <w:top w:val="none" w:color="000000" w:sz="4" w:space="0"/>
          <w:left w:val="none" w:color="000000" w:sz="4" w:space="0"/>
          <w:bottom w:val="none" w:color="000000" w:sz="4" w:space="0"/>
          <w:right w:val="none" w:color="000000" w:sz="4" w:space="0"/>
        </w:pBdr>
        <w:tabs>
          <w:tab w:val="left" w:leader="none" w:pos="4820"/>
        </w:tabs>
        <w:spacing w:after="200" w:before="100" w:line="312" w:lineRule="auto"/>
        <w:ind w:right="0" w:hanging="180" w:left="0"/>
        <w:jc w:val="center"/>
        <w:rPr>
          <w:b w:val="0"/>
          <w:bCs w:val="0"/>
        </w:rPr>
      </w:pPr>
      <w:r>
        <w:rPr>
          <w:rFonts w:ascii="Times New Roman" w:hAnsi="Times New Roman" w:eastAsia="Times New Roman" w:cs="Times New Roman"/>
          <w:b w:val="0"/>
          <w:bCs w:val="0"/>
          <w:i/>
          <w:color w:val="000000"/>
          <w:spacing w:val="-6"/>
          <w:sz w:val="24"/>
        </w:rPr>
        <w:t xml:space="preserve">(Kèm theo Chứng thư thẩm định giá số: 275/2025/1602/VFI-CT.48.A ngày 13 tháng 11 năm 2025)</w:t>
      </w:r>
      <w:r>
        <w:rPr>
          <w:b w:val="0"/>
          <w:bCs w:val="0"/>
        </w:rPr>
      </w:r>
      <w:r>
        <w:rPr>
          <w:b w:val="0"/>
          <w:bCs w:val="0"/>
        </w:rPr>
      </w:r>
    </w:p>
    <w:p>
      <w:pPr>
        <w:pStyle w:val="1010"/>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64" w:lineRule="auto"/>
              <w:ind w:right="0" w:firstLine="0" w:left="0"/>
              <w:jc w:val="both"/>
              <w:rPr/>
            </w:pPr>
            <w:r>
              <w:rPr>
                <w:rFonts w:ascii="Times New Roman" w:hAnsi="Times New Roman" w:eastAsia="Times New Roman" w:cs="Times New Roman"/>
                <w:color w:val="000000"/>
                <w:spacing w:val="-2"/>
                <w:sz w:val="24"/>
              </w:rPr>
              <w:t xml:space="preserve">BT05-23 Khu đô thị mới Văn Phú, Phường Kiến Hưng, TP. Hà Nội</w:t>
            </w: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b/>
                <w:color w:val="000000"/>
                <w:sz w:val="24"/>
              </w:rPr>
              <w:t xml:space="preserve">Ông Nguyễn Trọng Điệp</w:t>
              <w:tab/>
              <w:tab/>
              <w:t xml:space="preserve">Chức vụ: Tổng Giám Đốc</w:t>
            </w:r>
            <w:r/>
          </w:p>
        </w:tc>
      </w:tr>
    </w:tbl>
    <w:p>
      <w:pPr>
        <w:pStyle w:val="1031"/>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Style w:val="1035"/>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0170"/>
        <w:gridCol w:w="4175"/>
        <w:gridCol w:w="104363"/>
      </w:tblGrid>
      <w:tr>
        <w:trPr>
          <w:trHeight w:val="20"/>
        </w:trPr>
        <w:tc>
          <w:tcPr>
            <w:tcBorders/>
            <w:tcMar>
              <w:left w:w="108" w:type="dxa"/>
              <w:top w:w="0" w:type="dxa"/>
              <w:right w:w="108" w:type="dxa"/>
              <w:bottom w:w="0" w:type="dxa"/>
            </w:tcMar>
            <w:tcW w:w="40170"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64" w:lineRule="auto"/>
              <w:ind w:right="0" w:firstLine="0" w:left="0"/>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41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60" w:line="264"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104363"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64" w:lineRule="auto"/>
              <w:ind w:right="0" w:firstLine="0" w:left="0"/>
              <w:jc w:val="both"/>
              <w:rPr/>
            </w:pPr>
            <w:r>
              <w:rPr>
                <w:rFonts w:ascii="Times New Roman" w:hAnsi="Times New Roman" w:eastAsia="Times New Roman" w:cs="Times New Roman"/>
                <w:b/>
                <w:color w:val="000000"/>
                <w:sz w:val="24"/>
              </w:rPr>
              <w:t xml:space="preserve">ÔNG LÊ THANH TÙNG</w:t>
            </w:r>
            <w:r/>
          </w:p>
        </w:tc>
      </w:tr>
      <w:tr>
        <w:trPr>
          <w:trHeight w:val="20"/>
        </w:trPr>
        <w:tc>
          <w:tcPr>
            <w:tcBorders/>
            <w:tcMar>
              <w:left w:w="108" w:type="dxa"/>
              <w:top w:w="0" w:type="dxa"/>
              <w:right w:w="108" w:type="dxa"/>
              <w:bottom w:w="0" w:type="dxa"/>
            </w:tcMar>
            <w:tcW w:w="40170"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64" w:lineRule="auto"/>
              <w:ind w:right="0" w:firstLine="0" w:left="0"/>
              <w:rPr/>
            </w:pPr>
            <w:r>
              <w:rPr>
                <w:rFonts w:ascii="Times New Roman" w:hAnsi="Times New Roman" w:eastAsia="Times New Roman" w:cs="Times New Roman"/>
                <w:color w:val="000000"/>
                <w:sz w:val="24"/>
              </w:rPr>
              <w:t xml:space="preserve">Năm sinh</w:t>
            </w:r>
            <w:r/>
          </w:p>
        </w:tc>
        <w:tc>
          <w:tcPr>
            <w:tcBorders/>
            <w:tcMar>
              <w:left w:w="108" w:type="dxa"/>
              <w:top w:w="0" w:type="dxa"/>
              <w:right w:w="108" w:type="dxa"/>
              <w:bottom w:w="0" w:type="dxa"/>
            </w:tcMar>
            <w:tcW w:w="41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60" w:line="264"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104363"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64" w:lineRule="auto"/>
              <w:ind w:right="0" w:firstLine="0" w:left="0"/>
              <w:jc w:val="both"/>
              <w:rPr/>
            </w:pPr>
            <w:r>
              <w:rPr>
                <w:rFonts w:ascii="Times New Roman" w:hAnsi="Times New Roman" w:eastAsia="Times New Roman" w:cs="Times New Roman"/>
                <w:color w:val="000000"/>
                <w:spacing w:val="-4"/>
                <w:sz w:val="24"/>
              </w:rPr>
              <w:t xml:space="preserve">1993</w:t>
            </w:r>
            <w:r/>
          </w:p>
        </w:tc>
      </w:tr>
      <w:tr>
        <w:trPr>
          <w:trHeight w:val="20"/>
        </w:trPr>
        <w:tc>
          <w:tcPr>
            <w:tcBorders/>
            <w:tcMar>
              <w:left w:w="108" w:type="dxa"/>
              <w:top w:w="0" w:type="dxa"/>
              <w:right w:w="108" w:type="dxa"/>
              <w:bottom w:w="0" w:type="dxa"/>
            </w:tcMar>
            <w:tcW w:w="40170"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64" w:lineRule="auto"/>
              <w:ind w:right="0" w:firstLine="0" w:left="0"/>
              <w:rPr/>
            </w:pPr>
            <w:r>
              <w:rPr>
                <w:rFonts w:ascii="Times New Roman" w:hAnsi="Times New Roman" w:eastAsia="Times New Roman" w:cs="Times New Roman"/>
                <w:color w:val="000000"/>
                <w:sz w:val="24"/>
              </w:rPr>
              <w:t xml:space="preserve">CCCD</w:t>
            </w:r>
            <w:r/>
          </w:p>
        </w:tc>
        <w:tc>
          <w:tcPr>
            <w:tcBorders/>
            <w:tcMar>
              <w:left w:w="108" w:type="dxa"/>
              <w:top w:w="0" w:type="dxa"/>
              <w:right w:w="108" w:type="dxa"/>
              <w:bottom w:w="0" w:type="dxa"/>
            </w:tcMar>
            <w:tcW w:w="41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60" w:line="264"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104363"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64" w:lineRule="auto"/>
              <w:ind w:right="0" w:firstLine="0" w:left="0"/>
              <w:jc w:val="both"/>
              <w:rPr/>
            </w:pPr>
            <w:r>
              <w:rPr>
                <w:rFonts w:ascii="Times New Roman" w:hAnsi="Times New Roman" w:eastAsia="Times New Roman" w:cs="Times New Roman"/>
                <w:color w:val="000000"/>
                <w:sz w:val="24"/>
              </w:rPr>
              <w:t xml:space="preserve">001093005490</w:t>
            </w:r>
            <w:r/>
          </w:p>
        </w:tc>
      </w:tr>
      <w:tr>
        <w:trPr>
          <w:trHeight w:val="20"/>
        </w:trPr>
        <w:tc>
          <w:tcPr>
            <w:tcBorders/>
            <w:tcMar>
              <w:left w:w="108" w:type="dxa"/>
              <w:top w:w="0" w:type="dxa"/>
              <w:right w:w="108" w:type="dxa"/>
              <w:bottom w:w="0" w:type="dxa"/>
            </w:tcMar>
            <w:tcW w:w="40170"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64" w:lineRule="auto"/>
              <w:ind w:right="0" w:firstLine="0" w:left="0"/>
              <w:rPr/>
            </w:pPr>
            <w:r>
              <w:rPr>
                <w:rFonts w:ascii="Times New Roman" w:hAnsi="Times New Roman" w:eastAsia="Times New Roman" w:cs="Times New Roman"/>
                <w:color w:val="000000"/>
                <w:sz w:val="24"/>
              </w:rPr>
              <w:t xml:space="preserve">Hợp đồng số</w:t>
            </w:r>
            <w:r/>
          </w:p>
        </w:tc>
        <w:tc>
          <w:tcPr>
            <w:tcBorders/>
            <w:tcMar>
              <w:left w:w="108" w:type="dxa"/>
              <w:top w:w="0" w:type="dxa"/>
              <w:right w:w="108" w:type="dxa"/>
              <w:bottom w:w="0" w:type="dxa"/>
            </w:tcMar>
            <w:tcW w:w="41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60" w:line="264"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104363"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64" w:lineRule="auto"/>
              <w:ind w:right="0" w:firstLine="0" w:left="0"/>
              <w:jc w:val="both"/>
              <w:rPr/>
            </w:pPr>
            <w:r>
              <w:rPr>
                <w:rFonts w:ascii="Times New Roman" w:hAnsi="Times New Roman" w:eastAsia="Times New Roman" w:cs="Times New Roman"/>
                <w:color w:val="000000"/>
                <w:sz w:val="24"/>
              </w:rPr>
              <w:t xml:space="preserve">275/2025/1602/VFI-HĐTĐ.48.A</w:t>
            </w:r>
            <w:r/>
          </w:p>
        </w:tc>
      </w:tr>
      <w:tr>
        <w:trPr>
          <w:trHeight w:val="1983"/>
        </w:trPr>
        <w:tc>
          <w:tcPr>
            <w:tcBorders/>
            <w:tcMar>
              <w:left w:w="108" w:type="dxa"/>
              <w:top w:w="0" w:type="dxa"/>
              <w:right w:w="108" w:type="dxa"/>
              <w:bottom w:w="0" w:type="dxa"/>
            </w:tcMar>
            <w:tcW w:w="40170"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64" w:lineRule="auto"/>
              <w:ind w:right="0" w:firstLine="0" w:left="0"/>
              <w:rPr/>
            </w:pPr>
            <w:r>
              <w:rPr>
                <w:rFonts w:ascii="Times New Roman" w:hAnsi="Times New Roman" w:eastAsia="Times New Roman" w:cs="Times New Roman"/>
                <w:color w:val="000000"/>
                <w:sz w:val="24"/>
              </w:rPr>
              <w:t xml:space="preserve">Tài sản thẩm định giá</w:t>
            </w:r>
            <w:r/>
          </w:p>
        </w:tc>
        <w:tc>
          <w:tcPr>
            <w:tcBorders/>
            <w:tcMar>
              <w:left w:w="108" w:type="dxa"/>
              <w:top w:w="0" w:type="dxa"/>
              <w:right w:w="108" w:type="dxa"/>
              <w:bottom w:w="0" w:type="dxa"/>
            </w:tcMar>
            <w:tcW w:w="41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60" w:line="264"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104363"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76" w:lineRule="auto"/>
              <w:ind w:right="0" w:firstLine="0" w:left="0"/>
              <w:jc w:val="both"/>
              <w:rPr/>
            </w:pPr>
            <w:r>
              <w:rPr>
                <w:rFonts w:ascii="Times New Roman" w:hAnsi="Times New Roman" w:eastAsia="Times New Roman" w:cs="Times New Roman"/>
                <w:color w:val="000000"/>
                <w:sz w:val="24"/>
              </w:rPr>
              <w:t xml:space="preserve">Căn hộ chung cư số 12A03 - Ô đất số B2-CT02, Toà U26-2 (S2.08) Dự án Khu đô thị Gia Lâm - Vinhomes Ocean Park, xã Đa Tốn, huyện Gia Lâm, thành phố Hà Nội (nay là xã Gia Lâm, thành phố Hà Nội) theo Giấy chứng nhận Quyền sử dụng đất, quyền sở hữu nhà ở và tà</w:t>
            </w:r>
            <w:r>
              <w:rPr>
                <w:rFonts w:ascii="Times New Roman" w:hAnsi="Times New Roman" w:eastAsia="Times New Roman" w:cs="Times New Roman"/>
                <w:color w:val="000000"/>
                <w:sz w:val="24"/>
              </w:rPr>
              <w:t xml:space="preserve">i sản khác gắn liền với đất số: DĐ 735201, số vào sổ cấp GCN: CS01147 do Sở Tài nguyên và Môi trường thành phố Hà Nội cấp ngày 06/01/2022 cho Ông Lê Thanh Tùng và Bà Hoàng Thuỳ Dương.</w:t>
            </w:r>
            <w:r/>
          </w:p>
        </w:tc>
      </w:tr>
      <w:tr>
        <w:trPr>
          <w:trHeight w:val="715"/>
        </w:trPr>
        <w:tc>
          <w:tcPr>
            <w:tcBorders/>
            <w:tcMar>
              <w:left w:w="108" w:type="dxa"/>
              <w:top w:w="0" w:type="dxa"/>
              <w:right w:w="108" w:type="dxa"/>
              <w:bottom w:w="0" w:type="dxa"/>
            </w:tcMar>
            <w:tcW w:w="40170"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64" w:lineRule="auto"/>
              <w:ind w:right="0" w:firstLine="0" w:left="0"/>
              <w:rPr/>
            </w:pPr>
            <w:r>
              <w:rPr>
                <w:rFonts w:ascii="Times New Roman" w:hAnsi="Times New Roman" w:eastAsia="Times New Roman" w:cs="Times New Roman"/>
                <w:color w:val="000000"/>
                <w:sz w:val="24"/>
              </w:rPr>
              <w:t xml:space="preserve">Mục đích thẩm định giá</w:t>
            </w:r>
            <w:r/>
          </w:p>
        </w:tc>
        <w:tc>
          <w:tcPr>
            <w:tcBorders/>
            <w:tcMar>
              <w:left w:w="108" w:type="dxa"/>
              <w:top w:w="0" w:type="dxa"/>
              <w:right w:w="108" w:type="dxa"/>
              <w:bottom w:w="0" w:type="dxa"/>
            </w:tcMar>
            <w:tcW w:w="41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60" w:line="264"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104363"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64" w:lineRule="auto"/>
              <w:ind w:right="0" w:firstLine="0" w:left="0"/>
              <w:jc w:val="both"/>
              <w:rPr/>
            </w:pPr>
            <w:r>
              <w:rPr>
                <w:rFonts w:ascii="Times New Roman" w:hAnsi="Times New Roman" w:eastAsia="Times New Roman" w:cs="Times New Roman"/>
                <w:color w:val="000000"/>
                <w:spacing w:val="-4"/>
                <w:sz w:val="24"/>
              </w:rPr>
              <w:t xml:space="preserve">Kết quả thẩm định giá để khách hàng tham khảo giá trị tài sản phục vụ công tác vay vốn tại tổ chức tín dụng.</w:t>
            </w:r>
            <w:r/>
          </w:p>
        </w:tc>
      </w:tr>
      <w:tr>
        <w:trPr>
          <w:trHeight w:val="715"/>
        </w:trPr>
        <w:tc>
          <w:tcPr>
            <w:tcBorders/>
            <w:tcMar>
              <w:left w:w="108" w:type="dxa"/>
              <w:top w:w="0" w:type="dxa"/>
              <w:right w:w="108" w:type="dxa"/>
              <w:bottom w:w="0" w:type="dxa"/>
            </w:tcMar>
            <w:tcW w:w="40170"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64" w:lineRule="auto"/>
              <w:ind w:right="0" w:firstLine="0" w:left="0"/>
              <w:rPr/>
            </w:pPr>
            <w:r>
              <w:rPr>
                <w:rFonts w:ascii="Times New Roman" w:hAnsi="Times New Roman" w:eastAsia="Times New Roman" w:cs="Times New Roman"/>
                <w:color w:val="000000"/>
                <w:sz w:val="24"/>
              </w:rPr>
              <w:t xml:space="preserve">Cơ sở giá trị thẩm định giá</w:t>
            </w:r>
            <w:r/>
          </w:p>
        </w:tc>
        <w:tc>
          <w:tcPr>
            <w:tcBorders/>
            <w:tcMar>
              <w:left w:w="108" w:type="dxa"/>
              <w:top w:w="0" w:type="dxa"/>
              <w:right w:w="108" w:type="dxa"/>
              <w:bottom w:w="0" w:type="dxa"/>
            </w:tcMar>
            <w:tcW w:w="41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60" w:line="264" w:lineRule="auto"/>
              <w:ind w:right="0" w:firstLine="0" w:left="0"/>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104363"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64" w:lineRule="auto"/>
              <w:ind w:right="0" w:firstLine="0" w:left="0"/>
              <w:rPr/>
            </w:pPr>
            <w:r>
              <w:rPr>
                <w:rFonts w:ascii="Times New Roman" w:hAnsi="Times New Roman" w:eastAsia="Times New Roman" w:cs="Times New Roman"/>
                <w:color w:val="000000"/>
                <w:spacing w:val="-4"/>
                <w:sz w:val="24"/>
              </w:rPr>
              <w:t xml:space="preserve">Giá trị thị trường.</w:t>
            </w:r>
            <w:r/>
          </w:p>
        </w:tc>
      </w:tr>
      <w:tr>
        <w:trPr>
          <w:trHeight w:val="281"/>
        </w:trPr>
        <w:tc>
          <w:tcPr>
            <w:tcBorders/>
            <w:tcMar>
              <w:left w:w="108" w:type="dxa"/>
              <w:top w:w="0" w:type="dxa"/>
              <w:right w:w="108" w:type="dxa"/>
              <w:bottom w:w="0" w:type="dxa"/>
            </w:tcMar>
            <w:tcW w:w="40170"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64" w:lineRule="auto"/>
              <w:ind w:right="0" w:firstLine="0" w:left="0"/>
              <w:rPr/>
            </w:pPr>
            <w:r>
              <w:rPr>
                <w:rFonts w:ascii="Times New Roman" w:hAnsi="Times New Roman" w:eastAsia="Times New Roman" w:cs="Times New Roman"/>
                <w:color w:val="000000"/>
                <w:sz w:val="24"/>
              </w:rPr>
              <w:t xml:space="preserve">Thời điểm thẩm định giá</w:t>
            </w:r>
            <w:r/>
          </w:p>
        </w:tc>
        <w:tc>
          <w:tcPr>
            <w:tcBorders/>
            <w:tcMar>
              <w:left w:w="108" w:type="dxa"/>
              <w:top w:w="0" w:type="dxa"/>
              <w:right w:w="108" w:type="dxa"/>
              <w:bottom w:w="0" w:type="dxa"/>
            </w:tcMar>
            <w:tcW w:w="41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60" w:line="264"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104363"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64" w:lineRule="auto"/>
              <w:ind w:right="0" w:firstLine="0" w:left="0"/>
              <w:jc w:val="both"/>
              <w:rPr/>
            </w:pPr>
            <w:r>
              <w:rPr>
                <w:rFonts w:ascii="Times New Roman" w:hAnsi="Times New Roman" w:eastAsia="Times New Roman" w:cs="Times New Roman"/>
                <w:color w:val="000000"/>
                <w:sz w:val="24"/>
              </w:rPr>
              <w:t xml:space="preserve">Tháng 11/2025</w:t>
            </w:r>
            <w:r>
              <w:rPr>
                <w:rFonts w:ascii="Times New Roman" w:hAnsi="Times New Roman" w:eastAsia="Times New Roman" w:cs="Times New Roman"/>
                <w:color w:val="000000"/>
                <w:spacing w:val="-4"/>
                <w:sz w:val="24"/>
              </w:rPr>
              <w:t xml:space="preserve">.</w:t>
            </w:r>
            <w:r/>
          </w:p>
        </w:tc>
      </w:tr>
      <w:tr>
        <w:trPr>
          <w:trHeight w:val="20"/>
        </w:trPr>
        <w:tc>
          <w:tcPr>
            <w:tcBorders/>
            <w:tcMar>
              <w:left w:w="108" w:type="dxa"/>
              <w:top w:w="0" w:type="dxa"/>
              <w:right w:w="108" w:type="dxa"/>
              <w:bottom w:w="0" w:type="dxa"/>
            </w:tcMar>
            <w:tcW w:w="40170"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64" w:lineRule="auto"/>
              <w:ind w:right="0" w:firstLine="0" w:left="0"/>
              <w:rPr/>
            </w:pPr>
            <w:r>
              <w:rPr>
                <w:rFonts w:ascii="Times New Roman" w:hAnsi="Times New Roman" w:eastAsia="Times New Roman" w:cs="Times New Roman"/>
                <w:color w:val="000000"/>
                <w:spacing w:val="-4"/>
                <w:sz w:val="24"/>
              </w:rPr>
              <w:t xml:space="preserve">Địa điểm thẩm định giá</w:t>
            </w:r>
            <w:r/>
          </w:p>
        </w:tc>
        <w:tc>
          <w:tcPr>
            <w:tcBorders/>
            <w:tcMar>
              <w:left w:w="108" w:type="dxa"/>
              <w:top w:w="0" w:type="dxa"/>
              <w:right w:w="108" w:type="dxa"/>
              <w:bottom w:w="0" w:type="dxa"/>
            </w:tcMar>
            <w:tcW w:w="417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60" w:line="264"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104363" w:type="dxa"/>
            <w:vAlign w:val="center"/>
            <w:textDirection w:val="lrTb"/>
            <w:noWrap w:val="false"/>
          </w:tcPr>
          <w:p>
            <w:pPr>
              <w:pBdr>
                <w:top w:val="none" w:color="000000" w:sz="4" w:space="0"/>
                <w:left w:val="none" w:color="000000" w:sz="4" w:space="0"/>
                <w:bottom w:val="none" w:color="000000" w:sz="4" w:space="0"/>
                <w:right w:val="none" w:color="000000" w:sz="4" w:space="0"/>
              </w:pBdr>
              <w:spacing w:before="60" w:line="264" w:lineRule="auto"/>
              <w:ind w:right="0" w:firstLine="0" w:left="0"/>
              <w:jc w:val="both"/>
              <w:rPr/>
            </w:pPr>
            <w:r>
              <w:rPr>
                <w:rFonts w:ascii="Times New Roman" w:hAnsi="Times New Roman" w:eastAsia="Times New Roman" w:cs="Times New Roman"/>
                <w:color w:val="000000"/>
                <w:sz w:val="24"/>
              </w:rPr>
              <w:t xml:space="preserve">Xã Gia Lâm, thành phố Hà Nội</w:t>
            </w: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1"/>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1"/>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1"/>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1"/>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1"/>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31"/>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31"/>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31"/>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31"/>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31"/>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1"/>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1"/>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Bdr>
          <w:top w:val="none" w:color="000000" w:sz="4" w:space="0"/>
          <w:left w:val="none" w:color="000000" w:sz="4" w:space="0"/>
          <w:bottom w:val="none" w:color="000000" w:sz="4" w:space="0"/>
          <w:right w:val="none" w:color="000000" w:sz="4" w:space="0"/>
        </w:pBdr>
        <w:spacing w:before="60" w:line="264" w:lineRule="auto"/>
        <w:ind w:right="0" w:firstLine="0" w:left="0"/>
        <w:jc w:val="both"/>
        <w:rPr/>
      </w:pPr>
      <w:r>
        <w:rPr>
          <w:rFonts w:ascii="Times New Roman" w:hAnsi="Times New Roman" w:eastAsia="Times New Roman" w:cs="Times New Roman"/>
          <w:color w:val="000000"/>
          <w:sz w:val="24"/>
        </w:rPr>
        <w:t xml:space="preserve">-     Giấy chứng nhận Quyền sử dụng đất, quyền sở hữu nhà ở và tài sản khác gắn liền với đất số: DĐ 735201, số vào sổ cấp GCN: CS01147 do Sở Tài nguyên và Môi trường thành phố Hà Nội cấp ngày 06/01/2022 cho Ông Lê Thanh Tùng và Bà Hoàng Thuỳ Dương.</w:t>
      </w:r>
      <w:r/>
    </w:p>
    <w:p>
      <w:pPr>
        <w:pBdr>
          <w:top w:val="none" w:color="000000" w:sz="4" w:space="0"/>
          <w:left w:val="none" w:color="000000" w:sz="4" w:space="0"/>
          <w:bottom w:val="none" w:color="000000" w:sz="4" w:space="0"/>
          <w:right w:val="none" w:color="000000" w:sz="4" w:space="0"/>
        </w:pBdr>
        <w:spacing w:after="120" w:before="120" w:line="264" w:lineRule="auto"/>
        <w:ind w:right="0" w:firstLine="0" w:left="0"/>
        <w:jc w:val="both"/>
        <w:rPr/>
      </w:pPr>
      <w:r>
        <w:rPr>
          <w:rFonts w:ascii="Times New Roman" w:hAnsi="Times New Roman" w:eastAsia="Times New Roman" w:cs="Times New Roman"/>
          <w:b/>
          <w:color w:val="000000"/>
          <w:sz w:val="24"/>
        </w:rPr>
        <w:t xml:space="preserve">b. Hồ sơ khác:</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pPr>
      <w:r>
        <w:rPr>
          <w:rFonts w:ascii="Times New Roman" w:hAnsi="Times New Roman" w:eastAsia="Times New Roman" w:cs="Times New Roman"/>
          <w:color w:val="000000"/>
          <w:sz w:val="24"/>
        </w:rPr>
        <w:t xml:space="preserve">Hợp đồng số 275/2025/1602/VFI-HĐTĐ.48.A ký ngày 8/11/2025 giữa Ông Lê Thanh Tùng với Công ty cổ phần Thẩm định và Đầu tư tài chính Hoa Sen.</w:t>
      </w:r>
      <w:r/>
    </w:p>
    <w:p>
      <w:pPr>
        <w:numPr>
          <w:ilvl w:val="0"/>
          <w:numId w:val="39"/>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pPr>
      <w:r>
        <w:rPr>
          <w:rFonts w:ascii="Times New Roman" w:hAnsi="Times New Roman" w:eastAsia="Times New Roman" w:cs="Times New Roman"/>
          <w:color w:val="000000"/>
          <w:sz w:val="24"/>
        </w:rPr>
        <w:t xml:space="preserve">Hồ sơ, tài liệu, chứng từ liên quan đến tài sản thẩm định giá.</w:t>
      </w: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lang w:val="pt-BR"/>
        </w:rPr>
        <w:tab/>
      </w:r>
      <w:r>
        <w:rPr>
          <w:rFonts w:ascii="Times New Roman" w:hAnsi="Times New Roman" w:eastAsia="Times New Roman" w:cs="Times New Roman"/>
          <w:color w:val="000000"/>
          <w:sz w:val="24"/>
        </w:rPr>
        <w:t xml:space="preserve">Theo dữ liệu của One Mount Group, trong quý 1/2025, thị trường bất động sản Hà Nội ghi nhận tổng cộng 18.300 giao dịch, trong đó bao gồm 8.300 giao dịch sơ cấp (mua trực tiếp từ chủ đầu tư) và 10.100 giao dịch thứ cấp (chuyển nhượng lại trên thị trường). C</w:t>
      </w:r>
      <w:r>
        <w:rPr>
          <w:rFonts w:ascii="Times New Roman" w:hAnsi="Times New Roman" w:eastAsia="Times New Roman" w:cs="Times New Roman"/>
          <w:color w:val="000000"/>
          <w:sz w:val="24"/>
        </w:rPr>
        <w:t xml:space="preserve">on số này giảm 14% so với cùng kỳ năm 2024.</w:t>
      </w:r>
      <w:r/>
    </w:p>
    <w:p>
      <w:pPr>
        <w:pBdr>
          <w:top w:val="none" w:color="000000" w:sz="4" w:space="0"/>
          <w:left w:val="none" w:color="000000" w:sz="4" w:space="0"/>
          <w:bottom w:val="none" w:color="000000" w:sz="4" w:space="0"/>
          <w:right w:val="none" w:color="000000" w:sz="4" w:space="0"/>
        </w:pBdr>
        <w:tabs>
          <w:tab w:val="left" w:leader="none" w:pos="426"/>
        </w:tabs>
        <w:spacing w:after="120" w:before="288" w:line="276" w:lineRule="auto"/>
        <w:ind w:right="0" w:firstLine="0" w:left="0"/>
        <w:jc w:val="both"/>
        <w:rPr/>
      </w:pPr>
      <w:r>
        <w:rPr>
          <w:rFonts w:ascii="Times New Roman" w:hAnsi="Times New Roman" w:eastAsia="Times New Roman" w:cs="Times New Roman"/>
          <w:color w:val="000000"/>
          <w:sz w:val="24"/>
        </w:rPr>
        <w:tab/>
        <w:t xml:space="preserve">Sự sụt giảm nhẹ về lượng giao dịch phản ánh tâm lý thận trọng của nhà đầu tư và người mua ở thực, trong bối cảnh các yếu tố vĩ mô như siết tín dụng, thủ tục pháp lý và quá trình thanh lọc các dự án kém minh bạch vẫn đang tiếp diễn.</w:t>
      </w:r>
      <w:r/>
    </w:p>
    <w:p>
      <w:pPr>
        <w:pBdr>
          <w:top w:val="none" w:color="000000" w:sz="4" w:space="0"/>
          <w:left w:val="none" w:color="000000" w:sz="4" w:space="0"/>
          <w:bottom w:val="none" w:color="000000" w:sz="4" w:space="0"/>
          <w:right w:val="none" w:color="000000" w:sz="4" w:space="0"/>
        </w:pBdr>
        <w:tabs>
          <w:tab w:val="left" w:leader="none" w:pos="426"/>
        </w:tabs>
        <w:spacing w:after="120" w:before="288" w:line="276" w:lineRule="auto"/>
        <w:ind w:right="0" w:firstLine="0" w:left="0"/>
        <w:jc w:val="both"/>
        <w:rPr/>
      </w:pPr>
      <w:r>
        <w:rPr>
          <w:rFonts w:ascii="Times New Roman" w:hAnsi="Times New Roman" w:eastAsia="Times New Roman" w:cs="Times New Roman"/>
          <w:color w:val="000000"/>
          <w:sz w:val="24"/>
        </w:rPr>
        <w:tab/>
        <w:t xml:space="preserve">Bên cạnh đó, giá bất động sản Hà Nội đặc biệt là phân khúc chung cư tăng mạnh trong thời gian dài cũng khiến người mua nhà gặp nhiều khó khăn hơn khi muốn tiếp cận sản phẩm.</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Giao dịch tại khu vực trung tâm Hà Nội như Ba Đình, Hoàn Kiếm, Đống Đa giảm rõ rệt – chủ yếu do giá bán quá cao và quỹ đất hạn chế. Ngược lại, các khu vực ngoại thành như Đông Anh, Hoài Đức, Thanh Trì, Gia Lâm lại ghi nhận mức độ quan tâm và thanh khoản t</w:t>
      </w:r>
      <w:r>
        <w:rPr>
          <w:rFonts w:ascii="Times New Roman" w:hAnsi="Times New Roman" w:eastAsia="Times New Roman" w:cs="Times New Roman"/>
          <w:color w:val="000000"/>
          <w:sz w:val="24"/>
        </w:rPr>
        <w:t xml:space="preserve">ích cực hơn, đặc biệt là trong phân khúc nhà ở gắn liền với đất và căn hộ trung cấp.</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Theo One Mount Group, lượng tiêu thụ căn hộ mở mới trong quý 1/2025 giảm khoảng 3.200 căn, tương ứng 71% theo quý và 23% theo năm. Tỷ lệ hấp thụ lũy kế trong quý chỉ đạt 80%.</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Ngoài ra, tình trạng trầm lắng cục bộ cũng diễn ra, khi phân khúc đất nền và nhà phố tại nội đô giảm nhiệt rõ rệt, trong khi một số khu vực vùng ven lại giữ được sức hút nhờ giá mềm và quy hoạch hạ tầng thuận lợi.</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Tình trạng khan hiếm dự án mở bán mới vẫn tiếp tục diễn ra với thị trường Hà Nội. Tuy nhiên, từ đầu năm 2025, tình hình đã bắt đầu có dấu hiệu cải thiện nhẹ khi một số chủ đầu tư giới thiệu dự án ra thị trường.</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Các dự án mới tập trung ở một số dự án lớn tại Gia Lâm, Đông Anh và Thạch Thất, chủ yếu thuộc phân khúc cao cấp, hạng sang. Nhiều chủ đầu tư đang đẩy nhanh tiến độ pháp lý để kịp giới thiệu sản phẩm ra thị trường trong nửa cuối năm 2025 – đặc biệt trong b</w:t>
      </w:r>
      <w:r>
        <w:rPr>
          <w:rFonts w:ascii="Times New Roman" w:hAnsi="Times New Roman" w:eastAsia="Times New Roman" w:cs="Times New Roman"/>
          <w:color w:val="000000"/>
          <w:sz w:val="24"/>
        </w:rPr>
        <w:t xml:space="preserve">ối cảnh tâm lý người mua đang dần khởi sắc trở lại.</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Theo dữ liệu trực tuyến của Batdongsan.com.vn, từ đầu tháng 3, lượt tìm kiếm BĐS Hà Nội hồi phục trở lại khi ghi nhận mức tăng 27% so với tháng 2.</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Số liệu từ Savills và các sàn giao dịch lớn cho thấy mức độ quan tâm tới căn hộ trung cấp và nhà thấp tầng đang tăng lên, nhất là ở nhóm khách hàng mua để ở, thay vì đầu cơ. Đây là chỉ dấu tích cực cho thấy thị trường đang trở lại nền tảng thực – thay vì </w:t>
      </w:r>
      <w:r>
        <w:rPr>
          <w:rFonts w:ascii="Times New Roman" w:hAnsi="Times New Roman" w:eastAsia="Times New Roman" w:cs="Times New Roman"/>
          <w:color w:val="000000"/>
          <w:sz w:val="24"/>
        </w:rPr>
        <w:t xml:space="preserve">các cơn “sốt ảo” như giai đoạn 2020–2021.</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Giá nhà đất, đặc biệt là căn hộ tăng cao trong khi nguồn cung khan hiếm và tâm lý thận trọng của người mua khiến nhu cầu mua trong giai đoạn này không còn nặng tính đầu cơ, chủ yếu là người có nhu cầu thực mua để an cư.</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ab/>
        <w:t xml:space="preserve">Nhìn chung, thị trường bất động sản Hà Nội đầu năm 2025 đang vận động trong trạng thái ổn định – thanh lọc – tích lũy, với thanh khoản tập trung tại các phân khúc có giá hợp lý và pháp lý rõ ràng. Tâm lý người mua cải thiện, nhưng vẫn chọn lọc và thận trọ</w:t>
      </w:r>
      <w:r>
        <w:rPr>
          <w:rFonts w:ascii="Times New Roman" w:hAnsi="Times New Roman" w:eastAsia="Times New Roman" w:cs="Times New Roman"/>
          <w:color w:val="000000"/>
          <w:sz w:val="24"/>
        </w:rPr>
        <w:t xml:space="preserve">ng trước khi xuống tiền.</w:t>
      </w:r>
      <w:r/>
    </w:p>
    <w:p>
      <w:pPr>
        <w:pBdr/>
        <w:tabs>
          <w:tab w:val="left" w:leader="none" w:pos="426"/>
        </w:tabs>
        <w:spacing w:after="120" w:before="120" w:line="276" w:lineRule="auto"/>
        <w:ind/>
        <w:rPr>
          <w:bCs/>
          <w:i/>
          <w:u w:val="none"/>
        </w:rPr>
      </w:pPr>
      <w:r>
        <w:rPr>
          <w:rFonts w:ascii="Times New Roman" w:hAnsi="Times New Roman" w:eastAsia="Times New Roman" w:cs="Times New Roman"/>
          <w:i/>
          <w:iCs/>
          <w:color w:val="000000"/>
          <w:sz w:val="24"/>
          <w:u w:val="none"/>
        </w:rPr>
        <w:t xml:space="preserve">(Nguồn tham khảo: </w:t>
      </w:r>
      <w:hyperlink r:id="rId15" w:tooltip="https://batdongsan/" w:history="1">
        <w:r>
          <w:rPr>
            <w:rStyle w:val="1021"/>
            <w:rFonts w:ascii="Times New Roman" w:hAnsi="Times New Roman" w:eastAsia="Times New Roman" w:cs="Times New Roman"/>
            <w:i/>
            <w:iCs/>
            <w:color w:val="000000"/>
            <w:sz w:val="24"/>
            <w:u w:val="none"/>
          </w:rPr>
          <w:t xml:space="preserve">https://batdongsan</w:t>
        </w:r>
      </w:hyperlink>
      <w:r>
        <w:rPr>
          <w:rFonts w:ascii="Times New Roman" w:hAnsi="Times New Roman" w:eastAsia="Times New Roman" w:cs="Times New Roman"/>
          <w:i/>
          <w:iCs/>
          <w:color w:val="000000"/>
          <w:sz w:val="24"/>
          <w:u w:val="none"/>
        </w:rPr>
        <w:t xml:space="preserve">.com.vn/tin-tuc/thi-truong-bat-dong-san-ha-noi-836237)</w:t>
      </w:r>
      <w:r>
        <w:rPr>
          <w:bCs/>
          <w:i/>
          <w:u w:val="none"/>
        </w:rPr>
      </w:r>
      <w:r>
        <w:rPr>
          <w:bCs/>
          <w:i/>
          <w:u w:val="none"/>
        </w:rPr>
      </w:r>
    </w:p>
    <w:p>
      <w:pPr>
        <w:pStyle w:val="1031"/>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35"/>
        <w:tblInd w:w="0" w:type="dxa"/>
        <w:tblW w:w="5044"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861"/>
        <w:gridCol w:w="1905"/>
        <w:gridCol w:w="1905"/>
        <w:gridCol w:w="1905"/>
        <w:gridCol w:w="3033"/>
      </w:tblGrid>
      <w:tr>
        <w:trPr>
          <w:trHeight w:val="1697"/>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6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874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b/>
                <w:color w:val="000000"/>
                <w:sz w:val="24"/>
              </w:rPr>
              <w:t xml:space="preserve">Căn hộ chung cư số 12A03 - Ô đất số B2-CT02, Toà U26-2 (S2.08) Dự án Khu đô thị Gia Lâm - Vinhomes Ocean Park, xã Đa Tốn, huyện Gia Lâm, thành phố Hà Nội (nay là xã Gia Lâm, thành phố Hà Nội) theo Giấy chứng nhận Quyền sử dụng đất, quyền sở hữu nhà ở và tà</w:t>
            </w:r>
            <w:r>
              <w:rPr>
                <w:rFonts w:ascii="Times New Roman" w:hAnsi="Times New Roman" w:eastAsia="Times New Roman" w:cs="Times New Roman"/>
                <w:b/>
                <w:color w:val="000000"/>
                <w:sz w:val="24"/>
              </w:rPr>
              <w:t xml:space="preserve">i sản khác gắn liền với đất số: DĐ 735201, số vào sổ cấp GCN: CS01147 do Sở Tài nguyên và Môi trường thành phố Hà Nội cấp ngày 06/01/2022 cho Ông Lê Thanh Tùng và Bà Hoàng Thuỳ Dương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6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874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6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Tờ bản đồ số :</w:t>
            </w:r>
            <w:r/>
          </w:p>
        </w:tc>
        <w:tc>
          <w:tcPr>
            <w:tcBorders>
              <w:bottom w:val="single" w:color="000000" w:sz="8" w:space="0"/>
              <w:right w:val="single" w:color="000000" w:sz="8" w:space="0"/>
            </w:tcBorders>
            <w:tcMar>
              <w:left w:w="108" w:type="dxa"/>
              <w:top w:w="0" w:type="dxa"/>
              <w:right w:w="108" w:type="dxa"/>
              <w:bottom w:w="0" w:type="dxa"/>
            </w:tcMar>
            <w:tcW w:w="303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r>
      <w:tr>
        <w:trPr>
          <w:trHeight w:val="328"/>
        </w:trPr>
        <w:tc>
          <w:tcPr>
            <w:tcBorders>
              <w:left w:val="single" w:color="000000" w:sz="8" w:space="0"/>
              <w:bottom w:val="single" w:color="000000" w:sz="8" w:space="0"/>
              <w:right w:val="single" w:color="000000" w:sz="8" w:space="0"/>
            </w:tcBorders>
            <w:tcMar>
              <w:left w:w="108" w:type="dxa"/>
              <w:top w:w="0" w:type="dxa"/>
              <w:right w:w="108" w:type="dxa"/>
              <w:bottom w:w="0" w:type="dxa"/>
            </w:tcMar>
            <w:tcW w:w="86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Ô đất số B2-CT02, Toà U26-2 (S2.08) Dự án Khu đô thị Gia Lâm - Vinhomes Ocean Park, xã Đa Tốn, huyện Gia Lâm, thành phố Hà Nội (nay là xã Gia Lâm, thành phố Hà Nội)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6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Diện tích (m²):</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2254,0</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303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Sử dụng riêng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6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303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6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Nguồn gốc sử dụng:</w:t>
            </w:r>
            <w:r/>
          </w:p>
        </w:tc>
        <w:tc>
          <w:tcPr>
            <w:gridSpan w:val="3"/>
            <w:tcBorders>
              <w:bottom w:val="single" w:color="000000" w:sz="8" w:space="0"/>
              <w:right w:val="single" w:color="000000" w:sz="8" w:space="0"/>
            </w:tcBorders>
            <w:tcMar>
              <w:left w:w="108" w:type="dxa"/>
              <w:top w:w="0" w:type="dxa"/>
              <w:right w:w="108" w:type="dxa"/>
              <w:bottom w:w="0" w:type="dxa"/>
            </w:tcMar>
            <w:tcW w:w="68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Được tặng cho đất được Nhà nước giao đất có thu tiền sử dụng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6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4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Vị trí tài sản thẩm định trên bản đồ vệ tinh: 20.99337158843479, 105.94159128061091</w:t>
            </w:r>
            <w:r/>
          </w:p>
        </w:tc>
      </w:tr>
      <w:tr>
        <w:trPr>
          <w:trHeight w:val="4383"/>
        </w:trPr>
        <w:tc>
          <w:tcPr>
            <w:tcBorders>
              <w:left w:val="single" w:color="000000" w:sz="8" w:space="0"/>
              <w:bottom w:val="single" w:color="000000" w:sz="8" w:space="0"/>
              <w:right w:val="single" w:color="000000" w:sz="8" w:space="0"/>
            </w:tcBorders>
            <w:tcMar>
              <w:left w:w="108" w:type="dxa"/>
              <w:top w:w="0" w:type="dxa"/>
              <w:right w:w="108" w:type="dxa"/>
              <w:bottom w:w="0" w:type="dxa"/>
            </w:tcMar>
            <w:tcW w:w="86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8748"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6048375" cy="2950752"/>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500160" name=""/>
                              <pic:cNvPicPr>
                                <a:picLocks noChangeAspect="1"/>
                              </pic:cNvPicPr>
                              <pic:nvPr/>
                            </pic:nvPicPr>
                            <pic:blipFill>
                              <a:blip r:embed="rId16"/>
                              <a:stretch/>
                            </pic:blipFill>
                            <pic:spPr bwMode="auto">
                              <a:xfrm>
                                <a:off x="0" y="0"/>
                                <a:ext cx="6048374" cy="295075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76.25pt;height:232.34pt;mso-wrap-distance-left:0.00pt;mso-wrap-distance-top:0.00pt;mso-wrap-distance-right:0.00pt;mso-wrap-distance-bottom:0.00pt;z-index:1;" stroked="false">
                      <v:imagedata r:id="rId16" o:title=""/>
                      <o:lock v:ext="edit" rotation="t"/>
                    </v:shape>
                  </w:pict>
                </mc:Fallback>
              </mc:AlternateConten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6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Địa chỉ thực tế:</w:t>
            </w:r>
            <w:r/>
          </w:p>
        </w:tc>
        <w:tc>
          <w:tcPr>
            <w:gridSpan w:val="3"/>
            <w:tcBorders>
              <w:bottom w:val="single" w:color="000000" w:sz="8" w:space="0"/>
              <w:right w:val="single" w:color="000000" w:sz="8" w:space="0"/>
            </w:tcBorders>
            <w:tcMar>
              <w:left w:w="108" w:type="dxa"/>
              <w:top w:w="0" w:type="dxa"/>
              <w:right w:w="108" w:type="dxa"/>
              <w:bottom w:w="0" w:type="dxa"/>
            </w:tcMar>
            <w:tcW w:w="68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Ô đất số B2-CT02, Toà U26-2 (S2.08) Dự án Khu đô thị Gia Lâm - Vinhomes Ocean Park, xã Đa Tốn, huyện Gia Lâm, thành phố Hà Nội (nay là xã Gia Lâm, thành phố Hà Nội)</w:t>
            </w:r>
            <w:r/>
          </w:p>
        </w:tc>
      </w:tr>
      <w:tr>
        <w:trPr>
          <w:trHeight w:val="1833"/>
        </w:trPr>
        <w:tc>
          <w:tcPr>
            <w:tcBorders>
              <w:left w:val="single" w:color="000000" w:sz="8" w:space="0"/>
              <w:bottom w:val="single" w:color="000000" w:sz="8" w:space="0"/>
              <w:right w:val="single" w:color="000000" w:sz="8" w:space="0"/>
            </w:tcBorders>
            <w:tcMar>
              <w:left w:w="108" w:type="dxa"/>
              <w:top w:w="0" w:type="dxa"/>
              <w:right w:w="108" w:type="dxa"/>
              <w:bottom w:w="0" w:type="dxa"/>
            </w:tcMar>
            <w:tcW w:w="86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Đường tiếp giáp:</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Đường Hải Đăng</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Khoảng cách đến trục đường chính:</w:t>
            </w:r>
            <w:r/>
          </w:p>
        </w:tc>
        <w:tc>
          <w:tcPr>
            <w:tcBorders>
              <w:bottom w:val="single" w:color="000000" w:sz="8" w:space="0"/>
              <w:right w:val="single" w:color="000000" w:sz="8" w:space="0"/>
            </w:tcBorders>
            <w:tcMar>
              <w:left w:w="108" w:type="dxa"/>
              <w:top w:w="0" w:type="dxa"/>
              <w:right w:w="108" w:type="dxa"/>
              <w:bottom w:w="0" w:type="dxa"/>
            </w:tcMar>
            <w:tcW w:w="3033"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là căn hộ chung cư số 12A03, tầng 13, toà nhà U26-2 (S2.08). Toà nhà tiếp giáp đường Hải Đăng.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6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874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Thông tin về căn hộ</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6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Loại nhà ở:</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Căn hộ chung cư số 12A03</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Diện tích sử dụng căn hộ (m²)</w:t>
            </w:r>
            <w:r/>
          </w:p>
        </w:tc>
        <w:tc>
          <w:tcPr>
            <w:tcBorders>
              <w:bottom w:val="single" w:color="000000" w:sz="8" w:space="0"/>
              <w:right w:val="single" w:color="000000" w:sz="8" w:space="0"/>
            </w:tcBorders>
            <w:tcMar>
              <w:left w:w="108" w:type="dxa"/>
              <w:top w:w="0" w:type="dxa"/>
              <w:right w:w="108" w:type="dxa"/>
              <w:bottom w:w="0" w:type="dxa"/>
            </w:tcMar>
            <w:tcW w:w="303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6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Diện tích sàn xây dựng căn hộ (m²):</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43,1m</w:t>
            </w:r>
            <w:r>
              <w:rPr>
                <w:rFonts w:ascii="Times New Roman" w:hAnsi="Times New Roman" w:eastAsia="Times New Roman" w:cs="Times New Roman"/>
                <w:color w:val="000000"/>
                <w:sz w:val="20"/>
                <w:vertAlign w:val="superscript"/>
              </w:rPr>
              <w:t xml:space="preserve">2</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Hình thức sở hữu: </w:t>
            </w:r>
            <w:r/>
          </w:p>
        </w:tc>
        <w:tc>
          <w:tcPr>
            <w:tcBorders>
              <w:bottom w:val="single" w:color="000000" w:sz="8" w:space="0"/>
              <w:right w:val="single" w:color="000000" w:sz="8" w:space="0"/>
            </w:tcBorders>
            <w:tcMar>
              <w:left w:w="108" w:type="dxa"/>
              <w:top w:w="0" w:type="dxa"/>
              <w:right w:w="108" w:type="dxa"/>
              <w:bottom w:w="0" w:type="dxa"/>
            </w:tcMar>
            <w:tcW w:w="303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Sở hữu riêng</w:t>
            </w:r>
            <w:r/>
          </w:p>
        </w:tc>
      </w:tr>
      <w:tr>
        <w:trPr>
          <w:trHeight w:val="429"/>
        </w:trPr>
        <w:tc>
          <w:tcPr>
            <w:tcBorders>
              <w:left w:val="single" w:color="000000" w:sz="8" w:space="0"/>
              <w:bottom w:val="single" w:color="000000" w:sz="8" w:space="0"/>
              <w:right w:val="single" w:color="000000" w:sz="8" w:space="0"/>
            </w:tcBorders>
            <w:tcMar>
              <w:left w:w="108" w:type="dxa"/>
              <w:top w:w="0" w:type="dxa"/>
              <w:right w:w="108" w:type="dxa"/>
              <w:bottom w:w="0" w:type="dxa"/>
            </w:tcMar>
            <w:tcW w:w="86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Tòa nhà:</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Toà nhà 12A03</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Vị trí tầng:</w:t>
            </w:r>
            <w:r/>
          </w:p>
        </w:tc>
        <w:tc>
          <w:tcPr>
            <w:tcBorders>
              <w:bottom w:val="single" w:color="000000" w:sz="8" w:space="0"/>
              <w:right w:val="single" w:color="000000" w:sz="8" w:space="0"/>
            </w:tcBorders>
            <w:tcMar>
              <w:left w:w="108" w:type="dxa"/>
              <w:top w:w="0" w:type="dxa"/>
              <w:right w:w="108" w:type="dxa"/>
              <w:bottom w:w="0" w:type="dxa"/>
            </w:tcMar>
            <w:tcW w:w="303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Tầng 13/26 tầng + 1 tum thang + 1 tầng hầm</w:t>
            </w:r>
            <w:r/>
          </w:p>
        </w:tc>
      </w:tr>
      <w:tr>
        <w:trPr>
          <w:trHeight w:val="704"/>
        </w:trPr>
        <w:tc>
          <w:tcPr>
            <w:tcBorders>
              <w:left w:val="single" w:color="000000" w:sz="8" w:space="0"/>
              <w:bottom w:val="single" w:color="000000" w:sz="8" w:space="0"/>
              <w:right w:val="single" w:color="000000" w:sz="8" w:space="0"/>
            </w:tcBorders>
            <w:tcMar>
              <w:left w:w="108" w:type="dxa"/>
              <w:top w:w="0" w:type="dxa"/>
              <w:right w:w="108" w:type="dxa"/>
              <w:bottom w:w="0" w:type="dxa"/>
            </w:tcMar>
            <w:tcW w:w="86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Hướng cửa:</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Đông Bắc</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Hướng ban công:</w:t>
            </w:r>
            <w:r/>
          </w:p>
        </w:tc>
        <w:tc>
          <w:tcPr>
            <w:tcBorders>
              <w:bottom w:val="single" w:color="000000" w:sz="8" w:space="0"/>
              <w:right w:val="single" w:color="000000" w:sz="8" w:space="0"/>
            </w:tcBorders>
            <w:tcMar>
              <w:left w:w="108" w:type="dxa"/>
              <w:top w:w="0" w:type="dxa"/>
              <w:right w:w="108" w:type="dxa"/>
              <w:bottom w:w="0" w:type="dxa"/>
            </w:tcMar>
            <w:tcW w:w="303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Tây Nam</w:t>
            </w:r>
            <w:r/>
          </w:p>
        </w:tc>
      </w:tr>
      <w:tr>
        <w:trPr>
          <w:trHeight w:val="982"/>
        </w:trPr>
        <w:tc>
          <w:tcPr>
            <w:tcBorders>
              <w:left w:val="single" w:color="000000" w:sz="8" w:space="0"/>
              <w:bottom w:val="single" w:color="000000" w:sz="8" w:space="0"/>
              <w:right w:val="single" w:color="000000" w:sz="8" w:space="0"/>
            </w:tcBorders>
            <w:tcMar>
              <w:left w:w="108" w:type="dxa"/>
              <w:top w:w="0" w:type="dxa"/>
              <w:right w:w="108" w:type="dxa"/>
              <w:bottom w:w="0" w:type="dxa"/>
            </w:tcMar>
            <w:tcW w:w="86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Cấu trúc:</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1+ phòng ngủ, 1 vệ sinh, phòng khách, phòng bếp </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Nội thất:</w:t>
            </w:r>
            <w:r/>
          </w:p>
        </w:tc>
        <w:tc>
          <w:tcPr>
            <w:tcBorders>
              <w:bottom w:val="single" w:color="000000" w:sz="8" w:space="0"/>
              <w:right w:val="single" w:color="000000" w:sz="8" w:space="0"/>
            </w:tcBorders>
            <w:tcMar>
              <w:left w:w="108" w:type="dxa"/>
              <w:top w:w="0" w:type="dxa"/>
              <w:right w:w="108" w:type="dxa"/>
              <w:bottom w:w="0" w:type="dxa"/>
            </w:tcMar>
            <w:tcW w:w="303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Nội thất cơ bản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6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8748"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6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Hạ tầng nội bộ:</w:t>
            </w:r>
            <w:r/>
          </w:p>
        </w:tc>
        <w:tc>
          <w:tcPr>
            <w:gridSpan w:val="3"/>
            <w:tcBorders>
              <w:bottom w:val="single" w:color="000000" w:sz="8" w:space="0"/>
              <w:right w:val="single" w:color="000000" w:sz="8" w:space="0"/>
            </w:tcBorders>
            <w:tcMar>
              <w:left w:w="108" w:type="dxa"/>
              <w:top w:w="0" w:type="dxa"/>
              <w:right w:w="108" w:type="dxa"/>
              <w:bottom w:w="0" w:type="dxa"/>
            </w:tcMar>
            <w:tcW w:w="68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Cấp điện, cấp nước sạch, mạng internet,… hoàn thiện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6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Hạ tầng xung quanh:</w:t>
            </w:r>
            <w:r/>
          </w:p>
        </w:tc>
        <w:tc>
          <w:tcPr>
            <w:gridSpan w:val="3"/>
            <w:tcBorders>
              <w:bottom w:val="single" w:color="000000" w:sz="8" w:space="0"/>
              <w:right w:val="single" w:color="000000" w:sz="8" w:space="0"/>
            </w:tcBorders>
            <w:tcMar>
              <w:left w:w="108" w:type="dxa"/>
              <w:top w:w="0" w:type="dxa"/>
              <w:right w:w="108" w:type="dxa"/>
              <w:bottom w:w="0" w:type="dxa"/>
            </w:tcMar>
            <w:tcW w:w="68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6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Mật độ dân cư:</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Đông đúc</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Đời sống dân cư:</w:t>
            </w:r>
            <w:r/>
          </w:p>
        </w:tc>
        <w:tc>
          <w:tcPr>
            <w:tcBorders>
              <w:bottom w:val="single" w:color="000000" w:sz="8" w:space="0"/>
              <w:right w:val="single" w:color="000000" w:sz="8" w:space="0"/>
            </w:tcBorders>
            <w:tcMar>
              <w:left w:w="108" w:type="dxa"/>
              <w:top w:w="0" w:type="dxa"/>
              <w:right w:w="108" w:type="dxa"/>
              <w:bottom w:w="0" w:type="dxa"/>
            </w:tcMar>
            <w:tcW w:w="303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Ổn định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6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Thích hợp để ở</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303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61"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4</w:t>
            </w:r>
            <w:r/>
          </w:p>
        </w:tc>
        <w:tc>
          <w:tcPr>
            <w:tcBorders>
              <w:bottom w:val="single" w:color="000000" w:sz="8" w:space="0"/>
              <w:right w:val="single" w:color="000000" w:sz="8" w:space="0"/>
            </w:tcBorders>
            <w:tcMar>
              <w:left w:w="108" w:type="dxa"/>
              <w:top w:w="0" w:type="dxa"/>
              <w:right w:w="108" w:type="dxa"/>
              <w:bottom w:w="0" w:type="dxa"/>
            </w:tcMar>
            <w:tcW w:w="190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b/>
                <w:color w:val="000000"/>
                <w:sz w:val="24"/>
              </w:rPr>
              <w:t xml:space="preserve">Hiện trạng:</w:t>
            </w:r>
            <w:r/>
          </w:p>
        </w:tc>
        <w:tc>
          <w:tcPr>
            <w:gridSpan w:val="3"/>
            <w:tcBorders>
              <w:bottom w:val="single" w:color="000000" w:sz="8" w:space="0"/>
              <w:right w:val="single" w:color="000000" w:sz="8" w:space="0"/>
            </w:tcBorders>
            <w:tcMar>
              <w:left w:w="108" w:type="dxa"/>
              <w:top w:w="0" w:type="dxa"/>
              <w:right w:w="108" w:type="dxa"/>
              <w:bottom w:w="0" w:type="dxa"/>
            </w:tcMar>
            <w:tcW w:w="6843"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Tại thời điểm khảo sát, căn hộ chung cư đang để ở.</w:t>
            </w: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31"/>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1"/>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31"/>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1"/>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1"/>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1"/>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Bdr>
          <w:top w:val="none" w:color="000000" w:sz="4" w:space="0"/>
          <w:left w:val="none" w:color="000000" w:sz="4" w:space="0"/>
          <w:bottom w:val="none" w:color="000000" w:sz="4" w:space="0"/>
          <w:right w:val="none" w:color="000000" w:sz="4" w:space="0"/>
        </w:pBdr>
        <w:spacing w:after="120" w:before="120" w:line="276" w:lineRule="auto"/>
        <w:ind w:right="0" w:firstLine="360" w:left="0"/>
        <w:jc w:val="both"/>
        <w:rPr/>
      </w:pPr>
      <w:r>
        <w:rPr>
          <w:rFonts w:ascii="Times New Roman" w:hAnsi="Times New Roman" w:eastAsia="Times New Roman" w:cs="Times New Roman"/>
          <w:color w:val="000000"/>
          <w:sz w:val="24"/>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làm trọng yếu để xác định giá trị</w:t>
      </w:r>
      <w:r>
        <w:rPr>
          <w:rFonts w:ascii="Times New Roman" w:hAnsi="Times New Roman" w:eastAsia="Times New Roman" w:cs="Times New Roman"/>
          <w:color w:val="000000"/>
          <w:sz w:val="24"/>
        </w:rPr>
        <w:t xml:space="preserve"> của tài sản thẩm định giá </w:t>
      </w:r>
      <w:r>
        <w:rPr>
          <w:rFonts w:ascii="Times New Roman" w:hAnsi="Times New Roman" w:eastAsia="Times New Roman" w:cs="Times New Roman"/>
          <w:color w:val="000000"/>
          <w:spacing w:val="-4"/>
          <w:sz w:val="24"/>
        </w:rPr>
        <w:t xml:space="preserve">(Theo Chuẩn mực thẩm định giá Việt Nam về Cách tiếp cận từ thị trường, chuẩn mực này được ban hành kèm theo Thông tư số 32/2024/TT-BTC ngày 16 tháng 5 năm 2024)</w:t>
      </w:r>
      <w:r>
        <w:rPr>
          <w:rFonts w:ascii="Times New Roman" w:hAnsi="Times New Roman" w:eastAsia="Times New Roman" w:cs="Times New Roman"/>
          <w:color w:val="000000"/>
          <w:sz w:val="24"/>
        </w:rPr>
        <w:t xml:space="preserve">.</w:t>
      </w:r>
      <w:r>
        <w:rPr>
          <w:rFonts w:ascii="Times New Roman" w:hAnsi="Times New Roman" w:eastAsia="Times New Roman" w:cs="Times New Roman"/>
          <w:sz w:val="24"/>
        </w:rPr>
      </w:r>
      <w:r/>
    </w:p>
    <w:p>
      <w:pPr>
        <w:pStyle w:val="1031"/>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1"/>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31"/>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31"/>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86"/>
        <w:gridCol w:w="1558"/>
        <w:gridCol w:w="1845"/>
        <w:gridCol w:w="1845"/>
        <w:gridCol w:w="1845"/>
        <w:gridCol w:w="1845"/>
      </w:tblGrid>
      <w:tr>
        <w:trPr>
          <w:trHeight w:val="23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5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TSTĐ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TSSS1</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TSSS2</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TSSS3</w:t>
            </w:r>
            <w:r/>
          </w:p>
        </w:tc>
      </w:tr>
      <w:tr>
        <w:trPr>
          <w:trHeight w:val="230"/>
        </w:trPr>
        <w:tc>
          <w:tcPr>
            <w:tcBorders>
              <w:left w:val="single" w:color="000000" w:sz="8" w:space="0"/>
              <w:bottom w:val="single" w:color="000000" w:sz="8" w:space="0"/>
              <w:right w:val="single" w:color="000000" w:sz="8" w:space="0"/>
            </w:tcBorders>
            <w:tcMar>
              <w:left w:w="108" w:type="dxa"/>
              <w:top w:w="0" w:type="dxa"/>
              <w:right w:w="108" w:type="dxa"/>
              <w:bottom w:w="0" w:type="dxa"/>
            </w:tcMar>
            <w:tcW w:w="58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15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spacing w:after="0" w:before="0" w:line="240" w:lineRule="auto"/>
              <w:ind/>
              <w:rPr/>
            </w:pPr>
            <w:r/>
            <w:r/>
          </w:p>
        </w:tc>
      </w:tr>
      <w:tr>
        <w:trPr>
          <w:trHeight w:val="230"/>
        </w:trPr>
        <w:tc>
          <w:tcPr>
            <w:tcBorders>
              <w:left w:val="single" w:color="000000" w:sz="8" w:space="0"/>
              <w:bottom w:val="single" w:color="000000" w:sz="8" w:space="0"/>
              <w:right w:val="single" w:color="000000" w:sz="8" w:space="0"/>
            </w:tcBorders>
            <w:tcMar>
              <w:left w:w="108" w:type="dxa"/>
              <w:top w:w="0" w:type="dxa"/>
              <w:right w:w="108" w:type="dxa"/>
              <w:bottom w:w="0" w:type="dxa"/>
            </w:tcMar>
            <w:tcW w:w="58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5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Địa chỉ</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Toà U26-2 (S2.08) Dự án Khu đô thị Gia Lâm - Vinhomes Ocean Park, xã Đa Tốn, huyện Gia Lâm, thành phố Hà Nội</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Toà S2.01 Dự án Khu đô thị Gia Lâm - Vinhomes Ocean Park, xã Đa Tốn, huyện Gia Lâm, thành phố Hà Nội</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Toà S2.06 Dự án Khu đô thị Gia Lâm - Vinhomes Ocean Park, xã Đa Tốn, huyện Gia Lâm, thành phố Hà Nội</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Toà S2.07 Dự án Khu đô thị Gia Lâm - Vinhomes Ocean Park, xã Đa Tốn, huyện Gia Lâm, thành phố Hà Nội</w:t>
            </w:r>
            <w:r/>
          </w:p>
        </w:tc>
      </w:tr>
      <w:tr>
        <w:trPr>
          <w:trHeight w:val="230"/>
        </w:trPr>
        <w:tc>
          <w:tcPr>
            <w:tcBorders>
              <w:left w:val="single" w:color="000000" w:sz="8" w:space="0"/>
              <w:bottom w:val="single" w:color="000000" w:sz="8" w:space="0"/>
              <w:right w:val="single" w:color="000000" w:sz="8" w:space="0"/>
            </w:tcBorders>
            <w:tcMar>
              <w:left w:w="108" w:type="dxa"/>
              <w:top w:w="0" w:type="dxa"/>
              <w:right w:w="108" w:type="dxa"/>
              <w:bottom w:w="0" w:type="dxa"/>
            </w:tcMar>
            <w:tcW w:w="58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5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hyperlink r:id="rId17" w:tooltip="https://batdongsan.com.vn/ban-can-ho-chung-cu-xa-da-ton-prj-the-sapphire-2-vinhomes-ocean-park/ban-1n-dep-view-song-gia-sieu-re-tang-trung-pr44497188" w:history="1">
              <w:r>
                <w:rPr>
                  <w:rStyle w:val="1021"/>
                  <w:rFonts w:ascii="Times New Roman" w:hAnsi="Times New Roman" w:eastAsia="Times New Roman" w:cs="Times New Roman"/>
                  <w:color w:val="000000"/>
                  <w:sz w:val="22"/>
                  <w:u w:val="none"/>
                </w:rPr>
                <w:t xml:space="preserve">https://batdongsan.com.vn/ban-can-ho-chung-cu-xa-da-ton-prj-the-sapphire-2-vinhomes-ocean-park/ban-1n-dep-view-song-gia-sieu-re-tang-trung-pr44497188</w:t>
              </w:r>
            </w:hyperlink>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hyperlink r:id="rId18" w:tooltip="https://batdongsan.com.vn/ban-can-ho-chung-cu-xa-duong-xa-prj-vinhomes-ocean-park-gia-lam/chinh-chu-ban-1pn-47m-full-noi-that-tang-trung-view-thoang-2-4-ty-tai-vhocp-pr42913486" w:history="1">
              <w:r>
                <w:rPr>
                  <w:rStyle w:val="1021"/>
                  <w:rFonts w:ascii="Times New Roman" w:hAnsi="Times New Roman" w:eastAsia="Times New Roman" w:cs="Times New Roman"/>
                  <w:color w:val="000000"/>
                  <w:sz w:val="22"/>
                  <w:u w:val="none"/>
                </w:rPr>
                <w:t xml:space="preserve">https://batdongsan.com.vn/ban-can-ho-chung-cu-xa-duong-xa-prj-vinhomes-ocean-park-gia-lam/chinh-chu-ban-1pn-47m-full-noi-that-tang-trung-view-thoang-2-4-ty-tai-vhocp-pr42913486</w:t>
              </w:r>
            </w:hyperlink>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w:t>
            </w:r>
            <w:r/>
          </w:p>
        </w:tc>
      </w:tr>
      <w:tr>
        <w:trPr>
          <w:trHeight w:val="230"/>
        </w:trPr>
        <w:tc>
          <w:tcPr>
            <w:tcBorders>
              <w:left w:val="single" w:color="000000" w:sz="8" w:space="0"/>
              <w:bottom w:val="single" w:color="000000" w:sz="8" w:space="0"/>
              <w:right w:val="single" w:color="000000" w:sz="8" w:space="0"/>
            </w:tcBorders>
            <w:tcMar>
              <w:left w:w="108" w:type="dxa"/>
              <w:top w:w="0" w:type="dxa"/>
              <w:right w:w="108" w:type="dxa"/>
              <w:bottom w:w="0" w:type="dxa"/>
            </w:tcMar>
            <w:tcW w:w="58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5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Thông tin liên lạc</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SĐT: 0865092174</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SĐT: 0974878742</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SĐT: 0865092174</w:t>
            </w:r>
            <w:r/>
          </w:p>
        </w:tc>
      </w:tr>
      <w:tr>
        <w:trPr>
          <w:trHeight w:val="230"/>
        </w:trPr>
        <w:tc>
          <w:tcPr>
            <w:tcBorders>
              <w:left w:val="single" w:color="000000" w:sz="8" w:space="0"/>
              <w:bottom w:val="single" w:color="000000" w:sz="8" w:space="0"/>
              <w:right w:val="single" w:color="000000" w:sz="8" w:space="0"/>
            </w:tcBorders>
            <w:tcMar>
              <w:left w:w="108" w:type="dxa"/>
              <w:top w:w="0" w:type="dxa"/>
              <w:right w:w="108" w:type="dxa"/>
              <w:bottom w:w="0" w:type="dxa"/>
            </w:tcMar>
            <w:tcW w:w="58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5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w:t>
            </w:r>
            <w:r/>
          </w:p>
        </w:tc>
      </w:tr>
      <w:tr>
        <w:trPr>
          <w:trHeight w:val="230"/>
        </w:trPr>
        <w:tc>
          <w:tcPr>
            <w:tcBorders>
              <w:left w:val="single" w:color="000000" w:sz="8" w:space="0"/>
              <w:bottom w:val="single" w:color="000000" w:sz="8" w:space="0"/>
              <w:right w:val="single" w:color="000000" w:sz="8" w:space="0"/>
            </w:tcBorders>
            <w:tcMar>
              <w:left w:w="108" w:type="dxa"/>
              <w:top w:w="0" w:type="dxa"/>
              <w:right w:w="108" w:type="dxa"/>
              <w:bottom w:w="0" w:type="dxa"/>
            </w:tcMar>
            <w:tcW w:w="58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5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Tháng 11/2025</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Tháng 11/2025</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Tháng 11/2025</w:t>
            </w:r>
            <w:r/>
          </w:p>
        </w:tc>
      </w:tr>
      <w:tr>
        <w:trPr>
          <w:trHeight w:val="230"/>
        </w:trPr>
        <w:tc>
          <w:tcPr>
            <w:tcBorders>
              <w:left w:val="single" w:color="000000" w:sz="8" w:space="0"/>
              <w:bottom w:val="single" w:color="000000" w:sz="8" w:space="0"/>
              <w:right w:val="single" w:color="000000" w:sz="8" w:space="0"/>
            </w:tcBorders>
            <w:tcMar>
              <w:left w:w="108" w:type="dxa"/>
              <w:top w:w="0" w:type="dxa"/>
              <w:right w:w="108" w:type="dxa"/>
              <w:bottom w:w="0" w:type="dxa"/>
            </w:tcMar>
            <w:tcW w:w="58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5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p>
        </w:tc>
      </w:tr>
      <w:tr>
        <w:trPr>
          <w:trHeight w:val="230"/>
        </w:trPr>
        <w:tc>
          <w:tcPr>
            <w:tcBorders>
              <w:left w:val="single" w:color="000000" w:sz="8" w:space="0"/>
              <w:bottom w:val="single" w:color="000000" w:sz="8" w:space="0"/>
              <w:right w:val="single" w:color="000000" w:sz="8" w:space="0"/>
            </w:tcBorders>
            <w:tcMar>
              <w:left w:w="108" w:type="dxa"/>
              <w:top w:w="0" w:type="dxa"/>
              <w:right w:w="108" w:type="dxa"/>
              <w:bottom w:w="0" w:type="dxa"/>
            </w:tcMar>
            <w:tcW w:w="58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5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khác gắn liền với đất</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khác gắn liền với đất</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khác gắn liền với đất</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Giấy chứng nhận Quyền sử dụng đất quyền sở hữu nhà ở và tài sản khác gắn liền với đất</w:t>
            </w:r>
            <w:r/>
          </w:p>
        </w:tc>
      </w:tr>
      <w:tr>
        <w:trPr>
          <w:trHeight w:val="230"/>
        </w:trPr>
        <w:tc>
          <w:tcPr>
            <w:tcBorders>
              <w:left w:val="single" w:color="000000" w:sz="8" w:space="0"/>
              <w:bottom w:val="single" w:color="000000" w:sz="8" w:space="0"/>
              <w:right w:val="single" w:color="000000" w:sz="8" w:space="0"/>
            </w:tcBorders>
            <w:tcMar>
              <w:left w:w="108" w:type="dxa"/>
              <w:top w:w="0" w:type="dxa"/>
              <w:right w:w="108" w:type="dxa"/>
              <w:bottom w:w="0" w:type="dxa"/>
            </w:tcMar>
            <w:tcW w:w="58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15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Loại hình tài sản</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hộ chung cư</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hộ chung cư</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hộ chung cư</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hộ chung cư</w:t>
            </w:r>
            <w:r/>
          </w:p>
        </w:tc>
      </w:tr>
      <w:tr>
        <w:trPr>
          <w:trHeight w:val="230"/>
        </w:trPr>
        <w:tc>
          <w:tcPr>
            <w:tcBorders>
              <w:left w:val="single" w:color="000000" w:sz="8" w:space="0"/>
              <w:bottom w:val="single" w:color="000000" w:sz="8" w:space="0"/>
              <w:right w:val="single" w:color="000000" w:sz="8" w:space="0"/>
            </w:tcBorders>
            <w:tcMar>
              <w:left w:w="108" w:type="dxa"/>
              <w:top w:w="0" w:type="dxa"/>
              <w:right w:w="108" w:type="dxa"/>
              <w:bottom w:w="0" w:type="dxa"/>
            </w:tcMar>
            <w:tcW w:w="58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15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là căn hộ chung cư tại Toà S2.08 Vinhomes Ocean Park</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là căn hộ chung cư tại Toà S2.01 Vinhomes Ocean Park</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là căn hộ chung cư tại Toà S2.06 Vinhomes Ocean Park</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là căn hộ chung cư tại Toà S2.08 Vinhomes Ocean Park</w:t>
            </w:r>
            <w:r/>
          </w:p>
        </w:tc>
      </w:tr>
      <w:tr>
        <w:trPr>
          <w:trHeight w:val="230"/>
        </w:trPr>
        <w:tc>
          <w:tcPr>
            <w:tcBorders>
              <w:left w:val="single" w:color="000000" w:sz="8" w:space="0"/>
              <w:bottom w:val="single" w:color="000000" w:sz="8" w:space="0"/>
              <w:right w:val="single" w:color="000000" w:sz="8" w:space="0"/>
            </w:tcBorders>
            <w:tcMar>
              <w:left w:w="108" w:type="dxa"/>
              <w:top w:w="0" w:type="dxa"/>
              <w:right w:w="108" w:type="dxa"/>
              <w:bottom w:w="0" w:type="dxa"/>
            </w:tcMar>
            <w:tcW w:w="58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155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sàn (m²)</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43,1</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43,0</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43,0</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43,0</w:t>
            </w:r>
            <w:r/>
          </w:p>
        </w:tc>
      </w:tr>
      <w:tr>
        <w:trPr>
          <w:trHeight w:val="230"/>
        </w:trPr>
        <w:tc>
          <w:tcPr>
            <w:tcBorders>
              <w:left w:val="single" w:color="000000" w:sz="8" w:space="0"/>
              <w:bottom w:val="single" w:color="000000" w:sz="8" w:space="0"/>
              <w:right w:val="single" w:color="000000" w:sz="8" w:space="0"/>
            </w:tcBorders>
            <w:tcMar>
              <w:left w:w="108" w:type="dxa"/>
              <w:top w:w="0" w:type="dxa"/>
              <w:right w:w="108" w:type="dxa"/>
              <w:bottom w:w="0" w:type="dxa"/>
            </w:tcMar>
            <w:tcW w:w="58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155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tiếp giáp</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thường</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thường</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thường</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Căn thường</w:t>
            </w:r>
            <w:r/>
          </w:p>
        </w:tc>
      </w:tr>
      <w:tr>
        <w:trPr>
          <w:trHeight w:val="230"/>
        </w:trPr>
        <w:tc>
          <w:tcPr>
            <w:tcBorders>
              <w:left w:val="single" w:color="000000" w:sz="8" w:space="0"/>
              <w:bottom w:val="single" w:color="000000" w:sz="8" w:space="0"/>
              <w:right w:val="single" w:color="000000" w:sz="8" w:space="0"/>
            </w:tcBorders>
            <w:tcMar>
              <w:left w:w="108" w:type="dxa"/>
              <w:top w:w="0" w:type="dxa"/>
              <w:right w:w="108" w:type="dxa"/>
              <w:bottom w:w="0" w:type="dxa"/>
            </w:tcMar>
            <w:tcW w:w="58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155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Tầng</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Tầng trung 13/26</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Tầng trung 10/26</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Tầng thấp 5/26</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Tầng thấp 8/26</w:t>
            </w:r>
            <w:r/>
          </w:p>
        </w:tc>
      </w:tr>
      <w:tr>
        <w:trPr>
          <w:trHeight w:val="230"/>
        </w:trPr>
        <w:tc>
          <w:tcPr>
            <w:tcBorders>
              <w:left w:val="single" w:color="000000" w:sz="8" w:space="0"/>
              <w:bottom w:val="single" w:color="000000" w:sz="8" w:space="0"/>
              <w:right w:val="single" w:color="000000" w:sz="8" w:space="0"/>
            </w:tcBorders>
            <w:tcMar>
              <w:left w:w="108" w:type="dxa"/>
              <w:top w:w="0" w:type="dxa"/>
              <w:right w:w="108" w:type="dxa"/>
              <w:bottom w:w="0" w:type="dxa"/>
            </w:tcMar>
            <w:tcW w:w="58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155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Hướng ban công</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01 Ban công hướng Tây Nam</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 Ban công hướng Tây Nam.</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 Ban công hướng Đông Bắc</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 Ban công hướng Tây Bắc</w:t>
            </w:r>
            <w:r/>
          </w:p>
        </w:tc>
      </w:tr>
      <w:tr>
        <w:trPr>
          <w:trHeight w:val="230"/>
        </w:trPr>
        <w:tc>
          <w:tcPr>
            <w:tcBorders>
              <w:left w:val="single" w:color="000000" w:sz="8" w:space="0"/>
              <w:bottom w:val="single" w:color="000000" w:sz="8" w:space="0"/>
              <w:right w:val="single" w:color="000000" w:sz="8" w:space="0"/>
            </w:tcBorders>
            <w:tcMar>
              <w:left w:w="108" w:type="dxa"/>
              <w:top w:w="0" w:type="dxa"/>
              <w:right w:w="108" w:type="dxa"/>
              <w:bottom w:w="0" w:type="dxa"/>
            </w:tcMar>
            <w:tcW w:w="58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155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Cấu trúc</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 phòng ngủ, 1 nhà vệ sinh,  phòng khách + nhà bếp</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 phòng ngủ, 1 nhà vệ sinh,  phòng khách + nhà bếp</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 phòng ngủ, 1 nhà vệ sinh,  phòng khách + nhà bếp</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 phòng ngủ, 1 nhà vệ sinh,  phòng khách + nhà bếp</w:t>
            </w:r>
            <w:r/>
          </w:p>
        </w:tc>
      </w:tr>
      <w:tr>
        <w:trPr>
          <w:trHeight w:val="230"/>
        </w:trPr>
        <w:tc>
          <w:tcPr>
            <w:tcBorders>
              <w:left w:val="single" w:color="000000" w:sz="8" w:space="0"/>
              <w:bottom w:val="single" w:color="000000" w:sz="8" w:space="0"/>
              <w:right w:val="single" w:color="000000" w:sz="8" w:space="0"/>
            </w:tcBorders>
            <w:tcMar>
              <w:left w:w="108" w:type="dxa"/>
              <w:top w:w="0" w:type="dxa"/>
              <w:right w:w="108" w:type="dxa"/>
              <w:bottom w:w="0" w:type="dxa"/>
            </w:tcMar>
            <w:tcW w:w="58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155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Nội thất</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Nội thất cơ bản</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Nội thất đầy đủ</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Nội thất cơ bản</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Nội thất cơ bản</w:t>
            </w:r>
            <w:r/>
          </w:p>
        </w:tc>
      </w:tr>
      <w:tr>
        <w:trPr>
          <w:trHeight w:val="230"/>
        </w:trPr>
        <w:tc>
          <w:tcPr>
            <w:tcBorders>
              <w:left w:val="single" w:color="000000" w:sz="8" w:space="0"/>
              <w:bottom w:val="single" w:color="000000" w:sz="8" w:space="0"/>
              <w:right w:val="single" w:color="000000" w:sz="8" w:space="0"/>
            </w:tcBorders>
            <w:tcMar>
              <w:left w:w="108" w:type="dxa"/>
              <w:top w:w="0" w:type="dxa"/>
              <w:right w:w="108" w:type="dxa"/>
              <w:bottom w:w="0" w:type="dxa"/>
            </w:tcMar>
            <w:tcW w:w="58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15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30"/>
        </w:trPr>
        <w:tc>
          <w:tcPr>
            <w:tcBorders>
              <w:left w:val="single" w:color="000000" w:sz="8" w:space="0"/>
              <w:bottom w:val="single" w:color="000000" w:sz="8" w:space="0"/>
              <w:right w:val="single" w:color="000000" w:sz="8" w:space="0"/>
            </w:tcBorders>
            <w:tcMar>
              <w:left w:w="108" w:type="dxa"/>
              <w:top w:w="0" w:type="dxa"/>
              <w:right w:w="108" w:type="dxa"/>
              <w:bottom w:w="0" w:type="dxa"/>
            </w:tcMar>
            <w:tcW w:w="58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p>
        </w:tc>
        <w:tc>
          <w:tcPr>
            <w:tcBorders>
              <w:bottom w:val="single" w:color="000000" w:sz="8" w:space="0"/>
              <w:right w:val="single" w:color="000000" w:sz="8" w:space="0"/>
            </w:tcBorders>
            <w:tcMar>
              <w:left w:w="108" w:type="dxa"/>
              <w:top w:w="0" w:type="dxa"/>
              <w:right w:w="108" w:type="dxa"/>
              <w:bottom w:w="0" w:type="dxa"/>
            </w:tcMar>
            <w:tcW w:w="15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rHeight w:val="230"/>
        </w:trPr>
        <w:tc>
          <w:tcPr>
            <w:tcBorders>
              <w:left w:val="single" w:color="000000" w:sz="8" w:space="0"/>
              <w:bottom w:val="single" w:color="000000" w:sz="8" w:space="0"/>
              <w:right w:val="single" w:color="000000" w:sz="8" w:space="0"/>
            </w:tcBorders>
            <w:tcMar>
              <w:left w:w="108" w:type="dxa"/>
              <w:top w:w="0" w:type="dxa"/>
              <w:right w:w="108" w:type="dxa"/>
              <w:bottom w:w="0" w:type="dxa"/>
            </w:tcMar>
            <w:tcW w:w="58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1558"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3.380.000.000</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3.160.000.000</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3.300.000.000</w:t>
            </w:r>
            <w:r/>
          </w:p>
        </w:tc>
      </w:tr>
      <w:tr>
        <w:trPr>
          <w:trHeight w:val="230"/>
        </w:trPr>
        <w:tc>
          <w:tcPr>
            <w:tcBorders>
              <w:left w:val="single" w:color="000000" w:sz="8" w:space="0"/>
              <w:bottom w:val="single" w:color="000000" w:sz="8" w:space="0"/>
              <w:right w:val="single" w:color="000000" w:sz="8" w:space="0"/>
            </w:tcBorders>
            <w:tcMar>
              <w:left w:w="108" w:type="dxa"/>
              <w:top w:w="0" w:type="dxa"/>
              <w:right w:w="108" w:type="dxa"/>
              <w:bottom w:w="0" w:type="dxa"/>
            </w:tcMar>
            <w:tcW w:w="58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15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3.042.000.000</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2.844.000.000</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2.970.000.000</w:t>
            </w:r>
            <w:r/>
          </w:p>
        </w:tc>
      </w:tr>
      <w:tr>
        <w:trPr>
          <w:trHeight w:val="230"/>
        </w:trPr>
        <w:tc>
          <w:tcPr>
            <w:tcBorders>
              <w:left w:val="single" w:color="000000" w:sz="8" w:space="0"/>
              <w:bottom w:val="single" w:color="000000" w:sz="8" w:space="0"/>
              <w:right w:val="single" w:color="000000" w:sz="8" w:space="0"/>
            </w:tcBorders>
            <w:tcMar>
              <w:left w:w="108" w:type="dxa"/>
              <w:top w:w="0" w:type="dxa"/>
              <w:right w:w="108" w:type="dxa"/>
              <w:bottom w:w="0" w:type="dxa"/>
            </w:tcMar>
            <w:tcW w:w="58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108" w:type="dxa"/>
              <w:top w:w="0" w:type="dxa"/>
              <w:right w:w="108" w:type="dxa"/>
              <w:bottom w:w="0" w:type="dxa"/>
            </w:tcMar>
            <w:tcW w:w="15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Đơn giá QSD căn hộ (đồng/m2)</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70.744.186</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66.139.535</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69.069.767</w:t>
            </w:r>
            <w:r/>
          </w:p>
        </w:tc>
      </w:tr>
      <w:tr>
        <w:trPr>
          <w:trHeight w:val="230"/>
        </w:trPr>
        <w:tc>
          <w:tcPr>
            <w:tcBorders>
              <w:left w:val="single" w:color="000000" w:sz="8" w:space="0"/>
              <w:bottom w:val="single" w:color="000000" w:sz="8" w:space="0"/>
              <w:right w:val="single" w:color="000000" w:sz="8" w:space="0"/>
            </w:tcBorders>
            <w:tcMar>
              <w:left w:w="108" w:type="dxa"/>
              <w:top w:w="0" w:type="dxa"/>
              <w:right w:w="108" w:type="dxa"/>
              <w:bottom w:w="0" w:type="dxa"/>
            </w:tcMar>
            <w:tcW w:w="58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15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NHẬN XÉT</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spacing w:after="0" w:before="0" w:line="240" w:lineRule="auto"/>
              <w:ind/>
              <w:rPr/>
            </w:pPr>
            <w:r/>
            <w:r/>
          </w:p>
        </w:tc>
      </w:tr>
      <w:tr>
        <w:trPr>
          <w:trHeight w:val="230"/>
        </w:trPr>
        <w:tc>
          <w:tcPr>
            <w:tcBorders>
              <w:left w:val="single" w:color="000000" w:sz="8" w:space="0"/>
              <w:bottom w:val="single" w:color="000000" w:sz="8" w:space="0"/>
              <w:right w:val="single" w:color="000000" w:sz="8" w:space="0"/>
            </w:tcBorders>
            <w:tcMar>
              <w:left w:w="108" w:type="dxa"/>
              <w:top w:w="0" w:type="dxa"/>
              <w:right w:w="108" w:type="dxa"/>
              <w:bottom w:w="0" w:type="dxa"/>
            </w:tcMar>
            <w:tcW w:w="58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5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30"/>
        </w:trPr>
        <w:tc>
          <w:tcPr>
            <w:tcBorders>
              <w:left w:val="single" w:color="000000" w:sz="8" w:space="0"/>
              <w:bottom w:val="single" w:color="000000" w:sz="8" w:space="0"/>
              <w:right w:val="single" w:color="000000" w:sz="8" w:space="0"/>
            </w:tcBorders>
            <w:tcMar>
              <w:left w:w="108" w:type="dxa"/>
              <w:top w:w="0" w:type="dxa"/>
              <w:right w:w="108" w:type="dxa"/>
              <w:bottom w:w="0" w:type="dxa"/>
            </w:tcMar>
            <w:tcW w:w="58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5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30"/>
        </w:trPr>
        <w:tc>
          <w:tcPr>
            <w:tcBorders>
              <w:left w:val="single" w:color="000000" w:sz="8" w:space="0"/>
              <w:bottom w:val="single" w:color="000000" w:sz="8" w:space="0"/>
              <w:right w:val="single" w:color="000000" w:sz="8" w:space="0"/>
            </w:tcBorders>
            <w:tcMar>
              <w:left w:w="108" w:type="dxa"/>
              <w:top w:w="0" w:type="dxa"/>
              <w:right w:w="108" w:type="dxa"/>
              <w:bottom w:w="0" w:type="dxa"/>
            </w:tcMar>
            <w:tcW w:w="58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5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30"/>
        </w:trPr>
        <w:tc>
          <w:tcPr>
            <w:tcBorders>
              <w:left w:val="single" w:color="000000" w:sz="8" w:space="0"/>
              <w:bottom w:val="single" w:color="000000" w:sz="8" w:space="0"/>
              <w:right w:val="single" w:color="000000" w:sz="8" w:space="0"/>
            </w:tcBorders>
            <w:tcMar>
              <w:left w:w="108" w:type="dxa"/>
              <w:top w:w="0" w:type="dxa"/>
              <w:right w:w="108" w:type="dxa"/>
              <w:bottom w:w="0" w:type="dxa"/>
            </w:tcMar>
            <w:tcW w:w="58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5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sàn (m²)</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30"/>
        </w:trPr>
        <w:tc>
          <w:tcPr>
            <w:tcBorders>
              <w:left w:val="single" w:color="000000" w:sz="8" w:space="0"/>
              <w:bottom w:val="single" w:color="000000" w:sz="8" w:space="0"/>
              <w:right w:val="single" w:color="000000" w:sz="8" w:space="0"/>
            </w:tcBorders>
            <w:tcMar>
              <w:left w:w="108" w:type="dxa"/>
              <w:top w:w="0" w:type="dxa"/>
              <w:right w:w="108" w:type="dxa"/>
              <w:bottom w:w="0" w:type="dxa"/>
            </w:tcMar>
            <w:tcW w:w="58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5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tiếp giáp</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30"/>
        </w:trPr>
        <w:tc>
          <w:tcPr>
            <w:tcBorders>
              <w:left w:val="single" w:color="000000" w:sz="8" w:space="0"/>
              <w:bottom w:val="single" w:color="000000" w:sz="8" w:space="0"/>
              <w:right w:val="single" w:color="000000" w:sz="8" w:space="0"/>
            </w:tcBorders>
            <w:tcMar>
              <w:left w:w="108" w:type="dxa"/>
              <w:top w:w="0" w:type="dxa"/>
              <w:right w:w="108" w:type="dxa"/>
              <w:bottom w:w="0" w:type="dxa"/>
            </w:tcMar>
            <w:tcW w:w="58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5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Tầng</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30"/>
        </w:trPr>
        <w:tc>
          <w:tcPr>
            <w:tcBorders>
              <w:left w:val="single" w:color="000000" w:sz="8" w:space="0"/>
              <w:bottom w:val="single" w:color="000000" w:sz="8" w:space="0"/>
              <w:right w:val="single" w:color="000000" w:sz="8" w:space="0"/>
            </w:tcBorders>
            <w:tcMar>
              <w:left w:w="108" w:type="dxa"/>
              <w:top w:w="0" w:type="dxa"/>
              <w:right w:w="108" w:type="dxa"/>
              <w:bottom w:w="0" w:type="dxa"/>
            </w:tcMar>
            <w:tcW w:w="58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15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Hướng ban công</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30"/>
        </w:trPr>
        <w:tc>
          <w:tcPr>
            <w:tcBorders>
              <w:left w:val="single" w:color="000000" w:sz="8" w:space="0"/>
              <w:bottom w:val="single" w:color="000000" w:sz="8" w:space="0"/>
              <w:right w:val="single" w:color="000000" w:sz="8" w:space="0"/>
            </w:tcBorders>
            <w:tcMar>
              <w:left w:w="108" w:type="dxa"/>
              <w:top w:w="0" w:type="dxa"/>
              <w:right w:w="108" w:type="dxa"/>
              <w:bottom w:w="0" w:type="dxa"/>
            </w:tcMar>
            <w:tcW w:w="58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15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Cấu trúc</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30"/>
        </w:trPr>
        <w:tc>
          <w:tcPr>
            <w:tcBorders>
              <w:left w:val="single" w:color="000000" w:sz="8" w:space="0"/>
              <w:bottom w:val="single" w:color="000000" w:sz="8" w:space="0"/>
              <w:right w:val="single" w:color="000000" w:sz="8" w:space="0"/>
            </w:tcBorders>
            <w:tcMar>
              <w:left w:w="108" w:type="dxa"/>
              <w:top w:w="0" w:type="dxa"/>
              <w:right w:w="108" w:type="dxa"/>
              <w:bottom w:w="0" w:type="dxa"/>
            </w:tcMar>
            <w:tcW w:w="58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15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Nội thất</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30"/>
        </w:trPr>
        <w:tc>
          <w:tcPr>
            <w:tcBorders>
              <w:left w:val="single" w:color="000000" w:sz="8" w:space="0"/>
              <w:bottom w:val="single" w:color="000000" w:sz="8" w:space="0"/>
              <w:right w:val="single" w:color="000000" w:sz="8" w:space="0"/>
            </w:tcBorders>
            <w:tcMar>
              <w:left w:w="108" w:type="dxa"/>
              <w:top w:w="0" w:type="dxa"/>
              <w:right w:w="108" w:type="dxa"/>
              <w:bottom w:w="0" w:type="dxa"/>
            </w:tcMar>
            <w:tcW w:w="58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15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30"/>
        </w:trPr>
        <w:tc>
          <w:tcPr>
            <w:tcBorders>
              <w:left w:val="single" w:color="000000" w:sz="8" w:space="0"/>
              <w:bottom w:val="single" w:color="000000" w:sz="8" w:space="0"/>
              <w:right w:val="single" w:color="000000" w:sz="8" w:space="0"/>
            </w:tcBorders>
            <w:tcMar>
              <w:left w:w="108" w:type="dxa"/>
              <w:top w:w="0" w:type="dxa"/>
              <w:right w:w="108" w:type="dxa"/>
              <w:bottom w:w="0" w:type="dxa"/>
            </w:tcMar>
            <w:tcW w:w="586"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15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8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1"/>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2"/>
        <w:gridCol w:w="1998"/>
        <w:gridCol w:w="826"/>
        <w:gridCol w:w="1481"/>
        <w:gridCol w:w="1481"/>
        <w:gridCol w:w="1481"/>
        <w:gridCol w:w="1481"/>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8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TSSS3</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BĐS thị trường (Ước tính trước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3.042.000.000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2.844.000.000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2.970.000.000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Đơn giá QSD căn hộ ước tính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2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70.744.186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66.139.535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69.069.767</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26"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spacing w:after="0" w:before="0" w:line="240" w:lineRule="auto"/>
              <w:ind/>
              <w:rPr/>
            </w:pPr>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Tính chất giao dịch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26"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Giao dịch bình thường trên thị trường</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2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2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70.744.186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66.139.535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69.069.767</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26"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Giấy chứng nhận Quyền sử dụng đất quyền sở hữu nhà ở và tài sản khác gắn liền với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Giấy chứng nhận Quyền sử dụng đất quyền sở hữu nhà ở và tài sản khác gắn liền với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Giấy chứng nhận Quyền sử dụng đất quyền sở hữu nhà ở và tài sản khác gắn liền với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Giấy chứng nhận Quyền sử dụng đất quyền sở hữu nhà ở và tài sản khác gắn liền với đất</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2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2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70.744.186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66.139.535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69.069.767</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26"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là căn hộ chung cư tại Toà S2.08 Vinhomes Ocean Park</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là căn hộ chung cư tại Toà S2.01 Vinhomes Ocean Park</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là căn hộ chung cư tại Toà S2.06 Vinhomes Ocean Park</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là căn hộ chung cư tại Toà S2.08 Vinhomes Ocean Park</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2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2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70.744.186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66.139.535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69.069.767</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Diện tích sàn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26"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43,1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43,0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43,0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43,0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2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2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70.744.186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66.139.535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69.069.767</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26" w:type="dxa"/>
            <w:vAlign w:val="center"/>
            <w:textDirection w:val="lrTb"/>
            <w:noWrap/>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Căn thường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Căn thường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Căn thường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Căn thường</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2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2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70.744.186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66.139.535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69.069.767</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Tầng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26" w:type="dxa"/>
            <w:vAlign w:val="center"/>
            <w:textDirection w:val="lrTb"/>
            <w:noWrap/>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Tầng trung 13/26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Tầng trung 10/26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Tầng thấp 5/26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Tầng thấp 8/26</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2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1.984.186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2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70.744.186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68.123.721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69.069.767</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Hướng ban công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26"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01 Ban công hướng Tây Nam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 Ban công hướng Tây Nam.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 Ban công hướng Đông Bắc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 Ban công hướng Tây Bắc</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2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2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70.744.186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68.123.721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69.069.767</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Cấu trúc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26"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 phòng ngủ, 1 nhà vệ sinh,  phòng khách + nhà bếp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 phòng ngủ, 1 nhà vệ sinh,  phòng khách + nhà bếp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 phòng ngủ, 1 nhà vệ sinh,  phòng khách + nhà bếp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 phòng ngủ, 1 nhà vệ sinh,  phòng khách + nhà bếp</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2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2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70.744.186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68.123.721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69.069.767</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Nội thất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26"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Nội thất cơ bản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Nội thất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Nội thất cơ bản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Nội thất cơ bản</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2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-3.537.209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2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67.206.977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68.123.721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69.069.767</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kiện cơ sở hạ tầng kỹ thuật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26"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Hệ thống cấp điện, cấp thoát nước đầy đủ</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Hệ thống cấp điện, cấp thoát nước đầy đủ</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2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2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67.206.977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68.123.721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69.069.767</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kiện môi trường an ninh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26"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Tốt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Tốt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Tốt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Tốt</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2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2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67.206.977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68.123.721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69.069.767</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Mức giá chỉ dẫn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2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67.206.977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68.123.721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69.069.767</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trị trung bình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2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spacing w:after="0" w:before="0" w:line="240" w:lineRule="auto"/>
              <w:ind/>
              <w:jc w:val="center"/>
              <w:rPr/>
            </w:pPr>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444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68.000.000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E</w:t>
            </w:r>
            <w:r/>
          </w:p>
        </w:tc>
        <w:tc>
          <w:tcPr>
            <w:gridSpan w:val="6"/>
            <w:shd w:val="clear" w:color="ffffff" w:fill="ffffff"/>
            <w:tcBorders>
              <w:bottom w:val="single" w:color="000000" w:sz="8" w:space="0"/>
              <w:right w:val="single" w:color="000000" w:sz="8" w:space="0"/>
            </w:tcBorders>
            <w:tcMar>
              <w:left w:w="108" w:type="dxa"/>
              <w:top w:w="0" w:type="dxa"/>
              <w:right w:w="108" w:type="dxa"/>
              <w:bottom w:w="0" w:type="dxa"/>
            </w:tcMar>
            <w:tcW w:w="874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Tổng hợp các số liệu điều chỉnh tại mục C</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2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3.537.209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1.984.186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val="false"/>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7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9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thuần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826"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3.537.209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1.984.186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81"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0,2</w:t>
      </w:r>
      <w:r>
        <w:t xml:space="preserve">% đến</w:t>
      </w:r>
      <w:r>
        <w:t xml:space="preserve"> 1,6%,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68.000.000</w:t>
      </w:r>
      <w:r>
        <w:rPr>
          <w:b/>
          <w:bCs/>
          <w:color w:val="000000" w:themeColor="text1"/>
        </w:rPr>
        <w:t xml:space="preserve"> </w:t>
      </w:r>
      <w:r>
        <w:rPr>
          <w:b/>
          <w:bCs/>
        </w:rPr>
        <w:t xml:space="preserve">đồng/m².</w:t>
      </w:r>
      <w:r>
        <w:rPr>
          <w:b/>
          <w:bCs/>
        </w:rPr>
      </w:r>
      <w:r>
        <w:rPr>
          <w:b/>
          <w:bCs/>
        </w:rPr>
      </w:r>
    </w:p>
    <w:p>
      <w:pPr>
        <w:pStyle w:val="1031"/>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31"/>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11/2025</w:t>
      </w:r>
      <w:r>
        <w:t xml:space="preserve"> </w:t>
      </w:r>
      <w:r>
        <w:t xml:space="preserve">ước tính </w:t>
      </w:r>
      <w:r>
        <w:t xml:space="preserve">như sau</w:t>
      </w:r>
      <w:r>
        <w:t xml:space="preserve">:</w:t>
      </w:r>
      <w:r/>
    </w:p>
    <w:tbl>
      <w:tblPr>
        <w:tblStyle w:val="1035"/>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8102"/>
        <w:gridCol w:w="41973"/>
        <w:gridCol w:w="30593"/>
        <w:gridCol w:w="34954"/>
        <w:gridCol w:w="32565"/>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1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419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305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Diện tích</w:t>
              <w:br/>
              <w:t xml:space="preserve"> (m2)</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3495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Đơn giá </w:t>
            </w:r>
            <w:r/>
          </w:p>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325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Thành tiền</w:t>
            </w:r>
            <w:r/>
          </w:p>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81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1</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075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pPr>
            <w:r>
              <w:rPr>
                <w:rFonts w:ascii="Times New Roman" w:hAnsi="Times New Roman" w:eastAsia="Times New Roman" w:cs="Times New Roman"/>
                <w:b/>
                <w:color w:val="000000"/>
                <w:sz w:val="24"/>
              </w:rPr>
              <w:t xml:space="preserve">Căn hộ chung cư số 12A03 - Ô đất số B2-CT02, Toà U26-2 (S2.08) Dự án Khu đô thị Gia Lâm - Vinhomes Ocean Park, xã Đa Tốn, huyện Gia Lâm, thành phố Hà Nội (nay là xã Gia Lâm, thành phố Hà Nội) theo Giấy chứng nhận Quyền sử dụng đất, quyền sở hữu nhà ở và tà</w:t>
            </w:r>
            <w:r>
              <w:rPr>
                <w:rFonts w:ascii="Times New Roman" w:hAnsi="Times New Roman" w:eastAsia="Times New Roman" w:cs="Times New Roman"/>
                <w:b/>
                <w:color w:val="000000"/>
                <w:sz w:val="24"/>
              </w:rPr>
              <w:t xml:space="preserve">i sản khác gắn liền với đất số: DĐ 735201, số vào sổ cấp GCN: CS01147 do Sở Tài nguyên và Môi trường thành phố Hà Nội cấp ngày 06/01/2022 cho Ông Lê Thanh Tùng và Bà Hoàng Thuỳ Dương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2565" w:type="dxa"/>
            <w:vAlign w:val="center"/>
            <w:textDirection w:val="lrTb"/>
            <w:noWrap w:val="false"/>
          </w:tcPr>
          <w:p>
            <w:pPr>
              <w:pBdr/>
              <w:spacing w:after="0" w:before="0" w:line="240" w:lineRule="auto"/>
              <w:ind/>
              <w:rPr/>
            </w:pPr>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81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19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4"/>
              </w:rPr>
              <w:t xml:space="preserve">Căn hộ chung cư</w:t>
            </w:r>
            <w:r/>
          </w:p>
        </w:tc>
        <w:tc>
          <w:tcPr>
            <w:tcBorders>
              <w:bottom w:val="single" w:color="000000" w:sz="8" w:space="0"/>
              <w:right w:val="single" w:color="000000" w:sz="8" w:space="0"/>
            </w:tcBorders>
            <w:tcMar>
              <w:left w:w="108" w:type="dxa"/>
              <w:top w:w="0" w:type="dxa"/>
              <w:right w:w="108" w:type="dxa"/>
              <w:bottom w:w="0" w:type="dxa"/>
            </w:tcMar>
            <w:tcW w:w="30593"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43,1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495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68.000.000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25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2.930.800.000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102" w:type="dxa"/>
            <w:vAlign w:val="center"/>
            <w:textDirection w:val="lrTb"/>
            <w:noWrap/>
          </w:tcPr>
          <w:p>
            <w:pPr>
              <w:pBdr/>
              <w:spacing w:after="0" w:before="0" w:line="240" w:lineRule="auto"/>
              <w:ind/>
              <w:rPr/>
            </w:pPr>
            <w:r/>
            <w:r/>
          </w:p>
        </w:tc>
        <w:tc>
          <w:tcPr>
            <w:gridSpan w:val="3"/>
            <w:tcBorders>
              <w:bottom w:val="single" w:color="000000" w:sz="8" w:space="0"/>
              <w:right w:val="single" w:color="000000" w:sz="8" w:space="0"/>
            </w:tcBorders>
            <w:tcMar>
              <w:left w:w="108" w:type="dxa"/>
              <w:top w:w="0" w:type="dxa"/>
              <w:right w:w="108" w:type="dxa"/>
              <w:bottom w:w="0" w:type="dxa"/>
            </w:tcMar>
            <w:tcW w:w="107520"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32565"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2.930.800.000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810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 </w:t>
            </w:r>
            <w:r/>
          </w:p>
        </w:tc>
        <w:tc>
          <w:tcPr>
            <w:gridSpan w:val="3"/>
            <w:tcBorders>
              <w:bottom w:val="single" w:color="000000" w:sz="8" w:space="0"/>
              <w:right w:val="single" w:color="000000" w:sz="8" w:space="0"/>
            </w:tcBorders>
            <w:tcMar>
              <w:left w:w="108" w:type="dxa"/>
              <w:top w:w="0" w:type="dxa"/>
              <w:right w:w="108" w:type="dxa"/>
              <w:bottom w:w="0" w:type="dxa"/>
            </w:tcMar>
            <w:tcW w:w="107520"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32565"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4"/>
              </w:rPr>
              <w:t xml:space="preserve">2.931.000.000</w:t>
            </w:r>
            <w:r/>
          </w:p>
        </w:tc>
      </w:tr>
      <w:tr>
        <w:trPr>
          <w:trHeight w:val="20"/>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14818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i/>
                <w:color w:val="000000"/>
                <w:sz w:val="24"/>
              </w:rPr>
              <w:t xml:space="preserve">(Bằng chữ: Hai tỷ chín trăm ba mươi mốt triệu đồng chẵn ./.)</w:t>
            </w:r>
            <w:r/>
          </w:p>
        </w:tc>
      </w:tr>
    </w:tbl>
    <w:p>
      <w:pPr>
        <w:pStyle w:val="1031"/>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1"/>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1"/>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1"/>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1"/>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1"/>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1"/>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1"/>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1"/>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1"/>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1"/>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1"/>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31"/>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1"/>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1"/>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1"/>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1"/>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1"/>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31"/>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275/2025/1602/VFI-CT.48.A</w:t>
      </w:r>
      <w:r>
        <w:rPr>
          <w:color w:val="ff0000"/>
          <w:lang w:val="vi-VN"/>
        </w:rPr>
        <w:t xml:space="preserve"> </w:t>
      </w:r>
      <w:r>
        <w:rPr>
          <w:color w:val="000000" w:themeColor="text1"/>
        </w:rPr>
        <w:t xml:space="preserve">03/12/2025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ayout w:type="fixed"/>
        <w:tblLook w:val="01E0" w:firstRow="1" w:lastRow="1" w:firstColumn="1" w:lastColumn="1" w:noHBand="0" w:noVBand="0"/>
      </w:tblPr>
      <w:tblGrid>
        <w:gridCol w:w="4705"/>
        <w:gridCol w:w="4450"/>
      </w:tblGrid>
      <w:tr>
        <w:trPr>
          <w:trHeight w:val="20"/>
        </w:trPr>
        <w:tc>
          <w:tcPr>
            <w:tcBorders/>
            <w:tcW w:w="4705" w:type="dxa"/>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4450" w:type="dxa"/>
            <w:vAlign w:val="bottom"/>
            <w:textDirection w:val="lrTb"/>
            <w:noWrap w:val="false"/>
          </w:tcPr>
          <w:p>
            <w:pPr>
              <w:pBdr/>
              <w:spacing w:line="276" w:lineRule="auto"/>
              <w:ind/>
              <w:jc w:val="center"/>
              <w:rPr>
                <w:rFonts w:eastAsia="Calibri"/>
                <w:b/>
                <w:highlight w:val="white"/>
              </w:rPr>
            </w:pPr>
            <w:r>
              <w:rPr>
                <w:rFonts w:eastAsia="Calibri"/>
                <w:b/>
                <w:highlight w:val="white"/>
                <w:lang w:val="pt-BR"/>
              </w:rPr>
              <w:t xml:space="preserve">CÔNG TY CỔ PHẦN THẨM ĐỊNH VÀ ĐẦU TƯ TÀI CHÍNH HOA SEN</w:t>
            </w:r>
            <w:r>
              <w:rPr>
                <w:rFonts w:eastAsia="Calibri"/>
                <w:b/>
                <w:highlight w:val="white"/>
              </w:rPr>
            </w:r>
            <w:r>
              <w:rPr>
                <w:rFonts w:eastAsia="Calibri"/>
                <w:b/>
                <w:highlight w:val="white"/>
              </w:rPr>
            </w:r>
          </w:p>
          <w:p>
            <w:pPr>
              <w:pBdr/>
              <w:spacing w:line="276" w:lineRule="auto"/>
              <w:ind/>
              <w:jc w:val="center"/>
              <w:rPr>
                <w:rFonts w:eastAsia="Calibri"/>
                <w:b/>
                <w:highlight w:val="white"/>
              </w:rPr>
            </w:pPr>
            <w:r>
              <w:rPr>
                <w:rFonts w:eastAsia="Calibri"/>
                <w:b/>
                <w:highlight w:val="white"/>
                <w:lang w:val="pt-BR"/>
              </w:rPr>
            </w:r>
            <w:r>
              <w:rPr>
                <w:rFonts w:ascii="Times New Roman" w:hAnsi="Times New Roman" w:eastAsia="Times New Roman" w:cs="Times New Roman"/>
                <w:b/>
                <w:color w:val="000000"/>
                <w:sz w:val="24"/>
                <w:highlight w:val="white"/>
              </w:rPr>
              <w:t xml:space="preserve">TỔNG GIÁM ĐỐC</w:t>
            </w:r>
            <w:r>
              <w:rPr>
                <w:rFonts w:eastAsia="Calibri"/>
                <w:b/>
                <w:highlight w:val="white"/>
              </w:rPr>
            </w:r>
            <w:r>
              <w:rPr>
                <w:rFonts w:eastAsia="Calibri"/>
                <w:b/>
                <w:highlight w:val="white"/>
              </w:rPr>
            </w:r>
          </w:p>
        </w:tc>
      </w:tr>
      <w:tr>
        <w:trPr>
          <w:trHeight w:val="1358"/>
        </w:trPr>
        <w:tc>
          <w:tcPr>
            <w:tcBorders/>
            <w:tcW w:w="4705" w:type="dxa"/>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4450" w:type="dxa"/>
            <w:vAlign w:val="bottom"/>
            <w:textDirection w:val="lrTb"/>
            <w:noWrap w:val="false"/>
          </w:tcPr>
          <w:p>
            <w:pPr>
              <w:pBdr/>
              <w:spacing w:line="276" w:lineRule="auto"/>
              <w:ind/>
              <w:jc w:val="center"/>
              <w:rPr>
                <w:rFonts w:eastAsia="Calibri"/>
                <w:b/>
                <w:highlight w:val="white"/>
              </w:rPr>
            </w:pPr>
            <w:r>
              <w:rPr>
                <w:rFonts w:eastAsia="Calibri"/>
                <w:b/>
                <w:highlight w:val="white"/>
              </w:rPr>
            </w:r>
            <w:r>
              <w:rPr>
                <w:rFonts w:eastAsia="Calibri"/>
                <w:b/>
                <w:highlight w:val="white"/>
              </w:rPr>
            </w:r>
            <w:r>
              <w:rPr>
                <w:rFonts w:eastAsia="Calibri"/>
                <w:b/>
                <w:highlight w:val="white"/>
              </w:rPr>
            </w:r>
          </w:p>
        </w:tc>
      </w:tr>
      <w:tr>
        <w:trPr>
          <w:trHeight w:val="20"/>
        </w:trPr>
        <w:tc>
          <w:tcPr>
            <w:tcBorders/>
            <w:tcW w:w="4705" w:type="dxa"/>
            <w:vAlign w:val="center"/>
            <w:textDirection w:val="lrTb"/>
            <w:noWrap w:val="false"/>
          </w:tcPr>
          <w:p>
            <w:pPr>
              <w:pBdr/>
              <w:spacing w:line="240" w:lineRule="atLeast"/>
              <w:ind/>
              <w:jc w:val="center"/>
              <w:rPr>
                <w:rFonts w:eastAsia="Calibri"/>
                <w:b/>
                <w:color w:val="000000" w:themeColor="text1"/>
                <w:highlight w:val="white"/>
              </w:rPr>
            </w:pPr>
            <w:r>
              <w:rPr>
                <w:rFonts w:eastAsia="Calibri"/>
                <w:b/>
                <w:color w:val="000000" w:themeColor="text1"/>
                <w:highlight w:val="white"/>
                <w:lang w:val="pt-BR"/>
              </w:rPr>
              <w:t xml:space="preserve">Nguyễn Thị Thùy Dương</w:t>
            </w:r>
            <w:r>
              <w:rPr>
                <w:rFonts w:eastAsia="Calibri"/>
                <w:b/>
                <w:color w:val="000000" w:themeColor="text1"/>
                <w:highlight w:val="white"/>
              </w:rPr>
            </w:r>
            <w:r>
              <w:rPr>
                <w:rFonts w:eastAsia="Calibri"/>
                <w:b/>
                <w:color w:val="000000" w:themeColor="text1"/>
                <w:highlight w:val="white"/>
              </w:rPr>
            </w:r>
          </w:p>
          <w:p>
            <w:pPr>
              <w:pBdr/>
              <w:spacing w:line="240" w:lineRule="atLeast"/>
              <w:ind/>
              <w:jc w:val="center"/>
              <w:rPr>
                <w:rFonts w:eastAsia="Calibri"/>
                <w:bCs/>
                <w:highlight w:val="yellow"/>
              </w:rPr>
            </w:pPr>
            <w:r>
              <w:rPr>
                <w:rFonts w:eastAsia="Calibri"/>
                <w:bCs/>
                <w:highlight w:val="white"/>
                <w:lang w:val="vi-VN"/>
              </w:rPr>
              <w:t xml:space="preserve">Số thẻ thẩm định viên về giá: </w:t>
            </w:r>
            <w:r>
              <w:rPr>
                <w:rFonts w:ascii="Times New Roman" w:hAnsi="Times New Roman" w:eastAsia="Times New Roman" w:cs="Times New Roman"/>
                <w:color w:val="000000"/>
                <w:sz w:val="24"/>
                <w:highlight w:val="white"/>
              </w:rPr>
              <w:t xml:space="preserve">XVI25TS.257</w:t>
            </w:r>
            <w:r>
              <w:rPr>
                <w:rFonts w:ascii="Times New Roman" w:hAnsi="Times New Roman" w:eastAsia="Times New Roman" w:cs="Times New Roman"/>
                <w:color w:val="000000"/>
                <w:sz w:val="24"/>
              </w:rPr>
              <w:t xml:space="preserve">6</w:t>
            </w:r>
            <w:r>
              <w:rPr>
                <w:rFonts w:eastAsia="Calibri"/>
                <w:bCs/>
                <w:highlight w:val="yellow"/>
              </w:rPr>
            </w:r>
            <w:r>
              <w:rPr>
                <w:rFonts w:eastAsia="Calibri"/>
                <w:bCs/>
                <w:highlight w:val="yellow"/>
              </w:rPr>
            </w:r>
          </w:p>
        </w:tc>
        <w:tc>
          <w:tcPr>
            <w:tcBorders/>
            <w:tcW w:w="44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Nguyễn Trọng Điệp</w:t>
            </w:r>
            <w:r/>
          </w:p>
          <w:p>
            <w:pPr>
              <w:pBdr/>
              <w:spacing w:line="276" w:lineRule="auto"/>
              <w:ind/>
              <w:jc w:val="center"/>
              <w:rPr>
                <w:rFonts w:eastAsia="Calibri"/>
                <w:b/>
                <w:highlight w:val="yellow"/>
              </w:rPr>
            </w:pPr>
            <w:r>
              <w:rPr>
                <w:rFonts w:ascii="Times New Roman" w:hAnsi="Times New Roman" w:eastAsia="Times New Roman" w:cs="Times New Roman"/>
                <w:color w:val="000000"/>
                <w:spacing w:val="3"/>
                <w:sz w:val="24"/>
              </w:rPr>
              <w:t xml:space="preserve">Số thẻ thẩm định viên về giá: </w:t>
            </w:r>
            <w:r>
              <w:rPr>
                <w:rFonts w:ascii="Times New Roman" w:hAnsi="Times New Roman" w:eastAsia="Times New Roman" w:cs="Times New Roman"/>
                <w:color w:val="000000"/>
                <w:sz w:val="24"/>
              </w:rPr>
              <w:t xml:space="preserve"> X15.1272 </w:t>
            </w:r>
            <w:r>
              <w:rPr>
                <w:rFonts w:eastAsia="Calibri"/>
                <w:b/>
                <w:highlight w:val="yellow"/>
              </w:rPr>
            </w:r>
            <w:r>
              <w:rPr>
                <w:rFonts w:eastAsia="Calibri"/>
                <w:b/>
                <w:highlight w:val="yellow"/>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highlight w:val="none"/>
              </w:rPr>
            </w:pPr>
            <w:r>
              <w:rPr>
                <w:rFonts w:eastAsia="Calibri"/>
                <w:b/>
                <w:highlight w:val="none"/>
                <w:lang w:val="pt-BR"/>
              </w:rPr>
              <w:t xml:space="preserve">KIỂM SOÁT VIÊN</w:t>
            </w:r>
            <w:r>
              <w:rPr>
                <w:rFonts w:eastAsia="Calibri"/>
                <w:b/>
                <w:highlight w:val="none"/>
              </w:rPr>
            </w:r>
            <w:r>
              <w:rPr>
                <w:rFonts w:eastAsia="Calibri"/>
                <w:b/>
                <w:highlight w:val="none"/>
              </w:rPr>
            </w:r>
          </w:p>
        </w:tc>
      </w:tr>
      <w:tr>
        <w:trPr>
          <w:trHeight w:val="1265"/>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highlight w:val="yellow"/>
              </w:rPr>
            </w:pPr>
            <w:r>
              <w:rPr>
                <w:rFonts w:eastAsia="Calibri"/>
                <w:b/>
                <w:highlight w:val="yellow"/>
              </w:rPr>
            </w:r>
            <w:r>
              <w:rPr>
                <w:rFonts w:eastAsia="Calibri"/>
                <w:b/>
                <w:highlight w:val="yellow"/>
              </w:rPr>
            </w:r>
            <w:r>
              <w:rPr>
                <w:rFonts w:eastAsia="Calibri"/>
                <w:b/>
                <w:highlight w:val="yellow"/>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r>
              <w:rPr>
                <w:rFonts w:eastAsia="Calibri"/>
                <w:b/>
                <w:color w:val="000000" w:themeColor="text1"/>
                <w:lang w:val="pt-BR"/>
              </w:rPr>
            </w:r>
          </w:p>
        </w:tc>
        <w:tc>
          <w:tcPr>
            <w:tcBorders/>
            <w:tcW w:w="2445" w:type="pct"/>
            <w:vAlign w:val="center"/>
            <w:textDirection w:val="lrTb"/>
            <w:noWrap w:val="false"/>
          </w:tcPr>
          <w:p>
            <w:pPr>
              <w:pBdr/>
              <w:spacing w:line="240" w:lineRule="atLeast"/>
              <w:ind/>
              <w:jc w:val="center"/>
              <w:rPr>
                <w:rFonts w:eastAsia="Calibri"/>
                <w:b/>
                <w:highlight w:val="white"/>
              </w:rPr>
            </w:pPr>
            <w:r>
              <w:rPr>
                <w:rFonts w:eastAsia="Calibri"/>
                <w:b/>
                <w:highlight w:val="white"/>
              </w:rPr>
              <w:t xml:space="preserve">Vũ Văn Quân - Chủ tịch</w:t>
            </w:r>
            <w:r>
              <w:rPr>
                <w:rFonts w:eastAsia="Calibri"/>
                <w:b/>
                <w:highlight w:val="white"/>
              </w:rPr>
            </w:r>
            <w:r>
              <w:rPr>
                <w:rFonts w:eastAsia="Calibri"/>
                <w:b/>
                <w:highlight w:val="white"/>
              </w:rPr>
            </w:r>
          </w:p>
        </w:tc>
      </w:tr>
    </w:tbl>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w:t>
      </w:r>
      <w:commentRangeStart w:id="0"/>
      <w:r>
        <w:rPr>
          <w:b/>
          <w:highlight w:val="white"/>
          <w:lang w:val="vi-VN"/>
        </w:rPr>
        <w:t xml:space="preserve">TRẠNG</w:t>
      </w:r>
      <w:r>
        <w:rPr>
          <w:b/>
          <w:highlight w:val="white"/>
          <w:lang w:val="pt-BR"/>
        </w:rPr>
      </w:r>
      <w:commentRangeEnd w:id="0"/>
      <w:r>
        <w:commentReference w:id="0"/>
      </w:r>
      <w:r>
        <w:rPr>
          <w:b/>
          <w:highlight w:val="white"/>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bCs/>
          <w:i/>
        </w:rPr>
      </w:pPr>
      <w:r>
        <w:rPr>
          <w:i/>
          <w:iCs/>
          <w:lang w:val="pt-BR"/>
        </w:rPr>
        <w:t xml:space="preserve">(Kèm theo Báo cáo thẩm định số</w:t>
      </w:r>
      <w:r>
        <w:rPr>
          <w:i/>
          <w:iCs/>
          <w:lang w:val="pt-BR"/>
        </w:rPr>
        <w:t xml:space="preserve"> </w:t>
      </w:r>
      <w:r>
        <w:rPr>
          <w:i/>
          <w:iCs/>
          <w:color w:val="000000" w:themeColor="text1"/>
          <w:lang w:val="vi-VN"/>
        </w:rPr>
        <w:t xml:space="preserve">275/2025/1602/VFI-CT.48.A</w:t>
      </w:r>
      <w:r>
        <w:rPr>
          <w:i/>
        </w:rPr>
        <w:t xml:space="preserve"> ngày</w:t>
      </w:r>
      <w:r>
        <w:rPr>
          <w:i/>
          <w:iCs/>
          <w:lang w:val="pt-BR"/>
        </w:rPr>
        <w:t xml:space="preserve"> </w:t>
      </w:r>
      <w:r>
        <w:rPr>
          <w:i/>
          <w:iCs/>
          <w:lang w:val="pt-BR"/>
        </w:rPr>
        <w:t xml:space="preserve">03/12/2025</w:t>
      </w:r>
      <w:r>
        <w:rPr>
          <w:i/>
          <w:iCs/>
          <w:lang w:val="pt-BR"/>
        </w:rPr>
        <w:t xml:space="preserve"> </w:t>
      </w:r>
      <w:r>
        <w:rPr>
          <w:i/>
          <w:iCs/>
          <w:lang w:val="pt-BR"/>
        </w:rPr>
        <w:t xml:space="preserve">của </w:t>
      </w:r>
      <w:r>
        <w:rPr>
          <w:i/>
          <w:iCs/>
          <w:lang w:val="pt-BR"/>
        </w:rPr>
      </w:r>
      <w:r>
        <w:rPr>
          <w:bCs/>
          <w:i/>
        </w:rPr>
      </w:r>
    </w:p>
    <w:p>
      <w:pPr>
        <w:pBdr/>
        <w:spacing w:after="120"/>
        <w:ind/>
        <w:jc w:val="center"/>
        <w:rPr>
          <w:bCs/>
          <w:i/>
        </w:rPr>
      </w:pPr>
      <w:r>
        <w:rPr>
          <w:i/>
          <w:iCs/>
          <w:lang w:val="pt-BR"/>
        </w:rPr>
        <w:t xml:space="preserve">Công ty Cổ phần Thẩm định và Đầu tư Tài chính Hoa Sen)</w:t>
      </w:r>
      <w:r>
        <w:rPr>
          <w:i/>
          <w:iCs/>
          <w:lang w:val="pt-BR"/>
        </w:rPr>
      </w:r>
      <w:r>
        <w:rPr>
          <w:bCs/>
          <w:i/>
        </w:rP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810"/>
        <w:gridCol w:w="4810"/>
      </w:tblGrid>
      <w:tr>
        <w:trPr>
          <w:trHeight w:val="20"/>
        </w:trPr>
        <w:tc>
          <w:tcPr>
            <w:tcBorders/>
            <w:tcMar>
              <w:left w:w="108" w:type="dxa"/>
              <w:top w:w="0" w:type="dxa"/>
              <w:right w:w="108" w:type="dxa"/>
              <w:bottom w:w="0" w:type="dxa"/>
            </w:tcMar>
            <w:tcW w:w="4810" w:type="dxa"/>
            <w:vAlign w:val="top"/>
            <w:textDirection w:val="lrTb"/>
            <w:noWrap w:val="false"/>
          </w:tcPr>
          <w:p>
            <w:pPr>
              <w:pBdr/>
              <w:spacing w:after="0" w:before="0" w:line="240" w:lineRule="auto"/>
              <w:ind/>
              <w:jc w:val="center"/>
              <w:rPr/>
            </w:pPr>
            <w:r>
              <mc:AlternateContent>
                <mc:Choice Requires="wpg">
                  <w:drawing>
                    <wp:inline xmlns:wp="http://schemas.openxmlformats.org/drawingml/2006/wordprocessingDrawing" distT="0" distB="0" distL="0" distR="0">
                      <wp:extent cx="1084620" cy="2406502"/>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00209" name=""/>
                              <pic:cNvPicPr>
                                <a:picLocks noChangeAspect="1"/>
                              </pic:cNvPicPr>
                              <pic:nvPr/>
                            </pic:nvPicPr>
                            <pic:blipFill>
                              <a:blip r:embed="rId19"/>
                              <a:stretch/>
                            </pic:blipFill>
                            <pic:spPr bwMode="auto">
                              <a:xfrm flipH="0" flipV="0">
                                <a:off x="0" y="0"/>
                                <a:ext cx="1084620" cy="240650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85.40pt;height:189.49pt;mso-wrap-distance-left:0.00pt;mso-wrap-distance-top:0.00pt;mso-wrap-distance-right:0.00pt;mso-wrap-distance-bottom:0.00pt;z-index:1;" stroked="false">
                      <v:imagedata r:id="rId19" o:title=""/>
                      <o:lock v:ext="edit" rotation="t"/>
                    </v:shape>
                  </w:pict>
                </mc:Fallback>
              </mc:AlternateContent>
            </w:r>
            <w:r/>
          </w:p>
        </w:tc>
        <w:tc>
          <w:tcPr>
            <w:tcBorders/>
            <w:tcMar>
              <w:left w:w="108" w:type="dxa"/>
              <w:top w:w="0" w:type="dxa"/>
              <w:right w:w="108" w:type="dxa"/>
              <w:bottom w:w="0" w:type="dxa"/>
            </w:tcMar>
            <w:tcW w:w="4810" w:type="dxa"/>
            <w:vAlign w:val="top"/>
            <w:textDirection w:val="lrTb"/>
            <w:noWrap w:val="false"/>
          </w:tcPr>
          <w:p>
            <w:pPr>
              <w:pBdr/>
              <w:spacing w:after="0" w:before="0" w:line="240" w:lineRule="auto"/>
              <w:ind/>
              <w:jc w:val="center"/>
              <w:rPr/>
            </w:pPr>
            <w:r>
              <mc:AlternateContent>
                <mc:Choice Requires="wpg">
                  <w:drawing>
                    <wp:inline xmlns:wp="http://schemas.openxmlformats.org/drawingml/2006/wordprocessingDrawing" distT="0" distB="0" distL="0" distR="0">
                      <wp:extent cx="1822086" cy="2434032"/>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950634" name=""/>
                              <pic:cNvPicPr>
                                <a:picLocks noChangeAspect="1"/>
                              </pic:cNvPicPr>
                              <pic:nvPr/>
                            </pic:nvPicPr>
                            <pic:blipFill>
                              <a:blip r:embed="rId20"/>
                              <a:stretch/>
                            </pic:blipFill>
                            <pic:spPr bwMode="auto">
                              <a:xfrm flipH="0" flipV="0">
                                <a:off x="0" y="0"/>
                                <a:ext cx="1822086" cy="243403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43.47pt;height:191.66pt;mso-wrap-distance-left:0.00pt;mso-wrap-distance-top:0.00pt;mso-wrap-distance-right:0.00pt;mso-wrap-distance-bottom:0.00pt;z-index:1;" stroked="false">
                      <v:imagedata r:id="rId20" o:title=""/>
                      <o:lock v:ext="edit" rotation="t"/>
                    </v:shape>
                  </w:pict>
                </mc:Fallback>
              </mc:AlternateContent>
            </w:r>
            <w:r/>
          </w:p>
        </w:tc>
      </w:tr>
      <w:tr>
        <w:trPr>
          <w:trHeight w:val="70"/>
        </w:trPr>
        <w:tc>
          <w:tcPr>
            <w:gridSpan w:val="2"/>
            <w:tcBorders/>
            <w:tcMar>
              <w:left w:w="108" w:type="dxa"/>
              <w:top w:w="0" w:type="dxa"/>
              <w:right w:w="108" w:type="dxa"/>
              <w:bottom w:w="0" w:type="dxa"/>
            </w:tcMar>
            <w:tcW w:w="9620"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rHeight w:val="229"/>
        </w:trPr>
        <w:tc>
          <w:tcPr>
            <w:tcBorders/>
            <w:tcMar>
              <w:left w:w="108" w:type="dxa"/>
              <w:top w:w="0" w:type="dxa"/>
              <w:right w:w="108" w:type="dxa"/>
              <w:bottom w:w="0" w:type="dxa"/>
            </w:tcMar>
            <w:tcW w:w="4810" w:type="dxa"/>
            <w:vAlign w:val="top"/>
            <w:textDirection w:val="lrTb"/>
            <w:noWrap w:val="false"/>
          </w:tcPr>
          <w:p>
            <w:pPr>
              <w:pBdr/>
              <w:spacing w:after="0" w:before="0" w:line="240" w:lineRule="auto"/>
              <w:ind/>
              <w:jc w:val="center"/>
              <w:rPr/>
            </w:pPr>
            <w:r>
              <mc:AlternateContent>
                <mc:Choice Requires="wpg">
                  <w:drawing>
                    <wp:inline xmlns:wp="http://schemas.openxmlformats.org/drawingml/2006/wordprocessingDrawing" distT="0" distB="0" distL="0" distR="0">
                      <wp:extent cx="2874896" cy="2154672"/>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911340" name=""/>
                              <pic:cNvPicPr>
                                <a:picLocks noChangeAspect="1"/>
                              </pic:cNvPicPr>
                              <pic:nvPr/>
                            </pic:nvPicPr>
                            <pic:blipFill>
                              <a:blip r:embed="rId21"/>
                              <a:stretch/>
                            </pic:blipFill>
                            <pic:spPr bwMode="auto">
                              <a:xfrm flipH="0" flipV="0">
                                <a:off x="0" y="0"/>
                                <a:ext cx="2874896" cy="215467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6.37pt;height:169.66pt;mso-wrap-distance-left:0.00pt;mso-wrap-distance-top:0.00pt;mso-wrap-distance-right:0.00pt;mso-wrap-distance-bottom:0.00pt;z-index:1;" stroked="false">
                      <v:imagedata r:id="rId21" o:title=""/>
                      <o:lock v:ext="edit" rotation="t"/>
                    </v:shape>
                  </w:pict>
                </mc:Fallback>
              </mc:AlternateContent>
            </w:r>
            <w:r/>
          </w:p>
        </w:tc>
        <w:tc>
          <w:tcPr>
            <w:tcBorders/>
            <w:tcMar>
              <w:left w:w="108" w:type="dxa"/>
              <w:top w:w="0" w:type="dxa"/>
              <w:right w:w="108" w:type="dxa"/>
              <w:bottom w:w="0" w:type="dxa"/>
            </w:tcMar>
            <w:tcW w:w="4810" w:type="dxa"/>
            <w:vAlign w:val="top"/>
            <w:textDirection w:val="lrTb"/>
            <w:noWrap w:val="false"/>
          </w:tcPr>
          <w:p>
            <w:pPr>
              <w:pBdr/>
              <w:spacing w:after="0" w:before="0" w:line="240" w:lineRule="auto"/>
              <w:ind/>
              <w:jc w:val="center"/>
              <w:rPr/>
            </w:pPr>
            <w:r>
              <mc:AlternateContent>
                <mc:Choice Requires="wpg">
                  <w:drawing>
                    <wp:inline xmlns:wp="http://schemas.openxmlformats.org/drawingml/2006/wordprocessingDrawing" distT="0" distB="0" distL="0" distR="0">
                      <wp:extent cx="2813072" cy="2108336"/>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86490" name=""/>
                              <pic:cNvPicPr>
                                <a:picLocks noChangeAspect="1"/>
                              </pic:cNvPicPr>
                              <pic:nvPr/>
                            </pic:nvPicPr>
                            <pic:blipFill>
                              <a:blip r:embed="rId22"/>
                              <a:stretch/>
                            </pic:blipFill>
                            <pic:spPr bwMode="auto">
                              <a:xfrm flipH="0" flipV="0">
                                <a:off x="0" y="0"/>
                                <a:ext cx="2813072" cy="210833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1.50pt;height:166.01pt;mso-wrap-distance-left:0.00pt;mso-wrap-distance-top:0.00pt;mso-wrap-distance-right:0.00pt;mso-wrap-distance-bottom:0.00pt;z-index:1;" stroked="false">
                      <v:imagedata r:id="rId22" o:title=""/>
                      <o:lock v:ext="edit" rotation="t"/>
                    </v:shape>
                  </w:pict>
                </mc:Fallback>
              </mc:AlternateContent>
            </w:r>
            <w:r/>
          </w:p>
        </w:tc>
      </w:tr>
      <w:tr>
        <w:trPr>
          <w:trHeight w:val="20"/>
        </w:trPr>
        <w:tc>
          <w:tcPr>
            <w:gridSpan w:val="2"/>
            <w:tcBorders/>
            <w:tcMar>
              <w:left w:w="108" w:type="dxa"/>
              <w:top w:w="0" w:type="dxa"/>
              <w:right w:w="108" w:type="dxa"/>
              <w:bottom w:w="0" w:type="dxa"/>
            </w:tcMar>
            <w:tcW w:w="9620"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tcMar>
              <w:left w:w="108" w:type="dxa"/>
              <w:top w:w="0" w:type="dxa"/>
              <w:right w:w="108" w:type="dxa"/>
              <w:bottom w:w="0" w:type="dxa"/>
            </w:tcMar>
            <w:tcW w:w="4810" w:type="dxa"/>
            <w:vAlign w:val="top"/>
            <w:textDirection w:val="lrTb"/>
            <w:noWrap w:val="false"/>
          </w:tcPr>
          <w:p>
            <w:pPr>
              <w:pBdr/>
              <w:spacing w:after="0" w:before="0" w:line="240" w:lineRule="auto"/>
              <w:ind/>
              <w:jc w:val="center"/>
              <w:rPr/>
            </w:pPr>
            <w:r>
              <mc:AlternateContent>
                <mc:Choice Requires="wpg">
                  <w:drawing>
                    <wp:inline xmlns:wp="http://schemas.openxmlformats.org/drawingml/2006/wordprocessingDrawing" distT="0" distB="0" distL="0" distR="0">
                      <wp:extent cx="2951185" cy="2211848"/>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254436" name=""/>
                              <pic:cNvPicPr>
                                <a:picLocks noChangeAspect="1"/>
                              </pic:cNvPicPr>
                              <pic:nvPr/>
                            </pic:nvPicPr>
                            <pic:blipFill>
                              <a:blip r:embed="rId23"/>
                              <a:stretch/>
                            </pic:blipFill>
                            <pic:spPr bwMode="auto">
                              <a:xfrm flipH="0" flipV="0">
                                <a:off x="0" y="0"/>
                                <a:ext cx="2951184" cy="221184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32.38pt;height:174.16pt;mso-wrap-distance-left:0.00pt;mso-wrap-distance-top:0.00pt;mso-wrap-distance-right:0.00pt;mso-wrap-distance-bottom:0.00pt;z-index:1;" stroked="false">
                      <v:imagedata r:id="rId23" o:title=""/>
                      <o:lock v:ext="edit" rotation="t"/>
                    </v:shape>
                  </w:pict>
                </mc:Fallback>
              </mc:AlternateContent>
            </w:r>
            <w:r/>
          </w:p>
        </w:tc>
        <w:tc>
          <w:tcPr>
            <w:tcBorders/>
            <w:tcMar>
              <w:left w:w="108" w:type="dxa"/>
              <w:top w:w="0" w:type="dxa"/>
              <w:right w:w="108" w:type="dxa"/>
              <w:bottom w:w="0" w:type="dxa"/>
            </w:tcMar>
            <w:tcW w:w="4810" w:type="dxa"/>
            <w:vAlign w:val="top"/>
            <w:textDirection w:val="lrTb"/>
            <w:noWrap w:val="false"/>
          </w:tcPr>
          <w:p>
            <w:pPr>
              <w:pBdr/>
              <w:spacing w:after="0" w:before="0" w:line="240" w:lineRule="auto"/>
              <w:ind/>
              <w:jc w:val="center"/>
              <w:rPr/>
            </w:pPr>
            <w:r>
              <mc:AlternateContent>
                <mc:Choice Requires="wpg">
                  <w:drawing>
                    <wp:inline xmlns:wp="http://schemas.openxmlformats.org/drawingml/2006/wordprocessingDrawing" distT="0" distB="0" distL="0" distR="0">
                      <wp:extent cx="2860032" cy="2143531"/>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954625" name=""/>
                              <pic:cNvPicPr>
                                <a:picLocks noChangeAspect="1"/>
                              </pic:cNvPicPr>
                              <pic:nvPr/>
                            </pic:nvPicPr>
                            <pic:blipFill>
                              <a:blip r:embed="rId24"/>
                              <a:stretch/>
                            </pic:blipFill>
                            <pic:spPr bwMode="auto">
                              <a:xfrm flipH="0" flipV="0">
                                <a:off x="0" y="0"/>
                                <a:ext cx="2860030" cy="214353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5.20pt;height:168.78pt;mso-wrap-distance-left:0.00pt;mso-wrap-distance-top:0.00pt;mso-wrap-distance-right:0.00pt;mso-wrap-distance-bottom:0.00pt;z-index:1;" stroked="false">
                      <v:imagedata r:id="rId24" o:title=""/>
                      <o:lock v:ext="edit" rotation="t"/>
                    </v:shape>
                  </w:pict>
                </mc:Fallback>
              </mc:AlternateContent>
            </w:r>
            <w:r/>
          </w:p>
        </w:tc>
      </w:tr>
      <w:tr>
        <w:trPr>
          <w:trHeight w:val="20"/>
        </w:trPr>
        <w:tc>
          <w:tcPr>
            <w:tcBorders/>
            <w:tcMar>
              <w:left w:w="108" w:type="dxa"/>
              <w:top w:w="0" w:type="dxa"/>
              <w:right w:w="108" w:type="dxa"/>
              <w:bottom w:w="0" w:type="dxa"/>
            </w:tcMar>
            <w:tcW w:w="4810"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2"/>
              </w:rPr>
              <w:t xml:space="preserve"> </w:t>
            </w:r>
            <w:r/>
          </w:p>
        </w:tc>
        <w:tc>
          <w:tcPr>
            <w:tcBorders/>
            <w:tcMar>
              <w:left w:w="108" w:type="dxa"/>
              <w:top w:w="0" w:type="dxa"/>
              <w:right w:w="108" w:type="dxa"/>
              <w:bottom w:w="0" w:type="dxa"/>
            </w:tcMar>
            <w:tcW w:w="4810"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2"/>
              </w:rPr>
              <w:t xml:space="preserve"> </w:t>
            </w:r>
            <w:r/>
          </w:p>
        </w:tc>
      </w:tr>
      <w:tr>
        <w:trPr>
          <w:trHeight w:val="20"/>
        </w:trPr>
        <w:tc>
          <w:tcPr>
            <w:tcBorders/>
            <w:tcMar>
              <w:left w:w="108" w:type="dxa"/>
              <w:top w:w="0" w:type="dxa"/>
              <w:right w:w="108" w:type="dxa"/>
              <w:bottom w:w="0" w:type="dxa"/>
            </w:tcMar>
            <w:tcW w:w="4810" w:type="dxa"/>
            <w:vAlign w:val="top"/>
            <w:textDirection w:val="lrTb"/>
            <w:noWrap w:val="false"/>
          </w:tcPr>
          <w:p>
            <w:pPr>
              <w:pBdr/>
              <w:spacing w:after="0" w:before="0" w:line="240" w:lineRule="auto"/>
              <w:ind/>
              <w:rPr/>
            </w:pPr>
            <w:r/>
            <w:r/>
          </w:p>
        </w:tc>
        <w:tc>
          <w:tcPr>
            <w:tcBorders/>
            <w:tcMar>
              <w:left w:w="108" w:type="dxa"/>
              <w:top w:w="0" w:type="dxa"/>
              <w:right w:w="108" w:type="dxa"/>
              <w:bottom w:w="0" w:type="dxa"/>
            </w:tcMar>
            <w:tcW w:w="4810" w:type="dxa"/>
            <w:vAlign w:val="top"/>
            <w:textDirection w:val="lrTb"/>
            <w:noWrap w:val="false"/>
          </w:tcPr>
          <w:p>
            <w:pPr>
              <w:pBdr/>
              <w:spacing w:after="0" w:before="0" w:line="240" w:lineRule="auto"/>
              <w:ind/>
              <w:rPr/>
            </w:pPr>
            <w:r/>
            <w:r/>
          </w:p>
        </w:tc>
      </w:tr>
      <w:tr>
        <w:trPr>
          <w:trHeight w:val="20"/>
        </w:trPr>
        <w:tc>
          <w:tcPr>
            <w:gridSpan w:val="2"/>
            <w:tcBorders/>
            <w:tcMar>
              <w:left w:w="108" w:type="dxa"/>
              <w:top w:w="0" w:type="dxa"/>
              <w:right w:w="108" w:type="dxa"/>
              <w:bottom w:w="0" w:type="dxa"/>
            </w:tcMar>
            <w:tcW w:w="9620"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r>
      <w:tr>
        <w:trPr>
          <w:trHeight w:val="20"/>
        </w:trPr>
        <w:tc>
          <w:tcPr>
            <w:tcBorders/>
            <w:tcMar>
              <w:left w:w="108" w:type="dxa"/>
              <w:top w:w="0" w:type="dxa"/>
              <w:right w:w="108" w:type="dxa"/>
              <w:bottom w:w="0" w:type="dxa"/>
            </w:tcMar>
            <w:tcW w:w="4810" w:type="dxa"/>
            <w:vAlign w:val="top"/>
            <w:textDirection w:val="lrTb"/>
            <w:noWrap w:val="false"/>
          </w:tcPr>
          <w:p>
            <w:pPr>
              <w:pBdr/>
              <w:spacing w:after="0" w:before="0" w:line="240" w:lineRule="auto"/>
              <w:ind/>
              <w:rPr/>
            </w:pPr>
            <w:r/>
            <w:r/>
          </w:p>
        </w:tc>
        <w:tc>
          <w:tcPr>
            <w:tcBorders/>
            <w:tcMar>
              <w:left w:w="108" w:type="dxa"/>
              <w:top w:w="0" w:type="dxa"/>
              <w:right w:w="108" w:type="dxa"/>
              <w:bottom w:w="0" w:type="dxa"/>
            </w:tcMar>
            <w:tcW w:w="4810" w:type="dxa"/>
            <w:vAlign w:val="top"/>
            <w:textDirection w:val="lrTb"/>
            <w:noWrap w:val="false"/>
          </w:tcPr>
          <w:p>
            <w:pPr>
              <w:pBdr/>
              <w:spacing w:after="0" w:before="0" w:line="240" w:lineRule="auto"/>
              <w:ind/>
              <w:rPr/>
            </w:pPr>
            <w:r/>
            <w:r/>
          </w:p>
        </w:tc>
      </w:tr>
      <w:tr>
        <w:trPr>
          <w:trHeight w:val="20"/>
        </w:trPr>
        <w:tc>
          <w:tcPr>
            <w:tcBorders/>
            <w:tcMar>
              <w:left w:w="108" w:type="dxa"/>
              <w:top w:w="0" w:type="dxa"/>
              <w:right w:w="108" w:type="dxa"/>
              <w:bottom w:w="0" w:type="dxa"/>
            </w:tcMar>
            <w:tcW w:w="4810"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cMar>
              <w:left w:w="108" w:type="dxa"/>
              <w:top w:w="0" w:type="dxa"/>
              <w:right w:w="108" w:type="dxa"/>
              <w:bottom w:w="0" w:type="dxa"/>
            </w:tcMar>
            <w:tcW w:w="4810"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bl>
    <w:p>
      <w:pPr>
        <w:pBdr/>
        <w:spacing/>
        <w:ind/>
        <w:rPr/>
      </w:pPr>
      <w:r/>
      <w:r/>
    </w:p>
    <w:p>
      <w:pPr>
        <w:pBdr/>
        <w:spacing/>
        <w:ind/>
        <w:rPr/>
      </w:pPr>
      <w:r/>
      <w:r/>
    </w:p>
    <w:p>
      <w:pPr>
        <w:pBdr/>
        <w:spacing/>
        <w:ind/>
        <w:rPr/>
      </w:pPr>
      <w: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810"/>
        <w:gridCol w:w="4810"/>
      </w:tblGrid>
      <w:tr>
        <w:trPr>
          <w:trHeight w:val="20"/>
        </w:trPr>
        <w:tc>
          <w:tcPr>
            <w:tcBorders/>
            <w:tcMar>
              <w:left w:w="108" w:type="dxa"/>
              <w:top w:w="0" w:type="dxa"/>
              <w:right w:w="108" w:type="dxa"/>
              <w:bottom w:w="0" w:type="dxa"/>
            </w:tcMar>
            <w:tcW w:w="4810" w:type="dxa"/>
            <w:vAlign w:val="top"/>
            <w:textDirection w:val="lrTb"/>
            <w:noWrap w:val="false"/>
          </w:tcPr>
          <w:p>
            <w:pPr>
              <w:pBdr/>
              <w:spacing w:after="0" w:before="0" w:line="240" w:lineRule="auto"/>
              <w:ind/>
              <w:jc w:val="center"/>
              <w:rPr/>
            </w:pPr>
            <w:r>
              <mc:AlternateContent>
                <mc:Choice Requires="wpg">
                  <w:drawing>
                    <wp:inline xmlns:wp="http://schemas.openxmlformats.org/drawingml/2006/wordprocessingDrawing" distT="0" distB="0" distL="0" distR="0">
                      <wp:extent cx="2860032" cy="2143531"/>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73503" name=""/>
                              <pic:cNvPicPr>
                                <a:picLocks noChangeAspect="1"/>
                              </pic:cNvPicPr>
                              <pic:nvPr/>
                            </pic:nvPicPr>
                            <pic:blipFill>
                              <a:blip r:embed="rId25"/>
                              <a:stretch/>
                            </pic:blipFill>
                            <pic:spPr bwMode="auto">
                              <a:xfrm rot="0" flipH="0" flipV="0">
                                <a:off x="0" y="0"/>
                                <a:ext cx="2860031" cy="214353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25.20pt;height:168.78pt;mso-wrap-distance-left:0.00pt;mso-wrap-distance-top:0.00pt;mso-wrap-distance-right:0.00pt;mso-wrap-distance-bottom:0.00pt;rotation:0;z-index:1;" stroked="false">
                      <v:imagedata r:id="rId25" o:title=""/>
                      <o:lock v:ext="edit" rotation="t"/>
                    </v:shape>
                  </w:pict>
                </mc:Fallback>
              </mc:AlternateContent>
            </w:r>
            <w:r/>
          </w:p>
        </w:tc>
        <w:tc>
          <w:tcPr>
            <w:tcBorders/>
            <w:tcMar>
              <w:left w:w="108" w:type="dxa"/>
              <w:top w:w="0" w:type="dxa"/>
              <w:right w:w="108" w:type="dxa"/>
              <w:bottom w:w="0" w:type="dxa"/>
            </w:tcMar>
            <w:tcW w:w="4810" w:type="dxa"/>
            <w:vAlign w:val="top"/>
            <w:textDirection w:val="lrTb"/>
            <w:noWrap w:val="false"/>
          </w:tcPr>
          <w:p>
            <w:pPr>
              <w:pBdr/>
              <w:spacing w:after="0" w:before="0" w:line="240" w:lineRule="auto"/>
              <w:ind/>
              <w:jc w:val="center"/>
              <w:rPr/>
            </w:pPr>
            <w:r>
              <mc:AlternateContent>
                <mc:Choice Requires="wpg">
                  <w:drawing>
                    <wp:inline xmlns:wp="http://schemas.openxmlformats.org/drawingml/2006/wordprocessingDrawing" distT="0" distB="0" distL="0" distR="0">
                      <wp:extent cx="2860032" cy="2143531"/>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398729" name=""/>
                              <pic:cNvPicPr>
                                <a:picLocks noChangeAspect="1"/>
                              </pic:cNvPicPr>
                              <pic:nvPr/>
                            </pic:nvPicPr>
                            <pic:blipFill>
                              <a:blip r:embed="rId26"/>
                              <a:stretch/>
                            </pic:blipFill>
                            <pic:spPr bwMode="auto">
                              <a:xfrm rot="0" flipH="0" flipV="0">
                                <a:off x="0" y="0"/>
                                <a:ext cx="2860031" cy="214353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25.20pt;height:168.78pt;mso-wrap-distance-left:0.00pt;mso-wrap-distance-top:0.00pt;mso-wrap-distance-right:0.00pt;mso-wrap-distance-bottom:0.00pt;rotation:0;z-index:1;" stroked="false">
                      <v:imagedata r:id="rId26" o:title=""/>
                      <o:lock v:ext="edit" rotation="t"/>
                    </v:shape>
                  </w:pict>
                </mc:Fallback>
              </mc:AlternateContent>
            </w:r>
            <w:r/>
          </w:p>
        </w:tc>
      </w:tr>
      <w:tr>
        <w:trPr>
          <w:trHeight w:val="70"/>
        </w:trPr>
        <w:tc>
          <w:tcPr>
            <w:gridSpan w:val="2"/>
            <w:tcBorders/>
            <w:tcMar>
              <w:left w:w="108" w:type="dxa"/>
              <w:top w:w="0" w:type="dxa"/>
              <w:right w:w="108" w:type="dxa"/>
              <w:bottom w:w="0" w:type="dxa"/>
            </w:tcMar>
            <w:tcW w:w="9620"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 </w:t>
            </w:r>
            <w:r/>
          </w:p>
        </w:tc>
      </w:tr>
      <w:tr>
        <w:trPr>
          <w:trHeight w:val="229"/>
        </w:trPr>
        <w:tc>
          <w:tcPr>
            <w:tcBorders/>
            <w:tcMar>
              <w:left w:w="108" w:type="dxa"/>
              <w:top w:w="0" w:type="dxa"/>
              <w:right w:w="108" w:type="dxa"/>
              <w:bottom w:w="0" w:type="dxa"/>
            </w:tcMar>
            <w:tcW w:w="4810" w:type="dxa"/>
            <w:vAlign w:val="top"/>
            <w:textDirection w:val="lrTb"/>
            <w:noWrap w:val="false"/>
          </w:tcPr>
          <w:p>
            <w:pPr>
              <w:pBdr/>
              <w:spacing w:after="0" w:before="0" w:line="240" w:lineRule="auto"/>
              <w:ind/>
              <w:jc w:val="center"/>
              <w:rPr/>
            </w:pPr>
            <w:r>
              <mc:AlternateContent>
                <mc:Choice Requires="wpg">
                  <w:drawing>
                    <wp:inline xmlns:wp="http://schemas.openxmlformats.org/drawingml/2006/wordprocessingDrawing" distT="0" distB="0" distL="0" distR="0">
                      <wp:extent cx="2874896" cy="2154672"/>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034306" name=""/>
                              <pic:cNvPicPr>
                                <a:picLocks noChangeAspect="1"/>
                              </pic:cNvPicPr>
                              <pic:nvPr/>
                            </pic:nvPicPr>
                            <pic:blipFill>
                              <a:blip r:embed="rId27"/>
                              <a:stretch/>
                            </pic:blipFill>
                            <pic:spPr bwMode="auto">
                              <a:xfrm flipH="0" flipV="0">
                                <a:off x="0" y="0"/>
                                <a:ext cx="2874895" cy="215467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26.37pt;height:169.66pt;mso-wrap-distance-left:0.00pt;mso-wrap-distance-top:0.00pt;mso-wrap-distance-right:0.00pt;mso-wrap-distance-bottom:0.00pt;z-index:1;" stroked="false">
                      <v:imagedata r:id="rId27" o:title=""/>
                      <o:lock v:ext="edit" rotation="t"/>
                    </v:shape>
                  </w:pict>
                </mc:Fallback>
              </mc:AlternateContent>
            </w:r>
            <w:r/>
          </w:p>
        </w:tc>
        <w:tc>
          <w:tcPr>
            <w:tcBorders/>
            <w:tcMar>
              <w:left w:w="108" w:type="dxa"/>
              <w:top w:w="0" w:type="dxa"/>
              <w:right w:w="108" w:type="dxa"/>
              <w:bottom w:w="0" w:type="dxa"/>
            </w:tcMar>
            <w:tcW w:w="4810" w:type="dxa"/>
            <w:vAlign w:val="top"/>
            <w:textDirection w:val="lrTb"/>
            <w:noWrap w:val="false"/>
          </w:tcPr>
          <w:p>
            <w:pPr>
              <w:pBdr/>
              <w:spacing w:after="0" w:before="0" w:line="240" w:lineRule="auto"/>
              <w:ind/>
              <w:jc w:val="center"/>
              <w:rPr/>
            </w:pPr>
            <w:r>
              <mc:AlternateContent>
                <mc:Choice Requires="wpg">
                  <w:drawing>
                    <wp:inline xmlns:wp="http://schemas.openxmlformats.org/drawingml/2006/wordprocessingDrawing" distT="0" distB="0" distL="0" distR="0">
                      <wp:extent cx="2813072" cy="2108336"/>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540735" name=""/>
                              <pic:cNvPicPr>
                                <a:picLocks noChangeAspect="1"/>
                              </pic:cNvPicPr>
                              <pic:nvPr/>
                            </pic:nvPicPr>
                            <pic:blipFill>
                              <a:blip r:embed="rId28"/>
                              <a:stretch/>
                            </pic:blipFill>
                            <pic:spPr bwMode="auto">
                              <a:xfrm flipH="0" flipV="0">
                                <a:off x="0" y="0"/>
                                <a:ext cx="2813071" cy="210833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21.50pt;height:166.01pt;mso-wrap-distance-left:0.00pt;mso-wrap-distance-top:0.00pt;mso-wrap-distance-right:0.00pt;mso-wrap-distance-bottom:0.00pt;z-index:1;" stroked="false">
                      <v:imagedata r:id="rId28" o:title=""/>
                      <o:lock v:ext="edit" rotation="t"/>
                    </v:shape>
                  </w:pict>
                </mc:Fallback>
              </mc:AlternateContent>
            </w:r>
            <w:r/>
          </w:p>
        </w:tc>
      </w:tr>
      <w:tr>
        <w:trPr>
          <w:trHeight w:val="20"/>
        </w:trPr>
        <w:tc>
          <w:tcPr>
            <w:gridSpan w:val="2"/>
            <w:tcBorders/>
            <w:tcMar>
              <w:left w:w="108" w:type="dxa"/>
              <w:top w:w="0" w:type="dxa"/>
              <w:right w:w="108" w:type="dxa"/>
              <w:bottom w:w="0" w:type="dxa"/>
            </w:tcMar>
            <w:tcW w:w="9620"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20"/>
        </w:trPr>
        <w:tc>
          <w:tcPr>
            <w:tcBorders/>
            <w:tcMar>
              <w:left w:w="108" w:type="dxa"/>
              <w:top w:w="0" w:type="dxa"/>
              <w:right w:w="108" w:type="dxa"/>
              <w:bottom w:w="0" w:type="dxa"/>
            </w:tcMar>
            <w:tcW w:w="4810" w:type="dxa"/>
            <w:vAlign w:val="top"/>
            <w:textDirection w:val="lrTb"/>
            <w:noWrap w:val="false"/>
          </w:tcPr>
          <w:p>
            <w:pPr>
              <w:pBdr/>
              <w:spacing w:after="0" w:before="0" w:line="240" w:lineRule="auto"/>
              <w:ind/>
              <w:jc w:val="center"/>
              <w:rPr/>
            </w:pPr>
            <w:r>
              <mc:AlternateContent>
                <mc:Choice Requires="wpg">
                  <w:drawing>
                    <wp:inline xmlns:wp="http://schemas.openxmlformats.org/drawingml/2006/wordprocessingDrawing" distT="0" distB="0" distL="0" distR="0">
                      <wp:extent cx="2951185" cy="2211848"/>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243452" name=""/>
                              <pic:cNvPicPr>
                                <a:picLocks noChangeAspect="1"/>
                              </pic:cNvPicPr>
                              <pic:nvPr/>
                            </pic:nvPicPr>
                            <pic:blipFill>
                              <a:blip r:embed="rId29"/>
                              <a:stretch/>
                            </pic:blipFill>
                            <pic:spPr bwMode="auto">
                              <a:xfrm flipH="0" flipV="0">
                                <a:off x="0" y="0"/>
                                <a:ext cx="2951183" cy="221184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32.38pt;height:174.16pt;mso-wrap-distance-left:0.00pt;mso-wrap-distance-top:0.00pt;mso-wrap-distance-right:0.00pt;mso-wrap-distance-bottom:0.00pt;z-index:1;" stroked="false">
                      <v:imagedata r:id="rId29" o:title=""/>
                      <o:lock v:ext="edit" rotation="t"/>
                    </v:shape>
                  </w:pict>
                </mc:Fallback>
              </mc:AlternateContent>
            </w:r>
            <w:r/>
          </w:p>
        </w:tc>
        <w:tc>
          <w:tcPr>
            <w:tcBorders/>
            <w:tcMar>
              <w:left w:w="108" w:type="dxa"/>
              <w:top w:w="0" w:type="dxa"/>
              <w:right w:w="108" w:type="dxa"/>
              <w:bottom w:w="0" w:type="dxa"/>
            </w:tcMar>
            <w:tcW w:w="4810" w:type="dxa"/>
            <w:vAlign w:val="top"/>
            <w:textDirection w:val="lrTb"/>
            <w:noWrap w:val="false"/>
          </w:tcPr>
          <w:p>
            <w:pPr>
              <w:pBdr/>
              <w:spacing w:after="0" w:before="0" w:line="240" w:lineRule="auto"/>
              <w:ind/>
              <w:jc w:val="center"/>
              <w:rPr/>
            </w:pPr>
            <w:r>
              <mc:AlternateContent>
                <mc:Choice Requires="wpg">
                  <w:drawing>
                    <wp:inline xmlns:wp="http://schemas.openxmlformats.org/drawingml/2006/wordprocessingDrawing" distT="0" distB="0" distL="0" distR="0">
                      <wp:extent cx="2860032" cy="2143531"/>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082850" name=""/>
                              <pic:cNvPicPr>
                                <a:picLocks noChangeAspect="1"/>
                              </pic:cNvPicPr>
                              <pic:nvPr/>
                            </pic:nvPicPr>
                            <pic:blipFill>
                              <a:blip r:embed="rId30"/>
                              <a:stretch/>
                            </pic:blipFill>
                            <pic:spPr bwMode="auto">
                              <a:xfrm flipH="0" flipV="0">
                                <a:off x="0" y="0"/>
                                <a:ext cx="2860030" cy="214353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25.20pt;height:168.78pt;mso-wrap-distance-left:0.00pt;mso-wrap-distance-top:0.00pt;mso-wrap-distance-right:0.00pt;mso-wrap-distance-bottom:0.00pt;z-index:1;" stroked="false">
                      <v:imagedata r:id="rId30" o:title=""/>
                      <o:lock v:ext="edit" rotation="t"/>
                    </v:shape>
                  </w:pict>
                </mc:Fallback>
              </mc:AlternateContent>
            </w:r>
            <w:r/>
          </w:p>
        </w:tc>
      </w:tr>
      <w:tr>
        <w:trPr>
          <w:trHeight w:val="20"/>
        </w:trPr>
        <w:tc>
          <w:tcPr>
            <w:tcBorders/>
            <w:tcMar>
              <w:left w:w="108" w:type="dxa"/>
              <w:top w:w="0" w:type="dxa"/>
              <w:right w:w="108" w:type="dxa"/>
              <w:bottom w:w="0" w:type="dxa"/>
            </w:tcMar>
            <w:tcW w:w="4810"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2"/>
              </w:rPr>
              <w:t xml:space="preserve"> </w:t>
            </w:r>
            <w:r/>
          </w:p>
        </w:tc>
        <w:tc>
          <w:tcPr>
            <w:tcBorders/>
            <w:tcMar>
              <w:left w:w="108" w:type="dxa"/>
              <w:top w:w="0" w:type="dxa"/>
              <w:right w:w="108" w:type="dxa"/>
              <w:bottom w:w="0" w:type="dxa"/>
            </w:tcMar>
            <w:tcW w:w="4810"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i/>
                <w:color w:val="000000"/>
                <w:sz w:val="22"/>
              </w:rPr>
              <w:t xml:space="preserve"> </w:t>
            </w:r>
            <w:r/>
          </w:p>
        </w:tc>
      </w:tr>
      <w:tr>
        <w:trPr>
          <w:trHeight w:val="20"/>
        </w:trPr>
        <w:tc>
          <w:tcPr>
            <w:tcBorders/>
            <w:tcMar>
              <w:left w:w="108" w:type="dxa"/>
              <w:top w:w="0" w:type="dxa"/>
              <w:right w:w="108" w:type="dxa"/>
              <w:bottom w:w="0" w:type="dxa"/>
            </w:tcMar>
            <w:tcW w:w="4810" w:type="dxa"/>
            <w:vAlign w:val="top"/>
            <w:textDirection w:val="lrTb"/>
            <w:noWrap w:val="false"/>
          </w:tcPr>
          <w:p>
            <w:pPr>
              <w:pBdr/>
              <w:spacing w:after="0" w:before="0" w:line="240" w:lineRule="auto"/>
              <w:ind/>
              <w:rPr/>
            </w:pPr>
            <w:r/>
            <w:r/>
          </w:p>
        </w:tc>
        <w:tc>
          <w:tcPr>
            <w:tcBorders/>
            <w:tcMar>
              <w:left w:w="108" w:type="dxa"/>
              <w:top w:w="0" w:type="dxa"/>
              <w:right w:w="108" w:type="dxa"/>
              <w:bottom w:w="0" w:type="dxa"/>
            </w:tcMar>
            <w:tcW w:w="4810" w:type="dxa"/>
            <w:vAlign w:val="top"/>
            <w:textDirection w:val="lrTb"/>
            <w:noWrap w:val="false"/>
          </w:tcPr>
          <w:p>
            <w:pPr>
              <w:pBdr/>
              <w:spacing w:after="0" w:before="0" w:line="240" w:lineRule="auto"/>
              <w:ind/>
              <w:rPr/>
            </w:pPr>
            <w:r/>
            <w:r/>
          </w:p>
        </w:tc>
      </w:tr>
      <w:tr>
        <w:trPr>
          <w:trHeight w:val="20"/>
        </w:trPr>
        <w:tc>
          <w:tcPr>
            <w:gridSpan w:val="2"/>
            <w:tcBorders/>
            <w:tcMar>
              <w:left w:w="108" w:type="dxa"/>
              <w:top w:w="0" w:type="dxa"/>
              <w:right w:w="108" w:type="dxa"/>
              <w:bottom w:w="0" w:type="dxa"/>
            </w:tcMar>
            <w:tcW w:w="9620"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w:t>
            </w:r>
            <w:r/>
          </w:p>
        </w:tc>
      </w:tr>
      <w:tr>
        <w:trPr>
          <w:trHeight w:val="20"/>
        </w:trPr>
        <w:tc>
          <w:tcPr>
            <w:tcBorders/>
            <w:tcMar>
              <w:left w:w="108" w:type="dxa"/>
              <w:top w:w="0" w:type="dxa"/>
              <w:right w:w="108" w:type="dxa"/>
              <w:bottom w:w="0" w:type="dxa"/>
            </w:tcMar>
            <w:tcW w:w="4810" w:type="dxa"/>
            <w:vAlign w:val="top"/>
            <w:textDirection w:val="lrTb"/>
            <w:noWrap w:val="false"/>
          </w:tcPr>
          <w:p>
            <w:pPr>
              <w:pBdr/>
              <w:spacing w:after="0" w:before="0" w:line="240" w:lineRule="auto"/>
              <w:ind/>
              <w:rPr/>
            </w:pPr>
            <w:r/>
            <w:r/>
          </w:p>
        </w:tc>
        <w:tc>
          <w:tcPr>
            <w:tcBorders/>
            <w:tcMar>
              <w:left w:w="108" w:type="dxa"/>
              <w:top w:w="0" w:type="dxa"/>
              <w:right w:w="108" w:type="dxa"/>
              <w:bottom w:w="0" w:type="dxa"/>
            </w:tcMar>
            <w:tcW w:w="4810" w:type="dxa"/>
            <w:vAlign w:val="top"/>
            <w:textDirection w:val="lrTb"/>
            <w:noWrap w:val="false"/>
          </w:tcPr>
          <w:p>
            <w:pPr>
              <w:pBdr/>
              <w:spacing w:after="0" w:before="0" w:line="240" w:lineRule="auto"/>
              <w:ind/>
              <w:rPr/>
            </w:pPr>
            <w:r/>
            <w:r/>
          </w:p>
        </w:tc>
      </w:tr>
      <w:tr>
        <w:trPr>
          <w:trHeight w:val="20"/>
        </w:trPr>
        <w:tc>
          <w:tcPr>
            <w:tcBorders/>
            <w:tcMar>
              <w:left w:w="108" w:type="dxa"/>
              <w:top w:w="0" w:type="dxa"/>
              <w:right w:w="108" w:type="dxa"/>
              <w:bottom w:w="0" w:type="dxa"/>
            </w:tcMar>
            <w:tcW w:w="4810"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tcMar>
              <w:left w:w="108" w:type="dxa"/>
              <w:top w:w="0" w:type="dxa"/>
              <w:right w:w="108" w:type="dxa"/>
              <w:bottom w:w="0" w:type="dxa"/>
            </w:tcMar>
            <w:tcW w:w="4810"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bl>
    <w:p>
      <w:pPr>
        <w:pBdr/>
        <w:spacing/>
        <w:ind/>
        <w:rPr/>
      </w:pPr>
      <w:r/>
      <w:r/>
    </w:p>
    <w:p>
      <w:pPr>
        <w:pBdr/>
        <w:spacing w:after="200" w:line="276" w:lineRule="auto"/>
        <w:ind/>
        <w:rPr>
          <w:highlight w:val="none"/>
        </w:rPr>
      </w:pPr>
      <w:r>
        <w:br w:type="page" w:clear="all"/>
      </w:r>
      <w:r>
        <w:rPr>
          <w:highlight w:val="none"/>
        </w:rPr>
      </w:r>
      <w:r>
        <w:rPr>
          <w:highlight w:val="none"/>
        </w:rP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after="120"/>
        <w:ind/>
        <w:jc w:val="center"/>
        <w:rPr>
          <w:i/>
          <w:lang w:val="pt-BR"/>
        </w:rPr>
      </w:pPr>
      <w:r>
        <w:rPr>
          <w:i/>
          <w:lang w:val="pt-BR"/>
        </w:rPr>
      </w:r>
      <w:r>
        <w:rPr>
          <w:rFonts w:ascii="Times New Roman" w:hAnsi="Times New Roman" w:eastAsia="Times New Roman" w:cs="Times New Roman"/>
          <w:i/>
          <w:color w:val="000000"/>
          <w:sz w:val="24"/>
        </w:rPr>
        <w:t xml:space="preserve">(Kèm theo Báo cáo thẩm định giá số 275/2025/1602/VFI-BC.48.A ngày 13 tháng 11 năm 2025 của Công ty cổ phần Thẩm định và Đầu tư tài chính Hoa Sen</w:t>
      </w:r>
      <w:r>
        <w:rPr>
          <w:i/>
          <w:lang w:val="pt-BR"/>
        </w:rPr>
        <w:t xml:space="preserve">)</w:t>
      </w:r>
      <w:r>
        <w:rPr>
          <w:i/>
          <w:lang w:val="pt-BR"/>
        </w:rPr>
      </w:r>
      <w:r>
        <w:rPr>
          <w:i/>
          <w:lang w:val="pt-BR"/>
        </w:rPr>
      </w:r>
    </w:p>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6048375" cy="6000133"/>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220866" name=""/>
                        <pic:cNvPicPr>
                          <a:picLocks noChangeAspect="1"/>
                        </pic:cNvPicPr>
                        <pic:nvPr/>
                      </pic:nvPicPr>
                      <pic:blipFill>
                        <a:blip r:embed="rId31"/>
                        <a:stretch/>
                      </pic:blipFill>
                      <pic:spPr bwMode="auto">
                        <a:xfrm>
                          <a:off x="0" y="0"/>
                          <a:ext cx="6048374" cy="600013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76.25pt;height:472.45pt;mso-wrap-distance-left:0.00pt;mso-wrap-distance-top:0.00pt;mso-wrap-distance-right:0.00pt;mso-wrap-distance-bottom:0.00pt;z-index:1;" stroked="false">
                <v:imagedata r:id="rId31" o:title=""/>
                <o:lock v:ext="edit" rotation="t"/>
              </v:shape>
            </w:pict>
          </mc:Fallback>
        </mc:AlternateContent>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Phạm Thị Dung</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iCs/>
          <w:lang w:val="pt-BR"/>
        </w:rPr>
      </w:r>
      <w:r>
        <mc:AlternateContent>
          <mc:Choice Requires="wpg">
            <w:drawing>
              <wp:inline xmlns:wp="http://schemas.openxmlformats.org/drawingml/2006/wordprocessingDrawing" distT="0" distB="0" distL="0" distR="0">
                <wp:extent cx="6048375" cy="5879527"/>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88777" name=""/>
                        <pic:cNvPicPr>
                          <a:picLocks noChangeAspect="1"/>
                        </pic:cNvPicPr>
                        <pic:nvPr/>
                      </pic:nvPicPr>
                      <pic:blipFill>
                        <a:blip r:embed="rId32"/>
                        <a:stretch/>
                      </pic:blipFill>
                      <pic:spPr bwMode="auto">
                        <a:xfrm>
                          <a:off x="0" y="0"/>
                          <a:ext cx="6048374" cy="587952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5pt;height:462.95pt;mso-wrap-distance-left:0.00pt;mso-wrap-distance-top:0.00pt;mso-wrap-distance-right:0.00pt;mso-wrap-distance-bottom:0.00pt;z-index:1;" stroked="false">
                <v:imagedata r:id="rId32" o:title=""/>
                <o:lock v:ext="edit" rotation="t"/>
              </v:shape>
            </w:pict>
          </mc:Fallback>
        </mc:AlternateContent>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Phạm Thị Dung</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iCs/>
          <w:lang w:val="pt-BR"/>
        </w:rPr>
      </w:pPr>
      <w:r>
        <w:rPr>
          <w:iCs/>
          <w:lang w:val="pt-BR"/>
        </w:rPr>
      </w:r>
      <w:r>
        <mc:AlternateContent>
          <mc:Choice Requires="wpg">
            <w:drawing>
              <wp:inline xmlns:wp="http://schemas.openxmlformats.org/drawingml/2006/wordprocessingDrawing" distT="0" distB="0" distL="0" distR="0">
                <wp:extent cx="6048375" cy="595189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636679" name=""/>
                        <pic:cNvPicPr>
                          <a:picLocks noChangeAspect="1"/>
                        </pic:cNvPicPr>
                        <pic:nvPr/>
                      </pic:nvPicPr>
                      <pic:blipFill>
                        <a:blip r:embed="rId33"/>
                        <a:stretch/>
                      </pic:blipFill>
                      <pic:spPr bwMode="auto">
                        <a:xfrm>
                          <a:off x="0" y="0"/>
                          <a:ext cx="6048374" cy="595189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468.65pt;mso-wrap-distance-left:0.00pt;mso-wrap-distance-top:0.00pt;mso-wrap-distance-right:0.00pt;mso-wrap-distance-bottom:0.00pt;z-index:1;" stroked="false">
                <v:imagedata r:id="rId33" o:title=""/>
                <o:lock v:ext="edit" rotation="t"/>
              </v:shape>
            </w:pict>
          </mc:Fallback>
        </mc:AlternateContent>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left"/>
              <w:rPr>
                <w:highlight w:val="none"/>
              </w:rPr>
            </w:pPr>
            <w:r>
              <w:rPr>
                <w:highlight w:val="none"/>
              </w:rPr>
            </w:r>
            <w:r>
              <w:rPr>
                <w:highlight w:val="none"/>
              </w:rPr>
            </w:r>
            <w:r>
              <w:rPr>
                <w:highlight w:val="none"/>
              </w:rPr>
            </w:r>
          </w:p>
          <w:p>
            <w:pPr>
              <w:pBdr/>
              <w:spacing/>
              <w:ind/>
              <w:jc w:val="left"/>
              <w:rPr>
                <w:highlight w:val="none"/>
              </w:rPr>
            </w:pPr>
            <w:r>
              <w:rPr>
                <w:highlight w:val="none"/>
              </w:rPr>
            </w:r>
            <w:r>
              <w:rPr>
                <w:highlight w:val="none"/>
              </w:rPr>
            </w:r>
            <w:r>
              <w:rPr>
                <w:highlight w:val="none"/>
              </w:rPr>
            </w:r>
          </w:p>
          <w:p>
            <w:pPr>
              <w:pBdr/>
              <w:spacing/>
              <w:ind/>
              <w:jc w:val="left"/>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Phạm Thị Dung</w:t>
            </w:r>
            <w:r>
              <w:rPr>
                <w:highlight w:val="none"/>
              </w:rPr>
            </w:r>
            <w:r>
              <w:rPr>
                <w:highlight w:val="none"/>
              </w:rP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Nguyễn Thị Thùy Dương" w:date="2025-12-04T09:02:45Z" w:initials="NTTD">
    <w:p w14:paraId="00000001" w14:textId="00000001">
      <w:pPr>
        <w:spacing w:line="240" w:after="0" w:lineRule="auto" w:before="0"/>
        <w:ind w:firstLine="0" w:left="0" w:right="0"/>
        <w:jc w:val="left"/>
      </w:pPr>
      <w:r>
        <w:rPr>
          <w:rFonts w:eastAsia="Arial" w:ascii="Arial" w:hAnsi="Arial" w:cs="Arial"/>
          <w:sz w:val="22"/>
        </w:rPr>
        <w:t xml:space="preserve">Bổ úng thêm ảnh tài sản</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63DC42FB" w16cex:dateUtc="2025-12-04T02:02:45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63DC42F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6E14A5C0"/>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4AAAB21F"/>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9">
    <w:nsid w:val="7636361A"/>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3">
    <w:name w:val="Table Grid Light"/>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1"/>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2"/>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3"/>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4"/>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5"/>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w:basedOn w:val="101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w:basedOn w:val="101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1"/>
    <w:basedOn w:val="101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2"/>
    <w:basedOn w:val="101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3"/>
    <w:basedOn w:val="101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4"/>
    <w:basedOn w:val="101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5"/>
    <w:basedOn w:val="101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6"/>
    <w:basedOn w:val="101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Accent 1"/>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2"/>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3"/>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Accent 4"/>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5"/>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6"/>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5">
    <w:name w:val="Grid Table 6 Colorful - Accent 1"/>
    <w:basedOn w:val="101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6">
    <w:name w:val="Grid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7">
    <w:name w:val="Grid Table 6 Colorful - Accent 3"/>
    <w:basedOn w:val="101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c732f" w:themeColor="accent3" w:themeTint="FE" w:themeShade="95"/>
      </w:rPr>
      <w:pPr>
        <w:pBdr/>
        <w:spacing/>
        <w:ind/>
      </w:pPr>
      <w:tblPr>
        <w:tblBorders/>
      </w:tblPr>
      <w:tcPr>
        <w:tcBorders/>
      </w:tcPr>
    </w:tblStylePr>
    <w:tblStylePr w:type="firstRow">
      <w:rPr>
        <w:b/>
        <w:color w:val="5c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c732f" w:themeColor="accent3" w:themeTint="FE" w:themeShade="95"/>
      </w:rPr>
      <w:pPr>
        <w:pBdr/>
        <w:spacing/>
        <w:ind/>
      </w:pPr>
      <w:tblPr>
        <w:tblBorders/>
      </w:tblPr>
      <w:tcPr>
        <w:tcBorders/>
      </w:tcPr>
    </w:tblStylePr>
    <w:tblStylePr w:type="lastRow">
      <w:rPr>
        <w:b/>
        <w:color w:val="5c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8">
    <w:name w:val="Grid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9">
    <w:name w:val="Grid Table 6 Colorful - Accent 5"/>
    <w:basedOn w:val="101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0">
    <w:name w:val="Grid Table 6 Colorful - Accent 6"/>
    <w:basedOn w:val="101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1">
    <w:name w:val="Grid Table 7 Colorful"/>
    <w:basedOn w:val="101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1"/>
    <w:basedOn w:val="101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a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c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c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c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5"/>
    <w:basedOn w:val="101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6"/>
    <w:basedOn w:val="101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1"/>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2"/>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3"/>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4"/>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5"/>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6"/>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w:basedOn w:val="101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1"/>
    <w:basedOn w:val="101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2"/>
    <w:basedOn w:val="101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3"/>
    <w:basedOn w:val="101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4"/>
    <w:basedOn w:val="101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5"/>
    <w:basedOn w:val="101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6"/>
    <w:basedOn w:val="101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1"/>
    <w:basedOn w:val="101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3"/>
    <w:basedOn w:val="101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5"/>
    <w:basedOn w:val="101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6"/>
    <w:basedOn w:val="101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1"/>
    <w:basedOn w:val="101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2"/>
    <w:basedOn w:val="101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3"/>
    <w:basedOn w:val="101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4"/>
    <w:basedOn w:val="101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5"/>
    <w:basedOn w:val="101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6"/>
    <w:basedOn w:val="101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5 Dark"/>
    <w:basedOn w:val="101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1"/>
    <w:basedOn w:val="101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2"/>
    <w:basedOn w:val="101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3"/>
    <w:basedOn w:val="101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4"/>
    <w:basedOn w:val="101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5"/>
    <w:basedOn w:val="101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6"/>
    <w:basedOn w:val="101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1"/>
    <w:basedOn w:val="101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3"/>
    <w:basedOn w:val="101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93f" w:themeColor="accent3" w:themeTint="98" w:themeShade="95"/>
      </w:rPr>
      <w:pPr>
        <w:pBdr/>
        <w:spacing/>
        <w:ind/>
      </w:pPr>
      <w:tblPr>
        <w:tblBorders/>
      </w:tblPr>
      <w:tcPr>
        <w:tcBorders/>
      </w:tcPr>
    </w:tblStylePr>
    <w:tblStylePr w:type="firstRow">
      <w:rPr>
        <w:b/>
        <w:color w:val="7c99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93f" w:themeColor="accent3" w:themeTint="98" w:themeShade="95"/>
      </w:rPr>
      <w:pPr>
        <w:pBdr/>
        <w:spacing/>
        <w:ind/>
      </w:pPr>
      <w:tblPr>
        <w:tblBorders/>
      </w:tblPr>
      <w:tcPr>
        <w:tcBorders/>
      </w:tcPr>
    </w:tblStylePr>
    <w:tblStylePr w:type="lastRow">
      <w:rPr>
        <w:b/>
        <w:color w:val="7c99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5"/>
    <w:basedOn w:val="101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8ba3" w:themeColor="accent5" w:themeTint="9A" w:themeShade="95"/>
      </w:rPr>
      <w:pPr>
        <w:pBdr/>
        <w:spacing/>
        <w:ind/>
      </w:pPr>
      <w:tblPr>
        <w:tblBorders/>
      </w:tblPr>
      <w:tcPr>
        <w:tcBorders/>
      </w:tcPr>
    </w:tblStylePr>
    <w:tblStylePr w:type="firstRow">
      <w:rPr>
        <w:b/>
        <w:color w:val="33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38ba3" w:themeColor="accent5" w:themeTint="9A" w:themeShade="95"/>
      </w:rPr>
      <w:pPr>
        <w:pBdr/>
        <w:spacing/>
        <w:ind/>
      </w:pPr>
      <w:tblPr>
        <w:tblBorders/>
      </w:tblPr>
      <w:tcPr>
        <w:tcBorders/>
      </w:tcPr>
    </w:tblStylePr>
    <w:tblStylePr w:type="lastRow">
      <w:rPr>
        <w:b/>
        <w:color w:val="33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6"/>
    <w:basedOn w:val="101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80a" w:themeColor="accent6" w:themeTint="98" w:themeShade="95"/>
      </w:rPr>
      <w:pPr>
        <w:pBdr/>
        <w:spacing/>
        <w:ind/>
      </w:pPr>
      <w:tblPr>
        <w:tblBorders/>
      </w:tblPr>
      <w:tcPr>
        <w:tcBorders/>
      </w:tcPr>
    </w:tblStylePr>
    <w:tblStylePr w:type="firstRow">
      <w:rPr>
        <w:b/>
        <w:color w:val="dd68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80a" w:themeColor="accent6" w:themeTint="98" w:themeShade="95"/>
      </w:rPr>
      <w:pPr>
        <w:pBdr/>
        <w:spacing/>
        <w:ind/>
      </w:pPr>
      <w:tblPr>
        <w:tblBorders/>
      </w:tblPr>
      <w:tcPr>
        <w:tcBorders/>
      </w:tcPr>
    </w:tblStylePr>
    <w:tblStylePr w:type="lastRow">
      <w:rPr>
        <w:b/>
        <w:color w:val="dd68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7 Colorful"/>
    <w:basedOn w:val="101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1">
    <w:name w:val="List Table 7 Colorful - Accent 1"/>
    <w:basedOn w:val="101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2">
    <w:name w:val="List Table 7 Colorful - Accent 2"/>
    <w:basedOn w:val="101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a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a38" w:themeColor="accent2" w:themeTint="97" w:themeShade="95"/>
        <w:sz w:val="22"/>
      </w:rPr>
      <w:pPr>
        <w:pBdr/>
        <w:spacing/>
        <w:ind/>
      </w:pPr>
      <w:tblPr>
        <w:tblBorders/>
      </w:tblPr>
      <w:tcPr>
        <w:tcBorders/>
      </w:tcPr>
    </w:tblStylePr>
  </w:style>
  <w:style w:type="table" w:styleId="943">
    <w:name w:val="List Table 7 Colorful - Accent 3"/>
    <w:basedOn w:val="101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9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9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9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9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93f" w:themeColor="accent3" w:themeTint="98" w:themeShade="95"/>
        <w:sz w:val="22"/>
      </w:rPr>
      <w:pPr>
        <w:pBdr/>
        <w:spacing/>
        <w:ind/>
      </w:pPr>
      <w:tblPr>
        <w:tblBorders/>
      </w:tblPr>
      <w:tcPr>
        <w:tcBorders/>
      </w:tcPr>
    </w:tblStylePr>
  </w:style>
  <w:style w:type="table" w:styleId="944">
    <w:name w:val="List Table 7 Colorful - Accent 4"/>
    <w:basedOn w:val="101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64f84" w:themeColor="accent4" w:themeTint="9A" w:themeShade="95"/>
        <w:sz w:val="22"/>
      </w:rPr>
      <w:pPr>
        <w:pBdr/>
        <w:spacing/>
        <w:ind/>
      </w:pPr>
      <w:tblPr>
        <w:tblBorders/>
      </w:tblPr>
      <w:tcPr>
        <w:tcBorders/>
      </w:tcPr>
    </w:tblStylePr>
  </w:style>
  <w:style w:type="table" w:styleId="945">
    <w:name w:val="List Table 7 Colorful - Accent 5"/>
    <w:basedOn w:val="101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3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8ba3" w:themeColor="accent5" w:themeTint="9A" w:themeShade="95"/>
        <w:sz w:val="22"/>
      </w:rPr>
      <w:pPr>
        <w:pBdr/>
        <w:spacing/>
        <w:ind/>
      </w:pPr>
      <w:tblPr>
        <w:tblBorders/>
      </w:tblPr>
      <w:tcPr>
        <w:tcBorders/>
      </w:tcPr>
    </w:tblStylePr>
  </w:style>
  <w:style w:type="table" w:styleId="946">
    <w:name w:val="List Table 7 Colorful - Accent 6"/>
    <w:basedOn w:val="101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8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8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8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8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80a" w:themeColor="accent6" w:themeTint="98" w:themeShade="95"/>
        <w:sz w:val="22"/>
      </w:rPr>
      <w:pPr>
        <w:pBdr/>
        <w:spacing/>
        <w:ind/>
      </w:pPr>
      <w:tblPr>
        <w:tblBorders/>
      </w:tblPr>
      <w:tcPr>
        <w:tcBorders/>
      </w:tcPr>
    </w:tblStylePr>
  </w:style>
  <w:style w:type="table" w:styleId="947">
    <w:name w:val="Lined - Accent"/>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1"/>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2"/>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3"/>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4"/>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5"/>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6"/>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w:basedOn w:val="101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1"/>
    <w:basedOn w:val="101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2"/>
    <w:basedOn w:val="101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3"/>
    <w:basedOn w:val="101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4"/>
    <w:basedOn w:val="101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5"/>
    <w:basedOn w:val="101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6"/>
    <w:basedOn w:val="101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w:basedOn w:val="101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8">
    <w:name w:val="Heading 5"/>
    <w:basedOn w:val="1009"/>
    <w:next w:val="1009"/>
    <w:link w:val="97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9">
    <w:name w:val="Heading 6"/>
    <w:basedOn w:val="1009"/>
    <w:next w:val="1009"/>
    <w:link w:val="97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0">
    <w:name w:val="Heading 7"/>
    <w:basedOn w:val="1009"/>
    <w:next w:val="1009"/>
    <w:link w:val="97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1">
    <w:name w:val="Heading 8"/>
    <w:basedOn w:val="1009"/>
    <w:next w:val="1009"/>
    <w:link w:val="97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2">
    <w:name w:val="Heading 9"/>
    <w:basedOn w:val="1009"/>
    <w:next w:val="1009"/>
    <w:link w:val="97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3">
    <w:name w:val="Heading 5 Char"/>
    <w:basedOn w:val="1014"/>
    <w:link w:val="968"/>
    <w:uiPriority w:val="9"/>
    <w:pPr>
      <w:pBdr/>
      <w:spacing/>
      <w:ind/>
    </w:pPr>
    <w:rPr>
      <w:rFonts w:ascii="Arial" w:hAnsi="Arial" w:eastAsia="Arial" w:cs="Arial"/>
      <w:color w:val="0f4761" w:themeColor="accent1" w:themeShade="BF"/>
    </w:rPr>
  </w:style>
  <w:style w:type="character" w:styleId="974">
    <w:name w:val="Heading 6 Char"/>
    <w:basedOn w:val="1014"/>
    <w:link w:val="969"/>
    <w:uiPriority w:val="9"/>
    <w:pPr>
      <w:pBdr/>
      <w:spacing/>
      <w:ind/>
    </w:pPr>
    <w:rPr>
      <w:rFonts w:ascii="Arial" w:hAnsi="Arial" w:eastAsia="Arial" w:cs="Arial"/>
      <w:i/>
      <w:iCs/>
      <w:color w:val="595959" w:themeColor="text1" w:themeTint="A6"/>
    </w:rPr>
  </w:style>
  <w:style w:type="character" w:styleId="975">
    <w:name w:val="Heading 7 Char"/>
    <w:basedOn w:val="1014"/>
    <w:link w:val="970"/>
    <w:uiPriority w:val="9"/>
    <w:pPr>
      <w:pBdr/>
      <w:spacing/>
      <w:ind/>
    </w:pPr>
    <w:rPr>
      <w:rFonts w:ascii="Arial" w:hAnsi="Arial" w:eastAsia="Arial" w:cs="Arial"/>
      <w:color w:val="595959" w:themeColor="text1" w:themeTint="A6"/>
    </w:rPr>
  </w:style>
  <w:style w:type="character" w:styleId="976">
    <w:name w:val="Heading 8 Char"/>
    <w:basedOn w:val="1014"/>
    <w:link w:val="971"/>
    <w:uiPriority w:val="9"/>
    <w:pPr>
      <w:pBdr/>
      <w:spacing/>
      <w:ind/>
    </w:pPr>
    <w:rPr>
      <w:rFonts w:ascii="Arial" w:hAnsi="Arial" w:eastAsia="Arial" w:cs="Arial"/>
      <w:i/>
      <w:iCs/>
      <w:color w:val="272727" w:themeColor="text1" w:themeTint="D8"/>
    </w:rPr>
  </w:style>
  <w:style w:type="character" w:styleId="977">
    <w:name w:val="Heading 9 Char"/>
    <w:basedOn w:val="1014"/>
    <w:link w:val="972"/>
    <w:uiPriority w:val="9"/>
    <w:pPr>
      <w:pBdr/>
      <w:spacing/>
      <w:ind/>
    </w:pPr>
    <w:rPr>
      <w:rFonts w:ascii="Arial" w:hAnsi="Arial" w:eastAsia="Arial" w:cs="Arial"/>
      <w:i/>
      <w:iCs/>
      <w:color w:val="272727" w:themeColor="text1" w:themeTint="D8"/>
    </w:rPr>
  </w:style>
  <w:style w:type="paragraph" w:styleId="978">
    <w:name w:val="Subtitle"/>
    <w:basedOn w:val="1009"/>
    <w:next w:val="1009"/>
    <w:link w:val="979"/>
    <w:uiPriority w:val="11"/>
    <w:qFormat/>
    <w:pPr>
      <w:numPr>
        <w:ilvl w:val="1"/>
      </w:numPr>
      <w:pBdr/>
      <w:spacing/>
      <w:ind/>
    </w:pPr>
    <w:rPr>
      <w:color w:val="595959" w:themeColor="text1" w:themeTint="A6"/>
      <w:spacing w:val="15"/>
      <w:sz w:val="28"/>
      <w:szCs w:val="28"/>
    </w:rPr>
  </w:style>
  <w:style w:type="character" w:styleId="979">
    <w:name w:val="Subtitle Char"/>
    <w:basedOn w:val="1014"/>
    <w:link w:val="978"/>
    <w:uiPriority w:val="11"/>
    <w:pPr>
      <w:pBdr/>
      <w:spacing/>
      <w:ind/>
    </w:pPr>
    <w:rPr>
      <w:color w:val="595959" w:themeColor="text1" w:themeTint="A6"/>
      <w:spacing w:val="15"/>
      <w:sz w:val="28"/>
      <w:szCs w:val="28"/>
    </w:rPr>
  </w:style>
  <w:style w:type="paragraph" w:styleId="980">
    <w:name w:val="Quote"/>
    <w:basedOn w:val="1009"/>
    <w:next w:val="1009"/>
    <w:link w:val="981"/>
    <w:uiPriority w:val="29"/>
    <w:qFormat/>
    <w:pPr>
      <w:pBdr/>
      <w:spacing w:before="160"/>
      <w:ind/>
      <w:jc w:val="center"/>
    </w:pPr>
    <w:rPr>
      <w:i/>
      <w:iCs/>
      <w:color w:val="404040" w:themeColor="text1" w:themeTint="BF"/>
    </w:rPr>
  </w:style>
  <w:style w:type="character" w:styleId="981">
    <w:name w:val="Quote Char"/>
    <w:basedOn w:val="1014"/>
    <w:link w:val="980"/>
    <w:uiPriority w:val="29"/>
    <w:pPr>
      <w:pBdr/>
      <w:spacing/>
      <w:ind/>
    </w:pPr>
    <w:rPr>
      <w:i/>
      <w:iCs/>
      <w:color w:val="404040" w:themeColor="text1" w:themeTint="BF"/>
    </w:rPr>
  </w:style>
  <w:style w:type="character" w:styleId="982">
    <w:name w:val="Intense Emphasis"/>
    <w:basedOn w:val="1014"/>
    <w:uiPriority w:val="21"/>
    <w:qFormat/>
    <w:pPr>
      <w:pBdr/>
      <w:spacing/>
      <w:ind/>
    </w:pPr>
    <w:rPr>
      <w:i/>
      <w:iCs/>
      <w:color w:val="0f4761" w:themeColor="accent1" w:themeShade="BF"/>
    </w:rPr>
  </w:style>
  <w:style w:type="paragraph" w:styleId="983">
    <w:name w:val="Intense Quote"/>
    <w:basedOn w:val="1009"/>
    <w:next w:val="1009"/>
    <w:link w:val="98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4">
    <w:name w:val="Intense Quote Char"/>
    <w:basedOn w:val="1014"/>
    <w:link w:val="983"/>
    <w:uiPriority w:val="30"/>
    <w:pPr>
      <w:pBdr/>
      <w:spacing/>
      <w:ind/>
    </w:pPr>
    <w:rPr>
      <w:i/>
      <w:iCs/>
      <w:color w:val="0f4761" w:themeColor="accent1" w:themeShade="BF"/>
    </w:rPr>
  </w:style>
  <w:style w:type="character" w:styleId="985">
    <w:name w:val="Intense Reference"/>
    <w:basedOn w:val="1014"/>
    <w:uiPriority w:val="32"/>
    <w:qFormat/>
    <w:pPr>
      <w:pBdr/>
      <w:spacing/>
      <w:ind/>
    </w:pPr>
    <w:rPr>
      <w:b/>
      <w:bCs/>
      <w:smallCaps/>
      <w:color w:val="0f4761" w:themeColor="accent1" w:themeShade="BF"/>
      <w:spacing w:val="5"/>
    </w:rPr>
  </w:style>
  <w:style w:type="paragraph" w:styleId="986">
    <w:name w:val="No Spacing"/>
    <w:basedOn w:val="1009"/>
    <w:uiPriority w:val="1"/>
    <w:qFormat/>
    <w:pPr>
      <w:pBdr/>
      <w:spacing w:after="0" w:line="240" w:lineRule="auto"/>
      <w:ind/>
    </w:pPr>
  </w:style>
  <w:style w:type="character" w:styleId="987">
    <w:name w:val="Subtle Emphasis"/>
    <w:basedOn w:val="1014"/>
    <w:uiPriority w:val="19"/>
    <w:qFormat/>
    <w:pPr>
      <w:pBdr/>
      <w:spacing/>
      <w:ind/>
    </w:pPr>
    <w:rPr>
      <w:i/>
      <w:iCs/>
      <w:color w:val="404040" w:themeColor="text1" w:themeTint="BF"/>
    </w:rPr>
  </w:style>
  <w:style w:type="character" w:styleId="988">
    <w:name w:val="Subtle Reference"/>
    <w:basedOn w:val="1014"/>
    <w:uiPriority w:val="31"/>
    <w:qFormat/>
    <w:pPr>
      <w:pBdr/>
      <w:spacing/>
      <w:ind/>
    </w:pPr>
    <w:rPr>
      <w:smallCaps/>
      <w:color w:val="5a5a5a" w:themeColor="text1" w:themeTint="A5"/>
    </w:rPr>
  </w:style>
  <w:style w:type="character" w:styleId="989">
    <w:name w:val="Book Title"/>
    <w:basedOn w:val="1014"/>
    <w:uiPriority w:val="33"/>
    <w:qFormat/>
    <w:pPr>
      <w:pBdr/>
      <w:spacing/>
      <w:ind/>
    </w:pPr>
    <w:rPr>
      <w:b/>
      <w:bCs/>
      <w:i/>
      <w:iCs/>
      <w:spacing w:val="5"/>
    </w:rPr>
  </w:style>
  <w:style w:type="paragraph" w:styleId="990">
    <w:name w:val="Caption"/>
    <w:basedOn w:val="1009"/>
    <w:next w:val="1009"/>
    <w:uiPriority w:val="35"/>
    <w:unhideWhenUsed/>
    <w:qFormat/>
    <w:pPr>
      <w:pBdr/>
      <w:spacing w:after="200" w:line="240" w:lineRule="auto"/>
      <w:ind/>
    </w:pPr>
    <w:rPr>
      <w:i/>
      <w:iCs/>
      <w:color w:val="0e2841" w:themeColor="text2"/>
      <w:sz w:val="18"/>
      <w:szCs w:val="18"/>
    </w:rPr>
  </w:style>
  <w:style w:type="paragraph" w:styleId="991">
    <w:name w:val="footnote text"/>
    <w:basedOn w:val="1009"/>
    <w:link w:val="992"/>
    <w:uiPriority w:val="99"/>
    <w:semiHidden/>
    <w:unhideWhenUsed/>
    <w:pPr>
      <w:pBdr/>
      <w:spacing w:after="0" w:line="240" w:lineRule="auto"/>
      <w:ind/>
    </w:pPr>
    <w:rPr>
      <w:sz w:val="20"/>
      <w:szCs w:val="20"/>
    </w:rPr>
  </w:style>
  <w:style w:type="character" w:styleId="992">
    <w:name w:val="Footnote Text Char"/>
    <w:basedOn w:val="1014"/>
    <w:link w:val="991"/>
    <w:uiPriority w:val="99"/>
    <w:semiHidden/>
    <w:pPr>
      <w:pBdr/>
      <w:spacing/>
      <w:ind/>
    </w:pPr>
    <w:rPr>
      <w:sz w:val="20"/>
      <w:szCs w:val="20"/>
    </w:rPr>
  </w:style>
  <w:style w:type="character" w:styleId="993">
    <w:name w:val="footnote reference"/>
    <w:basedOn w:val="1014"/>
    <w:uiPriority w:val="99"/>
    <w:semiHidden/>
    <w:unhideWhenUsed/>
    <w:pPr>
      <w:pBdr/>
      <w:spacing/>
      <w:ind/>
    </w:pPr>
    <w:rPr>
      <w:vertAlign w:val="superscript"/>
    </w:rPr>
  </w:style>
  <w:style w:type="paragraph" w:styleId="994">
    <w:name w:val="endnote text"/>
    <w:basedOn w:val="1009"/>
    <w:link w:val="995"/>
    <w:uiPriority w:val="99"/>
    <w:semiHidden/>
    <w:unhideWhenUsed/>
    <w:pPr>
      <w:pBdr/>
      <w:spacing w:after="0" w:line="240" w:lineRule="auto"/>
      <w:ind/>
    </w:pPr>
    <w:rPr>
      <w:sz w:val="20"/>
      <w:szCs w:val="20"/>
    </w:rPr>
  </w:style>
  <w:style w:type="character" w:styleId="995">
    <w:name w:val="Endnote Text Char"/>
    <w:basedOn w:val="1014"/>
    <w:link w:val="994"/>
    <w:uiPriority w:val="99"/>
    <w:semiHidden/>
    <w:pPr>
      <w:pBdr/>
      <w:spacing/>
      <w:ind/>
    </w:pPr>
    <w:rPr>
      <w:sz w:val="20"/>
      <w:szCs w:val="20"/>
    </w:rPr>
  </w:style>
  <w:style w:type="character" w:styleId="996">
    <w:name w:val="endnote reference"/>
    <w:basedOn w:val="1014"/>
    <w:uiPriority w:val="99"/>
    <w:semiHidden/>
    <w:unhideWhenUsed/>
    <w:pPr>
      <w:pBdr/>
      <w:spacing/>
      <w:ind/>
    </w:pPr>
    <w:rPr>
      <w:vertAlign w:val="superscript"/>
    </w:rPr>
  </w:style>
  <w:style w:type="paragraph" w:styleId="997">
    <w:name w:val="toc 1"/>
    <w:basedOn w:val="1009"/>
    <w:next w:val="1009"/>
    <w:uiPriority w:val="39"/>
    <w:unhideWhenUsed/>
    <w:pPr>
      <w:pBdr/>
      <w:spacing w:after="100"/>
      <w:ind/>
    </w:pPr>
  </w:style>
  <w:style w:type="paragraph" w:styleId="998">
    <w:name w:val="toc 2"/>
    <w:basedOn w:val="1009"/>
    <w:next w:val="1009"/>
    <w:uiPriority w:val="39"/>
    <w:unhideWhenUsed/>
    <w:pPr>
      <w:pBdr/>
      <w:spacing w:after="100"/>
      <w:ind w:left="220"/>
    </w:pPr>
  </w:style>
  <w:style w:type="paragraph" w:styleId="999">
    <w:name w:val="toc 3"/>
    <w:basedOn w:val="1009"/>
    <w:next w:val="1009"/>
    <w:uiPriority w:val="39"/>
    <w:unhideWhenUsed/>
    <w:pPr>
      <w:pBdr/>
      <w:spacing w:after="100"/>
      <w:ind w:left="440"/>
    </w:pPr>
  </w:style>
  <w:style w:type="paragraph" w:styleId="1000">
    <w:name w:val="toc 4"/>
    <w:basedOn w:val="1009"/>
    <w:next w:val="1009"/>
    <w:uiPriority w:val="39"/>
    <w:unhideWhenUsed/>
    <w:pPr>
      <w:pBdr/>
      <w:spacing w:after="100"/>
      <w:ind w:left="660"/>
    </w:pPr>
  </w:style>
  <w:style w:type="paragraph" w:styleId="1001">
    <w:name w:val="toc 5"/>
    <w:basedOn w:val="1009"/>
    <w:next w:val="1009"/>
    <w:uiPriority w:val="39"/>
    <w:unhideWhenUsed/>
    <w:pPr>
      <w:pBdr/>
      <w:spacing w:after="100"/>
      <w:ind w:left="880"/>
    </w:pPr>
  </w:style>
  <w:style w:type="paragraph" w:styleId="1002">
    <w:name w:val="toc 6"/>
    <w:basedOn w:val="1009"/>
    <w:next w:val="1009"/>
    <w:uiPriority w:val="39"/>
    <w:unhideWhenUsed/>
    <w:pPr>
      <w:pBdr/>
      <w:spacing w:after="100"/>
      <w:ind w:left="1100"/>
    </w:pPr>
  </w:style>
  <w:style w:type="paragraph" w:styleId="1003">
    <w:name w:val="toc 7"/>
    <w:basedOn w:val="1009"/>
    <w:next w:val="1009"/>
    <w:uiPriority w:val="39"/>
    <w:unhideWhenUsed/>
    <w:pPr>
      <w:pBdr/>
      <w:spacing w:after="100"/>
      <w:ind w:left="1320"/>
    </w:pPr>
  </w:style>
  <w:style w:type="paragraph" w:styleId="1004">
    <w:name w:val="toc 8"/>
    <w:basedOn w:val="1009"/>
    <w:next w:val="1009"/>
    <w:uiPriority w:val="39"/>
    <w:unhideWhenUsed/>
    <w:pPr>
      <w:pBdr/>
      <w:spacing w:after="100"/>
      <w:ind w:left="1540"/>
    </w:pPr>
  </w:style>
  <w:style w:type="paragraph" w:styleId="1005">
    <w:name w:val="toc 9"/>
    <w:basedOn w:val="1009"/>
    <w:next w:val="1009"/>
    <w:uiPriority w:val="39"/>
    <w:unhideWhenUsed/>
    <w:pPr>
      <w:pBdr/>
      <w:spacing w:after="100"/>
      <w:ind w:left="1760"/>
    </w:pPr>
  </w:style>
  <w:style w:type="character" w:styleId="1006">
    <w:name w:val="Placeholder Text"/>
    <w:basedOn w:val="1014"/>
    <w:uiPriority w:val="99"/>
    <w:semiHidden/>
    <w:pPr>
      <w:pBdr/>
      <w:spacing/>
      <w:ind/>
    </w:pPr>
    <w:rPr>
      <w:color w:val="666666"/>
    </w:rPr>
  </w:style>
  <w:style w:type="paragraph" w:styleId="1007">
    <w:name w:val="TOC Heading"/>
    <w:uiPriority w:val="39"/>
    <w:unhideWhenUsed/>
    <w:pPr>
      <w:pBdr/>
      <w:spacing/>
      <w:ind/>
    </w:pPr>
  </w:style>
  <w:style w:type="paragraph" w:styleId="1008">
    <w:name w:val="table of figures"/>
    <w:basedOn w:val="1009"/>
    <w:next w:val="1009"/>
    <w:uiPriority w:val="99"/>
    <w:unhideWhenUsed/>
    <w:pPr>
      <w:pBdr/>
      <w:spacing w:after="0" w:afterAutospacing="0"/>
      <w:ind/>
    </w:pPr>
  </w:style>
  <w:style w:type="paragraph" w:styleId="1009" w:default="1">
    <w:name w:val="Normal"/>
    <w:qFormat/>
    <w:pPr>
      <w:pBdr/>
      <w:spacing w:after="0" w:line="240" w:lineRule="auto"/>
      <w:ind/>
    </w:pPr>
    <w:rPr>
      <w:rFonts w:ascii="Times New Roman" w:hAnsi="Times New Roman" w:eastAsia="Times New Roman" w:cs="Times New Roman"/>
      <w:sz w:val="24"/>
      <w:szCs w:val="24"/>
    </w:rPr>
  </w:style>
  <w:style w:type="paragraph" w:styleId="1010">
    <w:name w:val="Heading 1"/>
    <w:basedOn w:val="1009"/>
    <w:next w:val="1009"/>
    <w:link w:val="1017"/>
    <w:qFormat/>
    <w:pPr>
      <w:keepNext w:val="true"/>
      <w:pBdr/>
      <w:spacing w:after="120" w:before="120"/>
      <w:ind/>
      <w:jc w:val="center"/>
      <w:outlineLvl w:val="0"/>
    </w:pPr>
    <w:rPr>
      <w:b/>
      <w:bCs/>
      <w:sz w:val="27"/>
      <w:szCs w:val="27"/>
    </w:rPr>
  </w:style>
  <w:style w:type="paragraph" w:styleId="1011">
    <w:name w:val="Heading 2"/>
    <w:basedOn w:val="1009"/>
    <w:next w:val="1009"/>
    <w:link w:val="1018"/>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2">
    <w:name w:val="Heading 3"/>
    <w:basedOn w:val="1009"/>
    <w:next w:val="1009"/>
    <w:link w:val="1019"/>
    <w:qFormat/>
    <w:pPr>
      <w:keepNext w:val="true"/>
      <w:pBdr/>
      <w:spacing w:before="60"/>
      <w:ind/>
      <w:outlineLvl w:val="2"/>
    </w:pPr>
    <w:rPr>
      <w:sz w:val="28"/>
      <w:szCs w:val="28"/>
    </w:rPr>
  </w:style>
  <w:style w:type="paragraph" w:styleId="1013">
    <w:name w:val="Heading 4"/>
    <w:basedOn w:val="1009"/>
    <w:next w:val="1009"/>
    <w:link w:val="1020"/>
    <w:qFormat/>
    <w:pPr>
      <w:keepNext w:val="true"/>
      <w:pBdr/>
      <w:spacing/>
      <w:ind/>
      <w:jc w:val="center"/>
      <w:outlineLvl w:val="3"/>
    </w:pPr>
    <w:rPr>
      <w:b/>
      <w:bCs/>
    </w:rPr>
  </w:style>
  <w:style w:type="character" w:styleId="1014" w:default="1">
    <w:name w:val="Default Paragraph Font"/>
    <w:uiPriority w:val="1"/>
    <w:semiHidden/>
    <w:unhideWhenUsed/>
    <w:pPr>
      <w:pBdr/>
      <w:spacing/>
      <w:ind/>
    </w:pPr>
  </w:style>
  <w:style w:type="table" w:styleId="101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6" w:default="1">
    <w:name w:val="No List"/>
    <w:uiPriority w:val="99"/>
    <w:semiHidden/>
    <w:unhideWhenUsed/>
    <w:pPr>
      <w:pBdr/>
      <w:spacing/>
      <w:ind/>
    </w:pPr>
  </w:style>
  <w:style w:type="character" w:styleId="1017" w:customStyle="1">
    <w:name w:val="Heading 1 Char"/>
    <w:basedOn w:val="1014"/>
    <w:link w:val="1010"/>
    <w:pPr>
      <w:pBdr/>
      <w:spacing/>
      <w:ind/>
    </w:pPr>
    <w:rPr>
      <w:rFonts w:ascii="Times New Roman" w:hAnsi="Times New Roman" w:eastAsia="Times New Roman" w:cs="Times New Roman"/>
      <w:b/>
      <w:bCs/>
      <w:sz w:val="27"/>
      <w:szCs w:val="27"/>
    </w:rPr>
  </w:style>
  <w:style w:type="character" w:styleId="1018" w:customStyle="1">
    <w:name w:val="Heading 2 Char"/>
    <w:basedOn w:val="1014"/>
    <w:link w:val="1011"/>
    <w:uiPriority w:val="9"/>
    <w:pPr>
      <w:pBdr/>
      <w:spacing/>
      <w:ind/>
    </w:pPr>
    <w:rPr>
      <w:rFonts w:asciiTheme="majorHAnsi" w:hAnsiTheme="majorHAnsi" w:eastAsiaTheme="majorEastAsia" w:cstheme="majorBidi"/>
      <w:color w:val="365f91" w:themeColor="accent1" w:themeShade="BF"/>
      <w:sz w:val="26"/>
      <w:szCs w:val="26"/>
    </w:rPr>
  </w:style>
  <w:style w:type="character" w:styleId="1019" w:customStyle="1">
    <w:name w:val="Heading 3 Char"/>
    <w:basedOn w:val="1014"/>
    <w:link w:val="1012"/>
    <w:pPr>
      <w:pBdr/>
      <w:spacing/>
      <w:ind/>
    </w:pPr>
    <w:rPr>
      <w:rFonts w:ascii="Times New Roman" w:hAnsi="Times New Roman" w:eastAsia="Times New Roman" w:cs="Times New Roman"/>
      <w:sz w:val="28"/>
      <w:szCs w:val="28"/>
    </w:rPr>
  </w:style>
  <w:style w:type="character" w:styleId="1020" w:customStyle="1">
    <w:name w:val="Heading 4 Char"/>
    <w:basedOn w:val="1014"/>
    <w:link w:val="1013"/>
    <w:pPr>
      <w:pBdr/>
      <w:spacing/>
      <w:ind/>
    </w:pPr>
    <w:rPr>
      <w:rFonts w:ascii="Times New Roman" w:hAnsi="Times New Roman" w:eastAsia="Times New Roman" w:cs="Times New Roman"/>
      <w:b/>
      <w:bCs/>
      <w:sz w:val="24"/>
      <w:szCs w:val="24"/>
    </w:rPr>
  </w:style>
  <w:style w:type="character" w:styleId="1021">
    <w:name w:val="Hyperlink"/>
    <w:uiPriority w:val="99"/>
    <w:pPr>
      <w:pBdr/>
      <w:spacing/>
      <w:ind/>
    </w:pPr>
    <w:rPr>
      <w:color w:val="000000"/>
      <w:u w:val="single"/>
    </w:rPr>
  </w:style>
  <w:style w:type="character" w:styleId="1022">
    <w:name w:val="Strong"/>
    <w:uiPriority w:val="22"/>
    <w:qFormat/>
    <w:pPr>
      <w:pBdr/>
      <w:spacing/>
      <w:ind/>
    </w:pPr>
    <w:rPr>
      <w:b/>
      <w:bCs/>
    </w:rPr>
  </w:style>
  <w:style w:type="paragraph" w:styleId="1023">
    <w:name w:val="Balloon Text"/>
    <w:basedOn w:val="1009"/>
    <w:link w:val="1024"/>
    <w:uiPriority w:val="99"/>
    <w:semiHidden/>
    <w:unhideWhenUsed/>
    <w:pPr>
      <w:pBdr/>
      <w:spacing/>
      <w:ind/>
    </w:pPr>
    <w:rPr>
      <w:rFonts w:ascii="Tahoma" w:hAnsi="Tahoma" w:cs="Tahoma"/>
      <w:sz w:val="16"/>
      <w:szCs w:val="16"/>
    </w:rPr>
  </w:style>
  <w:style w:type="character" w:styleId="1024" w:customStyle="1">
    <w:name w:val="Balloon Text Char"/>
    <w:basedOn w:val="1014"/>
    <w:link w:val="1023"/>
    <w:uiPriority w:val="99"/>
    <w:semiHidden/>
    <w:pPr>
      <w:pBdr/>
      <w:spacing/>
      <w:ind/>
    </w:pPr>
    <w:rPr>
      <w:rFonts w:ascii="Tahoma" w:hAnsi="Tahoma" w:eastAsia="Times New Roman" w:cs="Tahoma"/>
      <w:sz w:val="16"/>
      <w:szCs w:val="16"/>
    </w:rPr>
  </w:style>
  <w:style w:type="paragraph" w:styleId="1025">
    <w:name w:val="Header"/>
    <w:basedOn w:val="1009"/>
    <w:link w:val="1026"/>
    <w:unhideWhenUsed/>
    <w:pPr>
      <w:pBdr/>
      <w:tabs>
        <w:tab w:val="center" w:leader="none" w:pos="4680"/>
        <w:tab w:val="right" w:leader="none" w:pos="9360"/>
      </w:tabs>
      <w:spacing/>
      <w:ind/>
    </w:pPr>
  </w:style>
  <w:style w:type="character" w:styleId="1026" w:customStyle="1">
    <w:name w:val="Header Char"/>
    <w:basedOn w:val="1014"/>
    <w:link w:val="1025"/>
    <w:pPr>
      <w:pBdr/>
      <w:spacing/>
      <w:ind/>
    </w:pPr>
    <w:rPr>
      <w:rFonts w:ascii="Times New Roman" w:hAnsi="Times New Roman" w:eastAsia="Times New Roman" w:cs="Times New Roman"/>
      <w:sz w:val="24"/>
      <w:szCs w:val="24"/>
    </w:rPr>
  </w:style>
  <w:style w:type="paragraph" w:styleId="1027">
    <w:name w:val="Footer"/>
    <w:basedOn w:val="1009"/>
    <w:link w:val="1028"/>
    <w:uiPriority w:val="99"/>
    <w:unhideWhenUsed/>
    <w:pPr>
      <w:pBdr/>
      <w:tabs>
        <w:tab w:val="center" w:leader="none" w:pos="4680"/>
        <w:tab w:val="right" w:leader="none" w:pos="9360"/>
      </w:tabs>
      <w:spacing/>
      <w:ind/>
    </w:pPr>
  </w:style>
  <w:style w:type="character" w:styleId="1028" w:customStyle="1">
    <w:name w:val="Footer Char"/>
    <w:basedOn w:val="1014"/>
    <w:link w:val="1027"/>
    <w:uiPriority w:val="99"/>
    <w:pPr>
      <w:pBdr/>
      <w:spacing/>
      <w:ind/>
    </w:pPr>
    <w:rPr>
      <w:rFonts w:ascii="Times New Roman" w:hAnsi="Times New Roman" w:eastAsia="Times New Roman" w:cs="Times New Roman"/>
      <w:sz w:val="24"/>
      <w:szCs w:val="24"/>
    </w:rPr>
  </w:style>
  <w:style w:type="character" w:styleId="1029" w:customStyle="1">
    <w:name w:val="normal-h1"/>
    <w:pPr>
      <w:pBdr/>
      <w:spacing/>
      <w:ind/>
    </w:pPr>
    <w:rPr>
      <w:rFonts w:hint="default" w:ascii=".VnTime" w:hAnsi=".VnTime"/>
      <w:color w:val="0000ff"/>
      <w:sz w:val="24"/>
      <w:szCs w:val="24"/>
    </w:rPr>
  </w:style>
  <w:style w:type="paragraph" w:styleId="1030" w:customStyle="1">
    <w:name w:val="normal-p"/>
    <w:basedOn w:val="1009"/>
    <w:pPr>
      <w:pBdr/>
      <w:spacing/>
      <w:ind/>
      <w:jc w:val="both"/>
    </w:pPr>
    <w:rPr>
      <w:sz w:val="20"/>
      <w:szCs w:val="20"/>
    </w:rPr>
  </w:style>
  <w:style w:type="paragraph" w:styleId="1031">
    <w:name w:val="List Paragraph"/>
    <w:basedOn w:val="1009"/>
    <w:link w:val="1118"/>
    <w:uiPriority w:val="34"/>
    <w:qFormat/>
    <w:pPr>
      <w:pBdr/>
      <w:spacing/>
      <w:ind w:left="720"/>
    </w:pPr>
  </w:style>
  <w:style w:type="paragraph" w:styleId="1032">
    <w:name w:val="Normal (Web)"/>
    <w:basedOn w:val="1009"/>
    <w:uiPriority w:val="99"/>
    <w:pPr>
      <w:pBdr/>
      <w:spacing w:after="100" w:afterAutospacing="1" w:before="100" w:beforeAutospacing="1"/>
      <w:ind/>
    </w:pPr>
  </w:style>
  <w:style w:type="paragraph" w:styleId="1033">
    <w:name w:val="Body Text"/>
    <w:basedOn w:val="1009"/>
    <w:link w:val="1034"/>
    <w:pPr>
      <w:pBdr/>
      <w:spacing w:after="120"/>
      <w:ind/>
      <w:jc w:val="both"/>
    </w:pPr>
  </w:style>
  <w:style w:type="character" w:styleId="1034" w:customStyle="1">
    <w:name w:val="Body Text Char"/>
    <w:basedOn w:val="1014"/>
    <w:link w:val="1033"/>
    <w:pPr>
      <w:pBdr/>
      <w:spacing/>
      <w:ind/>
    </w:pPr>
    <w:rPr>
      <w:rFonts w:ascii="Times New Roman" w:hAnsi="Times New Roman" w:eastAsia="Times New Roman" w:cs="Times New Roman"/>
      <w:sz w:val="24"/>
      <w:szCs w:val="24"/>
    </w:rPr>
  </w:style>
  <w:style w:type="table" w:styleId="1035">
    <w:name w:val="Table Grid"/>
    <w:basedOn w:val="1015"/>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6"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7">
    <w:name w:val="annotation reference"/>
    <w:basedOn w:val="1014"/>
    <w:uiPriority w:val="99"/>
    <w:semiHidden/>
    <w:unhideWhenUsed/>
    <w:pPr>
      <w:pBdr/>
      <w:spacing/>
      <w:ind/>
    </w:pPr>
    <w:rPr>
      <w:sz w:val="16"/>
      <w:szCs w:val="16"/>
    </w:rPr>
  </w:style>
  <w:style w:type="paragraph" w:styleId="1038">
    <w:name w:val="annotation text"/>
    <w:basedOn w:val="1009"/>
    <w:link w:val="1039"/>
    <w:uiPriority w:val="99"/>
    <w:unhideWhenUsed/>
    <w:pPr>
      <w:pBdr/>
      <w:spacing/>
      <w:ind/>
    </w:pPr>
    <w:rPr>
      <w:sz w:val="20"/>
      <w:szCs w:val="20"/>
    </w:rPr>
  </w:style>
  <w:style w:type="character" w:styleId="1039" w:customStyle="1">
    <w:name w:val="Comment Text Char"/>
    <w:basedOn w:val="1014"/>
    <w:link w:val="1038"/>
    <w:uiPriority w:val="99"/>
    <w:pPr>
      <w:pBdr/>
      <w:spacing/>
      <w:ind/>
    </w:pPr>
    <w:rPr>
      <w:rFonts w:ascii="Times New Roman" w:hAnsi="Times New Roman" w:eastAsia="Times New Roman" w:cs="Times New Roman"/>
      <w:sz w:val="20"/>
      <w:szCs w:val="20"/>
    </w:rPr>
  </w:style>
  <w:style w:type="paragraph" w:styleId="1040">
    <w:name w:val="annotation subject"/>
    <w:basedOn w:val="1038"/>
    <w:next w:val="1038"/>
    <w:link w:val="1041"/>
    <w:uiPriority w:val="99"/>
    <w:semiHidden/>
    <w:unhideWhenUsed/>
    <w:pPr>
      <w:pBdr/>
      <w:spacing/>
      <w:ind/>
    </w:pPr>
    <w:rPr>
      <w:b/>
      <w:bCs/>
    </w:rPr>
  </w:style>
  <w:style w:type="character" w:styleId="1041" w:customStyle="1">
    <w:name w:val="Comment Subject Char"/>
    <w:basedOn w:val="1039"/>
    <w:link w:val="1040"/>
    <w:uiPriority w:val="99"/>
    <w:semiHidden/>
    <w:pPr>
      <w:pBdr/>
      <w:spacing/>
      <w:ind/>
    </w:pPr>
    <w:rPr>
      <w:rFonts w:ascii="Times New Roman" w:hAnsi="Times New Roman" w:eastAsia="Times New Roman" w:cs="Times New Roman"/>
      <w:b/>
      <w:bCs/>
      <w:sz w:val="20"/>
      <w:szCs w:val="20"/>
    </w:rPr>
  </w:style>
  <w:style w:type="paragraph" w:styleId="1042" w:customStyle="1">
    <w:name w:val="font5"/>
    <w:basedOn w:val="1009"/>
    <w:pPr>
      <w:pBdr/>
      <w:spacing w:after="100" w:afterAutospacing="1" w:before="100" w:beforeAutospacing="1"/>
      <w:ind/>
    </w:pPr>
    <w:rPr>
      <w:rFonts w:ascii="Tahoma" w:hAnsi="Tahoma" w:cs="Tahoma"/>
      <w:color w:val="000000"/>
      <w:sz w:val="18"/>
      <w:szCs w:val="18"/>
    </w:rPr>
  </w:style>
  <w:style w:type="paragraph" w:styleId="1043" w:customStyle="1">
    <w:name w:val="font6"/>
    <w:basedOn w:val="1009"/>
    <w:pPr>
      <w:pBdr/>
      <w:spacing w:after="100" w:afterAutospacing="1" w:before="100" w:beforeAutospacing="1"/>
      <w:ind/>
    </w:pPr>
    <w:rPr>
      <w:rFonts w:ascii="Tahoma" w:hAnsi="Tahoma" w:cs="Tahoma"/>
      <w:b/>
      <w:bCs/>
      <w:color w:val="000000"/>
      <w:sz w:val="18"/>
      <w:szCs w:val="18"/>
    </w:rPr>
  </w:style>
  <w:style w:type="paragraph" w:styleId="1044" w:customStyle="1">
    <w:name w:val="xl23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5" w:customStyle="1">
    <w:name w:val="xl234"/>
    <w:basedOn w:val="1009"/>
    <w:pPr>
      <w:pBdr/>
      <w:spacing w:after="100" w:afterAutospacing="1" w:before="100" w:beforeAutospacing="1"/>
      <w:ind/>
      <w:jc w:val="center"/>
    </w:pPr>
  </w:style>
  <w:style w:type="paragraph" w:styleId="1046" w:customStyle="1">
    <w:name w:val="xl235"/>
    <w:basedOn w:val="1009"/>
    <w:pPr>
      <w:pBdr/>
      <w:spacing w:after="100" w:afterAutospacing="1" w:before="100" w:beforeAutospacing="1"/>
      <w:ind/>
      <w:jc w:val="center"/>
    </w:pPr>
    <w:rPr>
      <w:b/>
      <w:bCs/>
    </w:rPr>
  </w:style>
  <w:style w:type="paragraph" w:styleId="1047" w:customStyle="1">
    <w:name w:val="xl236"/>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8" w:customStyle="1">
    <w:name w:val="xl23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38"/>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0" w:customStyle="1">
    <w:name w:val="xl23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1" w:customStyle="1">
    <w:name w:val="xl240"/>
    <w:basedOn w:val="1009"/>
    <w:pPr>
      <w:pBdr/>
      <w:spacing w:after="100" w:afterAutospacing="1" w:before="100" w:beforeAutospacing="1"/>
      <w:ind/>
    </w:pPr>
  </w:style>
  <w:style w:type="paragraph" w:styleId="1052" w:customStyle="1">
    <w:name w:val="xl241"/>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42"/>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4" w:customStyle="1">
    <w:name w:val="xl243"/>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5" w:customStyle="1">
    <w:name w:val="xl244"/>
    <w:basedOn w:val="1009"/>
    <w:pPr>
      <w:pBdr/>
      <w:spacing w:after="100" w:afterAutospacing="1" w:before="100" w:beforeAutospacing="1"/>
      <w:ind/>
    </w:pPr>
    <w:rPr>
      <w:b/>
      <w:bCs/>
    </w:rPr>
  </w:style>
  <w:style w:type="paragraph" w:styleId="1056" w:customStyle="1">
    <w:name w:val="xl245"/>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4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8" w:customStyle="1">
    <w:name w:val="xl247"/>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9" w:customStyle="1">
    <w:name w:val="xl24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0" w:customStyle="1">
    <w:name w:val="xl24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1" w:customStyle="1">
    <w:name w:val="xl25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2" w:customStyle="1">
    <w:name w:val="xl25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5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3"/>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4"/>
    <w:basedOn w:val="1009"/>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6" w:customStyle="1">
    <w:name w:val="xl255"/>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7" w:customStyle="1">
    <w:name w:val="xl25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5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8"/>
    <w:basedOn w:val="1009"/>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1" w:customStyle="1">
    <w:name w:val="xl260"/>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2" w:customStyle="1">
    <w:name w:val="xl261"/>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3" w:customStyle="1">
    <w:name w:val="xl262"/>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3"/>
    <w:basedOn w:val="1009"/>
    <w:pPr>
      <w:pBdr/>
      <w:shd w:val="clear" w:color="000000" w:fill="ffffff"/>
      <w:spacing w:after="100" w:afterAutospacing="1" w:before="100" w:beforeAutospacing="1"/>
      <w:ind/>
    </w:pPr>
  </w:style>
  <w:style w:type="paragraph" w:styleId="1075" w:customStyle="1">
    <w:name w:val="xl264"/>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6" w:customStyle="1">
    <w:name w:val="xl265"/>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7" w:customStyle="1">
    <w:name w:val="xl26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8" w:customStyle="1">
    <w:name w:val="xl26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68"/>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9"/>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1" w:customStyle="1">
    <w:name w:val="xl27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1"/>
    <w:basedOn w:val="1009"/>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3" w:customStyle="1">
    <w:name w:val="xl27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4" w:customStyle="1">
    <w:name w:val="xl273"/>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5" w:customStyle="1">
    <w:name w:val="xl274"/>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5"/>
    <w:basedOn w:val="1009"/>
    <w:pPr>
      <w:pBdr/>
      <w:spacing w:after="100" w:afterAutospacing="1" w:before="100" w:beforeAutospacing="1"/>
      <w:ind/>
    </w:pPr>
  </w:style>
  <w:style w:type="paragraph" w:styleId="1087" w:customStyle="1">
    <w:name w:val="xl27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8" w:customStyle="1">
    <w:name w:val="xl277"/>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9" w:customStyle="1">
    <w:name w:val="xl27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0" w:customStyle="1">
    <w:name w:val="xl27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8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3" w:customStyle="1">
    <w:name w:val="xl28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8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4"/>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096" w:customStyle="1">
    <w:name w:val="xl285"/>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7" w:customStyle="1">
    <w:name w:val="xl28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8" w:customStyle="1">
    <w:name w:val="xl287"/>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8"/>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89"/>
    <w:basedOn w:val="1009"/>
    <w:pPr>
      <w:pBdr>
        <w:left w:val="single" w:color="000000" w:sz="4" w:space="0"/>
        <w:right w:val="single" w:color="000000" w:sz="4" w:space="0"/>
      </w:pBdr>
      <w:spacing w:after="100" w:afterAutospacing="1" w:before="100" w:beforeAutospacing="1"/>
      <w:ind/>
    </w:pPr>
    <w:rPr>
      <w:b/>
      <w:bCs/>
    </w:rPr>
  </w:style>
  <w:style w:type="paragraph" w:styleId="1101" w:customStyle="1">
    <w:name w:val="xl29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2" w:customStyle="1">
    <w:name w:val="xl291"/>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3" w:customStyle="1">
    <w:name w:val="xl292"/>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93"/>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94"/>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name w:val="Title"/>
    <w:basedOn w:val="1009"/>
    <w:link w:val="1107"/>
    <w:qFormat/>
    <w:pPr>
      <w:pBdr/>
      <w:spacing/>
      <w:ind/>
      <w:jc w:val="center"/>
    </w:pPr>
    <w:rPr>
      <w:b/>
      <w:bCs/>
      <w:sz w:val="32"/>
      <w:szCs w:val="26"/>
    </w:rPr>
  </w:style>
  <w:style w:type="character" w:styleId="1107" w:customStyle="1">
    <w:name w:val="Title Char"/>
    <w:basedOn w:val="1014"/>
    <w:link w:val="1106"/>
    <w:pPr>
      <w:pBdr/>
      <w:spacing/>
      <w:ind/>
    </w:pPr>
    <w:rPr>
      <w:rFonts w:ascii="Times New Roman" w:hAnsi="Times New Roman" w:eastAsia="Times New Roman" w:cs="Times New Roman"/>
      <w:b/>
      <w:bCs/>
      <w:sz w:val="32"/>
      <w:szCs w:val="26"/>
    </w:rPr>
  </w:style>
  <w:style w:type="character" w:styleId="1108" w:customStyle="1">
    <w:name w:val="Unresolved Mention1"/>
    <w:basedOn w:val="1014"/>
    <w:uiPriority w:val="99"/>
    <w:semiHidden/>
    <w:unhideWhenUsed/>
    <w:pPr>
      <w:pBdr/>
      <w:spacing/>
      <w:ind/>
    </w:pPr>
    <w:rPr>
      <w:color w:val="605e5c"/>
      <w:shd w:val="clear" w:color="auto" w:fill="e1dfdd"/>
    </w:rPr>
  </w:style>
  <w:style w:type="character" w:styleId="1109" w:customStyle="1">
    <w:name w:val="Body text (3)_"/>
    <w:link w:val="1110"/>
    <w:pPr>
      <w:pBdr/>
      <w:spacing/>
      <w:ind/>
    </w:pPr>
    <w:rPr>
      <w:rFonts w:ascii="Times New Roman" w:hAnsi="Times New Roman" w:cs="Times New Roman"/>
      <w:i/>
      <w:iCs/>
      <w:spacing w:val="4"/>
      <w:shd w:val="clear" w:color="auto" w:fill="ffffff"/>
    </w:rPr>
  </w:style>
  <w:style w:type="paragraph" w:styleId="1110" w:customStyle="1">
    <w:name w:val="Body text (3)1"/>
    <w:basedOn w:val="1009"/>
    <w:link w:val="1109"/>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1" w:customStyle="1">
    <w:name w:val="t-j"/>
    <w:basedOn w:val="1009"/>
    <w:pPr>
      <w:pBdr/>
      <w:spacing w:after="100" w:afterAutospacing="1" w:before="100" w:beforeAutospacing="1"/>
      <w:ind/>
    </w:pPr>
  </w:style>
  <w:style w:type="character" w:styleId="1112" w:customStyle="1">
    <w:name w:val="Unresolved Mention2"/>
    <w:basedOn w:val="1014"/>
    <w:uiPriority w:val="99"/>
    <w:semiHidden/>
    <w:unhideWhenUsed/>
    <w:pPr>
      <w:pBdr/>
      <w:spacing/>
      <w:ind/>
    </w:pPr>
    <w:rPr>
      <w:color w:val="605e5c"/>
      <w:shd w:val="clear" w:color="auto" w:fill="e1dfdd"/>
    </w:rPr>
  </w:style>
  <w:style w:type="character" w:styleId="1113">
    <w:name w:val="FollowedHyperlink"/>
    <w:basedOn w:val="1014"/>
    <w:uiPriority w:val="99"/>
    <w:semiHidden/>
    <w:unhideWhenUsed/>
    <w:pPr>
      <w:pBdr/>
      <w:spacing/>
      <w:ind/>
    </w:pPr>
    <w:rPr>
      <w:color w:val="800080" w:themeColor="followedHyperlink"/>
      <w:u w:val="single"/>
    </w:rPr>
  </w:style>
  <w:style w:type="character" w:styleId="1114" w:customStyle="1">
    <w:name w:val="text"/>
    <w:basedOn w:val="1014"/>
    <w:pPr>
      <w:pBdr/>
      <w:spacing/>
      <w:ind/>
    </w:pPr>
  </w:style>
  <w:style w:type="character" w:styleId="1115" w:customStyle="1">
    <w:name w:val="card-send-time__sendtime"/>
    <w:basedOn w:val="1014"/>
    <w:pPr>
      <w:pBdr/>
      <w:spacing/>
      <w:ind/>
    </w:pPr>
  </w:style>
  <w:style w:type="character" w:styleId="1116" w:customStyle="1">
    <w:name w:val="Đề cập Chưa giải quyết1"/>
    <w:basedOn w:val="1014"/>
    <w:uiPriority w:val="99"/>
    <w:semiHidden/>
    <w:unhideWhenUsed/>
    <w:pPr>
      <w:pBdr/>
      <w:spacing/>
      <w:ind/>
    </w:pPr>
    <w:rPr>
      <w:color w:val="605e5c"/>
      <w:shd w:val="clear" w:color="auto" w:fill="e1dfdd"/>
    </w:rPr>
  </w:style>
  <w:style w:type="paragraph" w:styleId="1117" w:customStyle="1">
    <w:name w:val="nqtitle"/>
    <w:basedOn w:val="1009"/>
    <w:pPr>
      <w:pBdr/>
      <w:spacing w:after="100" w:afterAutospacing="1" w:before="100" w:beforeAutospacing="1"/>
      <w:ind/>
    </w:pPr>
    <w:rPr>
      <w:lang w:val="vi-VN" w:eastAsia="vi-VN"/>
    </w:rPr>
  </w:style>
  <w:style w:type="character" w:styleId="1118" w:customStyle="1">
    <w:name w:val="List Paragraph Char"/>
    <w:link w:val="1031"/>
    <w:uiPriority w:val="34"/>
    <w:qFormat/>
    <w:pPr>
      <w:pBdr/>
      <w:spacing/>
      <w:ind/>
    </w:pPr>
    <w:rPr>
      <w:rFonts w:ascii="Times New Roman" w:hAnsi="Times New Roman" w:eastAsia="Times New Roman" w:cs="Times New Roman"/>
      <w:sz w:val="24"/>
      <w:szCs w:val="24"/>
    </w:rPr>
  </w:style>
  <w:style w:type="character" w:styleId="1119" w:customStyle="1">
    <w:name w:val="Đề cập Chưa giải quyết2"/>
    <w:basedOn w:val="1014"/>
    <w:uiPriority w:val="99"/>
    <w:semiHidden/>
    <w:unhideWhenUsed/>
    <w:pPr>
      <w:pBdr/>
      <w:spacing/>
      <w:ind/>
    </w:pPr>
    <w:rPr>
      <w:color w:val="605e5c"/>
      <w:shd w:val="clear" w:color="auto" w:fill="e1dfdd"/>
    </w:rPr>
  </w:style>
  <w:style w:type="character" w:styleId="1120" w:customStyle="1">
    <w:name w:val="Unresolved Mention3"/>
    <w:basedOn w:val="1014"/>
    <w:uiPriority w:val="99"/>
    <w:semiHidden/>
    <w:unhideWhenUsed/>
    <w:pPr>
      <w:pBdr/>
      <w:spacing/>
      <w:ind/>
    </w:pPr>
    <w:rPr>
      <w:color w:val="605e5c"/>
      <w:shd w:val="clear" w:color="auto" w:fill="e1dfdd"/>
    </w:rPr>
  </w:style>
  <w:style w:type="character" w:styleId="1121" w:customStyle="1">
    <w:name w:val="copy"/>
    <w:basedOn w:val="1014"/>
    <w:pPr>
      <w:pBdr/>
      <w:spacing/>
      <w:ind/>
    </w:pPr>
  </w:style>
  <w:style w:type="paragraph" w:styleId="1122" w:customStyle="1">
    <w:name w:val="align-justify"/>
    <w:basedOn w:val="1009"/>
    <w:pPr>
      <w:pBdr/>
      <w:spacing w:after="100" w:afterAutospacing="1" w:before="100" w:beforeAutospacing="1"/>
      <w:ind/>
    </w:pPr>
  </w:style>
  <w:style w:type="character" w:styleId="1123" w:customStyle="1">
    <w:name w:val="btn"/>
    <w:basedOn w:val="1014"/>
    <w:pPr>
      <w:pBdr/>
      <w:spacing/>
      <w:ind/>
    </w:pPr>
  </w:style>
  <w:style w:type="character" w:styleId="1124" w:customStyle="1">
    <w:name w:val="hide_mobile"/>
    <w:basedOn w:val="1014"/>
    <w:pPr>
      <w:pBdr/>
      <w:spacing/>
      <w:ind/>
    </w:pPr>
  </w:style>
  <w:style w:type="character" w:styleId="1125">
    <w:name w:val="Emphasis"/>
    <w:basedOn w:val="1014"/>
    <w:uiPriority w:val="20"/>
    <w:qFormat/>
    <w:pPr>
      <w:pBdr/>
      <w:spacing/>
      <w:ind/>
    </w:pPr>
    <w:rPr>
      <w:i/>
      <w:iCs/>
    </w:rPr>
  </w:style>
  <w:style w:type="character" w:styleId="1126" w:customStyle="1">
    <w:name w:val="t1"/>
    <w:basedOn w:val="1014"/>
    <w:pPr>
      <w:pBdr/>
      <w:spacing/>
      <w:ind/>
    </w:pPr>
  </w:style>
  <w:style w:type="character" w:styleId="1127" w:customStyle="1">
    <w:name w:val="Unresolved Mention4"/>
    <w:basedOn w:val="1014"/>
    <w:uiPriority w:val="99"/>
    <w:semiHidden/>
    <w:unhideWhenUsed/>
    <w:pPr>
      <w:pBdr/>
      <w:spacing/>
      <w:ind/>
    </w:pPr>
    <w:rPr>
      <w:color w:val="605e5c"/>
      <w:shd w:val="clear" w:color="auto" w:fill="e1dfdd"/>
    </w:rPr>
  </w:style>
  <w:style w:type="character" w:styleId="1128">
    <w:name w:val="Unresolved Mention"/>
    <w:basedOn w:val="101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https://batdongsan/" TargetMode="External"/><Relationship Id="rId16" Type="http://schemas.openxmlformats.org/officeDocument/2006/relationships/image" Target="media/image3.png"/><Relationship Id="rId17" Type="http://schemas.openxmlformats.org/officeDocument/2006/relationships/hyperlink" Target="https://batdongsan.com.vn/ban-can-ho-chung-cu-xa-da-ton-prj-the-sapphire-2-vinhomes-ocean-park/ban-1n-dep-view-song-gia-sieu-re-tang-trung-pr44497188" TargetMode="External"/><Relationship Id="rId18" Type="http://schemas.openxmlformats.org/officeDocument/2006/relationships/hyperlink" Target="https://batdongsan.com.vn/ban-can-ho-chung-cu-xa-duong-xa-prj-vinhomes-ocean-park-gia-lam/chinh-chu-ban-1pn-47m-full-noi-that-tang-trung-view-thoang-2-4-ty-tai-vhocp-pr42913486" TargetMode="External"/><Relationship Id="rId19" Type="http://schemas.openxmlformats.org/officeDocument/2006/relationships/image" Target="media/image4.png"/><Relationship Id="rId20" Type="http://schemas.openxmlformats.org/officeDocument/2006/relationships/image" Target="media/image5.png"/><Relationship Id="rId21" Type="http://schemas.openxmlformats.org/officeDocument/2006/relationships/image" Target="media/image6.png"/><Relationship Id="rId22" Type="http://schemas.openxmlformats.org/officeDocument/2006/relationships/image" Target="media/image7.png"/><Relationship Id="rId23" Type="http://schemas.openxmlformats.org/officeDocument/2006/relationships/image" Target="media/image8.png"/><Relationship Id="rId24" Type="http://schemas.openxmlformats.org/officeDocument/2006/relationships/image" Target="media/image9.png"/><Relationship Id="rId25" Type="http://schemas.openxmlformats.org/officeDocument/2006/relationships/image" Target="media/image10.jpg"/><Relationship Id="rId26" Type="http://schemas.openxmlformats.org/officeDocument/2006/relationships/image" Target="media/image11.jpg"/><Relationship Id="rId27" Type="http://schemas.openxmlformats.org/officeDocument/2006/relationships/image" Target="media/image12.jpg"/><Relationship Id="rId28" Type="http://schemas.openxmlformats.org/officeDocument/2006/relationships/image" Target="media/image13.jpg"/><Relationship Id="rId29" Type="http://schemas.openxmlformats.org/officeDocument/2006/relationships/image" Target="media/image14.jpg"/><Relationship Id="rId30" Type="http://schemas.openxmlformats.org/officeDocument/2006/relationships/image" Target="media/image15.jpg"/><Relationship Id="rId31" Type="http://schemas.openxmlformats.org/officeDocument/2006/relationships/image" Target="media/image16.png"/><Relationship Id="rId32" Type="http://schemas.openxmlformats.org/officeDocument/2006/relationships/image" Target="media/image17.png"/><Relationship Id="rId33" Type="http://schemas.openxmlformats.org/officeDocument/2006/relationships/image" Target="media/image18.png"/><Relationship Id="rId34" Type="http://schemas.openxmlformats.org/officeDocument/2006/relationships/comments" Target="comments.xml" /><Relationship Id="rId35" Type="http://schemas.microsoft.com/office/2011/relationships/commentsExtended" Target="commentsExtended.xml" /><Relationship Id="rId36" Type="http://schemas.microsoft.com/office/2018/08/relationships/commentsExtensible" Target="commentsExtensible.xml" /><Relationship Id="rId37" Type="http://schemas.microsoft.com/office/2016/09/relationships/commentsIds" Target="commentsIds.xml" /><Relationship Id="rId38"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onlyoffice/9.0.4.50</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 Dương</cp:lastModifiedBy>
  <cp:revision>272</cp:revision>
  <dcterms:created xsi:type="dcterms:W3CDTF">2025-09-15T09:58:00Z</dcterms:created>
  <dcterms:modified xsi:type="dcterms:W3CDTF">2025-12-04T03:13:32Z</dcterms:modified>
</cp:coreProperties>
</file>