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44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444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275/2025/1678/VFI-CT.48.A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PHÙNG VĂN ẤT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36, tờ bản đồ số: 34, có địa chỉ: Thôn Cầu, xã Hoàng Đan, huyện Tam Dương, tỉnh Vĩnh Phúc (nay là xã Hoàng An, tỉnh Phú T</w:t>
                            </w:r>
                            <w:r>
                              <w:rPr>
                                <w:color w:val="000000"/>
                              </w:rPr>
                              <w:t xml:space="preserve">họ) theo Giấy chứng nhận quyền sử dụng đất quyền sở hữu nhà ở và tài sản khác gắn liền với đất số: DM 036577, số vào sổ cấp GCN: CN01234 do Chi nhánh văn phòng đăng ký đất đai - Huyện Tam Dương cấp ngày 12/7/2023 cho Ông Phùng Văn Ất và Bà Phùng Thị Phượng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3.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275/2025/1678/VFI-CT.48.A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PHÙNG VĂN ẤT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36, tờ bản đồ số: 34, có địa chỉ: Thôn Cầu, xã Hoàng Đan, huyện Tam Dương, tỉnh Vĩnh Phúc (nay là xã Hoàng An, tỉnh Phú T</w:t>
                      </w:r>
                      <w:r>
                        <w:rPr>
                          <w:color w:val="000000"/>
                        </w:rPr>
                        <w:t xml:space="preserve">họ) theo Giấy chứng nhận quyền sử dụng đất quyền sở hữu nhà ở và tài sản khác gắn liền với đất số: DM 036577, số vào sổ cấp GCN: CN01234 do Chi nhánh văn phòng đăng ký đất đai - Huyện Tam Dương cấp ngày 12/7/2023 cho Ông Phùng Văn Ất và Bà Phùng Thị Phượng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275/2025/1678/VFI-CT.48.A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11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PHÙNG VĂN ẤT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275/2025/1678/VFI-HĐTĐ.48.A</w:t>
      </w:r>
      <w:r>
        <w:rPr>
          <w:spacing w:val="-4"/>
          <w:lang w:val="vi-VN"/>
        </w:rPr>
        <w:t xml:space="preserve"> ký ngày </w:t>
      </w:r>
      <w:r>
        <w:rPr>
          <w:color w:val="000000" w:themeColor="text1"/>
          <w:spacing w:val="-4"/>
        </w:rPr>
        <w:t xml:space="preserve">2ngày 22 tháng 11 năm 2025</w:t>
      </w:r>
      <w:r>
        <w:rPr>
          <w:spacing w:val="-4"/>
          <w:lang w:val="vi-VN"/>
        </w:rPr>
        <w:t xml:space="preserve"> </w:t>
      </w:r>
      <w:r>
        <w:rPr>
          <w:spacing w:val="-4"/>
          <w:lang w:val="vi-VN"/>
        </w:rPr>
        <w:t xml:space="preserve">giữa Ông Phùng Văn Ất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275/2025/1678/VFI-BC.48.A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ngày 26 tháng 11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ÔNG PHÙNG VĂN ẤT </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pacing w:val="-2"/>
                <w:sz w:val="24"/>
              </w:rPr>
              <w:t xml:space="preserve">026075002876</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pacing w:val="-2"/>
                <w:sz w:val="24"/>
              </w:rPr>
              <w:t xml:space="preserve">BT5-23 Khu đô thị mới Văn Phú, Phường Kiến Hưng, Thành phố Hà Nội</w:t>
            </w: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Nguyễn Trọng Điệp</w:t>
            </w:r>
            <w:r>
              <w:rPr>
                <w:b/>
                <w:bCs/>
                <w:lang w:val="vi-VN"/>
              </w:rPr>
              <w:tab/>
            </w:r>
            <w:r>
              <w:rPr>
                <w:b/>
                <w:bCs/>
              </w:rPr>
              <w:t xml:space="preserve">        </w:t>
            </w:r>
            <w:r>
              <w:rPr>
                <w:b/>
                <w:bCs/>
                <w:lang w:val="vi-VN"/>
              </w:rPr>
              <w:t xml:space="preserve">Chức vụ: </w:t>
            </w:r>
            <w:r>
              <w:rPr>
                <w:b/>
                <w:bCs/>
              </w:rPr>
              <w:t xml:space="preserve">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36, tờ bản đồ số: 34, có địa chỉ: Thôn Cầu, xã Hoàng Đan, huyện Tam Dương, tỉnh Vĩnh Phúc (nay là xã Hoàng An, tỉnh Phú T</w:t>
      </w:r>
      <w:r>
        <w:rPr>
          <w:color w:val="000000" w:themeColor="text1"/>
        </w:rPr>
        <w:t xml:space="preserve">họ) theo Giấy chứng nhận quyền sử dụng đất quyền sở hữu nhà ở và tài sản khác gắn liền với đất số: DM 036577, số vào sổ cấp GCN: CN01234 do Chi nhánh văn phòng đăng ký đất đai - Huyện Tam Dương cấp ngày 12/7/2023 cho Ông Phùng Văn Ất và Bà Phùng Thị Phượng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7"/>
        <w:gridCol w:w="3002"/>
        <w:gridCol w:w="1701"/>
        <w:gridCol w:w="2198"/>
        <w:gridCol w:w="207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199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36, tờ bản đồ số: 34, có địa chỉ: Thôn Cầu, xã Hoàng Đan, huyện Tam Dương, tỉnh Vĩnh Phúc (nay là xã Hoàng An,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036577, số vào sổ cấp GCN: CN01234 do Chi nhánh văn phòng đăng ký đất đai - Huyện Tam Dương cấp ngày 12/7/2023 cho Ông Phùng Văn Ất và Bà Phùng Thị Phượng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 </w:t>
            </w:r>
            <w:r/>
          </w:p>
        </w:tc>
      </w:tr>
      <w:tr>
        <w:trPr>
          <w:trHeight w:val="47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 Đất trồng cây lâu năm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2.378.250.000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69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2.378.250.000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69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2.378.000.000</w:t>
            </w:r>
            <w:r/>
          </w:p>
        </w:tc>
      </w:tr>
      <w:tr>
        <w:trPr>
          <w:trHeight w:val="324"/>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Hai tỷ ba trăm bảy mươi tám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Trọng Điệp</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X15.1272</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275/2025/1678/VFI-BC.48.A</w:t>
            </w:r>
            <w:r>
              <w:rPr>
                <w:sz w:val="24"/>
                <w:szCs w:val="24"/>
              </w:rPr>
            </w:r>
            <w:r>
              <w:rPr>
                <w:sz w:val="24"/>
                <w:szCs w:val="24"/>
              </w:rPr>
            </w:r>
          </w:p>
        </w:tc>
        <w:tc>
          <w:tcPr>
            <w:tcBorders/>
            <w:tcW w:w="4781" w:type="dxa"/>
            <w:textDirection w:val="lrTb"/>
            <w:noWrap w:val="false"/>
          </w:tcPr>
          <w:p>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26 tháng 11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275/2025/1678/VFI-CT.48.A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11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pacing w:val="-2"/>
                <w:sz w:val="24"/>
              </w:rPr>
              <w:t xml:space="preserve">BT5-23 Khu đô thị mới Văn Phú, Phường Kiến Hưng, Thành phố Hà Nội</w:t>
            </w: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Nguyễn Trọng Điệp </w:t>
            </w:r>
            <w:r>
              <w:rPr>
                <w:b/>
                <w:bCs/>
                <w:lang w:val="vi-VN"/>
              </w:rPr>
              <w:tab/>
              <w:t xml:space="preserve">Chức vụ: </w:t>
            </w:r>
            <w:r>
              <w:rPr>
                <w:b/>
                <w:bCs/>
              </w:rPr>
              <w:t xml:space="preserve">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z w:val="24"/>
              </w:rPr>
              <w:t xml:space="preserve">ÔNG PHÙNG VĂN ẤT </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pacing w:val="-2"/>
                <w:sz w:val="24"/>
              </w:rPr>
              <w:t xml:space="preserve">026075002876</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36, tờ bản đồ số: 34, có địa chỉ: Thôn Cầu, xã Hoàng Đan, huyện Tam Dương, tỉnh Vĩnh Phúc (nay là xã Hoàng An, tỉnh Phú T</w:t>
            </w:r>
            <w:r>
              <w:rPr>
                <w:bCs/>
                <w:color w:val="000000" w:themeColor="text1"/>
                <w:lang w:val="pt-BR"/>
              </w:rPr>
              <w:t xml:space="preserve">họ) theo Giấy chứng nhận quyền sử dụng đất quyền sở hữu nhà ở và tài sản khác gắn liền với đất số: DM 036577, số vào sổ cấp GCN: CN01234 do Chi nhánh văn phòng đăng ký đất đai - Huyện Tam Dương cấp ngày 12/7/2023 cho Ông Phùng Văn Ất và Bà Phùng Thị Phượng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Cầu, xã Hoàng Đan, huyện Tam Dương, tỉnh Vĩnh Phúc (nay là xã Hoàng An,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21.342222222222, 105.52263888889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 với đất số: DM 036577, số vào sổ cấp GCN: CN01234 do Chi nhánh văn phòng đăng ký đất đai - Huyện Tam Dương cấp ngày 12/7/2023 cho Ông Phùng Văn Ất và Bà Phùng Thị Phượng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275/2025/1678/VFI-HĐTĐ.48.A ký ngày 22/11/2025 giữa Ông Phùng Văn Ất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Cs/>
        </w:rPr>
      </w:pPr>
      <w:r>
        <w:rPr>
          <w:lang w:val="pt-BR"/>
        </w:rPr>
        <w:tab/>
      </w:r>
      <w:r>
        <w:rPr>
          <w:shd w:val="clear" w:color="auto" w:fill="ffffff"/>
        </w:rPr>
        <w:t xml:space="preserve">Thị trường đất nền tại Vĩnh Phúc trong năm 2025 đang có những chuyển biến tích cực. Với chính </w:t>
      </w:r>
      <w:r>
        <w:rPr>
          <w:shd w:val="clear" w:color="auto" w:fill="ffffff"/>
        </w:rPr>
        <w:t xml:space="preserve">sá</w:t>
      </w:r>
      <w:r>
        <w:rPr>
          <w:shd w:val="clear" w:color="auto" w:fill="ffffff"/>
        </w:rPr>
        <w:t xml:space="preserve">ch quy hoạch đồng bộ và đầu tư mạnh mẽ vào cơ sở hạ tầng, tình hình cung cầu trên thị trường đang dần hồi phục.</w:t>
        <w:br/>
        <w:tab/>
        <w:t xml:space="preserve">Đất nền tại các khu vực trung tâm và gần khu công nghiệp như Vĩnh Yên, Phúc Yên, và Bình Xuyên đang nhận được sự quan tâm lớn.</w:t>
        <w:br/>
        <w:tab/>
        <w:t xml:space="preserve">Các dự án nhà ở</w:t>
      </w:r>
      <w:r>
        <w:rPr>
          <w:shd w:val="clear" w:color="auto" w:fill="ffffff"/>
        </w:rPr>
        <w:t xml:space="preserve">,</w:t>
      </w:r>
      <w:r>
        <w:rPr>
          <w:shd w:val="clear" w:color="auto" w:fill="ffffff"/>
        </w:rPr>
        <w:t xml:space="preserve"> khu đô thị mới cũng đã kích cầu thị trường. Nhiều nhà đầu tư tập trung vào đất nền vì tiềm năng sinh lời cao, do đây là loại hình bất động sản phù hợp với chiến lược đầu tư dài hạn.</w:t>
        <w:br/>
        <w:tab/>
        <w:t xml:space="preserve">Đất nền dự án và đất nền thổ cư là hai loại hình sản phẩm chính được gia</w:t>
      </w:r>
      <w:r>
        <w:rPr>
          <w:shd w:val="clear" w:color="auto" w:fill="ffffff"/>
        </w:rPr>
        <w:t xml:space="preserve">o dịch nhiều nhất.</w:t>
      </w:r>
      <w:r>
        <w:rPr>
          <w:shd w:val="clear" w:color="auto" w:fill="ffffff"/>
        </w:rPr>
        <w:t xml:space="preserve">Trong đó, đất nền dự án tại các khu đô thị mới nhận được sự quan tâm lớn từ cả người mua để ở lẫn nhà đầu tư. Đất nền thổ cư tại các vùng ngoại ô với giá rẻ hơn cũng thu hút các nhà đầu tư nhỏ lẻ.</w:t>
        <w:br/>
        <w:tab/>
        <w:t xml:space="preserve">Trong tương lai gần, thị trường đất nền </w:t>
      </w:r>
      <w:r>
        <w:rPr>
          <w:shd w:val="clear" w:color="auto" w:fill="ffffff"/>
        </w:rPr>
        <w:t xml:space="preserve">tại Vĩnh Phúc dự kiến sẽ tiếp tục phát triển ổn định, với xu hướng tăng trưởng bền vững nhờ các yếu tố sau:</w:t>
        <w:br/>
        <w:t xml:space="preserve">Phát triển hạ tầng giao thông và đô thị hóa: Với các dự án hạ tầng lớn như cao tốc Hà Nội - Lào Cai, Vành đai 4 Hà Nội và các tuyến tỉnh lộ được mở </w:t>
      </w:r>
      <w:r>
        <w:rPr>
          <w:shd w:val="clear" w:color="auto" w:fill="ffffff"/>
        </w:rPr>
        <w:t xml:space="preserve">r</w:t>
      </w:r>
      <w:r>
        <w:rPr>
          <w:shd w:val="clear" w:color="auto" w:fill="ffffff"/>
        </w:rPr>
        <w:t xml:space="preserve">ộng, hạ tầng giao thông hiện đại sẽ là động lực lớn thúc đẩy giá đất nền tăng trưởng. Đặc biệt, các khu vực gần trung tâm hành chính, khu công nghiệp lớn và các điểm du lịch như Vĩnh Yên, Phúc Yên, Tam Đảo sẽ chứng kiến sự tăng giá mạnh mẽ.</w:t>
        <w:br/>
        <w:tab/>
        <w:t xml:space="preserve">Quy hoạch đô t</w:t>
      </w:r>
      <w:r>
        <w:rPr>
          <w:shd w:val="clear" w:color="auto" w:fill="ffffff"/>
        </w:rPr>
        <w:t xml:space="preserve">hị hiện đại: Đến năm 2030, tỉnh đặt mục tiêu đạt tỷ lệ đô thị hóa 65% với việc nâng cấp hàng loạt đô thị loại II và IV, đồng thời phát triển các khu đô thị mới. Điều này không chỉ làm tăng nhu cầu đất nền ở các khu vực trung tâm mà còn tạo điều kiện cho cá</w:t>
      </w:r>
      <w:r>
        <w:rPr>
          <w:shd w:val="clear" w:color="auto" w:fill="ffffff"/>
        </w:rPr>
        <w:t xml:space="preserve">c</w:t>
      </w:r>
      <w:r>
        <w:rPr>
          <w:shd w:val="clear" w:color="auto" w:fill="ffffff"/>
        </w:rPr>
        <w:t xml:space="preserve"> vùng ven đô phát triển, kéo theo sự gia tăng về giá đất.</w:t>
        <w:br/>
        <w:tab/>
        <w:t xml:space="preserve">Thị trường đất nền tăng trưởng dài hạn: Thị trường đất nền tại Vĩnh Phúc có tiềm năng tăng trưởng trong dài hạn nhờ quy hoạch bài bản và hạ tầng đồng bộ. Tuy nhiên, giá đất nền có thể tăng nhẹ theo</w:t>
      </w:r>
      <w:r>
        <w:rPr>
          <w:shd w:val="clear" w:color="auto" w:fill="ffffff"/>
        </w:rPr>
        <w:t xml:space="preserve"> </w:t>
      </w:r>
      <w:r>
        <w:rPr>
          <w:shd w:val="clear" w:color="auto" w:fill="ffffff"/>
        </w:rPr>
        <w:t xml:space="preserve">từng giai đoạn, phù hợp với tốc độ phát triển của các dự án đô thị và công nghiệp.</w:t>
        <w:br/>
        <w:tab/>
        <w:t xml:space="preserve">Cơ hội khi đầu tư vào thị trường đất nền Vĩnh Phúc cụ thể như sau:</w:t>
        <w:br/>
        <w:t xml:space="preserve">Sự phát triển công nghiệp và khu đô thị mới: Vĩnh Phúc tiếp tục là điểm đến thu hút các dự án lớn về công</w:t>
      </w:r>
      <w:r>
        <w:rPr>
          <w:shd w:val="clear" w:color="auto" w:fill="ffffff"/>
        </w:rPr>
        <w:t xml:space="preserve"> </w:t>
      </w:r>
      <w:r>
        <w:rPr>
          <w:shd w:val="clear" w:color="auto" w:fill="ffffff"/>
        </w:rPr>
        <w:t xml:space="preserve">nghiệp và đô thị. Với nhiều khu công nghiệp như KCN Bình Xuyên, KCN Bá Thiện, và các khu đô thị mới được quy hoạch, thị trường đất nền sẽ có cơ hội phát triển mạnh mẽ.</w:t>
        <w:br/>
        <w:tab/>
        <w:t xml:space="preserve">Tiềm năng du lịch tại Tam Đảo:Khu du lịch Tam Đảo không chỉ thu hút khách du lịch mà cò</w:t>
      </w:r>
      <w:r>
        <w:rPr>
          <w:shd w:val="clear" w:color="auto" w:fill="ffffff"/>
        </w:rPr>
        <w:t xml:space="preserve">n tạo cơ hội phát triển các dự án bất động sản nghỉ dưỡng, giúp gia tăng giá trị đất nền trong khu vực.</w:t>
        <w:br/>
        <w:tab/>
        <w:t xml:space="preserve">Quy hoạch đô thị và nâng cấp hạ tầng: Quy hoạch và chính sách đầu tư của tỉnh sẽ là nhân tố then chốt giúp giá đất nền tăng trưởng ổn định. Các tuyến đư</w:t>
      </w:r>
      <w:r>
        <w:rPr>
          <w:shd w:val="clear" w:color="auto" w:fill="ffffff"/>
        </w:rPr>
        <w:t xml:space="preserve">ờng giao thông, cơ sở hạ tầng mới được đầu tư sẽ làm tăng sức hấp dẫn cho các nhà đầu tư và người mua. Tuy nhiên, vẫn còn một số thách thức mà nhà đầu tư cần chú ý: Giá đất cao ở trung tâm: Ở các khu vực trung tâm như Vĩnh Yên, Phúc Yên, giá đất nền hiện t</w:t>
      </w:r>
      <w:r>
        <w:rPr>
          <w:shd w:val="clear" w:color="auto" w:fill="ffffff"/>
        </w:rPr>
        <w:t xml:space="preserve">ại đã cao, gây ra sự phân hóa mạnh mẽ trong khả năng tiếp cận thị trường của nhà đầu tư và người dân. Đây là một thách thức trong việc cân bằng cung cầu và phát triển bền vững. Nguồn cung hạn chế:Trong khi các khu vực trung tâm có tiềm năng phát triển mạnh</w:t>
      </w:r>
      <w:r>
        <w:rPr>
          <w:shd w:val="clear" w:color="auto" w:fill="ffffff"/>
        </w:rPr>
        <w:t xml:space="preserve">, một số vùng ngoại ô như Sông Lô, Lập Thạch có thể đối mặt với tình trạng nguồn cung đất nền hạn chế do thiếu quy hoạch chi tiết và phát triển hạ tầng chưa đồng bộ. Biến động kinh tế và chính sách pháp lý: Những biến động kinh tế hoặc thay đổi về chính sá</w:t>
      </w:r>
      <w:r>
        <w:rPr>
          <w:shd w:val="clear" w:color="auto" w:fill="ffffff"/>
        </w:rPr>
        <w:t xml:space="preserve">ch pháp lý trong tương lai có thể gây ra những rủi ro cho thị trường, khiến giá đất nền không còn ổn định và có thể làm giảm sức hút của thị trường.</w:t>
        <w:br/>
        <w:t xml:space="preserve">(Nguồn: https://onehousing.vn/blog/tong-quan-tinh-hinh-thi-truong-dat-nen-vinh-phuc-cap-nhat-moi-nhat-n17t)</w:t>
      </w:r>
      <w:r>
        <w:rPr>
          <w:iCs/>
        </w:rPr>
      </w:r>
      <w:r>
        <w:rPr>
          <w:iCs/>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355"/>
        <w:gridCol w:w="2126"/>
        <w:gridCol w:w="27"/>
        <w:gridCol w:w="2241"/>
        <w:gridCol w:w="13"/>
        <w:gridCol w:w="225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6"/>
            <w:tcBorders>
              <w:top w:val="single" w:color="000000" w:sz="8" w:space="0"/>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36, tờ bản đồ số: 34, có địa chỉ: Thôn Cầu, xã Hoàng Đan, huyện Tam Dương, tỉnh Vĩnh Phúc (nay là xã Hoàng An,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036577, số vào sổ cấp GCN: CN01234 do Chi nhánh văn phòng đăng ký đất đai - Huyện Tam Dương cấp ngày 12/7/2023 cho Ông Phùng Văn Ất và Bà Phùng Thị Phượng.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gridSpan w:val="2"/>
            <w:tcBorders>
              <w:bottom w:val="single" w:color="000000" w:sz="8" w:space="0"/>
              <w:right w:val="single" w:color="000000" w:sz="8"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36</w:t>
            </w:r>
            <w:r/>
          </w:p>
        </w:tc>
        <w:tc>
          <w:tcPr>
            <w:gridSpan w:val="2"/>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Cầu, xã Hoàng Đan, huyện Tam Dương, tỉnh Vĩnh Phúc (nay là xã Hoàng An, tỉnh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gridSpan w:val="2"/>
            <w:tcBorders>
              <w:bottom w:val="single" w:color="000000" w:sz="8" w:space="0"/>
              <w:right w:val="single" w:color="000000" w:sz="8"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679,5</w:t>
            </w:r>
            <w:r/>
          </w:p>
        </w:tc>
        <w:tc>
          <w:tcPr>
            <w:gridSpan w:val="2"/>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gridSpan w:val="2"/>
            <w:tcBorders>
              <w:bottom w:val="single" w:color="000000" w:sz="8" w:space="0"/>
              <w:right w:val="single" w:color="000000" w:sz="8"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150,0m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Đất trồng CLN 529,5m</w:t>
            </w:r>
            <w:r>
              <w:rPr>
                <w:rFonts w:ascii="Times New Roman" w:hAnsi="Times New Roman" w:eastAsia="Times New Roman" w:cs="Times New Roman"/>
                <w:color w:val="000000"/>
                <w:sz w:val="20"/>
                <w:vertAlign w:val="superscript"/>
              </w:rPr>
              <w:t xml:space="preserve">2</w:t>
            </w:r>
            <w:r/>
          </w:p>
        </w:tc>
        <w:tc>
          <w:tcPr>
            <w:gridSpan w:val="2"/>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Lâu dài; Đất trồng CLN sử dụng đến ngày 15/10/2043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Được tặng cho đất được Công nhận QSDĐ như giao đất có thu tiền sử dụng đất 60,0m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Được tặng cho đất được Công nhận QSDĐ như giao đất không thu tiền sử dụng đất 211,8m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Nhận QSDĐ theo Văn bản thoả thuận phân chia và tặng cho tài sản chung của hộ gia đình đất được Công nhận QSDĐ như giao đất có thu tiền sử dụng đất 90,0m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Nhận QSDĐ theo Văn bản thoả thuận phân chia và tặng cho tài sản chung của hộ gia đình đất được Công nhận QSDĐ như giao đất không thu tiền sử dụng đất 317,7m</w:t>
            </w:r>
            <w:r>
              <w:rPr>
                <w:rFonts w:ascii="Times New Roman" w:hAnsi="Times New Roman" w:eastAsia="Times New Roman" w:cs="Times New Roman"/>
                <w:color w:val="000000"/>
                <w:sz w:val="20"/>
                <w:vertAlign w:val="superscript"/>
              </w:rPr>
              <w:t xml:space="preserve">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Cầu, xã Hoàng Đan, huyện Tam Dương, tỉnh Vĩnh Phúc (nay là xã Hoàng An, tỉnh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Đường bê tông</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5,0m</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chính:</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nằm tại thôn Cầu, cách DT309 khoảng 900m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Nam: tiếp giáp đường giao thông;</w:t>
              <w:br/>
              <w:t xml:space="preserve"> + Các hướng khác: tiếp giáp với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21.34239647312568, 105.52244949939329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top"/>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6048375" cy="300769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276627" name=""/>
                              <pic:cNvPicPr>
                                <a:picLocks noChangeAspect="1"/>
                              </pic:cNvPicPr>
                              <pic:nvPr/>
                            </pic:nvPicPr>
                            <pic:blipFill>
                              <a:blip r:embed="rId15"/>
                              <a:stretch/>
                            </pic:blipFill>
                            <pic:spPr bwMode="auto">
                              <a:xfrm>
                                <a:off x="0" y="0"/>
                                <a:ext cx="6048374" cy="30076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36.83pt;mso-wrap-distance-left:0.00pt;mso-wrap-distance-top:0.00pt;mso-wrap-distance-right:0.00pt;mso-wrap-distance-bottom:0.00pt;z-index:1;" stroked="false">
                      <v:imagedata r:id="rId15"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633"/>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679,5</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21,74</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36,48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14,75</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 thửa đất:</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Đa giác, Thóp hậu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5"/>
            <w:tcBorders>
              <w:bottom w:val="single" w:color="000000" w:sz="8" w:space="0"/>
              <w:right w:val="single" w:color="000000" w:sz="8" w:space="0"/>
            </w:tcBorders>
            <w:tcMar>
              <w:left w:w="108" w:type="dxa"/>
              <w:top w:w="0" w:type="dxa"/>
              <w:right w:w="108" w:type="dxa"/>
              <w:bottom w:w="0" w:type="dxa"/>
            </w:tcMar>
            <w:tcW w:w="66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Thưa thớt</w:t>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5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Thích hợp để ở/Trồng cây</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gridSpan w:val="2"/>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Nhà cấp 4 cũ</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6"/>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tổ thẩm định nhận thấy trên đất có 01 nhà cấp 4 cũ, diện tích xây dựng 90,0m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kết cấu BTCT, tường xây gạch chịu lực, ngoại quan khá. Hiện công trình chưa được chứng nhận trên GCN số DM 036577.</w:t>
            </w:r>
            <w:r/>
          </w:p>
        </w:tc>
      </w:tr>
    </w:tbl>
    <w:p>
      <w:pPr>
        <w:pBdr/>
        <w:spacing w:line="235" w:lineRule="auto"/>
        <w:ind w:left="0"/>
        <w:jc w:val="both"/>
        <w:rPr>
          <w:u w:val="single"/>
        </w:rPr>
      </w:pPr>
      <w:r>
        <w:rPr>
          <w:u w:val="single"/>
        </w:rPr>
      </w:r>
      <w:r>
        <w:rPr>
          <w:u w:val="single"/>
        </w:rPr>
      </w:r>
      <w:r>
        <w:rPr>
          <w:u w:val="single"/>
        </w:rPr>
      </w:r>
    </w:p>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8"/>
        <w:gridCol w:w="1988"/>
        <w:gridCol w:w="1740"/>
        <w:gridCol w:w="1740"/>
        <w:gridCol w:w="1740"/>
        <w:gridCol w:w="174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Cầu, xã Hoàng Đan, huyện Tam Dương, tỉnh Vĩnh Phúc</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Lồ, xã Hoàng Đan, huyện Tam Dương, tỉnh Vĩnh Phúc</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Bắc 2, xã Hoàng Đan, huyện Tam Dương, tỉnh Vĩnh Phúc</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Cầu, xã Hoàng Đan, huyện Tam Dương, tỉnh Vĩnh Phúc</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https://www.facebook.com/share/p/17Q8R2c3j7/</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https://www.facebook.com/share/p/16yUS7GsNV/</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0399520667</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0968429874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0976551691</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w:t>
              <w:br/>
              <w:t xml:space="preserve"> Đất trồng cây lâu năm</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w:t>
              <w:br/>
              <w:t xml:space="preserve"> Đất trồng cây lâu năm</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w:t>
              <w:br/>
              <w:t xml:space="preserve"> Đất trồng cây lâu năm</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w:t>
              <w:br/>
              <w:t xml:space="preserve"> Đất trồng cây lâu năm</w:t>
            </w:r>
            <w:r/>
          </w:p>
        </w:tc>
      </w:tr>
      <w:tr>
        <w:trPr>
          <w:trHeight w:val="20"/>
          <w:tblHeade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w:t>
              <w:br/>
              <w:t xml:space="preserve">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w:t>
              <w:br/>
              <w:t xml:space="preserve">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w:t>
              <w:br/>
              <w:t xml:space="preserve">  Đất trồng cây lâu năm: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w:t>
              <w:br/>
              <w:t xml:space="preserve">  Đất trồng cây lâu năm: Có thời hạn</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thôn Cầu, cách DT309 khoảng 900m</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thôn Cầu, cách DT309 khoảng 600m. Tài sản gần trường mầm non, gần khu đấu giá</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thôn Cầu, cách DT309 khoảng 1km</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thôn Cầu, cách DT309 khoảng 700m. Tài sản gần trường mầm non, gần khu đấu giá</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5,0m</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4m</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4m</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7m</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679,5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130,0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125,5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106,8 m²</w:t>
            </w:r>
            <w:r/>
          </w:p>
        </w:tc>
      </w:tr>
      <w:tr>
        <w:trPr>
          <w:trHeight w:val="20"/>
          <w:tblHeade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ở</w:t>
              <w:br/>
              <w:t xml:space="preserve">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150,0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80,0 m²</w:t>
            </w:r>
            <w:r/>
          </w:p>
        </w:tc>
      </w:tr>
      <w:tr>
        <w:trPr>
          <w:trHeight w:val="20"/>
          <w:tblHeade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trồng cây lâu năm</w:t>
              <w:br/>
              <w:t xml:space="preserve">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529,5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100,0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95,5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26,8 m²</w:t>
            </w:r>
            <w:r/>
          </w:p>
        </w:tc>
      </w:tr>
      <w:tr>
        <w:trPr>
          <w:trHeight w:val="20"/>
          <w:tblHeade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đất ở/Tổng diện tích</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21,74 m</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7,20 m</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 m</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6,64 m</w:t>
            </w:r>
            <w:r/>
          </w:p>
        </w:tc>
      </w:tr>
      <w:tr>
        <w:trPr>
          <w:trHeight w:val="20"/>
          <w:tblHeade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Tỉ lệ mặt tiền/ Tổng diện tích</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0,03</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0,06</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0,06</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0,06</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Thóp hậu</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 Vát góc</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trồng cây</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trồng cây</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trồng cây</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trồng cây</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Hệ thống cấp điện, cấp thoát nước hoàn thiện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Hệ thống cấp điện, cấp thoát nước hoàn thiện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Hệ thống cấp điện, cấp thoát nước hoàn thiện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Hệ thống cấp điện, cấp thoát nước hoàn thiện</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950.000.000</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650.000.000</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1.350.000.000</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769.500.000</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552.500.000</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1.147.500.000</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769.500.000</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552.500.000</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1.147.500.000</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5.919.231</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4.402.390</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10.744.382</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spacing w:after="0" w:before="0" w:line="240"/>
              <w:ind/>
              <w:rPr/>
            </w:pP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Tỉ lệ mặt tiền/ Tổng diện tích</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blHeader/>
        </w:trPr>
        <w:tc>
          <w:tcPr>
            <w:tcBorders>
              <w:left w:val="single" w:color="000000" w:sz="8" w:space="0"/>
              <w:bottom w:val="single" w:color="000000" w:sz="8" w:space="0"/>
              <w:right w:val="single" w:color="000000" w:sz="8" w:space="0"/>
            </w:tcBorders>
            <w:tcMar>
              <w:left w:w="108" w:type="dxa"/>
              <w:top w:w="0" w:type="dxa"/>
              <w:right w:w="108" w:type="dxa"/>
              <w:bottom w:w="0" w:type="dxa"/>
            </w:tcMar>
            <w:tcW w:w="6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64"/>
        <w:gridCol w:w="2088"/>
        <w:gridCol w:w="962"/>
        <w:gridCol w:w="1424"/>
        <w:gridCol w:w="1424"/>
        <w:gridCol w:w="1424"/>
        <w:gridCol w:w="142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769.500.000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552.500.000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1.147.500.000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5.919.231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4.402.390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10.744.382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spacing w:after="0" w:before="0" w:line="240"/>
              <w:ind/>
              <w:rPr/>
            </w:p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5.919.231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4.402.390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10.744.382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thôn Cầu, cách DT309 khoảng 900m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thôn Cầu, cách DT309 khoảng 600m. Tài sản gần trường mầm non, gần khu đấu giá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thôn Cầu, cách DT309 khoảng 1km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thôn Cầu, cách DT309 khoảng 700m. Tài sản gần trường mầm non, gần khu đấu giá</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-887.885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-1.611.657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5.031.346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4.402.390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9.132.725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4m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4m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7m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177.577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132.072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-537.219</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5.208.923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4.534.462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8.595.506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679,5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106,8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-1.183.846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-880.478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-2.148.876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4.025.077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3.653.984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6.446.629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Tỉ lệ mặt tiền/ Tổng diện tích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0,06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-177.577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-132.072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-322.331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3.521.912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6.124.298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Tỷ lệ đất ở/Tổng diện tích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-1.074.438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3.521.912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5.049.860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-1.074.438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3.521.912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3.975.421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 Thóp hậu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 Vát góc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-295.962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-220.120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-322.331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3.551.538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3.301.793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3.653.090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trồng cây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trồng cây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trồng cây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trồng cây</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3.551.538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3.301.793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3.653.090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Hệ thống cấp điện, cấp thoát nước hoàn thiện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Hệ thống cấp điện, cấp thoát nước hoàn thiện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Hệ thống cấp điện, cấp thoát nước hoàn thiện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Hệ thống cấp điện, cấp thoát nước hoàn thiện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3.551.538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3.301.793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3.653.090</w:t>
            </w:r>
            <w:r/>
          </w:p>
        </w:tc>
      </w:tr>
      <w:tr>
        <w:trPr>
          <w:trHeight w:val="59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3.551.538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3.301.793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3.653.090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spacing w:after="0" w:before="0" w:line="240"/>
              <w:ind/>
              <w:jc w:val="center"/>
              <w:rPr/>
            </w:p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2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3.502.140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2.722.846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1.364.741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7.091.292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spacing w:after="0" w:before="0" w:line="240"/>
              <w:ind/>
              <w:rPr/>
            </w:pP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(2.367.692)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(1.100.598)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(7.091.292)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F</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cho tài sản thẩm định (làm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tcPr>
          <w:p>
            <w:pPr>
              <w:pBdr/>
              <w:spacing w:after="0" w:before="0" w:line="240"/>
              <w:ind/>
              <w:jc w:val="center"/>
              <w:rPr/>
            </w:p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2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3.500.000</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1,4</w:t>
      </w:r>
      <w:r>
        <w:t xml:space="preserve">% đến</w:t>
      </w:r>
      <w:r>
        <w:t xml:space="preserve"> 5,7%,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3.500.000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11/2025</w:t>
      </w:r>
      <w:r>
        <w:t xml:space="preserve"> </w:t>
      </w:r>
      <w:r>
        <w:t xml:space="preserve">ước tính </w:t>
      </w:r>
      <w:r>
        <w:t xml:space="preserve">như sau</w:t>
      </w:r>
      <w:r>
        <w:t xml:space="preserve">:</w:t>
      </w:r>
      <w:r/>
      <w:r/>
      <w: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7"/>
        <w:gridCol w:w="3002"/>
        <w:gridCol w:w="1701"/>
        <w:gridCol w:w="2198"/>
        <w:gridCol w:w="207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199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36, tờ bản đồ số: 34, có địa chỉ: Thôn Cầu, xã Hoàng Đan, huyện Tam Dương, tỉnh Vĩnh Phúc (nay là xã Hoàng An,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036577, số vào sổ cấp GCN: CN01234 do Chi nhánh văn phòng đăng ký đất đai - Huyện Tam Dương cấp ngày 12/7/2023 cho Ông Phùng Văn Ất và Bà Phùng Thị Phượng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 </w:t>
            </w:r>
            <w:r/>
          </w:p>
        </w:tc>
      </w:tr>
      <w:tr>
        <w:trPr>
          <w:trHeight w:val="47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 Đất trồng cây lâu năm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679,5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2.378.250.000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69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2.378.250.000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69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2.378.000.000</w:t>
            </w:r>
            <w:r/>
          </w:p>
        </w:tc>
      </w:tr>
      <w:tr>
        <w:trPr>
          <w:trHeight w:val="324"/>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Hai tỷ ba trăm bảy mươi tám triệu đồng chẵn./.)</w:t>
            </w: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275/2025/1678/VFI-CT.48.A</w:t>
      </w:r>
      <w:r>
        <w:rPr>
          <w:color w:val="ff0000"/>
          <w:lang w:val="vi-VN"/>
        </w:rPr>
        <w:t xml:space="preserve"> </w:t>
      </w:r>
      <w:r>
        <w:rPr>
          <w:color w:val="000000" w:themeColor="text1"/>
        </w:rPr>
        <w:t xml:space="preserve">ngày 26 tháng 11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pt-BR"/>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Trọng Điệp</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X15.1272</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9"/>
      </w:tblGrid>
      <w:tr>
        <w:trPr>
          <w:trHeight w:val="20"/>
        </w:trPr>
        <w:tc>
          <w:tcPr>
            <w:tcBorders/>
            <w:tcW w:w="4679"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9"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9"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275/2025/1678/VFI-BC.48.A</w:t>
      </w:r>
      <w:r>
        <w:rPr>
          <w:i/>
          <w:lang w:val="pt-BR"/>
        </w:rPr>
        <w:t xml:space="preserve"> </w:t>
      </w:r>
      <w:r>
        <w:rPr>
          <w:i/>
          <w:lang w:val="pt-BR"/>
        </w:rPr>
        <w:t xml:space="preserve">ngày 26 tháng 11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37"/>
        <w:gridCol w:w="4837"/>
      </w:tblGrid>
      <w:tr>
        <w:trPr/>
        <w:tc>
          <w:tcPr>
            <w:tcBorders/>
            <w:tcMar>
              <w:left w:w="108" w:type="dxa"/>
              <w:top w:w="0" w:type="dxa"/>
              <w:right w:w="108" w:type="dxa"/>
              <w:bottom w:w="0" w:type="dxa"/>
            </w:tcMar>
            <w:tcW w:w="4837" w:type="dxa"/>
            <w:vAlign w:val="center"/>
            <w:textDirection w:val="lrTb"/>
            <w:noWrap w:val="false"/>
          </w:tcPr>
          <w:p>
            <w:pPr>
              <w:pBdr/>
              <w:spacing w:after="0" w:before="0" w:line="240"/>
              <w:ind/>
              <w:jc w:val="center"/>
              <w:rPr/>
            </w:pPr>
            <w:r/>
            <w:r>
              <mc:AlternateContent>
                <mc:Choice Requires="wpg">
                  <w:drawing>
                    <wp:inline xmlns:wp="http://schemas.openxmlformats.org/drawingml/2006/wordprocessingDrawing" distT="0" distB="0" distL="0" distR="0">
                      <wp:extent cx="1141128" cy="253032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21034" name=""/>
                              <pic:cNvPicPr>
                                <a:picLocks noChangeAspect="1"/>
                              </pic:cNvPicPr>
                              <pic:nvPr/>
                            </pic:nvPicPr>
                            <pic:blipFill>
                              <a:blip r:embed="rId16"/>
                              <a:stretch/>
                            </pic:blipFill>
                            <pic:spPr bwMode="auto">
                              <a:xfrm flipH="0" flipV="0">
                                <a:off x="0" y="0"/>
                                <a:ext cx="1141127" cy="25303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9.85pt;height:199.24pt;mso-wrap-distance-left:0.00pt;mso-wrap-distance-top:0.00pt;mso-wrap-distance-right:0.00pt;mso-wrap-distance-bottom:0.00pt;z-index:1;" stroked="false">
                      <v:imagedata r:id="rId16" o:title=""/>
                      <o:lock v:ext="edit" rotation="t"/>
                    </v:shape>
                  </w:pict>
                </mc:Fallback>
              </mc:AlternateContent>
            </w:r>
            <w:r/>
          </w:p>
        </w:tc>
        <w:tc>
          <w:tcPr>
            <w:tcBorders/>
            <w:tcMar>
              <w:left w:w="108" w:type="dxa"/>
              <w:top w:w="0" w:type="dxa"/>
              <w:right w:w="108" w:type="dxa"/>
              <w:bottom w:w="0" w:type="dxa"/>
            </w:tcMar>
            <w:tcW w:w="4837"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3193156" cy="239486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65908" name=""/>
                              <pic:cNvPicPr>
                                <a:picLocks noChangeAspect="1"/>
                              </pic:cNvPicPr>
                              <pic:nvPr/>
                            </pic:nvPicPr>
                            <pic:blipFill>
                              <a:blip r:embed="rId17"/>
                              <a:stretch/>
                            </pic:blipFill>
                            <pic:spPr bwMode="auto">
                              <a:xfrm flipH="0" flipV="0">
                                <a:off x="0" y="0"/>
                                <a:ext cx="3193155" cy="23948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1.43pt;height:188.57pt;mso-wrap-distance-left:0.00pt;mso-wrap-distance-top:0.00pt;mso-wrap-distance-right:0.00pt;mso-wrap-distance-bottom:0.00pt;z-index:1;" stroked="false">
                      <v:imagedata r:id="rId17" o:title=""/>
                      <o:lock v:ext="edit" rotation="t"/>
                    </v:shape>
                  </w:pict>
                </mc:Fallback>
              </mc:AlternateContent>
            </w:r>
            <w:r/>
          </w:p>
        </w:tc>
      </w:tr>
      <w:tr>
        <w:trPr/>
        <w:tc>
          <w:tcPr>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b/>
                <w:i/>
                <w:color w:val="000000"/>
                <w:sz w:val="24"/>
              </w:rPr>
              <w:t xml:space="preserve"> </w:t>
            </w: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ind w:right="0" w:firstLine="0" w:left="0"/>
              <w:rPr/>
            </w:pPr>
            <w:r>
              <w:rPr>
                <w:rFonts w:ascii="Times New Roman" w:hAnsi="Times New Roman" w:eastAsia="Times New Roman" w:cs="Times New Roman"/>
                <w:b/>
                <w:i/>
                <w:color w:val="000000"/>
                <w:sz w:val="24"/>
              </w:rPr>
              <w:t xml:space="preserve"> </w:t>
            </w: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4837" w:type="dxa"/>
            <w:vAlign w:val="center"/>
            <w:textDirection w:val="lrTb"/>
            <w:noWrap w:val="false"/>
          </w:tcPr>
          <w:p>
            <w:pPr>
              <w:pBdr/>
              <w:spacing w:after="0" w:before="0" w:line="240"/>
              <w:ind/>
              <w:jc w:val="center"/>
              <w:rPr/>
            </w:pPr>
            <w:r/>
            <w:r/>
            <w:r/>
            <w:r>
              <mc:AlternateContent>
                <mc:Choice Requires="wpg">
                  <w:drawing>
                    <wp:inline xmlns:wp="http://schemas.openxmlformats.org/drawingml/2006/wordprocessingDrawing" distT="0" distB="0" distL="0" distR="0">
                      <wp:extent cx="2608285" cy="195621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17483" name=""/>
                              <pic:cNvPicPr>
                                <a:picLocks noChangeAspect="1"/>
                              </pic:cNvPicPr>
                              <pic:nvPr/>
                            </pic:nvPicPr>
                            <pic:blipFill>
                              <a:blip r:embed="rId18"/>
                              <a:stretch/>
                            </pic:blipFill>
                            <pic:spPr bwMode="auto">
                              <a:xfrm flipH="0" flipV="0">
                                <a:off x="0" y="0"/>
                                <a:ext cx="2608284" cy="19562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5.38pt;height:154.03pt;mso-wrap-distance-left:0.00pt;mso-wrap-distance-top:0.00pt;mso-wrap-distance-right:0.00pt;mso-wrap-distance-bottom:0.00pt;z-index:1;" stroked="false">
                      <v:imagedata r:id="rId18" o:title=""/>
                      <o:lock v:ext="edit" rotation="t"/>
                    </v:shape>
                  </w:pict>
                </mc:Fallback>
              </mc:AlternateContent>
            </w:r>
            <w:r/>
            <w:r/>
            <w:r/>
          </w:p>
        </w:tc>
        <w:tc>
          <w:tcPr>
            <w:tcBorders/>
            <w:tcMar>
              <w:left w:w="108" w:type="dxa"/>
              <w:top w:w="0" w:type="dxa"/>
              <w:right w:w="108" w:type="dxa"/>
              <w:bottom w:w="0" w:type="dxa"/>
            </w:tcMar>
            <w:tcW w:w="4837" w:type="dxa"/>
            <w:vAlign w:val="center"/>
            <w:textDirection w:val="lrTb"/>
            <w:noWrap w:val="false"/>
          </w:tcPr>
          <w:p>
            <w:pPr>
              <w:pBdr/>
              <w:spacing w:after="0" w:before="0" w:line="240"/>
              <w:ind/>
              <w:jc w:val="center"/>
              <w:rPr/>
            </w:pPr>
            <w:r/>
            <w:r>
              <mc:AlternateContent>
                <mc:Choice Requires="wpg">
                  <w:drawing>
                    <wp:inline xmlns:wp="http://schemas.openxmlformats.org/drawingml/2006/wordprocessingDrawing" distT="0" distB="0" distL="0" distR="0">
                      <wp:extent cx="2780274" cy="208520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36723" name=""/>
                              <pic:cNvPicPr>
                                <a:picLocks noChangeAspect="1"/>
                              </pic:cNvPicPr>
                              <pic:nvPr/>
                            </pic:nvPicPr>
                            <pic:blipFill>
                              <a:blip r:embed="rId19"/>
                              <a:stretch/>
                            </pic:blipFill>
                            <pic:spPr bwMode="auto">
                              <a:xfrm flipH="0" flipV="0">
                                <a:off x="0" y="0"/>
                                <a:ext cx="2780273" cy="20852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8.92pt;height:164.19pt;mso-wrap-distance-left:0.00pt;mso-wrap-distance-top:0.00pt;mso-wrap-distance-right:0.00pt;mso-wrap-distance-bottom:0.00pt;z-index:1;" stroked="false">
                      <v:imagedata r:id="rId19" o:title=""/>
                      <o:lock v:ext="edit" rotation="t"/>
                    </v:shape>
                  </w:pict>
                </mc:Fallback>
              </mc:AlternateContent>
            </w:r>
            <w:r/>
          </w:p>
        </w:tc>
      </w:tr>
      <w:tr>
        <w:trPr/>
        <w:tc>
          <w:tcPr>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i/>
                <w:color w:val="000000"/>
                <w:sz w:val="24"/>
              </w:rPr>
              <w:t xml:space="preserve"> </w:t>
            </w:r>
            <w:r/>
          </w:p>
        </w:tc>
        <w:tc>
          <w:tcPr>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i/>
                <w:color w:val="000000"/>
                <w:sz w:val="24"/>
              </w:rPr>
              <w:t xml:space="preserve"> </w:t>
            </w:r>
            <w:r/>
          </w:p>
        </w:tc>
      </w:tr>
      <w:tr>
        <w:trPr/>
        <w:tc>
          <w:tcPr>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i/>
                <w:color w:val="000000"/>
                <w:sz w:val="24"/>
              </w:rPr>
              <w:t xml:space="preserve"> </w:t>
            </w:r>
            <w:r>
              <mc:AlternateContent>
                <mc:Choice Requires="wpg">
                  <w:drawing>
                    <wp:inline xmlns:wp="http://schemas.openxmlformats.org/drawingml/2006/wordprocessingDrawing" distT="0" distB="0" distL="0" distR="0">
                      <wp:extent cx="2798785" cy="210054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95181" name=""/>
                              <pic:cNvPicPr>
                                <a:picLocks noChangeAspect="1"/>
                              </pic:cNvPicPr>
                              <pic:nvPr/>
                            </pic:nvPicPr>
                            <pic:blipFill>
                              <a:blip r:embed="rId20"/>
                              <a:stretch/>
                            </pic:blipFill>
                            <pic:spPr bwMode="auto">
                              <a:xfrm flipH="0" flipV="0">
                                <a:off x="0" y="0"/>
                                <a:ext cx="2798784" cy="21005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38pt;height:165.40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i/>
                <w:color w:val="000000"/>
                <w:sz w:val="24"/>
              </w:rPr>
            </w:r>
            <w:r/>
          </w:p>
        </w:tc>
        <w:tc>
          <w:tcPr>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i/>
                <w:color w:val="000000"/>
                <w:sz w:val="24"/>
              </w:rPr>
              <w:t xml:space="preserve"> </w:t>
            </w:r>
            <w:r>
              <mc:AlternateContent>
                <mc:Choice Requires="wpg">
                  <w:drawing>
                    <wp:inline xmlns:wp="http://schemas.openxmlformats.org/drawingml/2006/wordprocessingDrawing" distT="0" distB="0" distL="0" distR="0">
                      <wp:extent cx="2896511" cy="217238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09272" name=""/>
                              <pic:cNvPicPr>
                                <a:picLocks noChangeAspect="1"/>
                              </pic:cNvPicPr>
                              <pic:nvPr/>
                            </pic:nvPicPr>
                            <pic:blipFill>
                              <a:blip r:embed="rId21"/>
                              <a:stretch/>
                            </pic:blipFill>
                            <pic:spPr bwMode="auto">
                              <a:xfrm flipH="0" flipV="0">
                                <a:off x="0" y="0"/>
                                <a:ext cx="2896510" cy="21723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07pt;height:171.05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i/>
                <w:color w:val="000000"/>
                <w:sz w:val="24"/>
              </w:rPr>
            </w:r>
            <w:r/>
          </w:p>
        </w:tc>
      </w:tr>
      <w:tr>
        <w:trPr/>
        <w:tc>
          <w:tcPr>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i/>
                <w:color w:val="000000"/>
                <w:sz w:val="24"/>
              </w:rPr>
              <w:t xml:space="preserve"> </w:t>
            </w:r>
            <w:r/>
          </w:p>
        </w:tc>
        <w:tc>
          <w:tcPr>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i/>
                <w:color w:val="000000"/>
                <w:sz w:val="24"/>
              </w:rPr>
              <w:t xml:space="preserve"> </w:t>
            </w: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275/2025/1678/VFI-BC.48.A</w:t>
      </w:r>
      <w:r>
        <w:rPr>
          <w:i/>
          <w:lang w:val="pt-BR"/>
        </w:rPr>
        <w:t xml:space="preserve"> </w:t>
      </w:r>
      <w:r>
        <w:rPr>
          <w:i/>
          <w:lang w:val="pt-BR"/>
        </w:rPr>
        <w:t xml:space="preserve">ngày 26 tháng 11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r>
        <w:rPr>
          <w:b/>
          <w:bCs/>
          <w:iCs/>
          <w:lang w:val="pt-BR"/>
        </w:rPr>
      </w:r>
      <w:r>
        <w:rPr>
          <w:b/>
          <w:bCs/>
          <w:iCs/>
          <w:lang w:val="pt-BR"/>
        </w:rPr>
      </w:r>
      <w:r>
        <w:rPr>
          <w:i/>
          <w:lang w:val="pt-BR"/>
        </w:rPr>
      </w:r>
    </w:p>
    <w:p>
      <w:pPr>
        <w:pBdr/>
        <w:spacing w:after="120"/>
        <w:ind/>
        <w:jc w:val="center"/>
        <w:rPr>
          <w:b/>
          <w:bCs/>
          <w:lang w:val="pt-BR"/>
        </w:rPr>
      </w:pPr>
      <w:r>
        <w:rPr>
          <w:b/>
          <w:bCs/>
          <w:iCs/>
          <w:highlight w:val="none"/>
          <w:lang w:val="pt-BR" w:bidi="pt-BR"/>
        </w:rPr>
      </w:r>
      <w:r>
        <mc:AlternateContent>
          <mc:Choice Requires="wpg">
            <w:drawing>
              <wp:inline xmlns:wp="http://schemas.openxmlformats.org/drawingml/2006/wordprocessingDrawing" distT="0" distB="0" distL="0" distR="0">
                <wp:extent cx="6048375" cy="576495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03235" name=""/>
                        <pic:cNvPicPr>
                          <a:picLocks noChangeAspect="1"/>
                        </pic:cNvPicPr>
                        <pic:nvPr/>
                      </pic:nvPicPr>
                      <pic:blipFill>
                        <a:blip r:embed="rId22"/>
                        <a:stretch/>
                      </pic:blipFill>
                      <pic:spPr bwMode="auto">
                        <a:xfrm>
                          <a:off x="0" y="0"/>
                          <a:ext cx="6048374" cy="57649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453.93pt;mso-wrap-distance-left:0.00pt;mso-wrap-distance-top:0.00pt;mso-wrap-distance-right:0.00pt;mso-wrap-distance-bottom:0.00pt;z-index:1;" stroked="false">
                <v:imagedata r:id="rId22" o:title=""/>
                <o:lock v:ext="edit" rotation="t"/>
              </v:shape>
            </w:pict>
          </mc:Fallback>
        </mc:AlternateContent>
      </w:r>
      <w:r>
        <w:rPr>
          <w:b/>
          <w:bCs/>
          <w:iCs/>
          <w:highlight w:val="none"/>
          <w:lang w:val="pt-BR" w:bidi="pt-BR"/>
        </w:rPr>
      </w:r>
      <w:r>
        <w:rPr>
          <w:b/>
          <w:bCs/>
          <w:iCs/>
          <w:highlight w:val="none"/>
          <w:lang w:val="pt-BR" w:bidi="pt-BR"/>
        </w:rPr>
      </w:r>
      <w:r>
        <w:rPr>
          <w:b/>
          <w:bCs/>
          <w:iCs/>
          <w:highlight w:val="none"/>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r>
        <w:rPr>
          <w:iCs/>
          <w:lang w:val="pt-BR"/>
        </w:rPr>
      </w:r>
      <w:r>
        <w:rPr>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6875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61864" name=""/>
                        <pic:cNvPicPr>
                          <a:picLocks noChangeAspect="1"/>
                        </pic:cNvPicPr>
                        <pic:nvPr/>
                      </pic:nvPicPr>
                      <pic:blipFill>
                        <a:blip r:embed="rId23"/>
                        <a:stretch/>
                      </pic:blipFill>
                      <pic:spPr bwMode="auto">
                        <a:xfrm>
                          <a:off x="0" y="0"/>
                          <a:ext cx="6048374" cy="6687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526.58pt;mso-wrap-distance-left:0.00pt;mso-wrap-distance-top:0.00pt;mso-wrap-distance-right:0.00pt;mso-wrap-distance-bottom:0.00pt;z-index:1;" stroked="false">
                <v:imagedata r:id="rId23" o:title=""/>
                <o:lock v:ext="edit" rotation="t"/>
              </v:shape>
            </w:pict>
          </mc:Fallback>
        </mc:AlternateContent>
      </w: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b/>
          <w:bCs/>
          <w:iCs/>
          <w:lang w:val="pt-BR"/>
        </w:rPr>
      </w:r>
      <w:r>
        <w:rPr>
          <w:b/>
          <w:bCs/>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590967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11559" name=""/>
                        <pic:cNvPicPr>
                          <a:picLocks noChangeAspect="1"/>
                        </pic:cNvPicPr>
                        <pic:nvPr/>
                      </pic:nvPicPr>
                      <pic:blipFill>
                        <a:blip r:embed="rId24"/>
                        <a:stretch/>
                      </pic:blipFill>
                      <pic:spPr bwMode="auto">
                        <a:xfrm>
                          <a:off x="0" y="0"/>
                          <a:ext cx="6048374" cy="59096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465.33pt;mso-wrap-distance-left:0.00pt;mso-wrap-distance-top:0.00pt;mso-wrap-distance-right:0.00pt;mso-wrap-distance-bottom:0.00pt;z-index:1;" stroked="false">
                <v:imagedata r:id="rId24" o:title=""/>
                <o:lock v:ext="edit" rotation="t"/>
              </v:shape>
            </w:pict>
          </mc:Fallback>
        </mc:AlternateContent>
      </w: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Phạm Thị Dung</w:t>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271</cp:revision>
  <dcterms:created xsi:type="dcterms:W3CDTF">2025-09-15T09:58:00Z</dcterms:created>
  <dcterms:modified xsi:type="dcterms:W3CDTF">2025-12-03T13:54:49Z</dcterms:modified>
</cp:coreProperties>
</file>