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bCs/>
          <w:i/>
          <w:sz w:val="28"/>
        </w:rPr>
      </w:pPr>
      <w:r>
        <w:rPr>
          <w:b/>
          <w:i/>
          <w:iCs/>
          <w:sz w:val="28"/>
          <w:lang w:val="vi-VN"/>
        </w:rPr>
      </w:r>
      <w:r>
        <w:rPr>
          <w:b/>
          <w:bCs/>
          <w:i/>
          <w:sz w:val="28"/>
        </w:rPr>
      </w:r>
      <w:r>
        <w:rPr>
          <w:b/>
          <w:bCs/>
          <w:i/>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159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159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275/2025/1715/VFI-CT.55.A</w:t>
                            </w:r>
                            <w:r/>
                          </w:p>
                          <w:p>
                            <w:pPr>
                              <w:pBdr>
                                <w:top w:val="none" w:color="000000" w:sz="4" w:space="0"/>
                                <w:left w:val="none" w:color="000000" w:sz="4" w:space="0"/>
                                <w:bottom w:val="none" w:color="000000" w:sz="4" w:space="0"/>
                                <w:right w:val="none" w:color="000000" w:sz="4" w:space="0"/>
                              </w:pBdr>
                              <w:spacing w:after="60" w:before="120"/>
                              <w:ind w:right="0" w:firstLine="0" w:left="0"/>
                              <w:jc w:val="center"/>
                              <w:rPr/>
                            </w:pPr>
                            <w:r>
                              <w:rPr>
                                <w:rFonts w:ascii="Times New Roman" w:hAnsi="Times New Roman" w:eastAsia="Times New Roman" w:cs="Times New Roman"/>
                                <w:b/>
                                <w:color w:val="000000"/>
                                <w:sz w:val="24"/>
                              </w:rPr>
                              <w:t xml:space="preserve">Khách hàng yêu cầu: ÔNG NGUYỄN DUY BẢY</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w:t>
                            </w:r>
                            <w:r>
                              <w:rPr>
                                <w:rFonts w:ascii="Times New Roman" w:hAnsi="Times New Roman" w:eastAsia="Times New Roman" w:cs="Times New Roman"/>
                                <w:b/>
                                <w:color w:val="000000"/>
                                <w:sz w:val="24"/>
                              </w:rPr>
                              <w:t xml:space="preserve">ài sản thẩm định: Quyền sử dụng đất tại thửa đất số: 74A, tờ bản đồ số 36 có địa chỉ: Tổ 2, khu 1, P.Cửa Ông, TP. Cẩm Phả, T. Quảng Ninh (nay là phường Cửa Ông, tỉnh Quảng Ninh) theo Giấy chứng nhận quyền sử dụng đất quyền sở hữu nhà ở và tài sản khác gắn </w:t>
                            </w:r>
                            <w:r>
                              <w:rPr>
                                <w:rFonts w:ascii="Times New Roman" w:hAnsi="Times New Roman" w:eastAsia="Times New Roman" w:cs="Times New Roman"/>
                                <w:b/>
                                <w:color w:val="000000"/>
                                <w:sz w:val="24"/>
                              </w:rPr>
                              <w:t xml:space="preserve">liền với đất số: DE 634498, số vào sổ cấp GCN: CH 00076 do UBND thành phố Cẩm Phả cấp ngày 26/8/2022; Chủ sử dụng đất là Ông Đỗ Thanh Tùng và Bà Trần Thị Thu Hương</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ab/>
                              <w:tab/>
                              <w:tab/>
                            </w: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p>
                          <w:p>
                            <w:pPr>
                              <w:pBdr/>
                              <w:spacing w:after="120" w:before="120" w:line="276" w:lineRule="auto"/>
                              <w:ind/>
                              <w:jc w:val="center"/>
                              <w:rPr>
                                <w:b/>
                                <w:bCs/>
                              </w:rPr>
                            </w:pPr>
                            <w:r>
                              <w:rPr>
                                <w:b/>
                              </w:rPr>
                            </w:r>
                            <w:r>
                              <w:rPr>
                                <w:b/>
                                <w:bCs/>
                              </w:rPr>
                            </w:r>
                            <w:r>
                              <w:rPr>
                                <w:b/>
                                <w:b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6.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275/2025/1715/VFI-CT.55.A</w:t>
                      </w:r>
                      <w:r/>
                    </w:p>
                    <w:p>
                      <w:pPr>
                        <w:pBdr>
                          <w:top w:val="none" w:color="000000" w:sz="4" w:space="0"/>
                          <w:left w:val="none" w:color="000000" w:sz="4" w:space="0"/>
                          <w:bottom w:val="none" w:color="000000" w:sz="4" w:space="0"/>
                          <w:right w:val="none" w:color="000000" w:sz="4" w:space="0"/>
                        </w:pBdr>
                        <w:spacing w:after="60" w:before="120"/>
                        <w:ind w:right="0" w:firstLine="0" w:left="0"/>
                        <w:jc w:val="center"/>
                        <w:rPr/>
                      </w:pPr>
                      <w:r>
                        <w:rPr>
                          <w:rFonts w:ascii="Times New Roman" w:hAnsi="Times New Roman" w:eastAsia="Times New Roman" w:cs="Times New Roman"/>
                          <w:b/>
                          <w:color w:val="000000"/>
                          <w:sz w:val="24"/>
                        </w:rPr>
                        <w:t xml:space="preserve">Khách hàng yêu cầu: ÔNG NGUYỄN DUY BẢY</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w:t>
                      </w:r>
                      <w:r>
                        <w:rPr>
                          <w:rFonts w:ascii="Times New Roman" w:hAnsi="Times New Roman" w:eastAsia="Times New Roman" w:cs="Times New Roman"/>
                          <w:b/>
                          <w:color w:val="000000"/>
                          <w:sz w:val="24"/>
                        </w:rPr>
                        <w:t xml:space="preserve">ài sản thẩm định: Quyền sử dụng đất tại thửa đất số: 74A, tờ bản đồ số 36 có địa chỉ: Tổ 2, khu 1, P.Cửa Ông, TP. Cẩm Phả, T. Quảng Ninh (nay là phường Cửa Ông, tỉnh Quảng Ninh) theo Giấy chứng nhận quyền sử dụng đất quyền sở hữu nhà ở và tài sản khác gắn </w:t>
                      </w:r>
                      <w:r>
                        <w:rPr>
                          <w:rFonts w:ascii="Times New Roman" w:hAnsi="Times New Roman" w:eastAsia="Times New Roman" w:cs="Times New Roman"/>
                          <w:b/>
                          <w:color w:val="000000"/>
                          <w:sz w:val="24"/>
                        </w:rPr>
                        <w:t xml:space="preserve">liền với đất số: DE 634498, số vào sổ cấp GCN: CH 00076 do UBND thành phố Cẩm Phả cấp ngày 26/8/2022; Chủ sử dụng đất là Ông Đỗ Thanh Tùng và Bà Trần Thị Thu Hương</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ab/>
                        <w:tab/>
                        <w:tab/>
                      </w: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p>
                    <w:p>
                      <w:pPr>
                        <w:pBdr/>
                        <w:spacing w:after="120" w:before="120" w:line="276" w:lineRule="auto"/>
                        <w:ind/>
                        <w:jc w:val="center"/>
                        <w:rPr>
                          <w:b/>
                          <w:bCs/>
                        </w:rPr>
                      </w:pPr>
                      <w:r>
                        <w:rPr>
                          <w:b/>
                        </w:rPr>
                      </w:r>
                      <w:r>
                        <w:rPr>
                          <w:b/>
                          <w:bCs/>
                        </w:rPr>
                      </w:r>
                      <w:r>
                        <w:rPr>
                          <w:b/>
                          <w:b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26"/>
              <w:pBdr/>
              <w:spacing w:after="60" w:before="200"/>
              <w:ind/>
              <w:rPr>
                <w:rStyle w:val="1025"/>
                <w:rFonts w:ascii="Times New Roman" w:hAnsi="Times New Roman"/>
                <w:color w:val="auto"/>
                <w:lang w:val="pt-BR"/>
              </w:rPr>
            </w:pPr>
            <w:r>
              <w:rPr>
                <w:rFonts w:ascii="Times New Roman" w:hAnsi="Times New Roman"/>
                <w:color w:val="auto"/>
                <w:lang w:val="pt-BR"/>
              </w:rPr>
            </w:r>
            <w:r>
              <w:rPr>
                <w:rStyle w:val="1025"/>
                <w:rFonts w:ascii="Times New Roman" w:hAnsi="Times New Roman"/>
                <w:color w:val="auto"/>
                <w:lang w:val="pt-BR"/>
              </w:rPr>
            </w:r>
            <w:r>
              <w:rPr>
                <w:rStyle w:val="1025"/>
                <w:rFonts w:ascii="Times New Roman" w:hAnsi="Times New Roman"/>
                <w:color w:val="auto"/>
                <w:lang w:val="pt-BR"/>
              </w:rPr>
            </w:r>
          </w:p>
          <w:p>
            <w:pPr>
              <w:pStyle w:val="1026"/>
              <w:pBdr/>
              <w:spacing w:after="60" w:before="200"/>
              <w:ind/>
              <w:rPr>
                <w:sz w:val="24"/>
                <w:szCs w:val="24"/>
              </w:rPr>
            </w:pPr>
            <w:r>
              <w:rPr>
                <w:rStyle w:val="1025"/>
                <w:rFonts w:ascii="Times New Roman" w:hAnsi="Times New Roman"/>
                <w:color w:val="auto"/>
                <w:lang w:val="pt-BR"/>
              </w:rPr>
              <w:t xml:space="preserve">Số:</w:t>
            </w:r>
            <w:r>
              <w:rPr>
                <w:rStyle w:val="1025"/>
                <w:rFonts w:ascii="Times New Roman" w:hAnsi="Times New Roman"/>
                <w:color w:val="auto"/>
                <w:lang w:val="pt-BR"/>
              </w:rPr>
              <w:t xml:space="preserve"> </w:t>
            </w:r>
            <w:r>
              <w:rPr>
                <w:rFonts w:ascii="Times New Roman" w:hAnsi="Times New Roman" w:eastAsia="Times New Roman" w:cs="Times New Roman"/>
                <w:color w:val="000000"/>
                <w:sz w:val="24"/>
              </w:rPr>
              <w:t xml:space="preserve">275/2025/1715/VFI-CT.55.A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26"/>
              <w:pBdr/>
              <w:spacing w:after="60" w:before="200"/>
              <w:ind w:right="-56"/>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p>
            <w:pPr>
              <w:pStyle w:val="1026"/>
              <w:pBdr/>
              <w:spacing w:after="60" w:before="200"/>
              <w:ind w:right="-56"/>
              <w:jc w:val="right"/>
              <w:rPr>
                <w:sz w:val="24"/>
                <w:szCs w:val="24"/>
                <w:lang w:val="vi-VN"/>
              </w:rPr>
            </w:pPr>
            <w:r>
              <w:rPr>
                <w:rStyle w:val="1025"/>
                <w:rFonts w:ascii="Times New Roman" w:hAnsi="Times New Roman"/>
                <w:i/>
                <w:color w:val="auto"/>
              </w:rPr>
            </w:r>
            <w:r>
              <w:rPr>
                <w:rFonts w:ascii="Times New Roman" w:hAnsi="Times New Roman" w:eastAsia="Times New Roman" w:cs="Times New Roman"/>
                <w:i/>
                <w:color w:val="000000" w:themeColor="text1"/>
                <w:sz w:val="24"/>
              </w:rPr>
              <w:t xml:space="preserve">TP. Hà Nội, ngày 03 tháng 12 năm 2025   </w:t>
            </w:r>
            <w:r>
              <w:rPr>
                <w:rFonts w:ascii="Arial" w:hAnsi="Arial" w:eastAsia="Arial" w:cs="Arial"/>
                <w:i/>
                <w:color w:val="0000ff"/>
                <w:sz w:val="24"/>
              </w:rPr>
              <w:t xml:space="preserve">  </w:t>
            </w:r>
            <w:r>
              <w:rPr>
                <w:rStyle w:val="1025"/>
                <w:rFonts w:ascii="Times New Roman" w:hAnsi="Times New Roman"/>
                <w:i/>
                <w:color w:val="auto"/>
                <w:lang w:val="vi-VN"/>
              </w:rPr>
              <w:t xml:space="preserve"> </w:t>
            </w:r>
            <w:r>
              <w:rPr>
                <w:rStyle w:val="1025"/>
                <w:rFonts w:ascii="Times New Roman" w:hAnsi="Times New Roman"/>
                <w:i/>
                <w:color w:val="auto"/>
                <w:lang w:val="vi-VN"/>
              </w:rPr>
              <w:t xml:space="preserve">  </w:t>
            </w:r>
            <w:r>
              <w:rPr>
                <w:sz w:val="24"/>
                <w:szCs w:val="24"/>
                <w:lang w:val="vi-VN"/>
              </w:rPr>
            </w:r>
            <w:r>
              <w:rPr>
                <w:sz w:val="24"/>
                <w:szCs w:val="24"/>
                <w:lang w:val="vi-VN"/>
              </w:rPr>
            </w:r>
          </w:p>
        </w:tc>
      </w:tr>
    </w:tbl>
    <w:p>
      <w:pPr>
        <w:pStyle w:val="1026"/>
        <w:pBdr/>
        <w:spacing w:after="120" w:before="200" w:line="288" w:lineRule="auto"/>
        <w:ind/>
        <w:jc w:val="center"/>
        <w:rPr>
          <w:rStyle w:val="1025"/>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w:hAnsi="Times New Roman" w:eastAsia="Times New Roman" w:cs="Times New Roman"/>
          <w:b/>
          <w:color w:val="000000"/>
          <w:sz w:val="24"/>
        </w:rPr>
        <w:t xml:space="preserve">ÔNG NGUYỄN DUY BẢY</w:t>
      </w:r>
      <w:r>
        <w:rPr>
          <w:rFonts w:ascii="Times New Roman Bold" w:hAnsi="Times New Roman Bold"/>
          <w:b/>
          <w:lang w:val="pt-BR"/>
        </w:rPr>
      </w:r>
      <w:r>
        <w:rPr>
          <w:rFonts w:ascii="Times New Roman Bold" w:hAnsi="Times New Roman Bold"/>
          <w:b/>
          <w:lang w:val="pt-BR"/>
        </w:rPr>
      </w:r>
    </w:p>
    <w:p>
      <w:pPr>
        <w:pBdr>
          <w:top w:val="none" w:color="000000" w:sz="4" w:space="0"/>
          <w:left w:val="none" w:color="000000" w:sz="4" w:space="0"/>
          <w:bottom w:val="none" w:color="000000" w:sz="4" w:space="0"/>
          <w:right w:val="none" w:color="000000" w:sz="4" w:space="0"/>
        </w:pBdr>
        <w:tabs>
          <w:tab w:val="left" w:leader="none" w:pos="450"/>
        </w:tabs>
        <w:spacing w:after="120" w:before="240" w:line="276" w:lineRule="auto"/>
        <w:ind w:right="0" w:firstLine="0" w:left="-72"/>
        <w:jc w:val="both"/>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rFonts w:ascii="Times New Roman" w:hAnsi="Times New Roman" w:eastAsia="Times New Roman" w:cs="Times New Roman"/>
          <w:color w:val="000000"/>
          <w:spacing w:val="-4"/>
          <w:sz w:val="24"/>
        </w:rPr>
        <w:t xml:space="preserve">275/2025/1715/VFI-HĐTĐ.55.A ký ngày 02/12/2025 giữa Ông Nguyễn Duy Bảy với Công ty Cổ phần Thẩm định và Đầu tư Tài chính Hoa Sen</w:t>
      </w:r>
      <w:r>
        <w:rPr>
          <w:rFonts w:ascii="Times New Roman" w:hAnsi="Times New Roman" w:eastAsia="Times New Roman" w:cs="Times New Roman"/>
          <w:color w:val="000000"/>
          <w:spacing w:val="-6"/>
          <w:sz w:val="24"/>
        </w:rPr>
        <w:t xml:space="preserve">;</w:t>
      </w:r>
      <w:r>
        <w:rPr>
          <w:rFonts w:ascii="Times New Roman" w:hAnsi="Times New Roman" w:eastAsia="Times New Roman" w:cs="Times New Roman"/>
          <w:color w:val="000000"/>
          <w:spacing w:val="-4"/>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pacing w:val="3"/>
          <w:sz w:val="24"/>
          <w:highlight w:val="white"/>
        </w:rPr>
        <w:t xml:space="preserve">275/2025/1715/VFI-BC.55.A </w:t>
      </w:r>
      <w:r>
        <w:rPr>
          <w:rFonts w:ascii="Times New Roman" w:hAnsi="Times New Roman" w:eastAsia="Times New Roman" w:cs="Times New Roman"/>
          <w:color w:val="c00000"/>
          <w:spacing w:val="3"/>
          <w:sz w:val="24"/>
          <w:highlight w:val="white"/>
        </w:rPr>
        <w:t xml:space="preserve">ngày</w:t>
      </w:r>
      <w:r>
        <w:rPr>
          <w:rFonts w:ascii="Times New Roman" w:hAnsi="Times New Roman" w:eastAsia="Times New Roman" w:cs="Times New Roman"/>
          <w:color w:val="000000"/>
          <w:spacing w:val="3"/>
          <w:sz w:val="24"/>
          <w:highlight w:val="white"/>
        </w:rPr>
        <w:t xml:space="preserve"> 0</w:t>
      </w:r>
      <w:r>
        <w:rPr>
          <w:rFonts w:ascii="Times New Roman" w:hAnsi="Times New Roman" w:eastAsia="Times New Roman" w:cs="Times New Roman"/>
          <w:color w:val="000000"/>
          <w:spacing w:val="-2"/>
          <w:sz w:val="24"/>
        </w:rPr>
        <w:t xml:space="preserve">3/12/2025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Pr>
          <w:rFonts w:ascii="Times New Roman" w:hAnsi="Times New Roman" w:eastAsia="Times New Roman" w:cs="Times New Roman"/>
          <w:sz w:val="24"/>
        </w:rPr>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w:hAnsi="Times New Roman" w:eastAsia="Times New Roman" w:cs="Times New Roman"/>
                <w:b/>
                <w:color w:val="000000"/>
                <w:sz w:val="24"/>
              </w:rPr>
              <w:t xml:space="preserve">ÔNG NGUYỄN DUY BẢY</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001069003657</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1969</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Thôn Thượng Trì Liên Hồng, Đan Phượng, Hà Nội.</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Nguyễn Trọng Điệp</w:t>
            </w:r>
            <w:r>
              <w:rPr>
                <w:b/>
                <w:bCs/>
                <w:lang w:val="vi-VN"/>
              </w:rPr>
              <w:tab/>
            </w:r>
            <w:r>
              <w:rPr>
                <w:b/>
                <w:bCs/>
              </w:rPr>
              <w:t xml:space="preserve">        </w:t>
            </w:r>
            <w:r>
              <w:rPr>
                <w:b/>
                <w:bCs/>
                <w:lang w:val="vi-VN"/>
              </w:rPr>
              <w:t xml:space="preserve">Chức vụ: </w:t>
            </w:r>
            <w:r>
              <w:rPr>
                <w:b/>
                <w:bCs/>
              </w:rPr>
              <w:t xml:space="preserve">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74A, tờ bản đồ số 36 có địa chỉ: Tổ 2, khu 1,P.Cửa Ông, TP. Cẩm Phả, T. Quảng Ninh (nay là phường Cửa Ông, tỉnh Quảng Ninh) theo Giấy chứng nhận quyền sử dụng đất quyền sở hữu nhà ở và tài sản khác gắn liền với đất số: DE</w:t>
      </w:r>
      <w:r>
        <w:rPr>
          <w:rFonts w:ascii="Times New Roman" w:hAnsi="Times New Roman" w:eastAsia="Times New Roman" w:cs="Times New Roman"/>
          <w:color w:val="000000"/>
          <w:sz w:val="24"/>
        </w:rPr>
        <w:t xml:space="preserve"> 634498, số vào sổ cấp GCN: CH 00076 do UBND thành phố Cẩm Phả cấp ngày 26/8/2022; Chủ sử dụng đất là Ông Đỗ Thanh Tùng và Bà Trần Thị Thu Hương</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Style w:val="103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9577"/>
        <w:gridCol w:w="47155"/>
        <w:gridCol w:w="17410"/>
        <w:gridCol w:w="39352"/>
        <w:gridCol w:w="34838"/>
      </w:tblGrid>
      <w:tr>
        <w:trPr>
          <w:trHeight w:val="861"/>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71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Hạng mục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Diện tích</w:t>
              <w:br/>
              <w:t xml:space="preserve">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2"/>
              </w:rPr>
              <w:t xml:space="preserve">Đơn giá</w:t>
              <w:br/>
              <w:t xml:space="preserve"> (Đồng/m²)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Giá trị thẩm định</w:t>
              <w:br/>
              <w:t xml:space="preserve">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039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74A, tờ bản đồ số 36 có địa chỉ: Tổ 2, khu 1,P.Cửa Ông, TP. Cẩm Phả, T. Quảng Ninh (nay là phường Cửa Ông, tỉnh Quảng Ninh) theo Giấy chứng nhận quyền sử dụng đất quyền sở hữu nhà ở và tài sản khác gắn liền với đất số: DE</w:t>
            </w:r>
            <w:r>
              <w:rPr>
                <w:rFonts w:ascii="Times New Roman" w:hAnsi="Times New Roman" w:eastAsia="Times New Roman" w:cs="Times New Roman"/>
                <w:b/>
                <w:color w:val="000000"/>
                <w:sz w:val="24"/>
              </w:rPr>
              <w:t xml:space="preserve"> 634498, số vào sổ cấp GCN: CH 00076 do UBND thành phố Cẩm Phả cấp ngày 26/8/2022; Chủ sử dụng đất là Ông Đỗ Thanh Tùng và Bà Trần Thị Thu Hương</w:t>
            </w: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71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Quyền sử dụng đất ở đô thị và đất trồng cây lâu năm</w:t>
            </w:r>
            <w:r/>
          </w:p>
        </w:tc>
        <w:tc>
          <w:tcPr>
            <w:tcBorders>
              <w:bottom w:val="single" w:color="000000" w:sz="8" w:space="0"/>
              <w:right w:val="single" w:color="000000" w:sz="8" w:space="0"/>
            </w:tcBorders>
            <w:tcMar>
              <w:left w:w="108" w:type="dxa"/>
              <w:top w:w="0" w:type="dxa"/>
              <w:right w:w="108" w:type="dxa"/>
              <w:bottom w:w="0" w:type="dxa"/>
            </w:tcMar>
            <w:tcW w:w="17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874,6</w:t>
            </w:r>
            <w:r/>
          </w:p>
        </w:tc>
        <w:tc>
          <w:tcPr>
            <w:tcBorders>
              <w:bottom w:val="single" w:color="000000" w:sz="8" w:space="0"/>
              <w:right w:val="single" w:color="000000" w:sz="8" w:space="0"/>
            </w:tcBorders>
            <w:tcMar>
              <w:left w:w="108" w:type="dxa"/>
              <w:top w:w="0" w:type="dxa"/>
              <w:right w:w="108" w:type="dxa"/>
              <w:bottom w:w="0" w:type="dxa"/>
            </w:tcMar>
            <w:tcW w:w="39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19.000.000</w:t>
            </w: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16.617.400.000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spacing w:after="0" w:before="0" w:line="240" w:lineRule="auto"/>
              <w:ind/>
              <w:rPr/>
            </w:pPr>
            <w:r/>
            <w:r/>
          </w:p>
        </w:tc>
        <w:tc>
          <w:tcPr>
            <w:gridSpan w:val="3"/>
            <w:tcBorders>
              <w:bottom w:val="single" w:color="000000" w:sz="8" w:space="0"/>
              <w:right w:val="single" w:color="000000" w:sz="8" w:space="0"/>
            </w:tcBorders>
            <w:tcMar>
              <w:left w:w="108" w:type="dxa"/>
              <w:top w:w="0" w:type="dxa"/>
              <w:right w:w="108" w:type="dxa"/>
              <w:bottom w:w="0" w:type="dxa"/>
            </w:tcMar>
            <w:tcW w:w="1039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Tổng cộng</w:t>
            </w: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16.617.400.000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1039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16.617.400.000</w:t>
            </w:r>
            <w:r/>
          </w:p>
        </w:tc>
      </w:tr>
      <w:tr>
        <w:trPr>
          <w:trHeight w:val="20"/>
        </w:trPr>
        <w:tc>
          <w:tcPr>
            <w:gridSpan w:val="5"/>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83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Mười sáu tỷ sáu trăm mười bảy triệu bốn trăm nghìn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highlight w:val="yellow"/>
              </w:rPr>
            </w:pPr>
            <w:r>
              <w:rPr>
                <w:rFonts w:eastAsia="Calibri"/>
                <w:bCs/>
                <w:highlight w:val="yellow"/>
                <w:lang w:val="vi-VN"/>
              </w:rPr>
            </w:r>
            <w:r>
              <w:rPr>
                <w:rFonts w:ascii="Times New Roman" w:hAnsi="Times New Roman" w:eastAsia="Times New Roman" w:cs="Times New Roman"/>
                <w:color w:val="000000"/>
                <w:sz w:val="24"/>
              </w:rPr>
              <w:t xml:space="preserve">Số thẻ thẩm định viên về giá: XVI25TS.2576</w:t>
            </w:r>
            <w:r>
              <w:rPr>
                <w:rFonts w:eastAsia="Calibri"/>
                <w:bCs/>
                <w:highlight w:val="yellow"/>
              </w:rPr>
            </w:r>
            <w:r>
              <w:rPr>
                <w:rFonts w:eastAsia="Calibri"/>
                <w:bCs/>
                <w:highlight w:val="yellow"/>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X15.1272</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26"/>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26"/>
              <w:pBdr/>
              <w:tabs>
                <w:tab w:val="left" w:leader="none" w:pos="5103"/>
              </w:tabs>
              <w:spacing w:before="100" w:line="360" w:lineRule="auto"/>
              <w:ind/>
              <w:jc w:val="left"/>
              <w:rPr>
                <w:sz w:val="24"/>
                <w:szCs w:val="24"/>
              </w:rPr>
            </w:pPr>
            <w:r>
              <w:rPr>
                <w:sz w:val="24"/>
                <w:szCs w:val="24"/>
              </w:rPr>
              <w:t xml:space="preserve">Số:</w:t>
            </w:r>
            <w:r>
              <w:rPr>
                <w:color w:val="c00000"/>
                <w:sz w:val="24"/>
                <w:szCs w:val="24"/>
              </w:rPr>
              <w:t xml:space="preserve"> </w:t>
            </w:r>
            <w:r>
              <w:rPr>
                <w:rFonts w:ascii="Times New Roman" w:hAnsi="Times New Roman" w:eastAsia="Times New Roman" w:cs="Times New Roman"/>
                <w:color w:val="c00000"/>
                <w:spacing w:val="3"/>
                <w:sz w:val="24"/>
                <w:highlight w:val="white"/>
              </w:rPr>
              <w:t xml:space="preserve">275/2025/1715/VFI-BC.55.A</w:t>
            </w:r>
            <w:r>
              <w:rPr>
                <w:sz w:val="24"/>
                <w:szCs w:val="24"/>
              </w:rPr>
            </w:r>
            <w:r>
              <w:rPr>
                <w:sz w:val="24"/>
                <w:szCs w:val="24"/>
              </w:rPr>
            </w:r>
          </w:p>
        </w:tc>
        <w:tc>
          <w:tcPr>
            <w:tcBorders/>
            <w:tcW w:w="4781" w:type="dxa"/>
            <w:textDirection w:val="lrTb"/>
            <w:noWrap w:val="false"/>
          </w:tcPr>
          <w:p>
            <w:pPr>
              <w:pStyle w:val="1026"/>
              <w:pBdr/>
              <w:tabs>
                <w:tab w:val="left" w:leader="none" w:pos="5103"/>
              </w:tabs>
              <w:spacing w:before="100" w:line="360" w:lineRule="auto"/>
              <w:ind/>
              <w:jc w:val="right"/>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p>
            <w:pPr>
              <w:pStyle w:val="1026"/>
              <w:pBdr/>
              <w:tabs>
                <w:tab w:val="left" w:leader="none" w:pos="5103"/>
              </w:tabs>
              <w:spacing w:before="100" w:line="360" w:lineRule="auto"/>
              <w:ind/>
              <w:jc w:val="right"/>
              <w:rPr>
                <w:i/>
                <w:iCs/>
                <w:sz w:val="24"/>
                <w:szCs w:val="24"/>
              </w:rPr>
            </w:pPr>
            <w:r>
              <w:rPr>
                <w:rStyle w:val="1025"/>
                <w:rFonts w:ascii="Times New Roman" w:hAnsi="Times New Roman"/>
                <w:i/>
                <w:color w:val="auto"/>
              </w:rPr>
            </w:r>
            <w:r>
              <w:rPr>
                <w:rFonts w:ascii="Times New Roman" w:hAnsi="Times New Roman" w:eastAsia="Times New Roman" w:cs="Times New Roman"/>
                <w:i/>
                <w:color w:val="000000"/>
                <w:sz w:val="24"/>
              </w:rPr>
              <w:t xml:space="preserve">Hà Nội, ngày 03 tháng 12 năm 2025</w:t>
            </w:r>
            <w:r>
              <w:rPr>
                <w:rStyle w:val="1025"/>
                <w:rFonts w:ascii="Times New Roman" w:hAnsi="Times New Roman"/>
                <w:i/>
                <w:color w:val="auto"/>
                <w:lang w:val="vi-VN"/>
              </w:rPr>
              <w:t xml:space="preserve">  </w:t>
            </w:r>
            <w:r>
              <w:rPr>
                <w:rStyle w:val="1025"/>
                <w:rFonts w:ascii="Times New Roman" w:hAnsi="Times New Roman"/>
                <w:i/>
                <w:color w:val="auto"/>
                <w:lang w:val="vi-VN"/>
              </w:rPr>
              <w:t xml:space="preserve">  </w:t>
            </w:r>
            <w:r>
              <w:rPr>
                <w:i/>
                <w:iCs/>
                <w:sz w:val="24"/>
                <w:szCs w:val="24"/>
              </w:rPr>
            </w:r>
            <w:r>
              <w:rPr>
                <w:i/>
                <w:iCs/>
                <w:sz w:val="24"/>
                <w:szCs w:val="24"/>
              </w:rPr>
            </w:r>
          </w:p>
        </w:tc>
      </w:tr>
    </w:tbl>
    <w:p>
      <w:pPr>
        <w:pStyle w:val="1026"/>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rFonts w:ascii="Times New Roman" w:hAnsi="Times New Roman" w:eastAsia="Times New Roman" w:cs="Times New Roman"/>
          <w:b w:val="0"/>
          <w:bCs w:val="0"/>
          <w:i/>
          <w:iCs/>
          <w:color w:val="000000" w:themeColor="text1"/>
          <w:sz w:val="24"/>
        </w:rPr>
        <w:t xml:space="preserve">275/2025/1715/VFI-CT.55.A</w:t>
      </w:r>
      <w:r>
        <w:rPr>
          <w:rFonts w:ascii="Times New Roman" w:hAnsi="Times New Roman" w:eastAsia="Times New Roman" w:cs="Times New Roman"/>
          <w:b w:val="0"/>
          <w:bCs w:val="0"/>
          <w:i/>
          <w:iCs/>
          <w:color w:val="000000" w:themeColor="text1"/>
          <w:spacing w:val="-6"/>
          <w:sz w:val="24"/>
        </w:rPr>
        <w:t xml:space="preserve"> </w:t>
      </w:r>
      <w:r>
        <w:rPr>
          <w:rFonts w:ascii="Times New Roman" w:hAnsi="Times New Roman" w:eastAsia="Times New Roman" w:cs="Times New Roman"/>
          <w:b w:val="0"/>
          <w:bCs w:val="0"/>
          <w:i/>
          <w:iCs/>
          <w:color w:val="000000"/>
          <w:spacing w:val="-6"/>
          <w:sz w:val="24"/>
        </w:rPr>
        <w:t xml:space="preserve">ngày 03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Nguyễn Trọng Điệp </w:t>
            </w:r>
            <w:r>
              <w:rPr>
                <w:b/>
                <w:bCs/>
                <w:lang w:val="vi-VN"/>
              </w:rPr>
              <w:tab/>
              <w:t xml:space="preserve">Chức vụ: </w:t>
            </w:r>
            <w:r>
              <w:rPr>
                <w:b/>
                <w:bCs/>
              </w:rPr>
              <w:t xml:space="preserve">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rFonts w:ascii="Times New Roman" w:hAnsi="Times New Roman" w:eastAsia="Times New Roman" w:cs="Times New Roman"/>
                <w:b/>
                <w:color w:val="000000"/>
                <w:sz w:val="24"/>
              </w:rPr>
              <w:t xml:space="preserve">ÔNG NGUYỄN DUY BẢY</w:t>
            </w:r>
            <w:r>
              <w:rPr>
                <w:b/>
                <w:bCs/>
              </w:rPr>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z w:val="24"/>
              </w:rPr>
              <w:t xml:space="preserve">001069003657</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z w:val="24"/>
              </w:rPr>
              <w:t xml:space="preserve">1969</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z w:val="24"/>
              </w:rPr>
              <w:t xml:space="preserve">Thôn Thượng Trì Liên Hồng, Đan Phượng, Hà Nội.</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74A, tờ bản đồ số 36 có địa chỉ: Tổ 2, khu 1, P.Cửa Ông, TP. Cẩm Phả, T. Quảng Ninh (nay là phường Cửa Ông, tỉnh Quảng Ninh) theo Giấy chứng nhận quyền sử dụng đất quyền sở hữu nhà ở và tài sản khác gắn liền với đất số: D</w:t>
            </w:r>
            <w:r>
              <w:rPr>
                <w:rFonts w:ascii="Times New Roman" w:hAnsi="Times New Roman" w:eastAsia="Times New Roman" w:cs="Times New Roman"/>
                <w:color w:val="000000"/>
                <w:sz w:val="24"/>
              </w:rPr>
              <w:t xml:space="preserve">E 634498, số vào sổ cấp GCN: CH 00076 do UBND thành phố Cẩm Phả cấp ngày 26/8/2022; Chủ sử dụng đất là Ông Đỗ Thanh Tùng và Bà Trần Thị Thu Hương</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color w:val="000000"/>
                <w:sz w:val="24"/>
              </w:rPr>
              <w:t xml:space="preserve">Tổ 2, khu 1, P.Cửa Ông, TP. Cẩm Phả, T. Quảng Ninh (nay là phường Cửa Ông, tỉnh Quảng Ninh)</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21.044628, 107.359883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7"/>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7"/>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bidi="pt-BR"/>
        </w:rPr>
      </w:r>
      <w:r>
        <w:rPr>
          <w:color w:val="000000" w:themeColor="text1"/>
          <w:lang w:val="pt-BR"/>
        </w:rPr>
        <w:t xml:space="preserve">Giấy chứng nhận quyền sử dụng đất, quyền sở hữu nhà ở và tài sản khác gắn liền với đất số: DE 634498, số vào sổ cấp GCN: CH 00076 do UBND thành phố Cẩm Phả cấp ngày 26/8/2022; Chủ sử dụng đất là Ông Đỗ Thanh Tùng và Bà Trần Thị Thu Hương</w:t>
      </w:r>
      <w:r>
        <w:rPr>
          <w:color w:val="000000" w:themeColor="text1"/>
          <w:lang w:val="pt-BR"/>
          <w14:ligatures w14:val="none"/>
        </w:rPr>
      </w:r>
      <w:r>
        <w:rPr>
          <w:color w:val="000000" w:themeColor="text1"/>
          <w:lang w:val="pt-BR"/>
          <w14:ligatures w14:val="none"/>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rFonts w:ascii="Times New Roman" w:hAnsi="Times New Roman" w:eastAsia="Times New Roman" w:cs="Times New Roman"/>
          <w:color w:val="000000"/>
          <w:sz w:val="24"/>
        </w:rPr>
        <w:t xml:space="preserve">275/2025/1715/VFI-HĐTĐ.55.A  ký ngày 02/12/2025 giữa </w:t>
      </w:r>
      <w:r>
        <w:rPr>
          <w:rFonts w:ascii="Times New Roman" w:hAnsi="Times New Roman" w:eastAsia="Times New Roman" w:cs="Times New Roman"/>
          <w:color w:val="000000"/>
          <w:spacing w:val="-4"/>
          <w:sz w:val="24"/>
        </w:rPr>
        <w:t xml:space="preserve">Ông Nguyễn Duy Bảy</w:t>
      </w:r>
      <w:r>
        <w:rPr>
          <w:rFonts w:ascii="Times New Roman" w:hAnsi="Times New Roman" w:eastAsia="Times New Roman" w:cs="Times New Roman"/>
          <w:color w:val="000000"/>
          <w:sz w:val="24"/>
        </w:rPr>
        <w:t xml:space="preserve"> với Công ty Cổ phần Thẩm định và Đầu tư Tài chính Hoa Sen;</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Cẩm Phả là một trong 4 thành phố ở Quảng Ninh được đánh giá là thành phố có thị trường bất động sản sôi động cùng tiềm năng phát triển mạnh mẽ. Đây là cơ hội và cũng là thách thức đối với các nhà đầu tư. Cùng OneHousing tìm hiểu chi tiết về khu vực này có </w:t>
      </w:r>
      <w:r>
        <w:rPr>
          <w:rFonts w:ascii="Times New Roman" w:hAnsi="Times New Roman" w:eastAsia="Times New Roman" w:cs="Times New Roman"/>
          <w:color w:val="000000"/>
          <w:sz w:val="24"/>
        </w:rPr>
        <w:t xml:space="preserve">những lợi thế ưu việt như thế nào nhé.</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Theo số liệu từ Wikipedia, Cẩm Phả có diện tích tự nhiên khoảng 335,8km2, địa hình chủ yếu là đồi núi chiếm đến 55,4% tổng diện tích. Dân số của thành phố tính đến năm 2019 khoảng 155.800 người, mật độ dân số tương đương 463 người/km2</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Mặc dù thị trường bất động sản cả nước vẫn đang đối mặt với nhiều khó khăn trong năm 2024 nhưng tại Quảng Ninh đã có những dấu hiệu phục hồi đáng chú ý. Theo số liệu từ một số sàn giao dịch bất động sản, từ đầu năm đến nay, lượng giao dịch đã tăng hơn 12% </w:t>
      </w:r>
      <w:r>
        <w:rPr>
          <w:rFonts w:ascii="Times New Roman" w:hAnsi="Times New Roman" w:eastAsia="Times New Roman" w:cs="Times New Roman"/>
          <w:color w:val="000000"/>
          <w:sz w:val="24"/>
        </w:rPr>
        <w:t xml:space="preserve">so với cùng kỳ năm trước.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Mức độ quan tâm đến thị trường bất động sản tại các khu vực trung tâm như Hạ Long, Vân Đồn, Cẩm Phả và Móng Cái cũng đã tăng mạnh. Đặc biệt, Cẩm Phả là khu vực ghi nhận mức tăng trưởng ấn tượng, mức độ quan tâm tăng 28% so với cùng ký năm trước. (Nguồn: Nh</w:t>
      </w:r>
      <w:r>
        <w:rPr>
          <w:rFonts w:ascii="Times New Roman" w:hAnsi="Times New Roman" w:eastAsia="Times New Roman" w:cs="Times New Roman"/>
          <w:color w:val="000000"/>
          <w:sz w:val="24"/>
        </w:rPr>
        <w:t xml:space="preserve">à Đầu Tư, tháng 07/2024)</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hành phố Cẩm Phả đang được quy hoạch để trở thành một đô thị hiện đại và bền vững, với tầm nhìn phát triển đến năm 2030. Quy hoạch tập trung vào việc mở rộng đô thị về phía biển, phát triển các khu đô thị mới, và nâng cao chất lượng hạ tầng giao thông cũng</w:t>
      </w:r>
      <w:r>
        <w:rPr>
          <w:rFonts w:ascii="Times New Roman" w:hAnsi="Times New Roman" w:eastAsia="Times New Roman" w:cs="Times New Roman"/>
          <w:color w:val="000000"/>
          <w:sz w:val="24"/>
        </w:rPr>
        <w:t xml:space="preserve"> như các tiện ích công cộng.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Thành phố Cẩm Phả đặt mục tiêu trở thành một trong những trung tâm kinh tế và du lịch của Quảng Ninh. Mục tiêu đến năm 2025 là nâng cao du lịch thành ngành kinh tế chủ lực, trở thành trung tâm du lịch thứ hai của tỉnh. Hiện tại, Cẩm Phả đang triển khai đề </w:t>
      </w:r>
      <w:r>
        <w:rPr>
          <w:rFonts w:ascii="Times New Roman" w:hAnsi="Times New Roman" w:eastAsia="Times New Roman" w:cs="Times New Roman"/>
          <w:color w:val="000000"/>
          <w:sz w:val="24"/>
        </w:rPr>
        <w:t xml:space="preserve">án phát triển kinh tế nhằm mở rộng các sản phẩm du lịch, mục tiêu thu hút 17 triệu lượt khách trong năm 2024.</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Nhờ vào nhiều tài nguyên du lịch và khung cảnh thiên nhiên đặc sắc, Cẩm Phả được xem như một “viên ngọc thô” với tiềm năng lớn chưa được khai thác. Đặc biệt, Cẩm Phả sở hữu nguồn nước khoáng nóng tự nhiên với độ mặn và nhiệt độ cao. Điều này tạo cơ hội cho</w:t>
      </w:r>
      <w:r>
        <w:rPr>
          <w:rFonts w:ascii="Times New Roman" w:hAnsi="Times New Roman" w:eastAsia="Times New Roman" w:cs="Times New Roman"/>
          <w:color w:val="000000"/>
          <w:sz w:val="24"/>
        </w:rPr>
        <w:t xml:space="preserve"> việc phát triển dịch vụ nghỉ dưỡng khoáng nóng cao cấp, đưa Cẩm Phả trở thành điểm đến du lịch sức khỏe nổi tiếng tại miền Bắc.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Sự phát triển hạ tầng giao thông, đặc biệt là các tuyến đường cao tốc và cảng biển như đường bao biển Hạ Long - Cẩm Phả, cao tốc Hạ Long - Vân Đồn và tuyến đường nối Cẩm Phả với Cảng hàng không quốc tế Vân Đồn đang là những yếu tố chính thúc đẩy tăng trưởn</w:t>
      </w:r>
      <w:r>
        <w:rPr>
          <w:rFonts w:ascii="Times New Roman" w:hAnsi="Times New Roman" w:eastAsia="Times New Roman" w:cs="Times New Roman"/>
          <w:color w:val="000000"/>
          <w:sz w:val="24"/>
        </w:rPr>
        <w:t xml:space="preserve">g giá trị bất động sản thành phố Cẩm Phả.</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b/>
          <w:color w:val="000000"/>
          <w:sz w:val="24"/>
        </w:rPr>
        <w:t xml:space="preserve">(https://onehousing.vn/blog/tiem-nang-bat-dong-san-khu-vuc-thanh-pho-cam-pha-quang-ninh-n17t)</w:t>
      </w:r>
      <w:r>
        <w:rPr>
          <w:bCs/>
          <w:i/>
          <w:lang w:val="pt-BR"/>
        </w:rPr>
      </w:r>
      <w:r>
        <w:rPr>
          <w:bCs/>
          <w:i/>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23"/>
        <w:gridCol w:w="2379"/>
        <w:gridCol w:w="1937"/>
        <w:gridCol w:w="1985"/>
        <w:gridCol w:w="2491"/>
      </w:tblGrid>
      <w:tr>
        <w:trPr>
          <w:trHeight w:val="1821"/>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74A, tờ bản đồ số 36 có địa chỉ: Tổ 2, khu 1,P.Cửa Ông, TP. Cẩm Phả, T. Quảng Ninh (nay là phường Cửa Ông, tỉnh Quảng Ninh) theo Giấy chứng nhận quyền sử dụng đất quyền sở hữu nhà ở và tài sản khác gắn liền với đất số: DE</w:t>
            </w:r>
            <w:r>
              <w:rPr>
                <w:rFonts w:ascii="Times New Roman" w:hAnsi="Times New Roman" w:eastAsia="Times New Roman" w:cs="Times New Roman"/>
                <w:b/>
                <w:color w:val="000000"/>
                <w:sz w:val="24"/>
              </w:rPr>
              <w:t xml:space="preserve"> 634498, số vào sổ cấp GCN: CH 00076 do UBND thành phố Cẩm Phả cấp ngày 26/8/2022; Chủ sử dụng đất là Ông Đỗ Thanh Tùng và Bà Trần Thị Thu Hương</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74A</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r>
      <w:tr>
        <w:trPr>
          <w:trHeight w:val="684"/>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Tổ 2, khu 1, P.Cửa Ông, TP. Cẩm Phả, T. Quảng Ninh (nay là phường Cửa Ông, tỉnh Quảng Ninh)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874,6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1248"/>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120m2 và đất trồng </w:t>
            </w:r>
            <w:r>
              <w:rPr>
                <w:rFonts w:ascii="Times New Roman" w:hAnsi="Times New Roman" w:eastAsia="Times New Roman" w:cs="Times New Roman"/>
                <w:color w:val="c00000"/>
                <w:sz w:val="24"/>
              </w:rPr>
              <w:t xml:space="preserve">cây</w:t>
            </w:r>
            <w:r>
              <w:rPr>
                <w:rFonts w:ascii="Times New Roman" w:hAnsi="Times New Roman" w:eastAsia="Times New Roman" w:cs="Times New Roman"/>
                <w:color w:val="000000"/>
                <w:sz w:val="24"/>
              </w:rPr>
              <w:t xml:space="preserve"> lâu năm: 754,6m2</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Lâu dài; Đất trồng cây lâu năm: Sử dụng đến ngày 01/07/2064</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Công nhận QSD đất như giao đất có thu tiền sử dụng đất: 874,6m2</w:t>
            </w:r>
            <w:r/>
          </w:p>
        </w:tc>
      </w:tr>
      <w:tr>
        <w:trPr>
          <w:trHeight w:val="468"/>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i/>
                <w:color w:val="000000"/>
                <w:sz w:val="24"/>
              </w:rPr>
              <w:t xml:space="preserve">Tách thửa từ GCNQSD đất số DD 068533 cấp ngày 30/05/2022</w:t>
            </w:r>
            <w:r/>
          </w:p>
        </w:tc>
      </w:tr>
      <w:tr>
        <w:trPr>
          <w:trHeight w:val="804"/>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thậm định chưa thu thập được các thông tin quy hoạch liên quan đến thửa đất thẩm định giá.</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684"/>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816"/>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Tổ 2, khu 1, P.Cửa Ông, TP. Cẩm Phả, T. Quảng Ninh (nay là phường Cửa Ông, tỉnh Quảng Ninh)</w:t>
            </w:r>
            <w:r/>
          </w:p>
        </w:tc>
      </w:tr>
      <w:tr>
        <w:trPr>
          <w:trHeight w:val="396"/>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1248"/>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trước mặt 20m</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trước mặt 20m</w:t>
            </w:r>
            <w:r/>
          </w:p>
        </w:tc>
      </w:tr>
      <w:tr>
        <w:trPr>
          <w:trHeight w:val="984"/>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color w:val="c00000"/>
              </w:rPr>
            </w:pPr>
            <w:r>
              <w:rPr>
                <w:rFonts w:ascii="Times New Roman" w:hAnsi="Times New Roman" w:eastAsia="Times New Roman" w:cs="Times New Roman"/>
                <w:color w:val="000000"/>
                <w:sz w:val="24"/>
              </w:rPr>
              <w:t xml:space="preserve">Tài sản nằm tại Tổ 2, khu 1,P.Cửa Ông, TP. Cẩm Phả, T. Quảng Ninh (nay là phường Cửa Ông, tỉnh Quảng Ninh); </w:t>
            </w:r>
            <w:r>
              <w:rPr>
                <w:rFonts w:ascii="Times New Roman" w:hAnsi="Times New Roman" w:eastAsia="Times New Roman" w:cs="Times New Roman"/>
                <w:color w:val="c00000"/>
                <w:sz w:val="24"/>
              </w:rPr>
              <w:t xml:space="preserve">tài sản tiếp giáp đường QL18A</w:t>
            </w:r>
            <w:r>
              <w:rPr>
                <w:color w:val="c00000"/>
              </w:rPr>
            </w:r>
            <w:r>
              <w:rPr>
                <w:color w:val="c00000"/>
              </w:rPr>
            </w:r>
          </w:p>
        </w:tc>
      </w:tr>
      <w:tr>
        <w:trPr>
          <w:trHeight w:val="1068"/>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Hướng Tây Bắc: Tiếp giáp đường nhựa khoảng 20m</w:t>
              <w:br/>
              <w:t xml:space="preserve">Các hướng khác: Tiếp giáp các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4"/>
                <w:highlight w:val="white"/>
              </w:rPr>
              <w:t xml:space="preserve">Vị trí trên bản đồ vệ tinh: (21.044628, 107.359883)</w:t>
            </w:r>
            <w:r>
              <w:rPr>
                <w:highlight w:val="white"/>
              </w:rPr>
            </w:r>
            <w:r>
              <w:rPr>
                <w:highlight w:val="white"/>
              </w:rPr>
            </w:r>
          </w:p>
        </w:tc>
      </w:tr>
      <w:tr>
        <w:trPr>
          <w:trHeight w:val="290"/>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spacing w:after="0" w:before="0" w:line="240" w:lineRule="auto"/>
              <w:ind/>
              <w:rPr>
                <w:highlight w:val="yellow"/>
              </w:rPr>
            </w:pPr>
            <w:r>
              <w:rPr>
                <w:highlight w:val="yellow"/>
              </w:rPr>
            </w:r>
            <w:r>
              <mc:AlternateContent>
                <mc:Choice Requires="wpg">
                  <w:drawing>
                    <wp:inline xmlns:wp="http://schemas.openxmlformats.org/drawingml/2006/wordprocessingDrawing" distT="0" distB="0" distL="0" distR="0">
                      <wp:extent cx="6048375" cy="319012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8998" name=""/>
                              <pic:cNvPicPr>
                                <a:picLocks noChangeAspect="1"/>
                              </pic:cNvPicPr>
                              <pic:nvPr/>
                            </pic:nvPicPr>
                            <pic:blipFill>
                              <a:blip r:embed="rId15"/>
                              <a:stretch/>
                            </pic:blipFill>
                            <pic:spPr bwMode="auto">
                              <a:xfrm>
                                <a:off x="0" y="0"/>
                                <a:ext cx="6048374" cy="31901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51.19pt;mso-wrap-distance-left:0.00pt;mso-wrap-distance-top:0.00pt;mso-wrap-distance-right:0.00pt;mso-wrap-distance-bottom:0.00pt;z-index:1;" stroked="false">
                      <v:imagedata r:id="rId15" o:title=""/>
                      <o:lock v:ext="edit" rotation="t"/>
                    </v:shape>
                  </w:pict>
                </mc:Fallback>
              </mc:AlternateContent>
            </w:r>
            <w:r>
              <w:rPr>
                <w:highlight w:val="yellow"/>
              </w:rPr>
            </w:r>
            <w:r>
              <w:rPr>
                <w:highlight w:val="yellow"/>
              </w:rP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874,6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17,41</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51,24</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 vuông vức</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Bắc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 đông đúc</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color w:val="c00000"/>
              </w:rPr>
            </w:pPr>
            <w:r>
              <w:rPr>
                <w:rFonts w:ascii="Times New Roman" w:hAnsi="Times New Roman" w:eastAsia="Times New Roman" w:cs="Times New Roman"/>
                <w:color w:val="000000"/>
                <w:sz w:val="24"/>
              </w:rPr>
              <w:t xml:space="preserve">Phù hợp để ở, </w:t>
            </w:r>
            <w:r>
              <w:rPr>
                <w:rFonts w:ascii="Times New Roman" w:hAnsi="Times New Roman" w:eastAsia="Times New Roman" w:cs="Times New Roman"/>
                <w:color w:val="c00000"/>
                <w:sz w:val="24"/>
              </w:rPr>
              <w:t xml:space="preserve">kinh doanh</w:t>
            </w:r>
            <w:r>
              <w:rPr>
                <w:color w:val="c00000"/>
              </w:rPr>
            </w:r>
            <w:r>
              <w:rPr>
                <w:color w:val="c00000"/>
              </w:rP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4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970"/>
        </w:trPr>
        <w:tc>
          <w:tcPr>
            <w:tcBorders>
              <w:left w:val="single" w:color="000000" w:sz="8" w:space="0"/>
              <w:bottom w:val="single" w:color="000000" w:sz="8" w:space="0"/>
              <w:right w:val="single" w:color="000000" w:sz="8" w:space="0"/>
            </w:tcBorders>
            <w:tcMar>
              <w:left w:w="108" w:type="dxa"/>
              <w:top w:w="0" w:type="dxa"/>
              <w:right w:w="108" w:type="dxa"/>
              <w:bottom w:w="0" w:type="dxa"/>
            </w:tcMar>
            <w:tcW w:w="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9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color w:val="c00000"/>
              </w:rPr>
            </w:pPr>
            <w:r>
              <w:rPr>
                <w:rFonts w:ascii="Times New Roman" w:hAnsi="Times New Roman" w:eastAsia="Times New Roman" w:cs="Times New Roman"/>
                <w:color w:val="c00000"/>
                <w:sz w:val="24"/>
              </w:rPr>
            </w:r>
            <w:r>
              <w:rPr>
                <w:rFonts w:ascii="Times New Roman" w:hAnsi="Times New Roman" w:eastAsia="Times New Roman" w:cs="Times New Roman"/>
                <w:color w:val="000000"/>
                <w:sz w:val="24"/>
              </w:rPr>
              <w:t xml:space="preserve">Căn cứ theo hiện trạng khảo sát thực tế dưới sự hướng dẫn của Khách hàng, có CTXD là nhà 1 tầng, mái tôn, </w:t>
            </w:r>
            <w:r>
              <w:rPr>
                <w:rFonts w:ascii="Times New Roman" w:hAnsi="Times New Roman" w:eastAsia="Times New Roman" w:cs="Times New Roman"/>
                <w:color w:val="c00000"/>
                <w:sz w:val="24"/>
              </w:rPr>
              <w:t xml:space="preserve">diện tích xây dựng khoảng 30m2 và 1 nhà mái tôn diện tích xây dựng khoảng 12m2</w:t>
            </w:r>
            <w:r>
              <w:rPr>
                <w:rFonts w:ascii="Times New Roman" w:hAnsi="Times New Roman" w:eastAsia="Times New Roman" w:cs="Times New Roman"/>
                <w:color w:val="c00000"/>
                <w:sz w:val="24"/>
              </w:rPr>
              <w:t xml:space="preserve">, </w:t>
            </w:r>
            <w:r>
              <w:rPr>
                <w:rFonts w:ascii="Times New Roman" w:hAnsi="Times New Roman" w:eastAsia="Times New Roman" w:cs="Times New Roman"/>
                <w:color w:val="c00000"/>
                <w:sz w:val="24"/>
              </w:rPr>
              <w:t xml:space="preserve">công trình được g</w:t>
            </w:r>
            <w:r>
              <w:rPr>
                <w:rFonts w:ascii="Times New Roman" w:hAnsi="Times New Roman" w:eastAsia="Times New Roman" w:cs="Times New Roman"/>
                <w:color w:val="c00000"/>
                <w:sz w:val="24"/>
              </w:rPr>
              <w:t xml:space="preserve">hi nhận GCN số DE 634498.</w:t>
            </w:r>
            <w:r>
              <w:rPr>
                <w:color w:val="c00000"/>
              </w:rPr>
            </w:r>
            <w:r>
              <w:rPr>
                <w:color w:val="c00000"/>
              </w:rPr>
            </w:r>
          </w:p>
        </w:tc>
      </w:tr>
    </w:tbl>
    <w:p>
      <w:pPr>
        <w:pBdr/>
        <w:spacing w:line="235" w:lineRule="auto"/>
        <w:ind w:left="0"/>
        <w:jc w:val="both"/>
        <w:rPr>
          <w:u w:val="single"/>
        </w:rPr>
      </w:pPr>
      <w:r>
        <w:rPr>
          <w:u w:val="single"/>
        </w:rPr>
      </w:r>
      <w:r>
        <w:rPr>
          <w:u w:val="single"/>
        </w:rPr>
      </w:r>
      <w:r>
        <w:rPr>
          <w:u w:val="single"/>
        </w:rP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u w:val="single"/>
        </w:rPr>
        <w:t xml:space="preserve"> Các hạn chế của thửa đất:</w:t>
      </w:r>
      <w:r/>
    </w:p>
    <w:tbl>
      <w:tblPr>
        <w:tblStyle w:val="1031"/>
        <w:tblInd w:w="0" w:type="dxa"/>
        <w:tblW w:w="5000" w:type="pct"/>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604"/>
        <w:gridCol w:w="62694"/>
        <w:gridCol w:w="17780"/>
        <w:gridCol w:w="59088"/>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Nội dung</w:t>
            </w:r>
            <w:r/>
          </w:p>
        </w:tc>
        <w:tc>
          <w:tcPr>
            <w:gridSpan w:val="2"/>
            <w:tcBorders>
              <w:top w:val="single" w:color="000000" w:sz="8" w:space="0"/>
              <w:bottom w:val="single" w:color="000000" w:sz="8" w:space="0"/>
              <w:right w:val="single" w:color="000000" w:sz="8" w:space="0"/>
            </w:tcBorders>
            <w:tcMar>
              <w:left w:w="45" w:type="dxa"/>
              <w:top w:w="0" w:type="dxa"/>
              <w:right w:w="45" w:type="dxa"/>
              <w:bottom w:w="0" w:type="dxa"/>
            </w:tcMar>
            <w:tcW w:w="7686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Đánh giá</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Trên đất/công trình có mộ</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Trên đất/công trình có điện thờ</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Gần nghĩa trang, nhà tang lễ (≤ 100m)</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Gần cây xăng (≤ 50m)</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ô nhiễm</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Thuộc khu vực có nguy cơ sạt lở</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Trên đất/công trình có nhà thờ họ, dòng tộc</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gia tộc, anh em họ hàng sống xung quanh</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Gần Am, Đình, Chùa, Miếu (≤ 50m)</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Gần đường sắt (≤ 50m)</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hướng vào thửa đất</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Có, cụ thể: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96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45" w:type="dxa"/>
              <w:top w:w="0" w:type="dxa"/>
              <w:right w:w="45" w:type="dxa"/>
              <w:bottom w:w="0" w:type="dxa"/>
            </w:tcMar>
            <w:tcW w:w="626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yếu tố khác</w:t>
            </w:r>
            <w:r/>
          </w:p>
        </w:tc>
        <w:tc>
          <w:tcPr>
            <w:tcBorders>
              <w:bottom w:val="single" w:color="000000" w:sz="8" w:space="0"/>
              <w:right w:val="single" w:color="000000" w:sz="8" w:space="0"/>
            </w:tcBorders>
            <w:tcMar>
              <w:left w:w="45" w:type="dxa"/>
              <w:top w:w="0" w:type="dxa"/>
              <w:right w:w="45" w:type="dxa"/>
              <w:bottom w:w="0" w:type="dxa"/>
            </w:tcMar>
            <w:tcW w:w="177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bottom w:val="single" w:color="000000" w:sz="8" w:space="0"/>
              <w:right w:val="single" w:color="000000" w:sz="8" w:space="0"/>
            </w:tcBorders>
            <w:tcMar>
              <w:left w:w="0" w:type="dxa"/>
              <w:top w:w="0" w:type="dxa"/>
              <w:right w:w="0" w:type="dxa"/>
              <w:bottom w:w="0" w:type="dxa"/>
            </w:tcMar>
            <w:tcW w:w="5908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bl>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highlight w:val="none"/>
          <w:lang w:val="pt-BR"/>
        </w:rPr>
      </w:r>
      <w:r>
        <w:rPr>
          <w:b/>
          <w:bCs/>
          <w:highlight w:val="none"/>
          <w:lang w:val="pt-BR"/>
        </w:rPr>
      </w:r>
      <w:r>
        <w:rPr>
          <w:lang w:val="pt-BR"/>
        </w:rPr>
      </w:r>
    </w:p>
    <w:p>
      <w:pPr>
        <w:pBdr/>
        <w:spacing w:after="120" w:before="120" w:line="276" w:lineRule="auto"/>
        <w:ind/>
        <w:jc w:val="both"/>
        <w:rPr>
          <w:b/>
          <w:bCs/>
          <w:highlight w:val="none"/>
          <w:lang w:val="pt-BR"/>
        </w:rPr>
      </w:pPr>
      <w:r>
        <w:rPr>
          <w:b/>
          <w:bCs/>
          <w:lang w:val="pt-BR"/>
        </w:rPr>
        <w:t xml:space="preserve">VII. CÁCH TIẾP CẬN, PHƯƠNG PHÁP THẨM ĐỊNH GIÁ</w:t>
      </w:r>
      <w:r>
        <w:rPr>
          <w:lang w:val="pt-BR"/>
        </w:rPr>
      </w:r>
      <w:r>
        <w:rPr>
          <w:b/>
          <w:bCs/>
          <w:highlight w:val="none"/>
          <w:lang w:val="pt-BR"/>
        </w:rPr>
      </w:r>
    </w:p>
    <w:p>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76"/>
        <w:gridCol w:w="1368"/>
        <w:gridCol w:w="1360"/>
        <w:gridCol w:w="2083"/>
        <w:gridCol w:w="2217"/>
        <w:gridCol w:w="2126"/>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7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6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1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36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21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51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80809"/>
                <w:sz w:val="24"/>
              </w:rPr>
              <w:t xml:space="preserve">Tổ 2 khu 1 phường Cửa Ông, TP. Cẩm Phả, Quảng Ninh</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80809"/>
                <w:sz w:val="24"/>
              </w:rPr>
              <w:t xml:space="preserve">Đường Cẩm Thịnh phường Cửa Ông, TP. Cẩm Phả, Quảng Ninh</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80809"/>
                <w:sz w:val="24"/>
              </w:rPr>
              <w:t xml:space="preserve">phường Cửa Ông, TP. Cẩm Phả, Quảng Ninh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101828"/>
                <w:sz w:val="24"/>
              </w:rPr>
              <w:t xml:space="preserve">Phường Cẩm Thịnh, Cẩm Phả, Quảng Ninh</w:t>
            </w:r>
            <w:r/>
          </w:p>
        </w:tc>
      </w:tr>
      <w:tr>
        <w:trPr>
          <w:trHeight w:val="151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hyperlink r:id="rId16" w:tooltip="https://alonhadat.com.vn/ban-dat-cam-thinh-cam-pha-321m-gia-6-ty-17707508.html" w:history="1">
              <w:r>
                <w:rPr>
                  <w:rStyle w:val="1017"/>
                  <w:rFonts w:ascii="Arial" w:hAnsi="Arial" w:eastAsia="Arial" w:cs="Arial"/>
                  <w:color w:val="0000ff"/>
                  <w:sz w:val="22"/>
                  <w:u w:val="none"/>
                </w:rPr>
                <w:t xml:space="preserve">https://alonhadat.com.vn/ban-dat-cam-thinh-cam-pha-321m-gia-6-ty-17707508.html</w:t>
              </w:r>
            </w:hyperlink>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hyperlink r:id="rId17" w:tooltip="https://sosanhnha.com/ban-dat-cam-thinh-cam-pha-quang-ninh-chi-voi-gia-uu-dai-6-894-ty-383m2-claPr34V0" w:history="1">
              <w:r>
                <w:rPr>
                  <w:rStyle w:val="1017"/>
                  <w:rFonts w:ascii="Arial" w:hAnsi="Arial" w:eastAsia="Arial" w:cs="Arial"/>
                  <w:color w:val="0000ff"/>
                  <w:sz w:val="22"/>
                  <w:u w:val="none"/>
                </w:rPr>
                <w:t xml:space="preserve">https://sosanhnha.com/ban-dat-cam-thinh-cam-pha-quang-ninh-chi-voi-gia-uu-dai-6-894-ty-383m2-claPr34V0</w:t>
              </w:r>
            </w:hyperlink>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hyperlink r:id="rId18" w:tooltip="https://meeyland.com/ban-dat-cam-pha-quang-ninh-i1122/305921533" w:history="1">
              <w:r>
                <w:rPr>
                  <w:rStyle w:val="1017"/>
                  <w:rFonts w:ascii="Arial" w:hAnsi="Arial" w:eastAsia="Arial" w:cs="Arial"/>
                  <w:color w:val="0000ff"/>
                  <w:sz w:val="22"/>
                  <w:u w:val="none"/>
                </w:rPr>
                <w:t xml:space="preserve">https://meeyland.com/ban-dat-cam-pha-quang-ninh-i1122/305921533</w:t>
              </w:r>
            </w:hyperlink>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0978.382.974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0763330989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0392387087</w:t>
            </w:r>
            <w:r/>
          </w:p>
        </w:tc>
      </w:tr>
      <w:tr>
        <w:trPr>
          <w:trHeight w:val="348"/>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r>
      <w:tr>
        <w:trPr>
          <w:trHeight w:val="8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744"/>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480"/>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 và 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3"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 và 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 và 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 và đất trồng cây lâu năm</w:t>
            </w:r>
            <w:r/>
          </w:p>
        </w:tc>
      </w:tr>
      <w:tr>
        <w:trPr>
          <w:trHeight w:val="121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ff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tiếp giáp mặt đường QL18A</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tiếp giáp đường Cẩm Thịnh cách đường QL18A khoảng 1,3km</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tiếp giáp đường Cẩm Thịnh cách đường QL18A khoảng 900m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tiếp giáp đường Cẩm Thịnh cách đường QL18A khoảng 350m</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20m</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5m</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4,2m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4m</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874,6</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321</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383,5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339,00</w:t>
            </w:r>
            <w:r/>
          </w:p>
        </w:tc>
      </w:tr>
      <w:tr>
        <w:trPr>
          <w:trHeight w:val="588"/>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200,0</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206,80</w:t>
            </w:r>
            <w:r/>
          </w:p>
        </w:tc>
      </w:tr>
      <w:tr>
        <w:trPr>
          <w:trHeight w:val="564"/>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CLN</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754,60</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121,0</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323,5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132,2</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Dtích đất ở/Tổng dt đất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62%</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61%</w:t>
            </w:r>
            <w:r/>
          </w:p>
        </w:tc>
      </w:tr>
      <w:tr>
        <w:trPr>
          <w:trHeight w:val="504"/>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17,41</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13,50</w:t>
            </w:r>
            <w:r/>
          </w:p>
        </w:tc>
      </w:tr>
      <w:tr>
        <w:trPr>
          <w:trHeight w:val="63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vuông vức</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vuông vức</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vuông vức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r>
      <w:tr>
        <w:trPr>
          <w:trHeight w:val="1200"/>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r>
      <w:tr>
        <w:trPr>
          <w:trHeight w:val="564"/>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6.000.000.000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6.890.000.000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6.440.000.000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5.400.000.000</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6.201.000.000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6.118.000.000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5.400.000.000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6.201.000.000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6.118.000.000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16.822.430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16.169.492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18.047.198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c00000"/>
                <w:sz w:val="22"/>
              </w:rPr>
            </w:pPr>
            <w:r>
              <w:rPr>
                <w:rFonts w:ascii="Times New Roman" w:hAnsi="Times New Roman" w:eastAsia="Times New Roman" w:cs="Times New Roman"/>
                <w:color w:val="c00000"/>
                <w:sz w:val="22"/>
              </w:rPr>
              <w:t xml:space="preserve">11</w:t>
            </w:r>
            <w:r>
              <w:rPr>
                <w:rFonts w:ascii="Times New Roman" w:hAnsi="Times New Roman" w:eastAsia="Times New Roman" w:cs="Times New Roman"/>
                <w:color w:val="c00000"/>
                <w:sz w:val="22"/>
              </w:rPr>
            </w:r>
            <w:r>
              <w:rPr>
                <w:rFonts w:ascii="Times New Roman" w:hAnsi="Times New Roman" w:eastAsia="Times New Roman" w:cs="Times New Roman"/>
                <w:color w:val="c00000"/>
                <w:sz w:val="22"/>
              </w:rPr>
            </w:r>
          </w:p>
        </w:tc>
        <w:tc>
          <w:tcPr>
            <w:tcBorders>
              <w:bottom w:val="single" w:color="000000" w:sz="8" w:space="0"/>
              <w:right w:val="single" w:color="000000" w:sz="8" w:space="0"/>
            </w:tcBorders>
            <w:tcMar>
              <w:left w:w="108" w:type="dxa"/>
              <w:top w:w="0" w:type="dxa"/>
              <w:right w:w="108" w:type="dxa"/>
              <w:bottom w:w="0" w:type="dxa"/>
            </w:tcMar>
            <w:tcW w:w="136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c00000"/>
                <w:sz w:val="22"/>
              </w:rPr>
            </w:pPr>
            <w:r>
              <w:rPr>
                <w:rFonts w:ascii="Times New Roman" w:hAnsi="Times New Roman" w:eastAsia="Times New Roman" w:cs="Times New Roman"/>
                <w:color w:val="c00000"/>
                <w:sz w:val="22"/>
              </w:rPr>
              <w:t xml:space="preserve">Diện tích đất ở/ Tổng diện tích đất</w:t>
            </w:r>
            <w:r>
              <w:rPr>
                <w:rFonts w:ascii="Times New Roman" w:hAnsi="Times New Roman" w:eastAsia="Times New Roman" w:cs="Times New Roman"/>
                <w:color w:val="c00000"/>
                <w:sz w:val="22"/>
              </w:rPr>
            </w:r>
            <w:r>
              <w:rPr>
                <w:rFonts w:ascii="Times New Roman" w:hAnsi="Times New Roman" w:eastAsia="Times New Roman" w:cs="Times New Roman"/>
                <w:color w:val="c00000"/>
                <w:sz w:val="22"/>
              </w:rPr>
            </w:r>
          </w:p>
        </w:tc>
        <w:tc>
          <w:tcPr>
            <w:tcBorders>
              <w:bottom w:val="single" w:color="000000" w:sz="8" w:space="0"/>
              <w:right w:val="single" w:color="000000" w:sz="8" w:space="0"/>
            </w:tcBorders>
            <w:tcMar>
              <w:left w:w="108" w:type="dxa"/>
              <w:top w:w="0" w:type="dxa"/>
              <w:right w:w="108" w:type="dxa"/>
              <w:bottom w:w="0" w:type="dxa"/>
            </w:tcMar>
            <w:tcW w:w="1360"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c00000"/>
                <w:sz w:val="22"/>
              </w:rPr>
            </w:pPr>
            <w:r>
              <w:rPr>
                <w:rFonts w:ascii="Times New Roman" w:hAnsi="Times New Roman" w:eastAsia="Times New Roman" w:cs="Times New Roman"/>
                <w:color w:val="c00000"/>
                <w:sz w:val="22"/>
              </w:rPr>
            </w:r>
            <w:r>
              <w:rPr>
                <w:rFonts w:ascii="Times New Roman" w:hAnsi="Times New Roman" w:eastAsia="Times New Roman" w:cs="Times New Roman"/>
                <w:color w:val="c00000"/>
                <w:sz w:val="22"/>
              </w:rPr>
            </w:r>
            <w:r>
              <w:rPr>
                <w:rFonts w:ascii="Times New Roman" w:hAnsi="Times New Roman" w:eastAsia="Times New Roman" w:cs="Times New Roman"/>
                <w:color w:val="c00000"/>
                <w:sz w:val="22"/>
              </w:rPr>
            </w:r>
          </w:p>
        </w:tc>
        <w:tc>
          <w:tcPr>
            <w:tcBorders>
              <w:bottom w:val="single" w:color="000000" w:sz="8" w:space="0"/>
              <w:right w:val="single" w:color="000000" w:sz="8" w:space="0"/>
            </w:tcBorders>
            <w:tcMar>
              <w:left w:w="108" w:type="dxa"/>
              <w:top w:w="0" w:type="dxa"/>
              <w:right w:w="108" w:type="dxa"/>
              <w:bottom w:w="0" w:type="dxa"/>
            </w:tcMar>
            <w:tcW w:w="208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c00000"/>
                <w:sz w:val="22"/>
              </w:rPr>
            </w:pPr>
            <w:r>
              <w:rPr>
                <w:rFonts w:ascii="Times New Roman" w:hAnsi="Times New Roman" w:eastAsia="Times New Roman" w:cs="Times New Roman"/>
                <w:color w:val="c00000"/>
                <w:sz w:val="22"/>
              </w:rPr>
              <w:t xml:space="preserve">Lợi thế hơn</w:t>
            </w:r>
            <w:r>
              <w:rPr>
                <w:rFonts w:ascii="Times New Roman" w:hAnsi="Times New Roman" w:eastAsia="Times New Roman" w:cs="Times New Roman"/>
                <w:color w:val="c00000"/>
                <w:sz w:val="22"/>
              </w:rPr>
            </w:r>
            <w:r>
              <w:rPr>
                <w:rFonts w:ascii="Times New Roman" w:hAnsi="Times New Roman" w:eastAsia="Times New Roman" w:cs="Times New Roman"/>
                <w:color w:val="c00000"/>
                <w:sz w:val="22"/>
              </w:rPr>
            </w:r>
          </w:p>
        </w:tc>
        <w:tc>
          <w:tcPr>
            <w:tcBorders>
              <w:bottom w:val="single" w:color="000000" w:sz="8" w:space="0"/>
              <w:right w:val="single" w:color="000000" w:sz="8" w:space="0"/>
            </w:tcBorders>
            <w:tcMar>
              <w:left w:w="108" w:type="dxa"/>
              <w:top w:w="0" w:type="dxa"/>
              <w:right w:w="108" w:type="dxa"/>
              <w:bottom w:w="0" w:type="dxa"/>
            </w:tcMar>
            <w:tcW w:w="22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c00000"/>
                <w:sz w:val="22"/>
              </w:rPr>
            </w:pPr>
            <w:r>
              <w:rPr>
                <w:rFonts w:ascii="Times New Roman" w:hAnsi="Times New Roman" w:eastAsia="Times New Roman" w:cs="Times New Roman"/>
                <w:color w:val="c00000"/>
                <w:sz w:val="22"/>
              </w:rPr>
              <w:t xml:space="preserve">Tương đồng</w:t>
            </w:r>
            <w:r>
              <w:rPr>
                <w:rFonts w:ascii="Times New Roman" w:hAnsi="Times New Roman" w:eastAsia="Times New Roman" w:cs="Times New Roman"/>
                <w:color w:val="c00000"/>
                <w:sz w:val="22"/>
              </w:rPr>
            </w:r>
            <w:r>
              <w:rPr>
                <w:rFonts w:ascii="Times New Roman" w:hAnsi="Times New Roman" w:eastAsia="Times New Roman" w:cs="Times New Roman"/>
                <w:color w:val="c00000"/>
                <w:sz w:val="22"/>
              </w:rPr>
            </w:r>
          </w:p>
        </w:tc>
        <w:tc>
          <w:tcPr>
            <w:tcBorders>
              <w:bottom w:val="single" w:color="000000" w:sz="8" w:space="0"/>
              <w:right w:val="single" w:color="000000" w:sz="8" w:space="0"/>
            </w:tcBorders>
            <w:tcMar>
              <w:left w:w="108" w:type="dxa"/>
              <w:top w:w="0" w:type="dxa"/>
              <w:right w:w="108" w:type="dxa"/>
              <w:bottom w:w="0" w:type="dxa"/>
            </w:tcMar>
            <w:tcW w:w="21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c00000"/>
                <w:sz w:val="22"/>
              </w:rPr>
            </w:pPr>
            <w:r>
              <w:rPr>
                <w:rFonts w:ascii="Times New Roman" w:hAnsi="Times New Roman" w:eastAsia="Times New Roman" w:cs="Times New Roman"/>
                <w:color w:val="c00000"/>
                <w:sz w:val="22"/>
              </w:rPr>
              <w:t xml:space="preserve">Lợi thế hơn</w:t>
            </w:r>
            <w:r>
              <w:rPr>
                <w:rFonts w:ascii="Times New Roman" w:hAnsi="Times New Roman" w:eastAsia="Times New Roman" w:cs="Times New Roman"/>
                <w:color w:val="c00000"/>
                <w:sz w:val="22"/>
              </w:rPr>
            </w:r>
            <w:r>
              <w:rPr>
                <w:rFonts w:ascii="Times New Roman" w:hAnsi="Times New Roman" w:eastAsia="Times New Roman" w:cs="Times New Roman"/>
                <w:color w:val="c00000"/>
                <w:sz w:val="22"/>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3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2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77"/>
        <w:gridCol w:w="2422"/>
        <w:gridCol w:w="1545"/>
        <w:gridCol w:w="1699"/>
        <w:gridCol w:w="1750"/>
        <w:gridCol w:w="1750"/>
        <w:gridCol w:w="1907"/>
      </w:tblGrid>
      <w:tr>
        <w:trPr>
          <w:trHeight w:val="630"/>
        </w:trPr>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57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so sánh 3</w:t>
            </w:r>
            <w:r/>
          </w:p>
        </w:tc>
      </w:tr>
      <w:tr>
        <w:trPr>
          <w:trHeight w:val="828"/>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left"/>
              <w:rPr/>
            </w:pPr>
            <w:r>
              <w:rPr>
                <w:rFonts w:ascii="Times New Roman" w:hAnsi="Times New Roman" w:eastAsia="Times New Roman" w:cs="Times New Roman"/>
                <w:color w:val="000000"/>
                <w:sz w:val="22"/>
              </w:rPr>
              <w:t xml:space="preserve"> 5.400.000.000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left"/>
              <w:rPr/>
            </w:pPr>
            <w:r>
              <w:rPr>
                <w:rFonts w:ascii="Times New Roman" w:hAnsi="Times New Roman" w:eastAsia="Times New Roman" w:cs="Times New Roman"/>
                <w:color w:val="000000"/>
                <w:sz w:val="22"/>
              </w:rPr>
              <w:t xml:space="preserve"> 6.201.000.000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left"/>
              <w:rPr/>
            </w:pPr>
            <w:r>
              <w:rPr>
                <w:rFonts w:ascii="Times New Roman" w:hAnsi="Times New Roman" w:eastAsia="Times New Roman" w:cs="Times New Roman"/>
                <w:color w:val="000000"/>
                <w:sz w:val="22"/>
              </w:rPr>
              <w:t xml:space="preserve">        6.118.000.000 </w:t>
            </w:r>
            <w:r/>
          </w:p>
        </w:tc>
      </w:tr>
      <w:tr>
        <w:trPr>
          <w:trHeight w:val="552"/>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left"/>
              <w:rPr/>
            </w:pPr>
            <w:r>
              <w:rPr>
                <w:rFonts w:ascii="Times New Roman" w:hAnsi="Times New Roman" w:eastAsia="Times New Roman" w:cs="Times New Roman"/>
                <w:color w:val="000000"/>
                <w:sz w:val="22"/>
              </w:rPr>
              <w:t xml:space="preserve">          16.822.430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left"/>
              <w:rPr/>
            </w:pPr>
            <w:r>
              <w:rPr>
                <w:rFonts w:ascii="Times New Roman" w:hAnsi="Times New Roman" w:eastAsia="Times New Roman" w:cs="Times New Roman"/>
                <w:color w:val="000000"/>
                <w:sz w:val="22"/>
              </w:rPr>
              <w:t xml:space="preserve">          16.169.492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left"/>
              <w:rPr/>
            </w:pPr>
            <w:r>
              <w:rPr>
                <w:rFonts w:ascii="Times New Roman" w:hAnsi="Times New Roman" w:eastAsia="Times New Roman" w:cs="Times New Roman"/>
                <w:color w:val="000000"/>
                <w:sz w:val="22"/>
              </w:rPr>
              <w:t xml:space="preserve">             18.047.198 </w:t>
            </w:r>
            <w:r/>
          </w:p>
        </w:tc>
      </w:tr>
      <w:tr>
        <w:trPr>
          <w:trHeight w:val="525"/>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828"/>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16.822.430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16.169.492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18.047.198 </w:t>
            </w:r>
            <w:r/>
          </w:p>
        </w:tc>
      </w:tr>
      <w:tr>
        <w:trPr>
          <w:trHeight w:val="828"/>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16.822.430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16.169.492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18.047.198 </w:t>
            </w:r>
            <w:r/>
          </w:p>
        </w:tc>
      </w:tr>
      <w:tr>
        <w:trPr>
          <w:trHeight w:val="480"/>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Đất ở tại đô thị và đất trồng cây lâu năm</w:t>
            </w:r>
            <w:r>
              <w:rPr>
                <w:rFonts w:ascii="Times New Roman" w:hAnsi="Times New Roman" w:eastAsia="Times New Roman" w:cs="Times New Roman"/>
                <w:b/>
                <w:color w:val="000000"/>
                <w:sz w:val="22"/>
              </w:rPr>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 và đất trồng cây lâu năm</w:t>
            </w:r>
            <w:r>
              <w:rPr>
                <w:rFonts w:ascii="Times New Roman" w:hAnsi="Times New Roman" w:eastAsia="Times New Roman" w:cs="Times New Roman"/>
                <w:b/>
                <w:color w:val="000000"/>
                <w:sz w:val="22"/>
              </w:rPr>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Đất ở tại đô thị và đất trồng cây lâu năm</w:t>
            </w:r>
            <w:r>
              <w:rPr>
                <w:rFonts w:ascii="Times New Roman" w:hAnsi="Times New Roman" w:eastAsia="Times New Roman" w:cs="Times New Roman"/>
                <w:b/>
                <w:color w:val="000000"/>
                <w:sz w:val="22"/>
              </w:rPr>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Đất ở tại đô thị và đất trồng cây lâu năm</w:t>
            </w:r>
            <w:r>
              <w:rPr>
                <w:rFonts w:ascii="Times New Roman" w:hAnsi="Times New Roman" w:eastAsia="Times New Roman" w:cs="Times New Roman"/>
                <w:b/>
                <w:color w:val="000000"/>
                <w:sz w:val="22"/>
              </w:rPr>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64"/>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16.822.430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16.169.492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18.047.198 </w:t>
            </w:r>
            <w:r/>
          </w:p>
        </w:tc>
      </w:tr>
      <w:tr>
        <w:trPr>
          <w:trHeight w:val="1668"/>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trên mặt đường QL18A</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ở đường Cẩm Thịnh cách đường QL18A khoảng 1,3km</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ở đường Cẩm Thịnh cách đường QL18A khoảng 900m</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ở đường Cẩm Thịnh cách đường QL18A khoảng 350m</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20,00%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18,00%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15,00%</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3.364.486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2.910.508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2.707.080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20.186.916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19.080.000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20.754.277 </w:t>
            </w:r>
            <w:r/>
          </w:p>
        </w:tc>
      </w:tr>
      <w:tr>
        <w:trPr>
          <w:trHeight w:val="276"/>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20m</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5m</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4,2m</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4m</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13,00%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15,00%</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2.186.916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2.425.424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2.707.080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22.373.832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21.505.424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23.461.357 </w:t>
            </w:r>
            <w:r/>
          </w:p>
        </w:tc>
      </w:tr>
      <w:tr>
        <w:trPr>
          <w:trHeight w:val="552"/>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Diện tích đất</w:t>
              <w:br/>
              <w:t xml:space="preserve"> (m²)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874,6</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321</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383,5</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339</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-15,00%</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-2.523.364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-2.425.424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-2.707.080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19.850.467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19.080.000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20.754.277 </w:t>
            </w:r>
            <w:r/>
          </w:p>
        </w:tc>
      </w:tr>
      <w:tr>
        <w:trPr>
          <w:trHeight w:val="276"/>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17,41</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13,5</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10,00%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3,00%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2,00%</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1.682.243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485.085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360.944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21.532.710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19.565.085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21.115.221 </w:t>
            </w:r>
            <w:r/>
          </w:p>
        </w:tc>
      </w:tr>
      <w:tr>
        <w:trPr>
          <w:trHeight w:val="504"/>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r>
      <w:tr>
        <w:trPr>
          <w:trHeight w:val="360"/>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21.532.710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19.565.085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21.115.221 </w:t>
            </w:r>
            <w:r/>
          </w:p>
        </w:tc>
      </w:tr>
      <w:tr>
        <w:trPr>
          <w:trHeight w:val="372"/>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Khá vuông vức</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Khá vuông vức</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Khá vuông vức</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-3,00%</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-541.416 </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21.532.710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19.565.085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20.573.805 </w:t>
            </w:r>
            <w:r/>
          </w:p>
        </w:tc>
      </w:tr>
      <w:tr>
        <w:trPr>
          <w:trHeight w:val="1080"/>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Khá</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Khá</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Khá</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5,00%</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841.121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808.475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902.360 </w:t>
            </w:r>
            <w:r/>
          </w:p>
        </w:tc>
      </w:tr>
      <w:tr>
        <w:trPr>
          <w:trHeight w:val="375"/>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22.373.832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20.373.559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21.476.165 </w:t>
            </w:r>
            <w:r/>
          </w:p>
        </w:tc>
      </w:tr>
      <w:tr>
        <w:trPr>
          <w:trHeight w:val="810"/>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Dtích đất ở/Tổng dt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14%</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62%</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16%</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61%</w:t>
            </w:r>
            <w:r/>
          </w:p>
        </w:tc>
      </w:tr>
      <w:tr>
        <w:trPr>
          <w:trHeight w:val="279"/>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-20,00%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-20,00%</w:t>
            </w:r>
            <w:r/>
          </w:p>
        </w:tc>
      </w:tr>
      <w:tr>
        <w:trPr>
          <w:trHeight w:val="279"/>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-3.364.486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-3.609.440 </w:t>
            </w:r>
            <w:r/>
          </w:p>
        </w:tc>
      </w:tr>
      <w:tr>
        <w:trPr>
          <w:trHeight w:val="279"/>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19.009.346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20.373.559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17.866.726 </w:t>
            </w:r>
            <w:r/>
          </w:p>
        </w:tc>
      </w:tr>
      <w:tr>
        <w:trPr>
          <w:trHeight w:val="1380"/>
        </w:trPr>
        <w:tc>
          <w:tcPr>
            <w:shd w:val="clear" w:color="ffffff" w:fill="ffffff"/>
            <w:tcBorders>
              <w:bottom w:val="single" w:color="000000" w:sz="4" w:space="0"/>
              <w:right w:val="single" w:color="000000" w:sz="5" w:space="0"/>
            </w:tcBorders>
            <w:tcMar>
              <w:left w:w="0" w:type="dxa"/>
              <w:top w:w="0" w:type="dxa"/>
              <w:right w:w="0" w:type="dxa"/>
              <w:bottom w:w="0" w:type="dxa"/>
            </w:tcMar>
            <w:tcW w:w="57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0,00%</w:t>
            </w:r>
            <w:r/>
          </w:p>
        </w:tc>
      </w:tr>
      <w:tr>
        <w:trPr>
          <w:trHeight w:val="276"/>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64"/>
        </w:trPr>
        <w:tc>
          <w:tcPr>
            <w:tcBorders>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19.009.346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20.373.559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17.866.726 </w:t>
            </w:r>
            <w:r/>
          </w:p>
        </w:tc>
      </w:tr>
      <w:tr>
        <w:trPr>
          <w:trHeight w:val="264"/>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19.009.346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20.373.559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17.866.726 </w:t>
            </w:r>
            <w:r/>
          </w:p>
        </w:tc>
      </w:tr>
      <w:tr>
        <w:trPr>
          <w:trHeight w:val="264"/>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54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19.083.210 </w:t>
            </w:r>
            <w:r/>
          </w:p>
        </w:tc>
      </w:tr>
      <w:tr>
        <w:trPr>
          <w:trHeight w:val="300"/>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-0,4%</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6,8%</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-6,4%</w:t>
            </w:r>
            <w:r/>
          </w:p>
        </w:tc>
      </w:tr>
      <w:tr>
        <w:trPr>
          <w:trHeight w:val="552"/>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276"/>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13.962.617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9.054.915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13.535.398 </w:t>
            </w:r>
            <w:r/>
          </w:p>
        </w:tc>
      </w:tr>
      <w:tr>
        <w:trPr>
          <w:trHeight w:val="276"/>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color w:val="ff0000"/>
                <w:sz w:val="22"/>
              </w:rPr>
              <w:t xml:space="preserve">E2</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ff0000"/>
                <w:sz w:val="22"/>
              </w:rPr>
              <w:t xml:space="preserve">Tổng số lần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Lần</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r>
      <w:tr>
        <w:trPr>
          <w:trHeight w:val="276"/>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color w:val="ff0000"/>
                <w:sz w:val="22"/>
              </w:rPr>
              <w:t xml:space="preserve">E3</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ff0000"/>
                <w:sz w:val="22"/>
              </w:rPr>
              <w:t xml:space="preserve">Biên độ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ff0000"/>
                <w:sz w:val="22"/>
              </w:rPr>
              <w:t xml:space="preserve"> </w:t>
            </w:r>
            <w:r/>
          </w:p>
        </w:tc>
        <w:tc>
          <w:tcPr>
            <w:shd w:val="clear" w:color="ffff00" w:fill="ffff00"/>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highlight w:val="none"/>
              </w:rPr>
            </w:pPr>
            <w:r>
              <w:rPr>
                <w:rFonts w:ascii="Times New Roman" w:hAnsi="Times New Roman" w:eastAsia="Times New Roman" w:cs="Times New Roman"/>
                <w:color w:val="ff0000"/>
                <w:sz w:val="22"/>
                <w:highlight w:val="none"/>
              </w:rPr>
              <w:t xml:space="preserve">5% - 20%</w:t>
            </w:r>
            <w:r>
              <w:rPr>
                <w:highlight w:val="none"/>
              </w:rPr>
            </w:r>
            <w:r>
              <w:rPr>
                <w:highlight w:val="none"/>
              </w:rPr>
            </w:r>
          </w:p>
        </w:tc>
        <w:tc>
          <w:tcPr>
            <w:shd w:val="clear" w:color="ffff00" w:fill="ffff00"/>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highlight w:val="none"/>
              </w:rPr>
            </w:pPr>
            <w:r>
              <w:rPr>
                <w:rFonts w:ascii="Times New Roman" w:hAnsi="Times New Roman" w:eastAsia="Times New Roman" w:cs="Times New Roman"/>
                <w:color w:val="ff0000"/>
                <w:sz w:val="22"/>
                <w:highlight w:val="none"/>
              </w:rPr>
              <w:t xml:space="preserve">3% - 18%</w:t>
            </w:r>
            <w:r>
              <w:rPr>
                <w:highlight w:val="none"/>
              </w:rPr>
            </w:r>
            <w:r>
              <w:rPr>
                <w:highlight w:val="none"/>
              </w:rPr>
            </w:r>
          </w:p>
        </w:tc>
        <w:tc>
          <w:tcPr>
            <w:shd w:val="clear" w:color="ffff00" w:fill="ffff00"/>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highlight w:val="none"/>
              </w:rPr>
            </w:pPr>
            <w:r>
              <w:rPr>
                <w:rFonts w:ascii="Times New Roman" w:hAnsi="Times New Roman" w:eastAsia="Times New Roman" w:cs="Times New Roman"/>
                <w:color w:val="ff0000"/>
                <w:sz w:val="22"/>
                <w:highlight w:val="none"/>
              </w:rPr>
              <w:t xml:space="preserve">2% - 20%</w:t>
            </w:r>
            <w:r>
              <w:rPr>
                <w:highlight w:val="none"/>
              </w:rPr>
            </w:r>
            <w:r>
              <w:rPr>
                <w:highlight w:val="none"/>
              </w:rPr>
            </w:r>
          </w:p>
        </w:tc>
      </w:tr>
      <w:tr>
        <w:trPr>
          <w:trHeight w:val="552"/>
        </w:trPr>
        <w:tc>
          <w:tcPr>
            <w:shd w:val="clear" w:color="ffffff" w:fill="ffffff"/>
            <w:tcBorders>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2.186.916 </w:t>
            </w:r>
            <w:r/>
          </w:p>
        </w:tc>
        <w:tc>
          <w:tcPr>
            <w:shd w:val="clear" w:color="ffffff" w:fill="ffffff"/>
            <w:tcBorders>
              <w:bottom w:val="single" w:color="000000" w:sz="5" w:space="0"/>
              <w:right w:val="single" w:color="000000" w:sz="5" w:space="0"/>
            </w:tcBorders>
            <w:tcMar>
              <w:left w:w="0" w:type="dxa"/>
              <w:top w:w="0" w:type="dxa"/>
              <w:right w:w="0" w:type="dxa"/>
              <w:bottom w:w="0" w:type="dxa"/>
            </w:tcMar>
            <w:tcW w:w="17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4.204.068 </w:t>
            </w:r>
            <w:r/>
          </w:p>
        </w:tc>
        <w:tc>
          <w:tcPr>
            <w:shd w:val="clear" w:color="ffffff" w:fill="ffffff"/>
            <w:tcBorders>
              <w:bottom w:val="single" w:color="000000" w:sz="5" w:space="0"/>
              <w:right w:val="single" w:color="000000" w:sz="5" w:space="0"/>
            </w:tcBorders>
            <w:tcMar>
              <w:left w:w="0" w:type="dxa"/>
              <w:top w:w="0" w:type="dxa"/>
              <w:right w:w="0" w:type="dxa"/>
              <w:bottom w:w="0" w:type="dxa"/>
            </w:tcMar>
            <w:tcW w:w="19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180.472 </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7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F</w:t>
            </w:r>
            <w:r/>
          </w:p>
        </w:tc>
        <w:tc>
          <w:tcPr>
            <w:shd w:val="clear" w:color="ffffff" w:fill="ffffff"/>
            <w:tcBorders>
              <w:bottom w:val="single" w:color="000000" w:sz="5" w:space="0"/>
              <w:right w:val="single" w:color="000000" w:sz="5" w:space="0"/>
            </w:tcBorders>
            <w:tcMar>
              <w:left w:w="0" w:type="dxa"/>
              <w:top w:w="0" w:type="dxa"/>
              <w:right w:w="0" w:type="dxa"/>
              <w:bottom w:w="0" w:type="dxa"/>
            </w:tcMar>
            <w:tcW w:w="242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Mức giá cho tài sản thẩm định (làm tròn)</w:t>
            </w:r>
            <w:r/>
          </w:p>
        </w:tc>
        <w:tc>
          <w:tcPr>
            <w:shd w:val="clear" w:color="ffffff" w:fill="ffffff"/>
            <w:tcBorders>
              <w:bottom w:val="single" w:color="000000" w:sz="5" w:space="0"/>
              <w:right w:val="single" w:color="000000" w:sz="5" w:space="0"/>
            </w:tcBorders>
            <w:tcMar>
              <w:left w:w="0" w:type="dxa"/>
              <w:top w:w="0" w:type="dxa"/>
              <w:right w:w="0" w:type="dxa"/>
              <w:bottom w:w="0" w:type="dxa"/>
            </w:tcMar>
            <w:tcW w:w="154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9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gridSpan w:val="3"/>
            <w:shd w:val="clear" w:color="ffffff" w:fill="ffffff"/>
            <w:tcBorders>
              <w:top w:val="single" w:color="000000" w:sz="5" w:space="0"/>
              <w:bottom w:val="single" w:color="000000" w:sz="5" w:space="0"/>
              <w:right w:val="single" w:color="000000" w:sz="4" w:space="0"/>
            </w:tcBorders>
            <w:tcMar>
              <w:left w:w="0" w:type="dxa"/>
              <w:top w:w="0" w:type="dxa"/>
              <w:right w:w="0" w:type="dxa"/>
              <w:bottom w:w="0" w:type="dxa"/>
            </w:tcMar>
            <w:tcW w:w="540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19.000.000 </w:t>
            </w:r>
            <w:r/>
          </w:p>
        </w:tc>
      </w:tr>
    </w:tbl>
    <w:p>
      <w:pPr>
        <w:pBdr/>
        <w:spacing w:after="120" w:before="120" w:line="276" w:lineRule="auto"/>
        <w:ind/>
        <w:jc w:val="both"/>
        <w:rPr>
          <w:b/>
          <w:bCs/>
          <w:i/>
        </w:rPr>
      </w:pPr>
      <w:r>
        <w:rPr>
          <w:i/>
          <w:iCs/>
          <w:u w:val="single"/>
        </w:rPr>
      </w:r>
      <w:r>
        <w:rPr>
          <w:b/>
          <w:bCs/>
          <w:i/>
          <w:iCs/>
          <w:u w:val="single"/>
        </w:rPr>
        <w:t xml:space="preserve">Về nguyên tắc khống chế</w:t>
      </w:r>
      <w:r>
        <w:rPr>
          <w:b/>
          <w:bCs/>
          <w:i/>
          <w:iCs/>
        </w:rPr>
        <w:t xml:space="preserve">: </w:t>
      </w:r>
      <w:r>
        <w:rPr>
          <w:b/>
          <w:bCs/>
          <w:i/>
        </w:rPr>
      </w:r>
      <w:r>
        <w:rPr>
          <w:b/>
          <w:bCs/>
          <w:i/>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rPr>
          <w:rFonts w:ascii="Times New Roman" w:hAnsi="Times New Roman" w:eastAsia="Times New Roman" w:cs="Times New Roman"/>
          <w:color w:val="000000"/>
          <w:sz w:val="24"/>
        </w:rPr>
        <w:t xml:space="preserve">-6,4% đến 6,8%</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19.000.000</w:t>
      </w:r>
      <w:r>
        <w:rPr>
          <w:b/>
          <w:bCs/>
          <w:color w:val="000000" w:themeColor="text1"/>
        </w:rPr>
        <w:t xml:space="preserve"> </w:t>
      </w:r>
      <w:r>
        <w:rPr>
          <w:b/>
          <w:bCs/>
        </w:rPr>
        <w:t xml:space="preserve">đồng/m².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Style w:val="103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9577"/>
        <w:gridCol w:w="47155"/>
        <w:gridCol w:w="17410"/>
        <w:gridCol w:w="39352"/>
        <w:gridCol w:w="34838"/>
      </w:tblGrid>
      <w:tr>
        <w:trPr>
          <w:trHeight w:val="861"/>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STT</w:t>
            </w:r>
            <w:r>
              <w:rPr>
                <w:sz w:val="24"/>
                <w:szCs w:val="24"/>
              </w:rPr>
            </w:r>
            <w:r>
              <w:rPr>
                <w:sz w:val="24"/>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471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Hạng mục tài sản</w:t>
            </w:r>
            <w:r>
              <w:rPr>
                <w:sz w:val="24"/>
                <w:szCs w:val="24"/>
              </w:rPr>
            </w:r>
            <w:r>
              <w:rPr>
                <w:sz w:val="24"/>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Diện tích</w:t>
              <w:br/>
              <w:t xml:space="preserve"> (m²)</w:t>
            </w:r>
            <w:r>
              <w:rPr>
                <w:sz w:val="24"/>
                <w:szCs w:val="24"/>
              </w:rPr>
            </w:r>
            <w:r>
              <w:rPr>
                <w:sz w:val="24"/>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Đơn giá</w:t>
              <w:br/>
              <w:t xml:space="preserve"> (Đồng/m²)</w:t>
            </w:r>
            <w:r>
              <w:rPr>
                <w:sz w:val="24"/>
                <w:szCs w:val="24"/>
              </w:rPr>
            </w:r>
            <w:r>
              <w:rPr>
                <w:sz w:val="24"/>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Giá trị thẩm định</w:t>
              <w:br/>
              <w:t xml:space="preserve"> (Đồng)</w:t>
            </w:r>
            <w:r>
              <w:rPr>
                <w:sz w:val="24"/>
                <w:szCs w:val="24"/>
              </w:rPr>
            </w:r>
            <w:r>
              <w:rPr>
                <w:sz w:val="24"/>
                <w:szCs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1</w:t>
            </w:r>
            <w:r>
              <w:rPr>
                <w:sz w:val="24"/>
                <w:szCs w:val="24"/>
              </w:rPr>
            </w:r>
            <w:r>
              <w:rPr>
                <w:sz w:val="24"/>
                <w:szCs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039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sz w:val="24"/>
                <w:szCs w:val="24"/>
              </w:rPr>
            </w:pPr>
            <w:r>
              <w:rPr>
                <w:rFonts w:ascii="Times New Roman" w:hAnsi="Times New Roman" w:eastAsia="Times New Roman" w:cs="Times New Roman"/>
                <w:b/>
                <w:color w:val="000000"/>
                <w:sz w:val="24"/>
                <w:szCs w:val="24"/>
              </w:rPr>
              <w:t xml:space="preserve">Quyền sử dụng đất tại thửa đất số: 74A, tờ bản đồ số 36 có địa chỉ: Tổ 2, khu 1,P.Cửa Ông, TP. Cẩm Phả, T. Quảng Ninh (nay là phường Cửa Ông, tỉnh Quảng Ninh) theo Giấy chứng nhận quyền sử dụng đất quyền sở hữu nhà ở và tài sản khác gắn liền với đất số: DE</w:t>
            </w:r>
            <w:r>
              <w:rPr>
                <w:rFonts w:ascii="Times New Roman" w:hAnsi="Times New Roman" w:eastAsia="Times New Roman" w:cs="Times New Roman"/>
                <w:b/>
                <w:color w:val="000000"/>
                <w:sz w:val="24"/>
                <w:szCs w:val="24"/>
              </w:rPr>
              <w:t xml:space="preserve"> 634498, số vào sổ cấp GCN: CH 00076 do UBND thành phố Cẩm Phả cấp ngày 26/8/2022; Chủ sử dụng đất là Ông Đỗ Thanh Tùng và Bà Trần Thị Thu Hương</w:t>
            </w:r>
            <w:r>
              <w:rPr>
                <w:sz w:val="24"/>
                <w:szCs w:val="24"/>
              </w:rPr>
            </w:r>
            <w:r>
              <w:rPr>
                <w:sz w:val="24"/>
                <w:szCs w:val="24"/>
              </w:rP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spacing w:after="0" w:before="0" w:line="240" w:lineRule="auto"/>
              <w:ind/>
              <w:rPr>
                <w:sz w:val="24"/>
                <w:szCs w:val="24"/>
              </w:rPr>
            </w:pPr>
            <w:r>
              <w:rPr>
                <w:sz w:val="24"/>
                <w:szCs w:val="24"/>
              </w:rPr>
            </w:r>
            <w:r>
              <w:rPr>
                <w:sz w:val="24"/>
                <w:szCs w:val="24"/>
              </w:rPr>
            </w:r>
            <w:r>
              <w:rPr>
                <w:sz w:val="24"/>
                <w:szCs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color w:val="000000"/>
                <w:sz w:val="24"/>
                <w:szCs w:val="24"/>
              </w:rPr>
              <w:t xml:space="preserve">1.1</w:t>
            </w:r>
            <w:r>
              <w:rPr>
                <w:sz w:val="24"/>
                <w:szCs w:val="24"/>
              </w:rPr>
            </w:r>
            <w:r>
              <w:rPr>
                <w:sz w:val="24"/>
                <w:szCs w:val="24"/>
              </w:rPr>
            </w:r>
          </w:p>
        </w:tc>
        <w:tc>
          <w:tcPr>
            <w:tcBorders>
              <w:bottom w:val="single" w:color="000000" w:sz="8" w:space="0"/>
              <w:right w:val="single" w:color="000000" w:sz="8" w:space="0"/>
            </w:tcBorders>
            <w:tcMar>
              <w:left w:w="108" w:type="dxa"/>
              <w:top w:w="0" w:type="dxa"/>
              <w:right w:w="108" w:type="dxa"/>
              <w:bottom w:w="0" w:type="dxa"/>
            </w:tcMar>
            <w:tcW w:w="471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color w:val="000000"/>
                <w:sz w:val="24"/>
                <w:szCs w:val="24"/>
              </w:rPr>
              <w:t xml:space="preserve">Quyền sử dụng đất ở đô thị và đất trồng cây lâu năm</w:t>
            </w:r>
            <w:r>
              <w:rPr>
                <w:sz w:val="24"/>
                <w:szCs w:val="24"/>
              </w:rPr>
            </w:r>
            <w:r>
              <w:rPr>
                <w:sz w:val="24"/>
                <w:szCs w:val="24"/>
              </w:rPr>
            </w:r>
          </w:p>
        </w:tc>
        <w:tc>
          <w:tcPr>
            <w:tcBorders>
              <w:bottom w:val="single" w:color="000000" w:sz="8" w:space="0"/>
              <w:right w:val="single" w:color="000000" w:sz="8" w:space="0"/>
            </w:tcBorders>
            <w:tcMar>
              <w:left w:w="108" w:type="dxa"/>
              <w:top w:w="0" w:type="dxa"/>
              <w:right w:w="108" w:type="dxa"/>
              <w:bottom w:w="0" w:type="dxa"/>
            </w:tcMar>
            <w:tcW w:w="17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sz w:val="24"/>
                <w:szCs w:val="24"/>
              </w:rPr>
            </w:pPr>
            <w:r>
              <w:rPr>
                <w:rFonts w:ascii="Times New Roman" w:hAnsi="Times New Roman" w:eastAsia="Times New Roman" w:cs="Times New Roman"/>
                <w:color w:val="000000"/>
                <w:sz w:val="24"/>
                <w:szCs w:val="24"/>
              </w:rPr>
              <w:t xml:space="preserve">874,6</w:t>
            </w:r>
            <w:r>
              <w:rPr>
                <w:sz w:val="24"/>
                <w:szCs w:val="24"/>
              </w:rPr>
            </w:r>
            <w:r>
              <w:rPr>
                <w:sz w:val="24"/>
                <w:szCs w:val="24"/>
              </w:rPr>
            </w:r>
          </w:p>
        </w:tc>
        <w:tc>
          <w:tcPr>
            <w:tcBorders>
              <w:bottom w:val="single" w:color="000000" w:sz="8" w:space="0"/>
              <w:right w:val="single" w:color="000000" w:sz="8" w:space="0"/>
            </w:tcBorders>
            <w:tcMar>
              <w:left w:w="108" w:type="dxa"/>
              <w:top w:w="0" w:type="dxa"/>
              <w:right w:w="108" w:type="dxa"/>
              <w:bottom w:w="0" w:type="dxa"/>
            </w:tcMar>
            <w:tcW w:w="39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color w:val="000000"/>
                <w:sz w:val="24"/>
                <w:szCs w:val="24"/>
              </w:rPr>
              <w:t xml:space="preserve">19.000.000</w:t>
            </w:r>
            <w:r>
              <w:rPr>
                <w:sz w:val="24"/>
                <w:szCs w:val="24"/>
              </w:rPr>
            </w:r>
            <w:r>
              <w:rPr>
                <w:sz w:val="24"/>
                <w:szCs w:val="24"/>
              </w:rP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sz w:val="24"/>
                <w:szCs w:val="24"/>
              </w:rPr>
            </w:pPr>
            <w:r>
              <w:rPr>
                <w:rFonts w:ascii="Times New Roman" w:hAnsi="Times New Roman" w:eastAsia="Times New Roman" w:cs="Times New Roman"/>
                <w:color w:val="000000"/>
                <w:sz w:val="24"/>
                <w:szCs w:val="24"/>
              </w:rPr>
              <w:t xml:space="preserve">16.617.400.000</w:t>
            </w:r>
            <w:r>
              <w:rPr>
                <w:sz w:val="24"/>
                <w:szCs w:val="24"/>
              </w:rPr>
            </w:r>
            <w:r>
              <w:rPr>
                <w:sz w:val="24"/>
                <w:szCs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spacing w:after="0" w:before="0" w:line="240" w:lineRule="auto"/>
              <w:ind/>
              <w:rPr>
                <w:sz w:val="24"/>
                <w:szCs w:val="24"/>
              </w:rPr>
            </w:pPr>
            <w:r>
              <w:rPr>
                <w:sz w:val="24"/>
                <w:szCs w:val="24"/>
              </w:rPr>
            </w:r>
            <w:r>
              <w:rPr>
                <w:sz w:val="24"/>
                <w:szCs w:val="24"/>
              </w:rPr>
            </w:r>
            <w:r>
              <w:rPr>
                <w:sz w:val="24"/>
                <w:szCs w:val="24"/>
              </w:rPr>
            </w:r>
          </w:p>
        </w:tc>
        <w:tc>
          <w:tcPr>
            <w:gridSpan w:val="3"/>
            <w:tcBorders>
              <w:bottom w:val="single" w:color="000000" w:sz="8" w:space="0"/>
              <w:right w:val="single" w:color="000000" w:sz="8" w:space="0"/>
            </w:tcBorders>
            <w:tcMar>
              <w:left w:w="108" w:type="dxa"/>
              <w:top w:w="0" w:type="dxa"/>
              <w:right w:w="108" w:type="dxa"/>
              <w:bottom w:w="0" w:type="dxa"/>
            </w:tcMar>
            <w:tcW w:w="1039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Tổng cộng</w:t>
            </w:r>
            <w:r>
              <w:rPr>
                <w:sz w:val="24"/>
                <w:szCs w:val="24"/>
              </w:rPr>
            </w:r>
            <w:r>
              <w:rPr>
                <w:sz w:val="24"/>
                <w:szCs w:val="24"/>
              </w:rP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sz w:val="24"/>
                <w:szCs w:val="24"/>
              </w:rPr>
            </w:pPr>
            <w:r>
              <w:rPr>
                <w:rFonts w:ascii="Times New Roman" w:hAnsi="Times New Roman" w:eastAsia="Times New Roman" w:cs="Times New Roman"/>
                <w:b/>
                <w:color w:val="000000"/>
                <w:sz w:val="24"/>
                <w:szCs w:val="24"/>
              </w:rPr>
              <w:t xml:space="preserve">16.617.400.000</w:t>
            </w:r>
            <w:r>
              <w:rPr>
                <w:sz w:val="24"/>
                <w:szCs w:val="24"/>
              </w:rPr>
            </w:r>
            <w:r>
              <w:rPr>
                <w:sz w:val="24"/>
                <w:szCs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color w:val="000000"/>
                <w:sz w:val="24"/>
                <w:szCs w:val="24"/>
              </w:rPr>
              <w:t xml:space="preserve"> </w:t>
            </w:r>
            <w:r>
              <w:rPr>
                <w:sz w:val="24"/>
                <w:szCs w:val="24"/>
              </w:rPr>
            </w:r>
            <w:r>
              <w:rPr>
                <w:sz w:val="24"/>
                <w:szCs w:val="24"/>
              </w:rPr>
            </w:r>
          </w:p>
        </w:tc>
        <w:tc>
          <w:tcPr>
            <w:gridSpan w:val="3"/>
            <w:tcBorders>
              <w:bottom w:val="single" w:color="000000" w:sz="8" w:space="0"/>
              <w:right w:val="single" w:color="000000" w:sz="8" w:space="0"/>
            </w:tcBorders>
            <w:tcMar>
              <w:left w:w="108" w:type="dxa"/>
              <w:top w:w="0" w:type="dxa"/>
              <w:right w:w="108" w:type="dxa"/>
              <w:bottom w:w="0" w:type="dxa"/>
            </w:tcMar>
            <w:tcW w:w="1039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sz w:val="24"/>
                <w:szCs w:val="24"/>
              </w:rPr>
            </w:pPr>
            <w:r>
              <w:rPr>
                <w:rFonts w:ascii="Times New Roman" w:hAnsi="Times New Roman" w:eastAsia="Times New Roman" w:cs="Times New Roman"/>
                <w:b/>
                <w:color w:val="000000"/>
                <w:sz w:val="24"/>
                <w:szCs w:val="24"/>
              </w:rPr>
              <w:t xml:space="preserve">Làm tròn</w:t>
            </w:r>
            <w:r>
              <w:rPr>
                <w:sz w:val="24"/>
                <w:szCs w:val="24"/>
              </w:rPr>
            </w:r>
            <w:r>
              <w:rPr>
                <w:sz w:val="24"/>
                <w:szCs w:val="24"/>
              </w:rPr>
            </w:r>
          </w:p>
        </w:tc>
        <w:tc>
          <w:tcPr>
            <w:tcBorders>
              <w:bottom w:val="single" w:color="000000" w:sz="8" w:space="0"/>
              <w:right w:val="single" w:color="000000" w:sz="8" w:space="0"/>
            </w:tcBorders>
            <w:tcMar>
              <w:left w:w="108" w:type="dxa"/>
              <w:top w:w="0" w:type="dxa"/>
              <w:right w:w="108" w:type="dxa"/>
              <w:bottom w:w="0" w:type="dxa"/>
            </w:tcMar>
            <w:tcW w:w="348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sz w:val="24"/>
                <w:szCs w:val="24"/>
              </w:rPr>
            </w:pPr>
            <w:r>
              <w:rPr>
                <w:rFonts w:ascii="Times New Roman" w:hAnsi="Times New Roman" w:eastAsia="Times New Roman" w:cs="Times New Roman"/>
                <w:b/>
                <w:color w:val="000000"/>
                <w:sz w:val="24"/>
                <w:szCs w:val="24"/>
              </w:rPr>
              <w:t xml:space="preserve">16.617.400.000</w:t>
            </w:r>
            <w:r>
              <w:rPr>
                <w:sz w:val="24"/>
                <w:szCs w:val="24"/>
              </w:rPr>
            </w:r>
            <w:r>
              <w:rPr>
                <w:sz w:val="24"/>
                <w:szCs w:val="24"/>
              </w:rPr>
            </w:r>
          </w:p>
        </w:tc>
      </w:tr>
      <w:tr>
        <w:trPr>
          <w:trHeight w:val="20"/>
        </w:trPr>
        <w:tc>
          <w:tcPr>
            <w:gridSpan w:val="5"/>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83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4"/>
                <w:szCs w:val="24"/>
              </w:rPr>
            </w:pPr>
            <w:r>
              <w:rPr>
                <w:rFonts w:ascii="Times New Roman" w:hAnsi="Times New Roman" w:eastAsia="Times New Roman" w:cs="Times New Roman"/>
                <w:b/>
                <w:i/>
                <w:color w:val="000000"/>
                <w:sz w:val="24"/>
                <w:szCs w:val="24"/>
              </w:rPr>
              <w:t xml:space="preserve">(Bằng chữ: Mười sáu tỷ sáu trăm mười bảy triệu bốn trăm nghìn đồng chẵn ./.)</w:t>
            </w:r>
            <w:r>
              <w:rPr>
                <w:sz w:val="24"/>
                <w:szCs w:val="24"/>
              </w:rPr>
            </w:r>
            <w:r>
              <w:rPr>
                <w:sz w:val="24"/>
                <w:szCs w:val="24"/>
              </w:rP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5"/>
        </w:numPr>
        <w:pBdr/>
        <w:spacing w:after="120" w:before="120" w:line="288" w:lineRule="auto"/>
        <w:ind/>
        <w:jc w:val="both"/>
        <w:rPr>
          <w:highlight w:val="white"/>
        </w:rPr>
      </w:pPr>
      <w:r>
        <w:rPr>
          <w:highlight w:val="none"/>
          <w:lang w:val="vi-VN" w:bidi="vi-VN"/>
        </w:rPr>
        <w:t xml:space="preserve">Qua</w:t>
      </w:r>
      <w:r>
        <w:rPr>
          <w:highlight w:val="white"/>
          <w:lang w:val="vi-VN" w:bidi="vi-VN"/>
        </w:rPr>
        <w:t xml:space="preserve"> </w:t>
      </w:r>
      <w:r>
        <w:rPr>
          <w:rFonts w:ascii="Times New Roman" w:hAnsi="Times New Roman" w:eastAsia="Times New Roman" w:cs="Times New Roman"/>
          <w:color w:val="000000"/>
          <w:sz w:val="24"/>
        </w:rPr>
        <w:t xml:space="preserve">khảo sát hiện trạng tài sản, tổ thẩm định nhận thấy trên đất có CTXD là nhà 1 tầng, mái tôn, diện tích xây dựng khoảng 30m2 và 1 nhà mái tôn diện tích xây dựng khoảng 12m2, công trình đã được ghi nhận GCN số DE 634498. Khách hàng và ngân hàng không yêu cầu</w:t>
      </w:r>
      <w:r>
        <w:rPr>
          <w:rFonts w:ascii="Times New Roman" w:hAnsi="Times New Roman" w:eastAsia="Times New Roman" w:cs="Times New Roman"/>
          <w:color w:val="000000"/>
          <w:sz w:val="24"/>
        </w:rPr>
        <w:t xml:space="preserve"> tính giá trị trên đất. Do đó, kết quả của Chứng thư và Báo cáo Thẩm định giá của chúng tôi chỉ xác định Giá trị quyền sử dụng đất. Kính đề nghị người sử dụng Chứng thư, Báo cáo thẩm định giá này (các tổ chức tín dụng) lưu ý khi xét cấp tín dụng</w:t>
      </w:r>
      <w:r>
        <w:rPr>
          <w:highlight w:val="none"/>
          <w:lang w:val="vi-VN" w:bidi="vi-VN"/>
        </w:rPr>
        <w:t xml:space="preserve">.</w:t>
      </w:r>
      <w:r>
        <w:rPr>
          <w:highlight w:val="white"/>
          <w:lang w:val="vi-VN" w:bidi="vi-VN"/>
        </w:rPr>
      </w:r>
      <w:r>
        <w:rPr>
          <w:highlight w:val="white"/>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r>
        <w:rPr>
          <w:highlight w:val="none"/>
          <w:lang w:val="vi-VN"/>
        </w:rPr>
      </w:r>
      <w:r>
        <w:rPr>
          <w:highlight w:val="none"/>
          <w:lang w:val="vi-VN"/>
        </w:rPr>
      </w:r>
      <w:r>
        <w:rPr>
          <w:highlight w:val="none"/>
          <w:lang w:val="vi-VN"/>
        </w:rPr>
      </w:r>
      <w:r>
        <w:rPr>
          <w:lang w:val="pt-BR"/>
        </w:rPr>
      </w:r>
    </w:p>
    <w:p>
      <w:pPr>
        <w:pStyle w:val="1027"/>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00000"/>
          <w:sz w:val="24"/>
        </w:rPr>
        <w:t xml:space="preserve">275/2025/1715/VFI-CT.55.A</w:t>
      </w:r>
      <w:r>
        <w:rPr>
          <w:lang w:val="vi-VN"/>
        </w:rPr>
        <w:t xml:space="preserve"> ngày</w:t>
      </w:r>
      <w:r>
        <w:rPr>
          <w:color w:val="ff0000"/>
          <w:highlight w:val="none"/>
          <w:lang w:val="vi-VN"/>
        </w:rPr>
        <w:t xml:space="preserve"> </w:t>
      </w:r>
      <w:r>
        <w:rPr>
          <w:color w:val="000000" w:themeColor="text1"/>
          <w:highlight w:val="none"/>
        </w:rPr>
        <w:t xml:space="preserve">03/12/2025</w:t>
      </w:r>
      <w:r>
        <w:rPr>
          <w:color w:val="000000" w:themeColor="text1"/>
          <w:highlight w:val="none"/>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highlight w:val="yellow"/>
              </w:rPr>
            </w:pPr>
            <w:r>
              <w:rPr>
                <w:rFonts w:eastAsia="Calibri"/>
                <w:bCs/>
                <w:highlight w:val="yellow"/>
                <w:lang w:val="vi-VN"/>
              </w:rPr>
            </w:r>
            <w:r>
              <w:rPr>
                <w:rFonts w:ascii="Times New Roman" w:hAnsi="Times New Roman" w:eastAsia="Times New Roman" w:cs="Times New Roman"/>
                <w:color w:val="000000"/>
                <w:sz w:val="24"/>
              </w:rPr>
              <w:t xml:space="preserve">Số thẻ thẩm định viên về giá: XVI25TS.2576</w:t>
            </w:r>
            <w:r>
              <w:rPr>
                <w:rFonts w:eastAsia="Calibri"/>
                <w:bCs/>
                <w:highlight w:val="yellow"/>
              </w:rPr>
            </w:r>
            <w:r>
              <w:rPr>
                <w:rFonts w:eastAsia="Calibri"/>
                <w:bCs/>
                <w:highlight w:val="yellow"/>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X15.1272</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Quốc Đại</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highlight w:val="none"/>
              </w:rPr>
            </w:pPr>
            <w:r>
              <w:rPr>
                <w:rFonts w:eastAsia="Calibri"/>
                <w:b/>
                <w:highlight w:val="none"/>
              </w:rPr>
              <w:t xml:space="preserve">Vũ Văn Quân</w:t>
            </w:r>
            <w:r>
              <w:rPr>
                <w:rFonts w:eastAsia="Calibri"/>
                <w:b/>
                <w:highlight w:val="none"/>
              </w:rPr>
            </w:r>
            <w:r>
              <w:rPr>
                <w:rFonts w:eastAsia="Calibri"/>
                <w:b/>
                <w:highlight w:val="none"/>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r>
      <w:commentRangeStart w:id="0"/>
      <w:r>
        <w:rPr>
          <w:b/>
          <w:highlight w:val="none"/>
          <w:lang w:val="pt-BR"/>
        </w:rPr>
        <w:t xml:space="preserve">VÀ</w:t>
      </w:r>
      <w:commentRangeEnd w:id="0"/>
      <w:r>
        <w:commentReference w:id="0"/>
      </w:r>
      <w:r>
        <w:rPr>
          <w:b/>
          <w:highlight w:val="none"/>
          <w:lang w:val="pt-BR"/>
        </w:rPr>
        <w:t xml:space="preserve"> </w:t>
      </w:r>
      <w:r>
        <w:rPr>
          <w:b/>
          <w:lang w:val="pt-BR"/>
        </w:rPr>
        <w:t xml:space="preserve">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rFonts w:ascii="Times New Roman" w:hAnsi="Times New Roman" w:eastAsia="Times New Roman" w:cs="Times New Roman"/>
          <w:i/>
          <w:color w:val="000000"/>
          <w:sz w:val="24"/>
        </w:rPr>
        <w:t xml:space="preserve">275/2025/1715/VFI-BC.55.A ngày 03 tháng 12 năm 2025 </w:t>
      </w:r>
      <w:r>
        <w:rPr>
          <w:i/>
          <w:lang w:val="pt-BR"/>
        </w:rPr>
        <w:t xml:space="preserve">của</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ind/>
        <w:rPr/>
      </w:pPr>
      <w: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10"/>
        <w:gridCol w:w="4810"/>
      </w:tblGrid>
      <w:tr>
        <w:trPr>
          <w:trHeight w:val="20"/>
        </w:trPr>
        <w:tc>
          <w:tcPr>
            <w:tcBorders/>
            <w:tcMar>
              <w:left w:w="108" w:type="dxa"/>
              <w:top w:w="0" w:type="dxa"/>
              <w:right w:w="108" w:type="dxa"/>
              <w:bottom w:w="0" w:type="dxa"/>
            </w:tcMar>
            <w:tcW w:w="4810"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4562475" cy="34194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33923" name=""/>
                              <pic:cNvPicPr>
                                <a:picLocks noChangeAspect="1"/>
                              </pic:cNvPicPr>
                              <pic:nvPr/>
                            </pic:nvPicPr>
                            <pic:blipFill>
                              <a:blip r:embed="rId19"/>
                              <a:stretch/>
                            </pic:blipFill>
                            <pic:spPr bwMode="auto">
                              <a:xfrm>
                                <a:off x="0" y="0"/>
                                <a:ext cx="4562474"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59.25pt;height:269.25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810"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4562475" cy="34194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4398" name=""/>
                              <pic:cNvPicPr>
                                <a:picLocks noChangeAspect="1"/>
                              </pic:cNvPicPr>
                              <pic:nvPr/>
                            </pic:nvPicPr>
                            <pic:blipFill>
                              <a:blip r:embed="rId20"/>
                              <a:stretch/>
                            </pic:blipFill>
                            <pic:spPr bwMode="auto">
                              <a:xfrm>
                                <a:off x="0" y="0"/>
                                <a:ext cx="4562474"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59.25pt;height:269.25pt;mso-wrap-distance-left:0.00pt;mso-wrap-distance-top:0.00pt;mso-wrap-distance-right:0.00pt;mso-wrap-distance-bottom:0.00pt;z-index:1;" stroked="false">
                      <v:imagedata r:id="rId20" o:title=""/>
                      <o:lock v:ext="edit" rotation="t"/>
                    </v:shape>
                  </w:pict>
                </mc:Fallback>
              </mc:AlternateContent>
            </w:r>
            <w:r/>
          </w:p>
        </w:tc>
      </w:tr>
      <w:tr>
        <w:trPr>
          <w:trHeight w:val="20"/>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2"/>
              </w:rPr>
              <w:t xml:space="preserve"> </w:t>
            </w:r>
            <w:r>
              <mc:AlternateContent>
                <mc:Choice Requires="wpg">
                  <w:drawing>
                    <wp:inline xmlns:wp="http://schemas.openxmlformats.org/drawingml/2006/wordprocessingDrawing" distT="0" distB="0" distL="0" distR="0">
                      <wp:extent cx="4562475" cy="34194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17722" name=""/>
                              <pic:cNvPicPr>
                                <a:picLocks noChangeAspect="1"/>
                              </pic:cNvPicPr>
                              <pic:nvPr/>
                            </pic:nvPicPr>
                            <pic:blipFill>
                              <a:blip r:embed="rId21"/>
                              <a:stretch/>
                            </pic:blipFill>
                            <pic:spPr bwMode="auto">
                              <a:xfrm>
                                <a:off x="0" y="0"/>
                                <a:ext cx="4562474"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59.25pt;height:269.2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b/>
                <w:i/>
                <w:color w:val="000000"/>
                <w:sz w:val="22"/>
              </w:rPr>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2"/>
              </w:rPr>
              <w:t xml:space="preserve"> </w:t>
            </w:r>
            <w:r>
              <mc:AlternateContent>
                <mc:Choice Requires="wpg">
                  <w:drawing>
                    <wp:inline xmlns:wp="http://schemas.openxmlformats.org/drawingml/2006/wordprocessingDrawing" distT="0" distB="0" distL="0" distR="0">
                      <wp:extent cx="4562475" cy="34194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82778" name=""/>
                              <pic:cNvPicPr>
                                <a:picLocks noChangeAspect="1"/>
                              </pic:cNvPicPr>
                              <pic:nvPr/>
                            </pic:nvPicPr>
                            <pic:blipFill>
                              <a:blip r:embed="rId22"/>
                              <a:stretch/>
                            </pic:blipFill>
                            <pic:spPr bwMode="auto">
                              <a:xfrm>
                                <a:off x="0" y="0"/>
                                <a:ext cx="4562474"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59.25pt;height:269.25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b/>
                <w:i/>
                <w:color w:val="000000"/>
                <w:sz w:val="22"/>
              </w:rPr>
            </w:r>
            <w:r/>
          </w:p>
        </w:tc>
      </w:tr>
      <w:tr>
        <w:trPr>
          <w:trHeight w:val="20"/>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2"/>
              </w:rPr>
              <w:t xml:space="preserve"> </w:t>
            </w:r>
            <w:r>
              <mc:AlternateContent>
                <mc:Choice Requires="wpg">
                  <w:drawing>
                    <wp:inline xmlns:wp="http://schemas.openxmlformats.org/drawingml/2006/wordprocessingDrawing" distT="0" distB="0" distL="0" distR="0">
                      <wp:extent cx="4562475" cy="34194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8104" name=""/>
                              <pic:cNvPicPr>
                                <a:picLocks noChangeAspect="1"/>
                              </pic:cNvPicPr>
                              <pic:nvPr/>
                            </pic:nvPicPr>
                            <pic:blipFill>
                              <a:blip r:embed="rId23"/>
                              <a:stretch/>
                            </pic:blipFill>
                            <pic:spPr bwMode="auto">
                              <a:xfrm>
                                <a:off x="0" y="0"/>
                                <a:ext cx="4562474"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59.25pt;height:269.25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b/>
                <w:i/>
                <w:color w:val="000000"/>
                <w:sz w:val="22"/>
              </w:rPr>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2"/>
              </w:rPr>
              <w:t xml:space="preserve"> </w:t>
            </w:r>
            <w:r>
              <mc:AlternateContent>
                <mc:Choice Requires="wpg">
                  <w:drawing>
                    <wp:inline xmlns:wp="http://schemas.openxmlformats.org/drawingml/2006/wordprocessingDrawing" distT="0" distB="0" distL="0" distR="0">
                      <wp:extent cx="4562475" cy="34194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0827" name=""/>
                              <pic:cNvPicPr>
                                <a:picLocks noChangeAspect="1"/>
                              </pic:cNvPicPr>
                              <pic:nvPr/>
                            </pic:nvPicPr>
                            <pic:blipFill>
                              <a:blip r:embed="rId24"/>
                              <a:stretch/>
                            </pic:blipFill>
                            <pic:spPr bwMode="auto">
                              <a:xfrm>
                                <a:off x="0" y="0"/>
                                <a:ext cx="4562474"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59.25pt;height:269.25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b/>
                <w:i/>
                <w:color w:val="000000"/>
                <w:sz w:val="22"/>
              </w:rPr>
            </w:r>
            <w:r/>
          </w:p>
        </w:tc>
      </w:tr>
      <w:tr>
        <w:trPr>
          <w:trHeight w:val="20"/>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4562475" cy="34194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62674" name=""/>
                              <pic:cNvPicPr>
                                <a:picLocks noChangeAspect="1"/>
                              </pic:cNvPicPr>
                              <pic:nvPr/>
                            </pic:nvPicPr>
                            <pic:blipFill>
                              <a:blip r:embed="rId25"/>
                              <a:stretch/>
                            </pic:blipFill>
                            <pic:spPr bwMode="auto">
                              <a:xfrm>
                                <a:off x="0" y="0"/>
                                <a:ext cx="4562474"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59.25pt;height:269.25pt;mso-wrap-distance-left:0.00pt;mso-wrap-distance-top:0.00pt;mso-wrap-distance-right:0.00pt;mso-wrap-distance-bottom:0.00pt;z-index:1;" stroked="false">
                      <v:imagedata r:id="rId25" o:title=""/>
                      <o:lock v:ext="edit" rotation="t"/>
                    </v:shape>
                  </w:pict>
                </mc:Fallback>
              </mc:AlternateContent>
            </w:r>
            <w:r>
              <w:rPr>
                <w:rFonts w:ascii="Times New Roman" w:hAnsi="Times New Roman" w:eastAsia="Times New Roman" w:cs="Times New Roman"/>
                <w:color w:val="000000"/>
                <w:sz w:val="24"/>
              </w:rPr>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076450" cy="4495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21172" name=""/>
                              <pic:cNvPicPr>
                                <a:picLocks noChangeAspect="1"/>
                              </pic:cNvPicPr>
                              <pic:nvPr/>
                            </pic:nvPicPr>
                            <pic:blipFill>
                              <a:blip r:embed="rId26"/>
                              <a:stretch/>
                            </pic:blipFill>
                            <pic:spPr bwMode="auto">
                              <a:xfrm>
                                <a:off x="0" y="0"/>
                                <a:ext cx="2076449" cy="4495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63.50pt;height:354.00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cMar>
              <w:left w:w="108" w:type="dxa"/>
              <w:top w:w="0" w:type="dxa"/>
              <w:right w:w="108" w:type="dxa"/>
              <w:bottom w:w="0" w:type="dxa"/>
            </w:tcMar>
            <w:tcW w:w="481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bl>
    <w:p>
      <w:pPr>
        <w:pBdr/>
        <w:spacing w:after="200" w:line="276" w:lineRule="auto"/>
        <w:ind/>
        <w:rPr/>
      </w:pPr>
      <w:r>
        <w:br w:type="page" w:clear="all"/>
      </w:r>
      <w:r/>
    </w:p>
    <w:p>
      <w:pPr>
        <w:pBdr/>
        <w:spacing w:after="200" w:line="276" w:lineRule="auto"/>
        <w:ind/>
        <w:jc w:val="center"/>
        <w:rPr>
          <w:i/>
          <w:highlight w:val="yellow"/>
        </w:rPr>
      </w:pPr>
      <w:r>
        <w:rPr>
          <w:b/>
          <w:highlight w:val="yellow"/>
          <w:u w:val="single"/>
          <w:lang w:val="vi-VN"/>
        </w:rPr>
        <w:t xml:space="preserve">PHỤ LỤC</w:t>
      </w:r>
      <w:r>
        <w:rPr>
          <w:b/>
          <w:highlight w:val="yellow"/>
          <w:u w:val="single"/>
          <w:lang w:val="pt-BR"/>
        </w:rPr>
        <w:t xml:space="preserve"> </w:t>
      </w:r>
      <w:r>
        <w:rPr>
          <w:b/>
          <w:highlight w:val="yellow"/>
          <w:u w:val="single"/>
          <w:lang w:val="pt-BR"/>
        </w:rPr>
        <w:t xml:space="preserve">0</w:t>
      </w:r>
      <w:r>
        <w:rPr>
          <w:b/>
          <w:highlight w:val="yellow"/>
          <w:u w:val="single"/>
          <w:lang w:val="pt-BR"/>
        </w:rPr>
        <w:t xml:space="preserve">2</w:t>
      </w:r>
      <w:r>
        <w:rPr>
          <w:b/>
          <w:highlight w:val="yellow"/>
          <w:lang w:val="vi-VN"/>
        </w:rPr>
        <w:t xml:space="preserve">: THÔNG TIN THU THẬP </w:t>
      </w:r>
      <w:commentRangeStart w:id="1"/>
      <w:r>
        <w:rPr>
          <w:b/>
          <w:highlight w:val="yellow"/>
          <w:lang w:val="vi-VN"/>
        </w:rPr>
        <w:t xml:space="preserve">THỊ</w:t>
      </w:r>
      <w:commentRangeEnd w:id="1"/>
      <w:r>
        <w:commentReference w:id="1"/>
      </w:r>
      <w:r>
        <w:rPr>
          <w:b/>
          <w:highlight w:val="yellow"/>
          <w:lang w:val="vi-VN"/>
        </w:rPr>
        <w:t xml:space="preserve"> TRƯỜN</w:t>
      </w:r>
      <w:r>
        <w:rPr>
          <w:b/>
          <w:highlight w:val="yellow"/>
        </w:rPr>
        <w:t xml:space="preserve">G</w:t>
      </w:r>
      <w:r>
        <w:rPr>
          <w:i/>
          <w:highlight w:val="yellow"/>
          <w:lang w:val="pt-BR"/>
        </w:rPr>
      </w:r>
      <w:r>
        <w:rPr>
          <w:i/>
          <w:highlight w:val="yellow"/>
        </w:rPr>
      </w:r>
    </w:p>
    <w:p>
      <w:pPr>
        <w:pBdr/>
        <w:spacing/>
        <w:ind/>
        <w:jc w:val="center"/>
        <w:rPr>
          <w:i/>
          <w:lang w:val="pt-BR"/>
        </w:rPr>
      </w:pPr>
      <w:r>
        <w:rPr>
          <w:i/>
          <w:lang w:val="pt-BR"/>
        </w:rPr>
        <w:t xml:space="preserve">(Kèm theo Báo cáo thẩm định số </w:t>
      </w:r>
      <w:r>
        <w:rPr>
          <w:rFonts w:ascii="Times New Roman" w:hAnsi="Times New Roman" w:eastAsia="Times New Roman" w:cs="Times New Roman"/>
          <w:i/>
          <w:color w:val="000000"/>
          <w:sz w:val="24"/>
        </w:rPr>
        <w:t xml:space="preserve">275/2025/1715/VFI-BC.55.A ngày 03 tháng 12 năm 2025 </w:t>
      </w:r>
      <w:r>
        <w:rPr>
          <w:i/>
          <w:lang w:val="pt-BR"/>
        </w:rPr>
        <w:t xml:space="preserve">của </w:t>
      </w:r>
      <w:r>
        <w:rPr>
          <w:i/>
          <w:lang w:val="pt-BR"/>
        </w:rPr>
      </w:r>
      <w:r>
        <w:rPr>
          <w:i/>
          <w:lang w:val="pt-BR"/>
        </w:rPr>
      </w:r>
    </w:p>
    <w:p>
      <w:pPr>
        <w:pBdr/>
        <w:spacing w:after="120"/>
        <w:ind/>
        <w:jc w:val="center"/>
        <w:rPr>
          <w:bCs/>
          <w:i/>
          <w:highlight w:val="none"/>
          <w:lang w:val="pt-BR"/>
        </w:rPr>
      </w:pPr>
      <w:r>
        <w:rPr>
          <w:i/>
          <w:lang w:val="pt-BR"/>
        </w:rPr>
        <w:t xml:space="preserve">Công ty Cổ phần Thẩm định và Đầu tư Tài chính Hoa Sen)</w:t>
      </w:r>
      <w:r>
        <w:rPr>
          <w:i/>
          <w:lang w:val="pt-BR"/>
        </w:rPr>
      </w:r>
      <w:r>
        <w:rPr>
          <w:bCs/>
          <w:i/>
          <w:highlight w:val="none"/>
          <w:lang w:val="pt-BR"/>
        </w:rPr>
      </w:r>
    </w:p>
    <w:p>
      <w:pPr>
        <w:pBdr/>
        <w:spacing w:after="120"/>
        <w:ind/>
        <w:jc w:val="center"/>
        <w:rPr>
          <w:bCs/>
          <w:i/>
          <w:lang w:val="pt-BR"/>
        </w:rPr>
      </w:pPr>
      <w:r>
        <w:rPr>
          <w:bCs/>
          <w:i/>
          <w:lang w:val="pt-BR"/>
        </w:rPr>
      </w:r>
      <w:r>
        <w:rPr>
          <w:bCs/>
          <w:i/>
          <w:lang w:val="pt-BR"/>
        </w:rPr>
      </w:r>
      <w:r>
        <w:rPr>
          <w:bCs/>
          <w:i/>
          <w:lang w:val="pt-BR"/>
        </w:rPr>
      </w:r>
    </w:p>
    <w:p>
      <w:pPr>
        <w:pBdr/>
        <w:spacing w:after="200" w:line="276" w:lineRule="auto"/>
        <w:ind/>
        <w:jc w:val="center"/>
        <w:rPr>
          <w:b/>
          <w:bCs/>
          <w:iCs/>
          <w:lang w:val="pt-BR"/>
        </w:rPr>
      </w:pPr>
      <w:r>
        <w:rPr>
          <w:b/>
          <w:bCs/>
          <w:iCs/>
          <w:lang w:val="pt-BR"/>
        </w:rPr>
        <w:t xml:space="preserve">TSSS 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https://alonhadat.com.vn/ban-dat-cam-thinh-cam-pha-321m-gia-6-ty-</w:t>
            </w:r>
            <w:r>
              <w:rPr>
                <w:color w:val="000000" w:themeColor="text1"/>
                <w:sz w:val="22"/>
                <w:szCs w:val="22"/>
              </w:rPr>
              <w:br/>
            </w:r>
            <w:r>
              <w:rPr>
                <w:sz w:val="22"/>
                <w:szCs w:val="22"/>
              </w:rPr>
              <w:t xml:space="preserve">SĐT: </w:t>
            </w:r>
            <w:r>
              <w:rPr>
                <w:color w:val="000000" w:themeColor="text1"/>
                <w:sz w:val="22"/>
                <w:szCs w:val="22"/>
              </w:rPr>
              <w:t xml:space="preserve">0978.382.974</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6.000.000.000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5.400.000.000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(200 m²), Đất trồng cây hàng năm khác (121 m²)</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Cẩm Thịnh, Thành phố Cẩm Phả, Tỉnh Quảng Ninh, khoảng cách ra đường chính cách đường QL18A khoảng 1.3kmm, độ rộng đường trước mặt tài sản 5m, mặt tiền 5m, 21.0055822613366, 107.34479543840669</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321</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82154"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1858433998" name="" descr=""/>
                              <pic:cNvPicPr/>
                              <pic:nvPr/>
                            </pic:nvPicPr>
                            <pic:blipFill>
                              <a:blip r:embed="rId27"/>
                              <a:stretch/>
                            </pic:blipFill>
                            <pic:spPr bwMode="auto">
                              <a:xfrm>
                                <a:off x="0" y="0"/>
                                <a:ext cx="4482153"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52.93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88918"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1337911279" name="" descr=""/>
                              <pic:cNvPicPr/>
                              <pic:nvPr/>
                            </pic:nvPicPr>
                            <pic:blipFill>
                              <a:blip r:embed="rId28"/>
                              <a:stretch/>
                            </pic:blipFill>
                            <pic:spPr bwMode="auto">
                              <a:xfrm>
                                <a:off x="0" y="0"/>
                                <a:ext cx="428891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37.71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Đặng Quốc Đại</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120"/>
        <w:ind/>
        <w:jc w:val="center"/>
        <w:rPr>
          <w:bCs/>
          <w:i/>
          <w:lang w:val="pt-BR"/>
        </w:rPr>
      </w:pPr>
      <w:r>
        <w:rPr>
          <w:bCs/>
          <w:i/>
          <w:lang w:val="pt-BR"/>
        </w:rPr>
      </w:r>
      <w:r>
        <w:rPr>
          <w:bCs/>
          <w:i/>
          <w:lang w:val="pt-BR"/>
        </w:rPr>
      </w:r>
      <w:r>
        <w:rPr>
          <w:bCs/>
          <w:i/>
          <w:lang w:val="pt-BR"/>
        </w:rPr>
      </w:r>
    </w:p>
    <w:p>
      <w:pPr>
        <w:pBdr/>
        <w:spacing w:after="120"/>
        <w:ind/>
        <w:jc w:val="center"/>
        <w:rPr>
          <w:bCs/>
          <w:i/>
          <w:lang w:val="pt-BR"/>
        </w:rPr>
      </w:pPr>
      <w:r>
        <w:rPr>
          <w:bCs/>
          <w:i/>
          <w:lang w:val="pt-BR"/>
        </w:rPr>
      </w:r>
      <w:r>
        <w:rPr>
          <w:bCs/>
          <w:i/>
          <w:lang w:val="pt-BR"/>
        </w:rPr>
      </w:r>
      <w:r>
        <w:rPr>
          <w:bCs/>
          <w:i/>
          <w:lang w:val="pt-BR"/>
        </w:rPr>
      </w:r>
    </w:p>
    <w:p>
      <w:pPr>
        <w:pBdr/>
        <w:spacing w:after="120"/>
        <w:ind/>
        <w:jc w:val="center"/>
        <w:rPr>
          <w:bCs/>
          <w:i/>
          <w:lang w:val="pt-BR"/>
        </w:rPr>
      </w:pPr>
      <w:r>
        <w:rPr>
          <w:i/>
          <w:highlight w:val="none"/>
          <w:lang w:val="pt-BR" w:bidi="pt-BR"/>
        </w:rPr>
      </w:r>
      <w:r>
        <w:rPr>
          <w:i/>
          <w:highlight w:val="none"/>
          <w:lang w:val="pt-BR"/>
        </w:rPr>
      </w:r>
      <w:r>
        <w:rPr>
          <w:bCs/>
          <w:i/>
          <w:lang w:val="pt-BR"/>
        </w:rPr>
      </w:r>
    </w:p>
    <w:p>
      <w:pPr>
        <w:pBdr/>
        <w:spacing w:after="120"/>
        <w:ind/>
        <w:jc w:val="center"/>
        <w:rPr>
          <w:b/>
          <w:bCs/>
          <w:iCs/>
          <w:lang w:val="pt-BR"/>
        </w:rPr>
      </w:pP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https://sosanhnha.com/ban-dat-cam-thinh-cam-pha-quang-ninh-chi-voi-gia-uu-dai-6-894-ty-383m2-claPr34V0</w:t>
            </w:r>
            <w:r>
              <w:rPr>
                <w:color w:val="000000" w:themeColor="text1"/>
                <w:sz w:val="22"/>
                <w:szCs w:val="22"/>
              </w:rPr>
              <w:br/>
              <w:t xml:space="preserve">0763330989</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6.890.000.000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6.201.000.000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(60 m²), Đất trồng cây lâu năm (323.5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lâu năm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Cẩm Thịnh, Thành phố Cẩm Phả, Tỉnh Quảng Ninh, khoảng cách ra đường chính tài sản cách đường QL18A khoảng 900mm, độ rộng đường trước mặt tài sản 4.2m, mặt tiền 10m, 21.0014799677373, 107.34507069312204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383.5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676842"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29"/>
                              <a:stretch/>
                            </pic:blipFill>
                            <pic:spPr bwMode="auto">
                              <a:xfrm>
                                <a:off x="0" y="0"/>
                                <a:ext cx="567684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47.0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956098"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30"/>
                              <a:stretch/>
                            </pic:blipFill>
                            <pic:spPr bwMode="auto">
                              <a:xfrm>
                                <a:off x="0" y="0"/>
                                <a:ext cx="495609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90.24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Đặng Quốc Đại</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TSSS3</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https://meeyland.com/ban-dat-cam-pha-quang-ninh-i1122/305921533</w:t>
            </w:r>
            <w:r>
              <w:rPr>
                <w:color w:val="000000" w:themeColor="text1"/>
                <w:sz w:val="22"/>
                <w:szCs w:val="22"/>
              </w:rPr>
              <w:br/>
              <w:t xml:space="preserve">0392387087</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6.440.000.000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6.118.000.000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(206.8 m²), Đất trồng cây lâu năm (132.2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lâu năm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Cẩm Thịnh, Thành phố Cẩm Phả, Tỉnh Quảng Ninh, khoảng cách ra đường chính tài sản cách đường QL18A khoảng 400mm, độ rộng đường trước mặt tài sản 4m, mặt tiền 13.5m, 21.00401776181643, 107.34297126653458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339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130546"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31"/>
                              <a:stretch/>
                            </pic:blipFill>
                            <pic:spPr bwMode="auto">
                              <a:xfrm>
                                <a:off x="0" y="0"/>
                                <a:ext cx="613054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82.72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07941"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32"/>
                              <a:stretch/>
                            </pic:blipFill>
                            <pic:spPr bwMode="auto">
                              <a:xfrm>
                                <a:off x="0" y="0"/>
                                <a:ext cx="440794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47.08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Đặng Quốc Đại</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guyễn Thị Thùy Dương" w:date="2025-12-04T09:49:10Z" w:initials="NTTD">
    <w:p w14:paraId="00000001" w14:textId="00000001">
      <w:pPr>
        <w:spacing w:line="240" w:after="0" w:lineRule="auto" w:before="0"/>
        <w:ind w:firstLine="0" w:left="0" w:right="0"/>
        <w:jc w:val="left"/>
      </w:pPr>
      <w:r>
        <w:rPr>
          <w:rFonts w:eastAsia="Arial" w:ascii="Arial" w:hAnsi="Arial" w:cs="Arial"/>
          <w:sz w:val="22"/>
        </w:rPr>
        <w:t xml:space="preserve">Xem lại thứ tự và điều chỉnh lại thông tin nếu sai với bảng thông tin TSSS</w:t>
      </w:r>
    </w:p>
  </w:comment>
  <w:comment w:id="0" w:author="Nguyễn Thị Thùy Dương" w:date="2025-12-04T09:47:02Z" w:initials="NTTD">
    <w:p w14:paraId="00000002" w14:textId="00000002">
      <w:pPr>
        <w:spacing w:line="240" w:after="0" w:lineRule="auto" w:before="0"/>
        <w:ind w:firstLine="0" w:left="0" w:right="0"/>
        <w:jc w:val="left"/>
      </w:pPr>
      <w:r>
        <w:rPr>
          <w:rFonts w:eastAsia="Arial" w:ascii="Arial" w:hAnsi="Arial" w:cs="Arial"/>
          <w:sz w:val="22"/>
        </w:rPr>
        <w:t xml:space="preserve">Xem ảnh bị lỗi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732760" w16cex:dateUtc="2025-12-04T02:49:10Z"/>
  <w16cex:commentExtensible w16cex:durableId="435DE475" w16cex:dateUtc="2025-12-04T02:47:02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2D732760"/>
  <w16cid:commentId w16cid:paraId="00000002" w16cid:durableId="435DE4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89E81C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hyperlink" Target="https://alonhadat.com.vn/ban-dat-cam-thinh-cam-pha-321m-gia-6-ty-17707508.html" TargetMode="External"/><Relationship Id="rId17" Type="http://schemas.openxmlformats.org/officeDocument/2006/relationships/hyperlink" Target="https://sosanhnha.com/ban-dat-cam-thinh-cam-pha-quang-ninh-chi-voi-gia-uu-dai-6-894-ty-383m2-claPr34V0" TargetMode="External"/><Relationship Id="rId18" Type="http://schemas.openxmlformats.org/officeDocument/2006/relationships/hyperlink" Target="https://meeyland.com/ban-dat-cam-pha-quang-ninh-i1122/305921533"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comments" Target="comments.xml" /><Relationship Id="rId34" Type="http://schemas.microsoft.com/office/2011/relationships/commentsExtended" Target="commentsExtended.xml" /><Relationship Id="rId35" Type="http://schemas.microsoft.com/office/2018/08/relationships/commentsExtensible" Target="commentsExtensible.xml" /><Relationship Id="rId36" Type="http://schemas.microsoft.com/office/2016/09/relationships/commentsIds" Target="commentsIds.xml" /><Relationship Id="rId37"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Đặng Quốc Đại</cp:lastModifiedBy>
  <cp:revision>274</cp:revision>
  <dcterms:created xsi:type="dcterms:W3CDTF">2025-09-15T09:58:00Z</dcterms:created>
  <dcterms:modified xsi:type="dcterms:W3CDTF">2025-12-04T05:00:07Z</dcterms:modified>
</cp:coreProperties>
</file>