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-CHI NHÁNH HÀ TÂY I</w:t>
                            </w:r>
                            <w:r>
                              <w:rPr>
                                <w:rFonts w:ascii="Times New Roman Bold" w:hAnsi="Times New Roman Bold"/>
                                <w:b/>
                                <w:lang w:val="pt-BR"/>
                              </w:rPr>
                            </w:r>
                            <w:r>
                              <w:rPr>
                                <w:rFonts w:ascii="Times New Roman Bold" w:hAnsi="Times New Roman Bold"/>
                                <w:b/>
                                <w:lang w:val="pt-BR"/>
                              </w:rPr>
                            </w:r>
                          </w:p>
                          <w:p>
                            <w:pPr>
                              <w:pBdr/>
                              <w:spacing w:after="40" w:before="40" w:line="288" w:lineRule="auto"/>
                              <w:ind/>
                              <w:jc w:val="both"/>
                              <w:rPr>
                                <w:highlight w:val="none"/>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color w:val="000000"/>
                                <w:spacing w:val="3"/>
                                <w:sz w:val="24"/>
                                <w:highlight w:val="white"/>
                              </w:rPr>
                              <w:t xml:space="preserve">Chi nhánh Văn phòng Đăng ký đất đai Thị xã Sơn Tây - Hà Nội</w:t>
                            </w:r>
                            <w:r>
                              <w:rPr>
                                <w:rFonts w:ascii="Times New Roman" w:hAnsi="Times New Roman" w:eastAsia="Times New Roman" w:cs="Times New Roman"/>
                                <w:color w:val="000000"/>
                                <w:spacing w:val="3"/>
                                <w:sz w:val="24"/>
                                <w:highlight w:val="white"/>
                              </w:rPr>
                              <w:t xml:space="preserve"> cấp ngày 08/11/2025 cho Ông Vũ Văn Cường và Bà Vũ Thị Thảo.</w:t>
                            </w:r>
                            <w:r>
                              <w:rPr>
                                <w:highlight w:val="none"/>
                              </w:rPr>
                            </w:r>
                            <w:r>
                              <w:rPr>
                                <w:highlight w:val="none"/>
                              </w:rPr>
                            </w:r>
                          </w:p>
                          <w:p>
                            <w:pPr>
                              <w:pBdr/>
                              <w:spacing w:after="40" w:before="40" w:line="288" w:lineRule="auto"/>
                              <w:ind/>
                              <w:jc w:val="both"/>
                              <w:rPr>
                                <w:b/>
                                <w:bCs/>
                              </w:rPr>
                            </w:pPr>
                            <w:r>
                              <w:rPr>
                                <w:highlight w:val="none"/>
                              </w:rPr>
                            </w:r>
                            <w:r>
                              <w:rPr>
                                <w:b/>
                                <w:bCs/>
                              </w:rPr>
                            </w:r>
                            <w:r>
                              <w:rPr>
                                <w:b/>
                                <w:b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-CHI NHÁNH HÀ TÂY I</w:t>
                      </w:r>
                      <w:r>
                        <w:rPr>
                          <w:rFonts w:ascii="Times New Roman Bold" w:hAnsi="Times New Roman Bold"/>
                          <w:b/>
                          <w:lang w:val="pt-BR"/>
                        </w:rPr>
                      </w:r>
                      <w:r>
                        <w:rPr>
                          <w:rFonts w:ascii="Times New Roman Bold" w:hAnsi="Times New Roman Bold"/>
                          <w:b/>
                          <w:lang w:val="pt-BR"/>
                        </w:rPr>
                      </w:r>
                    </w:p>
                    <w:p>
                      <w:pPr>
                        <w:pBdr/>
                        <w:spacing w:after="40" w:before="40" w:line="288" w:lineRule="auto"/>
                        <w:ind/>
                        <w:jc w:val="both"/>
                        <w:rPr>
                          <w:highlight w:val="none"/>
                        </w:rPr>
                      </w:pPr>
                      <w:r>
                        <w:rPr>
                          <w:b/>
                        </w:rPr>
                        <w:t xml:space="preserve">Tài sản thẩm </w:t>
                      </w:r>
                      <w:r>
                        <w:rPr>
                          <w:b/>
                        </w:rPr>
                        <w:t xml:space="preserve">định: </w:t>
                      </w:r>
                      <w:r>
                        <w:rPr>
                          <w:rFonts w:ascii="Times New Roman" w:hAnsi="Times New Roman" w:eastAsia="Times New Roman" w:cs="Times New Roman"/>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color w:val="000000"/>
                          <w:spacing w:val="3"/>
                          <w:sz w:val="24"/>
                          <w:highlight w:val="white"/>
                        </w:rPr>
                        <w:t xml:space="preserve">Chi nhánh Văn phòng Đăng ký đất đai Thị xã Sơn Tây - Hà Nội</w:t>
                      </w:r>
                      <w:r>
                        <w:rPr>
                          <w:rFonts w:ascii="Times New Roman" w:hAnsi="Times New Roman" w:eastAsia="Times New Roman" w:cs="Times New Roman"/>
                          <w:color w:val="000000"/>
                          <w:spacing w:val="3"/>
                          <w:sz w:val="24"/>
                          <w:highlight w:val="white"/>
                        </w:rPr>
                        <w:t xml:space="preserve"> cấp ngày 08/11/2025 cho Ông Vũ Văn Cường và Bà Vũ Thị Thảo.</w:t>
                      </w:r>
                      <w:r>
                        <w:rPr>
                          <w:highlight w:val="none"/>
                        </w:rPr>
                      </w:r>
                      <w:r>
                        <w:rPr>
                          <w:highlight w:val="none"/>
                        </w:rPr>
                      </w:r>
                    </w:p>
                    <w:p>
                      <w:pPr>
                        <w:pBdr/>
                        <w:spacing w:after="40" w:before="40" w:line="288" w:lineRule="auto"/>
                        <w:ind/>
                        <w:jc w:val="both"/>
                        <w:rPr>
                          <w:b/>
                          <w:bCs/>
                        </w:rPr>
                      </w:pPr>
                      <w:r>
                        <w:rPr>
                          <w:highlight w:val="none"/>
                        </w:rPr>
                      </w:r>
                      <w:r>
                        <w:rPr>
                          <w:b/>
                          <w:bCs/>
                        </w:rPr>
                      </w:r>
                      <w:r>
                        <w:rPr>
                          <w:b/>
                          <w:b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44"/>
              <w:pBdr/>
              <w:spacing w:after="60" w:before="200"/>
              <w:ind/>
              <w:rPr>
                <w:rStyle w:val="1043"/>
                <w:rFonts w:ascii="Times New Roman" w:hAnsi="Times New Roman"/>
                <w:color w:val="auto"/>
                <w:lang w:val="pt-BR"/>
              </w:rPr>
            </w:pPr>
            <w:r>
              <w:rPr>
                <w:rFonts w:ascii="Times New Roman" w:hAnsi="Times New Roman"/>
                <w:color w:val="auto"/>
                <w:lang w:val="pt-BR"/>
              </w:rPr>
            </w:r>
            <w:r>
              <w:rPr>
                <w:rStyle w:val="1043"/>
                <w:rFonts w:ascii="Times New Roman" w:hAnsi="Times New Roman"/>
                <w:color w:val="auto"/>
                <w:lang w:val="pt-BR"/>
              </w:rPr>
            </w:r>
            <w:r>
              <w:rPr>
                <w:rStyle w:val="1043"/>
                <w:rFonts w:ascii="Times New Roman" w:hAnsi="Times New Roman"/>
                <w:color w:val="auto"/>
                <w:lang w:val="pt-BR"/>
              </w:rPr>
            </w:r>
          </w:p>
          <w:p>
            <w:pPr>
              <w:pStyle w:val="1044"/>
              <w:pBdr/>
              <w:spacing w:after="60" w:before="200"/>
              <w:ind/>
              <w:rPr>
                <w:sz w:val="24"/>
                <w:szCs w:val="24"/>
              </w:rPr>
            </w:pPr>
            <w:r>
              <w:rPr>
                <w:rStyle w:val="1043"/>
                <w:rFonts w:ascii="Times New Roman" w:hAnsi="Times New Roman"/>
                <w:color w:val="auto"/>
                <w:lang w:val="pt-BR"/>
              </w:rPr>
              <w:t xml:space="preserve">Số:</w:t>
            </w:r>
            <w:r>
              <w:rPr>
                <w:rStyle w:val="1043"/>
                <w:rFonts w:ascii="Times New Roman" w:hAnsi="Times New Roman"/>
                <w:color w:val="auto"/>
                <w:lang w:val="pt-BR"/>
              </w:rPr>
              <w:t xml:space="preserve"> </w:t>
            </w:r>
            <w:r>
              <w:rPr>
                <w:rStyle w:val="1043"/>
                <w:rFonts w:ascii="Times New Roman" w:hAnsi="Times New Roman"/>
                <w:color w:val="000000" w:themeColor="text1"/>
                <w:lang w:val="pt-BR"/>
              </w:rPr>
              <w:t xml:space="preserve">275/2025/1725/VFI-CT.51.A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44"/>
              <w:pBdr/>
              <w:spacing w:after="60" w:before="200"/>
              <w:ind w:right="-56"/>
              <w:rPr>
                <w:rStyle w:val="1043"/>
                <w:rFonts w:ascii="Times New Roman" w:hAnsi="Times New Roman"/>
                <w:i/>
                <w:color w:val="auto"/>
              </w:rPr>
            </w:pPr>
            <w:r>
              <w:rPr>
                <w:rFonts w:ascii="Times New Roman" w:hAnsi="Times New Roman"/>
                <w:i/>
                <w:color w:val="auto"/>
              </w:rPr>
            </w:r>
            <w:r>
              <w:rPr>
                <w:rStyle w:val="1043"/>
                <w:rFonts w:ascii="Times New Roman" w:hAnsi="Times New Roman"/>
                <w:i/>
                <w:color w:val="auto"/>
              </w:rPr>
            </w:r>
            <w:r>
              <w:rPr>
                <w:rStyle w:val="1043"/>
                <w:rFonts w:ascii="Times New Roman" w:hAnsi="Times New Roman"/>
                <w:i/>
                <w:color w:val="auto"/>
              </w:rPr>
            </w:r>
          </w:p>
          <w:p>
            <w:pPr>
              <w:pStyle w:val="1044"/>
              <w:pBdr/>
              <w:spacing w:after="60" w:before="200"/>
              <w:ind w:right="-56"/>
              <w:jc w:val="right"/>
              <w:rPr>
                <w:sz w:val="24"/>
                <w:szCs w:val="24"/>
                <w:lang w:val="vi-VN"/>
              </w:rPr>
            </w:pPr>
            <w:r>
              <w:rPr>
                <w:rStyle w:val="1043"/>
                <w:rFonts w:ascii="Times New Roman" w:hAnsi="Times New Roman"/>
                <w:i/>
                <w:color w:val="auto"/>
              </w:rPr>
              <w:t xml:space="preserve">TP. </w:t>
            </w:r>
            <w:r>
              <w:rPr>
                <w:rStyle w:val="1043"/>
                <w:rFonts w:ascii="Times New Roman" w:hAnsi="Times New Roman"/>
                <w:i/>
                <w:color w:val="auto"/>
              </w:rPr>
              <w:t xml:space="preserve">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5 tháng 12 năm 2025</w:t>
            </w:r>
            <w:r>
              <w:rPr>
                <w:rStyle w:val="1043"/>
                <w:rFonts w:ascii="Times New Roman" w:hAnsi="Times New Roman"/>
                <w:i/>
                <w:color w:val="auto"/>
                <w:lang w:val="vi-VN"/>
              </w:rPr>
              <w:t xml:space="preserve">   </w:t>
            </w:r>
            <w:r>
              <w:rPr>
                <w:rStyle w:val="1043"/>
                <w:rFonts w:ascii="Times New Roman" w:hAnsi="Times New Roman"/>
                <w:i/>
                <w:color w:val="auto"/>
                <w:lang w:val="vi-VN"/>
              </w:rPr>
              <w:t xml:space="preserve">  </w:t>
            </w:r>
            <w:r>
              <w:rPr>
                <w:sz w:val="24"/>
                <w:szCs w:val="24"/>
                <w:lang w:val="vi-VN"/>
              </w:rPr>
            </w:r>
            <w:r>
              <w:rPr>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5"/>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5" o:title=""/>
                <o:lock v:ext="edit" rotation="t"/>
              </v:shape>
            </w:pict>
          </mc:Fallback>
        </mc:AlternateContent>
      </w: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-CHI NHÁNH HÀ TÂY 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275/2025/1725/VFI-HĐTĐ.51.A</w:t>
      </w:r>
      <w:r>
        <w:rPr>
          <w:spacing w:val="-4"/>
          <w:lang w:val="vi-VN"/>
        </w:rPr>
        <w:t xml:space="preserve"> ký ngày </w:t>
      </w:r>
      <w:r>
        <w:rPr>
          <w:color w:val="000000" w:themeColor="text1"/>
          <w:spacing w:val="-4"/>
        </w:rPr>
        <w:t xml:space="preserve">4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Ngân Hàng Nông Nghiệp Và Phát Triển Nông Thôn Việt Nam - Chi Nhánh Hà Tây I </w:t>
      </w:r>
      <w:r>
        <w:rPr>
          <w:spacing w:val="-4"/>
          <w:lang w:val="vi-VN"/>
        </w:rPr>
        <w:t xml:space="preserve"> </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5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Style w:val="104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9339"/>
        <w:gridCol w:w="4237"/>
        <w:gridCol w:w="39140"/>
        <w:gridCol w:w="46940"/>
        <w:gridCol w:w="29113"/>
      </w:tblGrid>
      <w:tr>
        <w:trPr>
          <w:trHeight w:val="20"/>
        </w:trPr>
        <w:tc>
          <w:tcPr>
            <w:tcBorders/>
            <w:tcMar>
              <w:left w:w="108" w:type="dxa"/>
              <w:top w:w="0" w:type="dxa"/>
              <w:right w:w="108" w:type="dxa"/>
              <w:bottom w:w="0" w:type="dxa"/>
            </w:tcMar>
            <w:tcW w:w="29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2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1151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-CHI NHÁNH HÀ TÂY I</w:t>
            </w:r>
            <w:r/>
          </w:p>
        </w:tc>
      </w:tr>
      <w:tr>
        <w:trPr>
          <w:trHeight w:val="20"/>
        </w:trPr>
        <w:tc>
          <w:tcPr>
            <w:tcBorders/>
            <w:tcMar>
              <w:left w:w="108" w:type="dxa"/>
              <w:top w:w="0" w:type="dxa"/>
              <w:right w:w="108" w:type="dxa"/>
              <w:bottom w:w="0" w:type="dxa"/>
            </w:tcMar>
            <w:tcW w:w="29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42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115193"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820"/>
              </w:tabs>
              <w:spacing w:after="60" w:before="60" w:line="276" w:lineRule="auto"/>
              <w:ind w:right="0" w:firstLine="0" w:left="0"/>
              <w:rPr/>
            </w:pPr>
            <w:r>
              <w:rPr>
                <w:rFonts w:ascii="Times New Roman" w:hAnsi="Times New Roman" w:eastAsia="Times New Roman" w:cs="Times New Roman"/>
                <w:color w:val="000000"/>
                <w:sz w:val="24"/>
              </w:rPr>
              <w:t xml:space="preserve">Số 189 phố Lê Lợi, phường Sơn Tây, Tp Hà Nội</w:t>
            </w:r>
            <w:r>
              <w:tab/>
            </w:r>
            <w:r/>
          </w:p>
        </w:tc>
      </w:tr>
      <w:tr>
        <w:trPr>
          <w:trHeight w:val="20"/>
        </w:trPr>
        <w:tc>
          <w:tcPr>
            <w:tcBorders/>
            <w:tcMar>
              <w:left w:w="108" w:type="dxa"/>
              <w:top w:w="0" w:type="dxa"/>
              <w:right w:w="108" w:type="dxa"/>
              <w:bottom w:w="0" w:type="dxa"/>
            </w:tcMar>
            <w:tcW w:w="29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42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1151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0100686174081</w:t>
            </w:r>
            <w:r/>
          </w:p>
        </w:tc>
      </w:tr>
      <w:tr>
        <w:trPr>
          <w:trHeight w:val="20"/>
        </w:trPr>
        <w:tc>
          <w:tcPr>
            <w:tcBorders/>
            <w:tcMar>
              <w:left w:w="108" w:type="dxa"/>
              <w:top w:w="0" w:type="dxa"/>
              <w:right w:w="108" w:type="dxa"/>
              <w:bottom w:w="0" w:type="dxa"/>
            </w:tcMar>
            <w:tcW w:w="293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423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91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Ông Vũ Mạnh Toàn</w:t>
            </w:r>
            <w:r/>
          </w:p>
        </w:tc>
        <w:tc>
          <w:tcPr>
            <w:tcBorders/>
            <w:tcMar>
              <w:left w:w="108" w:type="dxa"/>
              <w:top w:w="0" w:type="dxa"/>
              <w:right w:w="108" w:type="dxa"/>
              <w:bottom w:w="0" w:type="dxa"/>
            </w:tcMar>
            <w:tcW w:w="4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left"/>
              <w:rPr/>
            </w:pPr>
            <w:r>
              <w:rPr>
                <w:rFonts w:ascii="Times New Roman" w:hAnsi="Times New Roman" w:eastAsia="Times New Roman" w:cs="Times New Roman"/>
                <w:color w:val="000000"/>
                <w:sz w:val="24"/>
              </w:rPr>
              <w:t xml:space="preserve">Chức danh:</w:t>
            </w:r>
            <w:r/>
          </w:p>
        </w:tc>
        <w:tc>
          <w:tcPr>
            <w:tcBorders/>
            <w:tcMar>
              <w:left w:w="108" w:type="dxa"/>
              <w:top w:w="0" w:type="dxa"/>
              <w:right w:w="108" w:type="dxa"/>
              <w:bottom w:w="0" w:type="dxa"/>
            </w:tcMar>
            <w:tcW w:w="29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Phó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tabs>
                <w:tab w:val="right" w:leader="none" w:pos="2053"/>
              </w:tabs>
              <w:spacing w:after="40" w:before="40" w:line="276" w:lineRule="auto"/>
              <w:ind/>
              <w:jc w:val="left"/>
              <w:rPr>
                <w:bCs/>
                <w:lang w:val="pt-BR"/>
              </w:rPr>
            </w:pPr>
            <w:r>
              <w:rPr>
                <w:bCs/>
                <w:lang w:val="pt-BR"/>
              </w:rPr>
              <w:t xml:space="preserve">Đơn vị thẩm định</w:t>
            </w:r>
            <w:r>
              <w:rPr>
                <w:bCs/>
                <w:lang w:val="pt-BR"/>
              </w:rPr>
              <w:tab/>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left"/>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139, tờ bản đồ số: 7 có địa chỉ: theo Giấy chứng nhận quyền sử dụng đất, quyền sở hữu tài sản gắn liền với đất số: AA 02940118, số vào sổ cấp GCN: CN 4194 do Chi nhánh Văn phòng đăng ký đất đai Hà Nội thị xã Sơn Tây cấp n</w:t>
      </w:r>
      <w:r>
        <w:rPr>
          <w:rFonts w:ascii="Times New Roman" w:hAnsi="Times New Roman" w:eastAsia="Times New Roman" w:cs="Times New Roman"/>
          <w:b w:val="0"/>
          <w:bCs w:val="0"/>
          <w:color w:val="000000"/>
          <w:sz w:val="24"/>
        </w:rPr>
        <w:t xml:space="preserve">gày 08/11/2025 cho Ông Vũ Văn Cường và Bà Vũ Thị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b/>
                <w:bCs/>
                <w:color w:val="000000"/>
                <w:spacing w:val="3"/>
                <w:sz w:val="24"/>
                <w:highlight w:val="white"/>
              </w:rPr>
              <w:t xml:space="preserve">Chi nhánh Văn phòng Đăng ký đất đai Thị xã Sơn Tây - Hà Nội</w:t>
            </w:r>
            <w:r>
              <w:rPr>
                <w:rFonts w:ascii="Times New Roman" w:hAnsi="Times New Roman" w:eastAsia="Times New Roman" w:cs="Times New Roman"/>
                <w:b/>
                <w:bCs/>
                <w:color w:val="000000"/>
                <w:spacing w:val="3"/>
                <w:sz w:val="24"/>
                <w:highlight w:val="white"/>
              </w:rPr>
              <w:t xml:space="preserve"> cấp ngày 08/11/2025 cho Ông Vũ Văn Cường và Bà Vũ Thị Thảo.</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jc w:val="both"/>
              <w:rPr>
                <w:b w:val="0"/>
                <w:bCs w:val="0"/>
              </w:rPr>
            </w:pPr>
            <w:r>
              <w:rPr>
                <w:b w:val="0"/>
                <w:bCs w:val="0"/>
              </w:rPr>
              <w:t xml:space="preserve">Quyền sử dụng đất ở</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46.4</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38.500.000</w:t>
            </w: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1.786.400.000</w:t>
            </w:r>
            <w:r>
              <w:rPr>
                <w:highlight w:val="white"/>
              </w:rPr>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highlight w:val="white"/>
              </w:rPr>
            </w:pPr>
            <w:r>
              <w:rPr>
                <w:color w:val="000000" w:themeColor="text1"/>
                <w:highlight w:val="white"/>
              </w:rPr>
              <w:t xml:space="preserve">1.786.400.000</w:t>
            </w:r>
            <w:r>
              <w:rPr>
                <w:highlight w:val="white"/>
              </w:rPr>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highlight w:val="white"/>
              </w:rPr>
            </w:pPr>
            <w:r>
              <w:rPr>
                <w:b/>
                <w:bCs/>
                <w:color w:val="000000" w:themeColor="text1"/>
                <w:highlight w:val="white"/>
              </w:rPr>
              <w:t xml:space="preserve">1.786.400.000</w:t>
            </w:r>
            <w:r>
              <w:rPr>
                <w:b/>
                <w:bCs/>
                <w:highlight w:val="white"/>
              </w:rPr>
            </w:r>
            <w:r>
              <w:rPr>
                <w:b/>
                <w:bCs/>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tám mươi sáu triệu bốn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4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4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275/2025/1725/VFI-BC.51.A</w:t>
            </w:r>
            <w:r>
              <w:rPr>
                <w:sz w:val="24"/>
                <w:szCs w:val="24"/>
              </w:rPr>
            </w:r>
            <w:r>
              <w:rPr>
                <w:sz w:val="24"/>
                <w:szCs w:val="24"/>
              </w:rPr>
            </w:r>
          </w:p>
        </w:tc>
        <w:tc>
          <w:tcPr>
            <w:tcBorders/>
            <w:tcW w:w="4781" w:type="dxa"/>
            <w:textDirection w:val="lrTb"/>
            <w:noWrap w:val="false"/>
          </w:tcPr>
          <w:p>
            <w:pPr>
              <w:pStyle w:val="1044"/>
              <w:pBdr/>
              <w:tabs>
                <w:tab w:val="left" w:leader="none" w:pos="5103"/>
              </w:tabs>
              <w:spacing w:before="100" w:line="360" w:lineRule="auto"/>
              <w:ind/>
              <w:jc w:val="right"/>
              <w:rPr>
                <w:rStyle w:val="1043"/>
                <w:rFonts w:ascii="Times New Roman" w:hAnsi="Times New Roman"/>
                <w:i/>
                <w:color w:val="auto"/>
              </w:rPr>
            </w:pPr>
            <w:r>
              <w:rPr>
                <w:rFonts w:ascii="Times New Roman" w:hAnsi="Times New Roman"/>
                <w:i/>
                <w:color w:val="auto"/>
              </w:rPr>
            </w:r>
            <w:r>
              <w:rPr>
                <w:rStyle w:val="1043"/>
                <w:rFonts w:ascii="Times New Roman" w:hAnsi="Times New Roman"/>
                <w:i/>
                <w:color w:val="auto"/>
              </w:rPr>
            </w:r>
            <w:r>
              <w:rPr>
                <w:rStyle w:val="1043"/>
                <w:rFonts w:ascii="Times New Roman" w:hAnsi="Times New Roman"/>
                <w:i/>
                <w:color w:val="auto"/>
              </w:rPr>
            </w:r>
          </w:p>
          <w:p>
            <w:pPr>
              <w:pStyle w:val="1044"/>
              <w:pBdr/>
              <w:tabs>
                <w:tab w:val="left" w:leader="none" w:pos="5103"/>
              </w:tabs>
              <w:spacing w:before="100" w:line="360" w:lineRule="auto"/>
              <w:ind/>
              <w:jc w:val="right"/>
              <w:rPr>
                <w:i/>
                <w:iCs/>
                <w:sz w:val="24"/>
                <w:szCs w:val="24"/>
              </w:rPr>
            </w:pPr>
            <w:r>
              <w:rPr>
                <w:rStyle w:val="1043"/>
                <w:rFonts w:ascii="Times New Roman" w:hAnsi="Times New Roman"/>
                <w:i/>
                <w:color w:val="auto"/>
              </w:rPr>
              <w:t xml:space="preserve">TP</w:t>
            </w:r>
            <w:r>
              <w:rPr>
                <w:rStyle w:val="1043"/>
                <w:rFonts w:ascii="Times New Roman" w:hAnsi="Times New Roman"/>
                <w:color w:val="auto"/>
              </w:rPr>
              <w:t xml:space="preserve">. </w:t>
            </w:r>
            <w:r>
              <w:rPr>
                <w:rStyle w:val="1043"/>
                <w:rFonts w:ascii="Times New Roman" w:hAnsi="Times New Roman"/>
                <w:i/>
                <w:color w:val="auto"/>
              </w:rPr>
              <w:t xml:space="preserve">Hà Nội</w:t>
            </w:r>
            <w:r>
              <w:rPr>
                <w:rStyle w:val="1043"/>
                <w:rFonts w:ascii="Times New Roman" w:hAnsi="Times New Roman"/>
                <w:i/>
                <w:color w:val="auto"/>
                <w:lang w:val="vi-VN"/>
              </w:rPr>
              <w:t xml:space="preserve">, </w:t>
            </w:r>
            <w:r>
              <w:rPr>
                <w:i/>
                <w:iCs/>
                <w:color w:val="000000" w:themeColor="text1"/>
                <w:sz w:val="24"/>
                <w:szCs w:val="24"/>
                <w:lang w:val="pt-BR"/>
              </w:rPr>
              <w:t xml:space="preserve">ngày 5 tháng 12 năm 2025</w:t>
            </w:r>
            <w:r>
              <w:rPr>
                <w:rStyle w:val="1043"/>
                <w:rFonts w:ascii="Times New Roman" w:hAnsi="Times New Roman"/>
                <w:i/>
                <w:color w:val="auto"/>
                <w:lang w:val="vi-VN"/>
              </w:rPr>
              <w:t xml:space="preserve">   </w:t>
            </w:r>
            <w:r>
              <w:rPr>
                <w:rStyle w:val="1043"/>
                <w:rFonts w:ascii="Times New Roman" w:hAnsi="Times New Roman"/>
                <w:i/>
                <w:color w:val="auto"/>
                <w:lang w:val="vi-VN"/>
              </w:rPr>
              <w:t xml:space="preserve">  </w:t>
            </w:r>
            <w:r>
              <w:rPr>
                <w:i/>
                <w:iCs/>
                <w:sz w:val="24"/>
                <w:szCs w:val="24"/>
              </w:rPr>
            </w:r>
            <w:r>
              <w:rPr>
                <w:i/>
                <w:iCs/>
                <w:sz w:val="24"/>
                <w:szCs w:val="24"/>
              </w:rPr>
            </w:r>
          </w:p>
        </w:tc>
      </w:tr>
    </w:tbl>
    <w:p>
      <w:pPr>
        <w:pStyle w:val="104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5"/>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5"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5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2472"/>
        <w:gridCol w:w="283"/>
        <w:gridCol w:w="7026"/>
      </w:tblGrid>
      <w:tr>
        <w:trPr>
          <w:trHeight w:val="20"/>
        </w:trPr>
        <w:tc>
          <w:tcPr>
            <w:tcBorders/>
            <w:tcW w:w="247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47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47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7026"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47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47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3"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47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026"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47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3"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026"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Thông tin cơ bản về cuộc thẩm định giá:</w:t>
      </w:r>
      <w:r>
        <w:rPr>
          <w:b/>
          <w:bCs/>
          <w:lang w:val="pt-BR"/>
        </w:rPr>
      </w:r>
      <w:r>
        <w:rPr>
          <w:b/>
          <w:bCs/>
          <w:highlight w:val="none"/>
          <w:lang w:val="pt-BR"/>
        </w:rP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438"/>
        <w:gridCol w:w="283"/>
        <w:gridCol w:w="2409"/>
        <w:gridCol w:w="1540"/>
        <w:gridCol w:w="2494"/>
      </w:tblGrid>
      <w:tr>
        <w:trPr>
          <w:trHeight w:val="20"/>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4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-CHI NHÁNH HÀ TÂY I</w:t>
            </w:r>
            <w:r/>
          </w:p>
        </w:tc>
      </w:tr>
      <w:tr>
        <w:trPr>
          <w:trHeight w:val="237"/>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4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Số 189 phố Lê Lợi, phường Sơn Tây, Tp Hà Nội</w:t>
            </w:r>
            <w:r/>
          </w:p>
        </w:tc>
      </w:tr>
      <w:tr>
        <w:trPr>
          <w:trHeight w:val="237"/>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gridSpan w:val="3"/>
            <w:tcBorders/>
            <w:tcMar>
              <w:left w:w="108" w:type="dxa"/>
              <w:top w:w="0" w:type="dxa"/>
              <w:right w:w="108" w:type="dxa"/>
              <w:bottom w:w="0" w:type="dxa"/>
            </w:tcMar>
            <w:tcW w:w="64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0100686174081</w:t>
            </w:r>
            <w:r/>
          </w:p>
        </w:tc>
      </w:tr>
      <w:tr>
        <w:trPr>
          <w:trHeight w:val="237"/>
        </w:trPr>
        <w:tc>
          <w:tcPr>
            <w:tcBorders/>
            <w:tcMar>
              <w:left w:w="108" w:type="dxa"/>
              <w:top w:w="0" w:type="dxa"/>
              <w:right w:w="108" w:type="dxa"/>
              <w:bottom w:w="0" w:type="dxa"/>
            </w:tcMar>
            <w:tcW w:w="243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rPr/>
            </w:pPr>
            <w:r>
              <w:rPr>
                <w:rFonts w:ascii="Times New Roman" w:hAnsi="Times New Roman" w:eastAsia="Times New Roman" w:cs="Times New Roman"/>
                <w:color w:val="000000"/>
                <w:sz w:val="24"/>
              </w:rPr>
              <w:t xml:space="preserve">Người 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409"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847"/>
              </w:tabs>
              <w:spacing w:before="120" w:line="276" w:lineRule="auto"/>
              <w:ind w:right="0" w:firstLine="0" w:left="0"/>
              <w:jc w:val="left"/>
              <w:rPr/>
            </w:pPr>
            <w:r>
              <w:rPr>
                <w:rFonts w:ascii="Times New Roman" w:hAnsi="Times New Roman" w:eastAsia="Times New Roman" w:cs="Times New Roman"/>
                <w:color w:val="000000"/>
                <w:sz w:val="24"/>
              </w:rPr>
              <w:t xml:space="preserve">Ông Vũ Mạnh Toàn</w:t>
            </w:r>
            <w:r>
              <w:tab/>
            </w:r>
            <w:r/>
          </w:p>
        </w:tc>
        <w:tc>
          <w:tcPr>
            <w:tcBorders/>
            <w:tcMar>
              <w:left w:w="108" w:type="dxa"/>
              <w:top w:w="0" w:type="dxa"/>
              <w:right w:w="108" w:type="dxa"/>
              <w:bottom w:w="0" w:type="dxa"/>
            </w:tcMar>
            <w:tcW w:w="154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left"/>
              <w:rPr/>
            </w:pPr>
            <w:r>
              <w:rPr>
                <w:rFonts w:ascii="Times New Roman" w:hAnsi="Times New Roman" w:eastAsia="Times New Roman" w:cs="Times New Roman"/>
                <w:color w:val="000000"/>
                <w:sz w:val="24"/>
              </w:rPr>
              <w:t xml:space="preserve">Chức danh:</w:t>
            </w:r>
            <w:r/>
          </w:p>
        </w:tc>
        <w:tc>
          <w:tcPr>
            <w:tcBorders/>
            <w:tcMar>
              <w:left w:w="108" w:type="dxa"/>
              <w:top w:w="0" w:type="dxa"/>
              <w:right w:w="108" w:type="dxa"/>
              <w:bottom w:w="0" w:type="dxa"/>
            </w:tcMar>
            <w:tcW w:w="249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Phó giám đốc</w:t>
            </w:r>
            <w:r/>
          </w:p>
        </w:tc>
      </w:tr>
    </w:tbl>
    <w:tbl>
      <w:tblPr>
        <w:tblW w:w="9747" w:type="dxa"/>
        <w:tblBorders/>
        <w:tblLayout w:type="fixed"/>
        <w:tblLook w:val="04A0" w:firstRow="1" w:lastRow="0" w:firstColumn="1" w:lastColumn="0" w:noHBand="0" w:noVBand="1"/>
      </w:tblPr>
      <w:tblGrid>
        <w:gridCol w:w="2438"/>
        <w:gridCol w:w="283"/>
        <w:gridCol w:w="7026"/>
      </w:tblGrid>
      <w:tr>
        <w:trPr>
          <w:trHeight w:val="20"/>
        </w:trPr>
        <w:tc>
          <w:tcPr>
            <w:tcBorders/>
            <w:tcW w:w="243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color w:val="000000"/>
                <w:spacing w:val="3"/>
                <w:sz w:val="24"/>
                <w:highlight w:val="white"/>
              </w:rPr>
              <w:t xml:space="preserve">Chi nhánh Văn phòng Đăng ký đất đai Thị xã Sơn Tây - Hà Nội</w:t>
            </w:r>
            <w:r>
              <w:rPr>
                <w:rFonts w:ascii="Times New Roman" w:hAnsi="Times New Roman" w:eastAsia="Times New Roman" w:cs="Times New Roman"/>
                <w:color w:val="000000"/>
                <w:spacing w:val="3"/>
                <w:sz w:val="24"/>
                <w:highlight w:val="white"/>
              </w:rPr>
              <w:t xml:space="preserve"> cấp ngày 08/11/2025 cho Ông Vũ Văn Cường và Bà Vũ Thị Thảo.</w:t>
            </w:r>
            <w:r>
              <w:rPr>
                <w:b/>
                <w:bCs/>
              </w:rPr>
            </w:r>
            <w:r>
              <w:rPr>
                <w:b/>
                <w:bCs/>
              </w:rPr>
            </w:r>
          </w:p>
        </w:tc>
      </w:tr>
      <w:tr>
        <w:trPr>
          <w:trHeight w:val="20"/>
        </w:trPr>
        <w:tc>
          <w:tcPr>
            <w:tcBorders/>
            <w:tcW w:w="243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3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3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43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pacing w:val="3"/>
                <w:sz w:val="24"/>
                <w:highlight w:val="white"/>
              </w:rPr>
              <w:t xml:space="preserve">22C Trần Hưng Đạo, Phường Sơn Tây, Thành phố Hà Nội</w:t>
            </w:r>
            <w:r>
              <w:rPr>
                <w:color w:val="ee0000"/>
                <w:lang w:val="pt-BR"/>
              </w:rPr>
            </w:r>
            <w:r>
              <w:rPr>
                <w:color w:val="ee0000"/>
                <w:lang w:val="pt-BR"/>
              </w:rPr>
            </w:r>
          </w:p>
        </w:tc>
      </w:tr>
      <w:tr>
        <w:trPr>
          <w:trHeight w:val="391"/>
        </w:trPr>
        <w:tc>
          <w:tcPr>
            <w:tcBorders/>
            <w:tcW w:w="243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21.1412204, 105.5019628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3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3"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7026"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59"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59"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59"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59"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pBdr/>
        <w:tabs>
          <w:tab w:val="left" w:leader="none" w:pos="993"/>
        </w:tabs>
        <w:spacing w:after="120" w:before="120" w:line="259"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59"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59"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5"/>
        <w:numPr>
          <w:ilvl w:val="0"/>
          <w:numId w:val="1"/>
        </w:numPr>
        <w:pBdr/>
        <w:tabs>
          <w:tab w:val="left" w:leader="none" w:pos="993"/>
        </w:tabs>
        <w:spacing w:after="120" w:before="120" w:line="259"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59"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59"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5"/>
        <w:numPr>
          <w:ilvl w:val="0"/>
          <w:numId w:val="1"/>
        </w:numPr>
        <w:pBdr/>
        <w:spacing w:after="120" w:before="120" w:line="259"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5"/>
        <w:numPr>
          <w:ilvl w:val="0"/>
          <w:numId w:val="1"/>
        </w:numPr>
        <w:pBdr/>
        <w:tabs>
          <w:tab w:val="left" w:leader="none" w:pos="993"/>
        </w:tabs>
        <w:spacing w:after="120" w:before="120" w:line="259"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5"/>
        <w:numPr>
          <w:ilvl w:val="0"/>
          <w:numId w:val="9"/>
        </w:numPr>
        <w:pBdr/>
        <w:tabs>
          <w:tab w:val="left" w:leader="none" w:pos="993"/>
        </w:tabs>
        <w:spacing w:after="120" w:before="120" w:line="259"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59"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59"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5"/>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59" w:lineRule="auto"/>
        <w:ind/>
        <w:jc w:val="both"/>
        <w:rPr/>
      </w:pPr>
      <w:r>
        <w:rPr>
          <w:rFonts w:ascii="Times New Roman" w:hAnsi="Times New Roman" w:eastAsia="Times New Roman" w:cs="Times New Roman"/>
          <w:color w:val="000000"/>
          <w:spacing w:val="3"/>
          <w:sz w:val="24"/>
          <w:highlight w:val="white"/>
        </w:rPr>
        <w:t xml:space="preserve">Giấy chứng nhận quyền sử dụng đất, quyền sở hữu tài sản gắn liền với đất số: AA 02940118, số vào sổ cấp GCN: CN 4194 do Chi nhánh Văn phòng Đăng ký đất đai Thị xã Sơn Tây - Hà Nội cấp ngày 08/11/2025 cho Ông Vũ Văn Cường và Bà Vũ Thị Thảo</w:t>
      </w:r>
      <w:r>
        <w:rPr>
          <w:rFonts w:ascii="Times New Roman" w:hAnsi="Times New Roman" w:eastAsia="Times New Roman" w:cs="Times New Roman"/>
          <w:color w:val="000000"/>
          <w:spacing w:val="3"/>
          <w:sz w:val="24"/>
          <w:highlight w:val="none"/>
        </w:rPr>
        <w:t xml:space="preserve">.</w:t>
      </w:r>
      <w:r>
        <w:rPr>
          <w:rFonts w:ascii="Times New Roman" w:hAnsi="Times New Roman" w:eastAsia="Times New Roman" w:cs="Times New Roman"/>
          <w:sz w:val="24"/>
        </w:rPr>
      </w:r>
      <w:r/>
    </w:p>
    <w:p>
      <w:pPr>
        <w:pBdr/>
        <w:spacing w:after="120" w:before="120" w:line="259" w:lineRule="auto"/>
        <w:ind/>
        <w:jc w:val="both"/>
        <w:rPr>
          <w:b/>
        </w:rPr>
      </w:pPr>
      <w:r>
        <w:rPr>
          <w:b/>
          <w:lang w:val="pt-BR"/>
        </w:rPr>
        <w:t xml:space="preserve">b. Hồ sơ khác</w:t>
      </w:r>
      <w:r>
        <w:rPr>
          <w:b/>
          <w:lang w:val="vi-VN"/>
        </w:rPr>
        <w:t xml:space="preserve">:</w:t>
      </w:r>
      <w:r>
        <w:rPr>
          <w:b/>
        </w:rPr>
      </w:r>
      <w:r>
        <w:rPr>
          <w:b/>
        </w:rPr>
      </w:r>
    </w:p>
    <w:p>
      <w:pPr>
        <w:pBdr>
          <w:top w:val="none" w:color="000000" w:sz="4" w:space="0"/>
          <w:left w:val="none" w:color="000000" w:sz="4" w:space="0"/>
          <w:bottom w:val="none" w:color="000000" w:sz="4" w:space="0"/>
          <w:right w:val="none" w:color="000000" w:sz="4" w:space="0"/>
        </w:pBdr>
        <w:shd w:val="clear" w:color="ffffff" w:fill="ffffff"/>
        <w:spacing w:line="259" w:lineRule="auto"/>
        <w:ind w:right="0" w:firstLine="0" w:left="0"/>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275/2025/1725/VFI-HĐTĐ.51.A</w:t>
      </w:r>
      <w:r>
        <w:rPr>
          <w:color w:val="000000" w:themeColor="text1"/>
          <w:lang w:val="pt-BR"/>
        </w:rPr>
        <w:t xml:space="preserve"> ngày 04/12/2025 giữa  với Công ty Cổ phần Thẩm định và Đầu tư Tài chính Hoa Sen.</w:t>
      </w:r>
      <w:r>
        <w:rPr>
          <w:rFonts w:ascii="Arial" w:hAnsi="Arial" w:eastAsia="Arial" w:cs="Arial"/>
          <w:sz w:val="23"/>
        </w:rPr>
      </w:r>
      <w:r/>
    </w:p>
    <w:p>
      <w:pPr>
        <w:pStyle w:val="1045"/>
        <w:numPr>
          <w:ilvl w:val="0"/>
          <w:numId w:val="2"/>
        </w:numPr>
        <w:pBdr/>
        <w:tabs>
          <w:tab w:val="left" w:leader="none" w:pos="993"/>
        </w:tabs>
        <w:spacing w:after="120" w:before="120" w:line="259" w:lineRule="auto"/>
        <w:ind/>
        <w:jc w:val="both"/>
        <w:rPr>
          <w:lang w:val="pt-BR"/>
        </w:rPr>
      </w:pPr>
      <w:r>
        <w:rPr>
          <w:lang w:val="pt-BR"/>
        </w:rPr>
        <w:t xml:space="preserve">Hồ sơ, tài liệu, chứng từ liên quan đến tài sản thẩm định giá.</w:t>
      </w:r>
      <w:r>
        <w:rPr>
          <w:lang w:val="pt-BR"/>
        </w:rPr>
      </w:r>
      <w:r>
        <w:rPr>
          <w:lang w:val="pt-BR"/>
        </w:rPr>
      </w:r>
    </w:p>
    <w:p>
      <w:pPr>
        <w:pBdr/>
        <w:tabs>
          <w:tab w:val="left" w:leader="none" w:pos="993"/>
        </w:tabs>
        <w:spacing w:after="120" w:before="120" w:line="259" w:lineRule="auto"/>
        <w:ind w:firstLine="0" w:left="0"/>
        <w:jc w:val="both"/>
        <w:rPr>
          <w:b/>
          <w:bCs/>
          <w:lang w:val="pt-BR"/>
        </w:rPr>
      </w:pPr>
      <w:r>
        <w:rPr>
          <w:b/>
          <w:bCs/>
          <w:highlight w:val="white"/>
          <w:lang w:val="pt-BR"/>
        </w:rPr>
        <w:t xml:space="preserve">III</w:t>
      </w:r>
      <w:r>
        <w:rPr>
          <w:b/>
          <w:bCs/>
          <w:highlight w:val="white"/>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59" w:lineRule="auto"/>
        <w:ind w:right="0" w:firstLine="0" w:left="0"/>
        <w:rPr/>
      </w:pPr>
      <w:r>
        <w:rPr>
          <w:rFonts w:ascii="Times New Roman" w:hAnsi="Times New Roman" w:eastAsia="Times New Roman" w:cs="Times New Roman"/>
          <w:color w:val="000000"/>
          <w:sz w:val="24"/>
        </w:rPr>
        <w:t xml:space="preserve">Quy hoạch thị xã Sơn Tây sau khi sắp xếp lại đơn vị hành chính được định hướng đến năm 2030 với mục tiêu xây </w:t>
      </w:r>
      <w:r>
        <w:rPr>
          <w:rFonts w:ascii="Times New Roman" w:hAnsi="Times New Roman" w:eastAsia="Times New Roman" w:cs="Times New Roman"/>
          <w:b w:val="0"/>
          <w:bCs w:val="0"/>
          <w:color w:val="000000"/>
          <w:sz w:val="24"/>
        </w:rPr>
        <w:t xml:space="preserve">dựng nơi đây thành một </w:t>
      </w:r>
      <w:r>
        <w:rPr>
          <w:rFonts w:ascii="Times New Roman" w:hAnsi="Times New Roman" w:eastAsia="Times New Roman" w:cs="Times New Roman"/>
          <w:b w:val="0"/>
          <w:bCs w:val="0"/>
          <w:color w:val="000000"/>
          <w:sz w:val="24"/>
        </w:rPr>
        <w:t xml:space="preserve">đô thị vệ tinh hiện đại, văn minh, bền vững</w:t>
      </w:r>
      <w:r>
        <w:rPr>
          <w:rFonts w:ascii="Times New Roman" w:hAnsi="Times New Roman" w:eastAsia="Times New Roman" w:cs="Times New Roman"/>
          <w:b w:val="0"/>
          <w:bCs w:val="0"/>
          <w:color w:val="000000"/>
          <w:sz w:val="24"/>
        </w:rPr>
        <w:t xml:space="preserve">, đóng vai trò quan trọng trong trục phát triển phía Tây của Hà Nội. Sau khi tinh gọn các đơn vị hành chính, Sơn Tây có điều kiện tổ chức lại hạ tầng, quản lý đất đai, phân khu đô thị một cách đồng bộ hơn. Theo kế hoạch sử dụng đất năm 2025 và tầm nhìn 203</w:t>
      </w:r>
      <w:r>
        <w:rPr>
          <w:rFonts w:ascii="Times New Roman" w:hAnsi="Times New Roman" w:eastAsia="Times New Roman" w:cs="Times New Roman"/>
          <w:b w:val="0"/>
          <w:bCs w:val="0"/>
          <w:color w:val="000000"/>
          <w:sz w:val="24"/>
        </w:rPr>
        <w:t xml:space="preserve">0, địa phương được chia thành các khu chức năng rõ ràng: khu dân cư, khu đô thị mới, khu công nghiệp, đất công cộng, đất cây xanh, công viên, khu du lịch – sinh thái. Đáng chú ý, 9 phân khu đô thị tỉ lệ 1/2000 tại các phường như Lê Lợi, Sơn Lộc, Quang Trun</w:t>
      </w:r>
      <w:r>
        <w:rPr>
          <w:rFonts w:ascii="Times New Roman" w:hAnsi="Times New Roman" w:eastAsia="Times New Roman" w:cs="Times New Roman"/>
          <w:b w:val="0"/>
          <w:bCs w:val="0"/>
          <w:color w:val="000000"/>
          <w:sz w:val="24"/>
        </w:rPr>
        <w:t xml:space="preserve">g, Ngô Quyền… đã được phê duyệt, tạo cơ sở pháp lý cho việc triển khai các dự án đô thị mới. B</w:t>
      </w:r>
      <w:r>
        <w:rPr>
          <w:rFonts w:ascii="Times New Roman" w:hAnsi="Times New Roman" w:eastAsia="Times New Roman" w:cs="Times New Roman"/>
          <w:color w:val="000000"/>
          <w:sz w:val="24"/>
        </w:rPr>
        <w:t xml:space="preserve">ên cạnh phát triển đô thị hiện đại, quy hoạch nhấn mạnh gìn giữ bản sắc văn hoá – lịch sử đặc trưng của Sơn Tây như Thành cổ, làng cổ Đường Lâm, các di tích đền, </w:t>
      </w:r>
      <w:r>
        <w:rPr>
          <w:rFonts w:ascii="Times New Roman" w:hAnsi="Times New Roman" w:eastAsia="Times New Roman" w:cs="Times New Roman"/>
          <w:color w:val="000000"/>
          <w:sz w:val="24"/>
        </w:rPr>
        <w:t xml:space="preserve">chùa, hệ thống ao hồ và cây xanh. Song song đó, Sơn Tây ưu tiên khai thác thế mạnh cảnh quan ven sông Hồng, hồ Đồng Mô, khu vực Xuân Khanh – Ba Vì để thúc đẩy du lịch văn hoá, du lịch sinh thái và dịch vụ, tạo nên mô hình đô thị hài hoà giữa phát triển hiệ</w:t>
      </w:r>
      <w:r>
        <w:rPr>
          <w:rFonts w:ascii="Times New Roman" w:hAnsi="Times New Roman" w:eastAsia="Times New Roman" w:cs="Times New Roman"/>
          <w:color w:val="000000"/>
          <w:sz w:val="24"/>
        </w:rPr>
        <w:t xml:space="preserve">n đại và không gian truyền thống. Đây cũng là nền tảng giúp Sơn Tây thu hút đầu tư, mở rộng dân cư, tạo thêm việc làm và hoàn thiện vai trò một đô thị vệ tinh của Thủ đô.</w:t>
      </w:r>
      <w:r/>
    </w:p>
    <w:p>
      <w:pPr>
        <w:pBdr>
          <w:top w:val="none" w:color="000000" w:sz="4" w:space="0"/>
          <w:left w:val="none" w:color="000000" w:sz="4" w:space="0"/>
          <w:bottom w:val="none" w:color="000000" w:sz="4" w:space="0"/>
          <w:right w:val="none" w:color="000000" w:sz="4" w:space="0"/>
        </w:pBdr>
        <w:spacing w:line="259" w:lineRule="auto"/>
        <w:ind w:right="0" w:firstLine="0" w:left="0"/>
        <w:rPr/>
      </w:pPr>
      <w:r>
        <w:rPr>
          <w:rFonts w:ascii="Times New Roman" w:hAnsi="Times New Roman" w:eastAsia="Times New Roman" w:cs="Times New Roman"/>
          <w:color w:val="000000"/>
          <w:sz w:val="24"/>
        </w:rPr>
        <w:t xml:space="preserve">Hạ tầng giao thông được xem là “xương sống” của quy hoạch với hàng loạt dự án trọng điểm như tuyến Ngô Quyền – Phùng Hưng, đường từ cầu Cộng nối đường tránh Quốc lộ 32, các tuyến kết nối đến tỉnh lộ 418, 413, đường đê Hữu Hồng, cùng hệ thống thoát nước và </w:t>
      </w:r>
      <w:r>
        <w:rPr>
          <w:rFonts w:ascii="Times New Roman" w:hAnsi="Times New Roman" w:eastAsia="Times New Roman" w:cs="Times New Roman"/>
          <w:color w:val="000000"/>
          <w:sz w:val="24"/>
        </w:rPr>
        <w:t xml:space="preserve">giao thông nội thị. Khi những tuyến đường này hoàn thành, Sơn Tây sẽ có mức độ kết nối vượt trội với Ba Vì, Phúc Thọ, Hoài Đức và trung tâm Hà Nội, qua đó thúc đẩy thị trường bất động sản và hoạt động thương mại – dịch vụ. Thực tế, sau khi quy hoạch được c</w:t>
      </w:r>
      <w:r>
        <w:rPr>
          <w:rFonts w:ascii="Times New Roman" w:hAnsi="Times New Roman" w:eastAsia="Times New Roman" w:cs="Times New Roman"/>
          <w:color w:val="000000"/>
          <w:sz w:val="24"/>
        </w:rPr>
        <w:t xml:space="preserve">ông bố, giá đất ở một số khu vực trung tâm như Phạm Ngũ Lão, Phùng Khắc Khoan, Quang Trung, Sơn Lộc và các xã có tiềm năng như Cổ Đông, Sơn Đông, Thanh Mỹ đã có biến động tăng mạnh. Tuy nhiên, bài viết cũng cảnh báo nguy cơ hình thành bong bóng giá nếu nhà</w:t>
      </w:r>
      <w:r>
        <w:rPr>
          <w:rFonts w:ascii="Times New Roman" w:hAnsi="Times New Roman" w:eastAsia="Times New Roman" w:cs="Times New Roman"/>
          <w:color w:val="000000"/>
          <w:sz w:val="24"/>
        </w:rPr>
        <w:t xml:space="preserve"> đầu tư chạy theo kỳ vọng hạ tầng mà chưa xem xét kỹ tiến độ thực tế hoặc pháp lý dự án. Tổng thể, quy hoạch mới giúp Sơn Tây có nền tảng phát triển mạnh mẽ cả về đô thị, du lịch, công nghiệp và dịch vụ, nhưng hiệu quả dài hạn phụ thuộc vào việc triển khai</w:t>
      </w:r>
      <w:r>
        <w:rPr>
          <w:rFonts w:ascii="Times New Roman" w:hAnsi="Times New Roman" w:eastAsia="Times New Roman" w:cs="Times New Roman"/>
          <w:color w:val="000000"/>
          <w:sz w:val="24"/>
        </w:rPr>
        <w:t xml:space="preserve"> đúng tiến độ các dự án giao thông, hạ tầng kỹ thuật và sự thận trọng của thị trường trong việc đón sóng đầu tư. Nếu làm tốt, Sơn Tây hoàn toàn có thể trở thành một trung tâm phát triển phía Tây Hà Nội và là điểm đến đáng chú ý trong giai đoạn đô thị hoá m</w:t>
      </w:r>
      <w:r>
        <w:rPr>
          <w:rFonts w:ascii="Times New Roman" w:hAnsi="Times New Roman" w:eastAsia="Times New Roman" w:cs="Times New Roman"/>
          <w:color w:val="000000"/>
          <w:sz w:val="24"/>
        </w:rPr>
        <w:t xml:space="preserve">ở rộng của Thủ đô.</w:t>
      </w:r>
      <w:r>
        <w:rPr>
          <w:rFonts w:ascii="Times New Roman" w:hAnsi="Times New Roman" w:eastAsia="Times New Roman" w:cs="Times New Roman"/>
          <w:sz w:val="24"/>
        </w:rPr>
      </w:r>
      <w:r/>
    </w:p>
    <w:p>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412"/>
        <w:gridCol w:w="223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b/>
                <w:bCs/>
                <w:color w:val="000000"/>
                <w:spacing w:val="3"/>
                <w:sz w:val="24"/>
                <w:highlight w:val="white"/>
              </w:rPr>
              <w:t xml:space="preserve">Chi nhánh Văn phòng Đăng ký đất đai Thị xã Sơn Tây - Hà Nội</w:t>
            </w:r>
            <w:r>
              <w:rPr>
                <w:rFonts w:ascii="Times New Roman" w:hAnsi="Times New Roman" w:eastAsia="Times New Roman" w:cs="Times New Roman"/>
                <w:b/>
                <w:bCs/>
                <w:color w:val="000000"/>
                <w:spacing w:val="3"/>
                <w:sz w:val="24"/>
                <w:highlight w:val="white"/>
              </w:rPr>
              <w:t xml:space="preserve"> cấp ngày 08/11/2025 cho Ông Vũ Văn Cường và Bà Vũ Thị Thảo.</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themeColor="text1"/>
              </w:rPr>
              <w:t xml:space="preserve">139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369" w:type="dxa"/>
            <w:vAlign w:val="center"/>
            <w:textDirection w:val="lrTb"/>
            <w:noWrap w:val="false"/>
          </w:tcPr>
          <w:p>
            <w:pPr>
              <w:pBdr/>
              <w:spacing/>
              <w:ind/>
              <w:jc w:val="both"/>
              <w:rPr>
                <w:color w:val="000000"/>
              </w:rPr>
            </w:pPr>
            <w:r>
              <w:rPr>
                <w:color w:val="000000"/>
              </w:rPr>
            </w:r>
            <w:r>
              <w:rPr>
                <w:color w:val="000000"/>
              </w:rPr>
              <w:t xml:space="preserve">22C Trần Hưng Đạo, Phường Sơn Tây,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rPr>
              <w:t xml:space="preserve">46.4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cua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3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236" w:type="dxa"/>
            <w:vAlign w:val="center"/>
            <w:textDirection w:val="lrTb"/>
            <w:noWrap w:val="false"/>
          </w:tcPr>
          <w:p>
            <w:pPr>
              <w:pBdr/>
              <w:spacing/>
              <w:ind/>
              <w:jc w:val="both"/>
              <w:rPr>
                <w:color w:val="000000"/>
              </w:rPr>
            </w:pPr>
            <w:r>
              <w:rPr>
                <w:color w:val="000000"/>
              </w:rPr>
              <w:t xml:space="preserve">22c Trần Hưng Đạo, Phường Sơn Tây. thành phố Hà Nội</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56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369" w:type="dxa"/>
            <w:vAlign w:val="center"/>
            <w:textDirection w:val="lrTb"/>
            <w:noWrap w:val="false"/>
          </w:tcPr>
          <w:p>
            <w:pPr>
              <w:pBdr/>
              <w:spacing w:after="0" w:before="0" w:line="240" w:lineRule="auto"/>
              <w:ind/>
              <w:jc w:val="center"/>
              <w:rPr>
                <w:sz w:val="24"/>
                <w:szCs w:val="24"/>
              </w:rPr>
            </w:pPr>
            <w:r>
              <w:rPr>
                <w:rFonts w:ascii="Times New Roman" w:hAnsi="Times New Roman" w:eastAsia="Times New Roman" w:cs="Times New Roman"/>
                <w:color w:val="000000"/>
                <w:sz w:val="24"/>
                <w:szCs w:val="24"/>
              </w:rPr>
              <w:t xml:space="preserve">Tài sản cách đường QL32 800m</w:t>
            </w:r>
            <w:r>
              <w:rPr>
                <w:sz w:val="24"/>
                <w:szCs w:val="24"/>
              </w:rPr>
            </w:r>
            <w:r>
              <w:rPr>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369" w:type="dxa"/>
            <w:vAlign w:val="center"/>
            <w:textDirection w:val="lrTb"/>
            <w:noWrap w:val="false"/>
          </w:tcPr>
          <w:p>
            <w:pPr>
              <w:pBdr/>
              <w:tabs>
                <w:tab w:val="left" w:leader="none" w:pos="661"/>
              </w:tabs>
              <w:spacing/>
              <w:ind/>
              <w:jc w:val="center"/>
              <w:rPr>
                <w:color w:val="000000" w:themeColor="text1"/>
              </w:rPr>
            </w:pPr>
            <w:r/>
            <w:bookmarkStart w:id="3" w:name="OLE_LINK1"/>
            <w:r>
              <w:rPr>
                <w:color w:val="000000" w:themeColor="text1"/>
              </w:rPr>
            </w:r>
            <w:bookmarkEnd w:id="3"/>
            <w:r>
              <w:rPr>
                <w:color w:val="000000" w:themeColor="text1"/>
              </w:rPr>
              <w:t xml:space="preserve">Bắc</w:t>
            </w:r>
            <w:r>
              <w:rPr>
                <w:color w:val="000000" w:themeColor="text1"/>
              </w:rPr>
              <w:tab/>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21.1412204</w:t>
            </w:r>
            <w:r>
              <w:rPr>
                <w:color w:val="000000"/>
              </w:rPr>
              <w:t xml:space="preserve">, </w:t>
            </w:r>
            <w:r>
              <w:rPr>
                <w:color w:val="000000"/>
              </w:rPr>
              <w:t xml:space="preserve">105.5019628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66420" cy="2630989"/>
                      <wp:effectExtent l="0" t="0" r="0" b="0"/>
                      <wp:docPr id="5" name=""/>
                      <wp:cNvGraphicFramePr/>
                      <a:graphic xmlns:a="http://schemas.openxmlformats.org/drawingml/2006/main">
                        <a:graphicData uri="http://schemas.openxmlformats.org/drawingml/2006/picture">
                          <pic:pic xmlns:pic="http://schemas.openxmlformats.org/drawingml/2006/picture">
                            <pic:nvPicPr>
                              <pic:cNvPr id="2097965044" name="" descr=""/>
                              <pic:cNvPicPr/>
                              <pic:nvPr/>
                            </pic:nvPicPr>
                            <pic:blipFill>
                              <a:blip r:embed="rId16"/>
                              <a:stretch/>
                            </pic:blipFill>
                            <pic:spPr bwMode="auto">
                              <a:xfrm flipH="0" flipV="0">
                                <a:off x="0" y="0"/>
                                <a:ext cx="5466420" cy="26309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43pt;height:207.16pt;mso-wrap-distance-left:0.00pt;mso-wrap-distance-top:0.00pt;mso-wrap-distance-right:0.00pt;mso-wrap-distance-bottom:0.00pt;z-index:1;" stroked="false">
                      <v:imagedata r:id="rId16"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themeColor="text1"/>
              </w:rPr>
              <w:t xml:space="preserve">46.4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46.4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11.97</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tabs>
                <w:tab w:val="right" w:leader="none" w:pos="1910"/>
              </w:tabs>
              <w:spacing/>
              <w:ind/>
              <w:rPr>
                <w:color w:val="000000"/>
              </w:rPr>
            </w:pPr>
            <w:r>
              <w:rPr>
                <w:color w:val="000000"/>
              </w:rPr>
              <w:t xml:space="preserve">Hướng:</w:t>
            </w:r>
            <w:r>
              <w:rPr>
                <w:color w:val="000000"/>
              </w:rPr>
              <w:tab/>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36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36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23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41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236" w:type="dxa"/>
            <w:vAlign w:val="center"/>
            <w:textDirection w:val="lrTb"/>
            <w:noWrap w:val="false"/>
          </w:tcPr>
          <w:p>
            <w:pPr>
              <w:pBdr/>
              <w:spacing/>
              <w:ind/>
              <w:jc w:val="center"/>
              <w:rPr>
                <w:color w:val="000000" w:themeColor="text1"/>
              </w:rPr>
            </w:pPr>
            <w:r>
              <w:rPr>
                <w:color w:val="000000" w:themeColor="text1"/>
              </w:rPr>
              <w:t xml:space="preserve">Phù hợp để ở </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45"/>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961"/>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nhà 3 tầng, xây hết đất, kết cấu BTCT, tường xây gạch chịu lực, ngoại quan khá xây dựng năm 2024. Hiện công trình chưa được chứng nhận trên GCN số: AA 02940118.</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22C Trần Hưng Đạo, Phường Sơn Tây, Thành Phố Hà Nội</w:t>
            </w:r>
            <w:r/>
          </w:p>
        </w:tc>
        <w:tc>
          <w:tcPr>
            <w:tcBorders/>
            <w:tcW w:w="1605" w:type="dxa"/>
            <w:vAlign w:val="center"/>
            <w:textDirection w:val="lrTb"/>
            <w:noWrap w:val="false"/>
          </w:tcPr>
          <w:p>
            <w:pPr>
              <w:pBdr/>
              <w:spacing/>
              <w:ind/>
              <w:jc w:val="center"/>
              <w:rPr/>
            </w:pPr>
            <w:r>
              <w:t xml:space="preserve">22C Trần Hưng Đạo, Phường Sơn Tây,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22C Trần Hưng Đạo, Phường Sơn Tây, Thành Phố Hà Nội</w:t>
            </w:r>
            <w:r/>
          </w:p>
          <w:p>
            <w:pPr>
              <w:pBdr/>
              <w:spacing/>
              <w:ind/>
              <w:jc w:val="center"/>
              <w:rPr/>
            </w:pPr>
            <w:r/>
            <w:r/>
          </w:p>
        </w:tc>
        <w:tc>
          <w:tcPr>
            <w:tcBorders/>
            <w:tcW w:w="1605" w:type="dxa"/>
            <w:vAlign w:val="center"/>
            <w:textDirection w:val="lrTb"/>
            <w:noWrap w:val="false"/>
          </w:tcPr>
          <w:p>
            <w:pPr>
              <w:pBdr/>
              <w:spacing/>
              <w:ind/>
              <w:jc w:val="center"/>
              <w:rPr/>
            </w:pPr>
            <w:r>
              <w:t xml:space="preserve">22C Trần Hưng Đạo, Phường Sơn Tây, Thành Phố Hà Nội</w:t>
            </w:r>
            <w:r/>
          </w:p>
          <w:p>
            <w:pPr>
              <w:pBdr/>
              <w:spacing/>
              <w:ind/>
              <w:jc w:val="center"/>
              <w:rPr/>
            </w:pPr>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bê tông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 (m)</w:t>
            </w:r>
            <w:r/>
          </w:p>
        </w:tc>
        <w:tc>
          <w:tcPr>
            <w:tcBorders/>
            <w:tcW w:w="1560" w:type="dxa"/>
            <w:vAlign w:val="center"/>
            <w:textDirection w:val="lrTb"/>
            <w:noWrap w:val="false"/>
          </w:tcPr>
          <w:p>
            <w:pPr>
              <w:pBdr/>
              <w:spacing/>
              <w:ind/>
              <w:jc w:val="center"/>
              <w:rPr/>
            </w:pPr>
            <w:r>
              <w:t xml:space="preserve">2.0</w:t>
            </w:r>
            <w:r/>
          </w:p>
        </w:tc>
        <w:tc>
          <w:tcPr>
            <w:tcBorders/>
            <w:tcW w:w="1605" w:type="dxa"/>
            <w:vAlign w:val="center"/>
            <w:textDirection w:val="lrTb"/>
            <w:noWrap w:val="false"/>
          </w:tcPr>
          <w:p>
            <w:pPr>
              <w:pBdr/>
              <w:spacing/>
              <w:ind/>
              <w:jc w:val="center"/>
              <w:rPr/>
            </w:pPr>
            <w:r>
              <w:t xml:space="preserve">2.0</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46.4</w:t>
            </w:r>
            <w:r/>
          </w:p>
        </w:tc>
        <w:tc>
          <w:tcPr>
            <w:tcBorders/>
            <w:tcW w:w="1605" w:type="dxa"/>
            <w:vAlign w:val="center"/>
            <w:textDirection w:val="lrTb"/>
            <w:noWrap w:val="false"/>
          </w:tcPr>
          <w:p>
            <w:pPr>
              <w:pBdr/>
              <w:spacing/>
              <w:ind/>
              <w:jc w:val="center"/>
              <w:rPr/>
            </w:pPr>
            <w:r>
              <w:t xml:space="preserve">46.4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w:t>
            </w:r>
            <w:r/>
          </w:p>
        </w:tc>
        <w:tc>
          <w:tcPr>
            <w:tcBorders/>
            <w:tcW w:w="1605" w:type="dxa"/>
            <w:vAlign w:val="center"/>
            <w:textDirection w:val="lrTb"/>
            <w:noWrap w:val="false"/>
          </w:tcPr>
          <w:p>
            <w:pPr>
              <w:pBdr/>
              <w:spacing/>
              <w:ind/>
              <w:jc w:val="center"/>
              <w:rPr/>
            </w:pPr>
            <w:r>
              <w:t xml:space="preserve">4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11.97</w:t>
            </w:r>
            <w:r/>
          </w:p>
        </w:tc>
        <w:tc>
          <w:tcPr>
            <w:tcBorders/>
            <w:tcW w:w="1605" w:type="dxa"/>
            <w:vAlign w:val="center"/>
            <w:textDirection w:val="lrTb"/>
            <w:noWrap w:val="false"/>
          </w:tcPr>
          <w:p>
            <w:pPr>
              <w:pBdr/>
              <w:spacing/>
              <w:ind/>
              <w:jc w:val="center"/>
              <w:rPr/>
            </w:pPr>
            <w:r>
              <w:t xml:space="preserve">11.97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 </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793"/>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Lợi thế thương mại</w:t>
            </w:r>
            <w:r/>
          </w:p>
        </w:tc>
        <w:tc>
          <w:tcPr>
            <w:tcBorders/>
            <w:tcW w:w="1560" w:type="dxa"/>
            <w:vAlign w:val="center"/>
            <w:textDirection w:val="lrTb"/>
            <w:noWrap w:val="false"/>
          </w:tcPr>
          <w:p>
            <w:pPr>
              <w:pBdr/>
              <w:spacing/>
              <w:ind/>
              <w:jc w:val="center"/>
              <w:rPr/>
            </w:pPr>
            <w:r>
              <w:t xml:space="preserve">Không có lợi thế thương mại </w:t>
            </w:r>
            <w:r/>
          </w:p>
        </w:tc>
        <w:tc>
          <w:tcPr>
            <w:tcBorders/>
            <w:tcW w:w="1605" w:type="dxa"/>
            <w:vAlign w:val="center"/>
            <w:textDirection w:val="lrTb"/>
            <w:noWrap w:val="false"/>
          </w:tcPr>
          <w:p>
            <w:pPr>
              <w:pBdr/>
              <w:spacing/>
              <w:ind/>
              <w:jc w:val="center"/>
              <w:rPr/>
            </w:pPr>
            <w:r>
              <w:t xml:space="preserve">Không có lợi thế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20</w:t>
            </w:r>
            <w:r/>
          </w:p>
        </w:tc>
        <w:tc>
          <w:tcPr>
            <w:tcBorders/>
            <w:tcW w:w="1663" w:type="dxa"/>
            <w:vAlign w:val="center"/>
            <w:textDirection w:val="lrTb"/>
            <w:noWrap w:val="false"/>
          </w:tcPr>
          <w:p>
            <w:pPr>
              <w:pBdr/>
              <w:spacing/>
              <w:ind/>
              <w:jc w:val="center"/>
              <w:rPr/>
            </w:pPr>
            <w:r>
              <w:t xml:space="preserve">Bất lợi thương mại</w:t>
            </w:r>
            <w:r/>
          </w:p>
        </w:tc>
        <w:tc>
          <w:tcPr>
            <w:tcBorders/>
            <w:tcW w:w="1560" w:type="dxa"/>
            <w:vAlign w:val="center"/>
            <w:textDirection w:val="lrTb"/>
            <w:noWrap w:val="false"/>
          </w:tcPr>
          <w:p>
            <w:pPr>
              <w:pBdr/>
              <w:spacing/>
              <w:ind/>
              <w:jc w:val="center"/>
              <w:rPr/>
            </w:pPr>
            <w:r>
              <w:t xml:space="preserve">Không có bất lợi thương mại </w:t>
            </w:r>
            <w:r/>
          </w:p>
        </w:tc>
        <w:tc>
          <w:tcPr>
            <w:tcBorders/>
            <w:tcW w:w="1605" w:type="dxa"/>
            <w:vAlign w:val="center"/>
            <w:textDirection w:val="lrTb"/>
            <w:noWrap w:val="false"/>
          </w:tcPr>
          <w:p>
            <w:pPr>
              <w:pBdr/>
              <w:spacing/>
              <w:ind/>
              <w:jc w:val="center"/>
              <w:rPr/>
            </w:pPr>
            <w:r>
              <w:t xml:space="preserve">Không có bất lợi thương mại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21</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t xml:space="preserve">Tốt </w:t>
            </w:r>
            <w:r/>
          </w:p>
        </w:tc>
        <w:tc>
          <w:tcPr>
            <w:tcBorders/>
            <w:tcW w:w="1605" w:type="dxa"/>
            <w:vAlign w:val="center"/>
            <w:textDirection w:val="lrTb"/>
            <w:noWrap w:val="false"/>
          </w:tcPr>
          <w:p>
            <w:pPr>
              <w:pBdr/>
              <w:spacing/>
              <w:ind/>
              <w:jc w:val="center"/>
              <w:rPr/>
            </w:pPr>
            <w:r>
              <w:t xml:space="preserve">Tốt</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00" w:before="100" w:line="276" w:lineRule="auto"/>
        <w:ind/>
        <w:jc w:val="both"/>
        <w:rPr>
          <w:highlight w:val="white"/>
        </w:rPr>
      </w:pPr>
      <w:r>
        <w:rPr>
          <w:rFonts w:ascii="Times New Roman" w:hAnsi="Times New Roman" w:eastAsia="Times New Roman" w:cs="Times New Roman"/>
          <w:color w:val="000000"/>
          <w:sz w:val="24"/>
          <w:highlight w:val="white"/>
        </w:rPr>
        <w:t xml:space="preserve">Tại thời điểm khảo sát, tổ thẩm định nhận thấy trên đất có nhà 3 tầng , xây hết đất, kết cấu BTCT, tường xây gạch chịu lực, ngoại quan khá xây dựng đã lâu. Hiện công trình chưa được chứng nhận trên GCN số: AA 02940118. Đồng thời tổ thẩm định cũng không nhậ</w:t>
      </w:r>
      <w:r>
        <w:rPr>
          <w:rFonts w:ascii="Times New Roman" w:hAnsi="Times New Roman" w:eastAsia="Times New Roman" w:cs="Times New Roman"/>
          <w:color w:val="000000"/>
          <w:sz w:val="24"/>
          <w:highlight w:val="white"/>
        </w:rPr>
        <w:t xml:space="preserve">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 thẩm định giá này (các tổ chức tín dụn</w:t>
      </w:r>
      <w:r>
        <w:rPr>
          <w:rFonts w:ascii="Times New Roman" w:hAnsi="Times New Roman" w:eastAsia="Times New Roman" w:cs="Times New Roman"/>
          <w:color w:val="000000"/>
          <w:sz w:val="24"/>
          <w:highlight w:val="white"/>
        </w:rPr>
        <w:t xml:space="preserve">g) lưu ý khi xét cấp tín dụng.</w:t>
      </w:r>
      <w:r>
        <w:rPr>
          <w:highlight w:val="white"/>
        </w:rPr>
      </w:r>
      <w:r>
        <w:rPr>
          <w:highlight w:val="white"/>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5"/>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sz w:val="22"/>
                <w:szCs w:val="22"/>
              </w:rPr>
              <w:t xml:space="preserve">22C Trần Hưng Đạo, phường Ngô Quyền,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Trung Hưng, Thị xã Sơn Tây,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Ngô Quyền, Thị xã Sơn Tây,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https://www.facebook.com/share/p/17RzJarUJ1/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https://www.facebook.com/share/p/16iHLPz69A/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https://www.facebook.com/share/p/1A7htqHPCr/</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0979252661</w:t>
            </w:r>
            <w:r>
              <w:rPr>
                <w:sz w:val="22"/>
                <w:szCs w:val="22"/>
              </w:rPr>
              <w:t xml:space="preserve"> </w:t>
            </w:r>
            <w:r>
              <w:rPr>
                <w:sz w:val="22"/>
                <w:szCs w:val="22"/>
              </w:rPr>
              <w:br/>
              <w:t xml:space="preserve">(</w:t>
            </w:r>
            <w:r>
              <w:rPr>
                <w:sz w:val="22"/>
                <w:szCs w:val="22"/>
              </w:rPr>
              <w:t xml:space="preserve">Anh Đoàn Phương Bắc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0963967794</w:t>
            </w:r>
            <w:r>
              <w:rPr>
                <w:sz w:val="22"/>
                <w:szCs w:val="22"/>
              </w:rPr>
              <w:br/>
            </w:r>
            <w:r>
              <w:rPr>
                <w:sz w:val="22"/>
                <w:szCs w:val="22"/>
              </w:rPr>
              <w:t xml:space="preserve">(</w:t>
            </w:r>
            <w:r>
              <w:rPr>
                <w:sz w:val="22"/>
                <w:szCs w:val="22"/>
              </w:rPr>
              <w:t xml:space="preserve">Anh Duy Linh Nguyễn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0359058885</w:t>
            </w:r>
            <w:r>
              <w:rPr>
                <w:sz w:val="22"/>
                <w:szCs w:val="22"/>
              </w:rPr>
              <w:br/>
            </w:r>
            <w:r>
              <w:rPr>
                <w:sz w:val="22"/>
                <w:szCs w:val="22"/>
              </w:rPr>
              <w:t xml:space="preserve">(</w:t>
            </w:r>
            <w:r>
              <w:rPr>
                <w:sz w:val="22"/>
                <w:szCs w:val="22"/>
              </w:rPr>
              <w:t xml:space="preserve">Chị Trang Nhung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cách đường QL32 500m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szCs w:val="22"/>
              </w:rPr>
              <w:t xml:space="preserve">'Tài sản cách đường QL32 1km</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cách đường QL32 800m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QL32 800m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6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3.325.000.000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34.917.840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33.047.734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3.280.000.000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2.501.713.446</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34.917.840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33.047.734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37.553.879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33.047.734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37.553.879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33.047.734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37.553.879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33.047.734</w:t>
            </w:r>
            <w:r>
              <w:rPr>
                <w:color w:val="000000"/>
                <w:sz w:val="22"/>
                <w:szCs w:val="22"/>
              </w:rPr>
            </w:r>
            <w:r>
              <w:rPr>
                <w:color w:val="000000"/>
                <w:sz w:val="22"/>
                <w:szCs w:val="22"/>
              </w:rPr>
            </w:r>
          </w:p>
        </w:tc>
      </w:tr>
      <w:tr>
        <w:trPr>
          <w:trHeight w:val="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1km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QL32 800m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3.491.784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1.767.241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1.652.387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38.409.624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37.112.069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38.409.624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37.112.069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-1.745.892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-1.767.241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36.663.732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36.663.732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36.663.732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36.663.732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35.344.828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34.700.121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3.697.183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5.301.724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3.304.773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40.360.915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40.646.552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38.004.894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-5.237.676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-3.534.483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-1.652.387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37.112.069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36.352.507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3.755.388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3.304.773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kinh doanh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35.123.239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40.867.457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39.657.280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35.123.239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40.867.457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39.657.280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gridSpan w:val="4"/>
            <w:shd w:val="clear" w:color="000000" w:fill="ffffff"/>
            <w:tcBorders/>
            <w:tcW w:w="6088" w:type="dxa"/>
            <w:vAlign w:val="center"/>
            <w:textDirection w:val="lrTb"/>
            <w:noWrap/>
          </w:tcPr>
          <w:p>
            <w:pPr>
              <w:pBdr/>
              <w:tabs>
                <w:tab w:val="left" w:leader="none" w:pos="4217"/>
              </w:tabs>
              <w:spacing/>
              <w:ind/>
              <w:jc w:val="center"/>
              <w:rPr>
                <w:color w:val="000000"/>
                <w:sz w:val="22"/>
                <w:szCs w:val="22"/>
              </w:rPr>
            </w:pPr>
            <w:r>
              <w:rPr>
                <w:color w:val="000000"/>
                <w:sz w:val="22"/>
                <w:szCs w:val="22"/>
              </w:rPr>
              <w:t xml:space="preserve"> </w:t>
            </w:r>
            <w:r>
              <w:rPr>
                <w:color w:val="000000"/>
                <w:sz w:val="22"/>
                <w:szCs w:val="22"/>
              </w:rPr>
              <w:tab/>
            </w:r>
            <w:r>
              <w:rPr>
                <w:color w:val="000000"/>
                <w:sz w:val="22"/>
                <w:szCs w:val="22"/>
              </w:rPr>
            </w:r>
            <w:r>
              <w:rPr>
                <w:color w:val="000000"/>
                <w:sz w:val="22"/>
                <w:szCs w:val="22"/>
              </w:rPr>
            </w:r>
          </w:p>
          <w:p>
            <w:pPr>
              <w:pBdr/>
              <w:spacing/>
              <w:ind/>
              <w:jc w:val="center"/>
              <w:rPr>
                <w:b/>
                <w:bCs/>
                <w:color w:val="000000"/>
                <w:sz w:val="22"/>
                <w:szCs w:val="22"/>
              </w:rPr>
            </w:pPr>
            <w:r>
              <w:rPr>
                <w:b/>
                <w:bCs/>
                <w:color w:val="000000" w:themeColor="text1"/>
                <w:sz w:val="22"/>
                <w:szCs w:val="22"/>
              </w:rPr>
              <w:t xml:space="preserve">38.549.325</w:t>
            </w:r>
            <w:r>
              <w:rPr>
                <w:b/>
                <w:bCs/>
                <w:color w:val="000000"/>
                <w:sz w:val="22"/>
                <w:szCs w:val="22"/>
              </w:rPr>
            </w:r>
            <w:r>
              <w:rPr>
                <w:b/>
                <w:bCs/>
                <w:color w:val="000000"/>
                <w:sz w:val="22"/>
                <w:szCs w:val="22"/>
              </w:rPr>
            </w:r>
          </w:p>
          <w:p>
            <w:pPr>
              <w:pBdr/>
              <w:tabs>
                <w:tab w:val="left" w:leader="none" w:pos="4217"/>
              </w:tabs>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Giá trị trung bình (làm tròn)</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r>
            <w:r>
              <w:rPr>
                <w:color w:val="000000"/>
                <w:sz w:val="22"/>
                <w:szCs w:val="22"/>
              </w:rPr>
            </w:r>
          </w:p>
        </w:tc>
        <w:tc>
          <w:tcPr>
            <w:gridSpan w:val="4"/>
            <w:shd w:val="clear" w:color="000000" w:fill="ffffff"/>
            <w:tcBorders/>
            <w:tcW w:w="6088" w:type="dxa"/>
            <w:vAlign w:val="center"/>
            <w:vMerge w:val="restart"/>
            <w:textDirection w:val="lrTb"/>
            <w:noWrap/>
          </w:tcPr>
          <w:p>
            <w:pPr>
              <w:pBdr/>
              <w:spacing/>
              <w:ind/>
              <w:jc w:val="center"/>
              <w:rPr>
                <w:b/>
                <w:bCs/>
                <w:color w:val="000000" w:themeColor="text1"/>
                <w:sz w:val="22"/>
                <w:szCs w:val="22"/>
              </w:rPr>
            </w:pPr>
            <w:r>
              <w:rPr>
                <w:b/>
                <w:bCs/>
                <w:color w:val="000000" w:themeColor="text1"/>
                <w:sz w:val="22"/>
                <w:szCs w:val="22"/>
              </w:rPr>
              <w:t xml:space="preserve">38.500.000</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14.172.535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16.126.077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9.914.320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205.399</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5.522.629</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6.609.546</w:t>
            </w:r>
            <w:r>
              <w:rPr>
                <w:sz w:val="22"/>
                <w:szCs w:val="22"/>
                <w:highlight w:val="white"/>
              </w:rPr>
            </w:r>
            <w:r>
              <w:rPr>
                <w:sz w:val="22"/>
                <w:szCs w:val="22"/>
                <w:highlight w:val="whit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-8.89</w:t>
      </w:r>
      <w:r>
        <w:t xml:space="preserve">% đến</w:t>
      </w:r>
      <w:r>
        <w:t xml:space="preserve"> </w:t>
      </w:r>
      <w:r>
        <w:t xml:space="preserve"> </w:t>
      </w:r>
      <w:r>
        <w:t xml:space="preserve">6.01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35.123.239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11.710.088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40.867.457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13.621.123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39.657.280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13.217.771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38.548.982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38.500.000</w:t>
      </w:r>
      <w:r>
        <w:rPr>
          <w:b/>
          <w:bCs/>
          <w:color w:val="000000" w:themeColor="text1"/>
        </w:rPr>
        <w:t xml:space="preserve"> </w:t>
      </w:r>
      <w:r>
        <w:rPr>
          <w:b/>
          <w:bCs/>
        </w:rPr>
        <w:t xml:space="preserve">đồng/m².</w:t>
      </w:r>
      <w:r>
        <w:rPr>
          <w:b/>
          <w:bCs/>
        </w:rPr>
      </w:r>
      <w:r>
        <w:rPr>
          <w:b/>
          <w:bCs/>
        </w:rPr>
      </w:r>
    </w:p>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9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pacing w:val="3"/>
                <w:sz w:val="24"/>
                <w:highlight w:val="white"/>
              </w:rPr>
              <w:t xml:space="preserve">Quyền sử dụng đất tại thửa đất số: 139, tờ bản đồ số: 7 có địa chỉ: 22C Trần Hưng Đạo, Phường Sơn Tây, Thành phố Hà Nội theo Giấy chứng nhận quyền sử dụng đất, quyền sở hữu tài sản gắn liền với đất số: AA 02940118, số vào sổ cấp GCN: CN 4194 do </w:t>
            </w:r>
            <w:r>
              <w:rPr>
                <w:rFonts w:ascii="Times New Roman" w:hAnsi="Times New Roman" w:eastAsia="Times New Roman" w:cs="Times New Roman"/>
                <w:color w:val="000000"/>
                <w:spacing w:val="3"/>
                <w:sz w:val="24"/>
                <w:highlight w:val="white"/>
              </w:rPr>
              <w:t xml:space="preserve">Chi nhánh Văn phòng Đăng ký đất đai Thị xã Sơn Tây - Hà Nội</w:t>
            </w:r>
            <w:r>
              <w:rPr>
                <w:rFonts w:ascii="Times New Roman" w:hAnsi="Times New Roman" w:eastAsia="Times New Roman" w:cs="Times New Roman"/>
                <w:color w:val="000000"/>
                <w:spacing w:val="3"/>
                <w:sz w:val="24"/>
                <w:highlight w:val="white"/>
              </w:rPr>
              <w:t xml:space="preserve"> cấp ngày 08/11/2025 cho Ông Vũ Văn Cường và Bà Vũ Thị Thảo.</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pPr>
              <w:pBdr/>
              <w:spacing w:after="40" w:before="40" w:line="288" w:lineRule="auto"/>
              <w:ind/>
              <w:jc w:val="both"/>
              <w:rPr>
                <w:b w:val="0"/>
                <w:bCs w:val="0"/>
              </w:rPr>
            </w:pPr>
            <w:r>
              <w:rPr>
                <w:b w:val="0"/>
                <w:bCs w:val="0"/>
              </w:rPr>
              <w:t xml:space="preserve">Quyền sử dụng đất ở</w:t>
            </w:r>
            <w:r>
              <w:rPr>
                <w:b w:val="0"/>
                <w:bCs w:val="0"/>
              </w:rPr>
            </w:r>
            <w:r>
              <w:rPr>
                <w:b w:val="0"/>
                <w:bCs w:val="0"/>
              </w:rPr>
            </w:r>
          </w:p>
        </w:tc>
        <w:tc>
          <w:tcPr>
            <w:tcBorders/>
            <w:tcW w:w="1492" w:type="dxa"/>
            <w:vAlign w:val="center"/>
            <w:textDirection w:val="lrTb"/>
            <w:noWrap/>
          </w:tcPr>
          <w:p>
            <w:pPr>
              <w:pBdr/>
              <w:spacing w:after="40" w:before="40" w:line="288" w:lineRule="auto"/>
              <w:ind/>
              <w:jc w:val="center"/>
              <w:rPr>
                <w:color w:val="000000"/>
              </w:rPr>
            </w:pPr>
            <w:r>
              <w:rPr>
                <w:color w:val="000000" w:themeColor="text1"/>
              </w:rPr>
              <w:t xml:space="preserve">46.4</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38.500.000</w:t>
            </w:r>
            <w:r/>
          </w:p>
        </w:tc>
        <w:tc>
          <w:tcPr>
            <w:shd w:val="clear" w:color="000000" w:fill="ffffff"/>
            <w:tcBorders/>
            <w:tcW w:w="2164" w:type="dxa"/>
            <w:vAlign w:val="center"/>
            <w:textDirection w:val="lrTb"/>
            <w:noWrap w:val="false"/>
          </w:tcPr>
          <w:p>
            <w:pPr>
              <w:pBdr/>
              <w:spacing w:after="40" w:before="40" w:line="288" w:lineRule="auto"/>
              <w:ind/>
              <w:jc w:val="center"/>
              <w:rPr>
                <w:highlight w:val="white"/>
              </w:rPr>
            </w:pPr>
            <w:r>
              <w:rPr>
                <w:color w:val="000000" w:themeColor="text1"/>
                <w:highlight w:val="white"/>
              </w:rPr>
              <w:t xml:space="preserve">1.786.400.000</w:t>
            </w:r>
            <w:r>
              <w:rPr>
                <w:highlight w:val="white"/>
              </w:rPr>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highlight w:val="white"/>
              </w:rPr>
            </w:pPr>
            <w:r>
              <w:rPr>
                <w:color w:val="000000" w:themeColor="text1"/>
                <w:highlight w:val="white"/>
              </w:rPr>
              <w:t xml:space="preserve">1.786.400.000</w:t>
            </w:r>
            <w:r>
              <w:rPr>
                <w:highlight w:val="white"/>
              </w:rPr>
            </w:r>
            <w:r>
              <w:rPr>
                <w:highlight w:val="white"/>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highlight w:val="white"/>
              </w:rPr>
            </w:pPr>
            <w:r>
              <w:rPr>
                <w:b/>
                <w:bCs/>
                <w:color w:val="000000" w:themeColor="text1"/>
                <w:highlight w:val="white"/>
              </w:rPr>
              <w:t xml:space="preserve">1.786.400.000</w:t>
            </w:r>
            <w:r>
              <w:rPr>
                <w:b/>
                <w:bCs/>
                <w:highlight w:val="white"/>
              </w:rPr>
            </w:r>
            <w:r>
              <w:rPr>
                <w:b/>
                <w:bCs/>
                <w:highlight w:val="white"/>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bảy trăm tám mươi sáu triệu bốn trăm nghìn đồng</w:t>
            </w:r>
            <w:r>
              <w:rPr>
                <w:b/>
                <w:bCs/>
                <w:i/>
                <w:iCs/>
                <w:color w:val="000000"/>
              </w:rPr>
              <w:t xml:space="preserve">./.)</w:t>
            </w:r>
            <w:r>
              <w:rPr>
                <w:b/>
                <w:bCs/>
                <w:i/>
                <w:iCs/>
                <w:color w:val="000000"/>
              </w:rPr>
            </w:r>
            <w:r>
              <w:rPr>
                <w:b/>
                <w:bCs/>
                <w:i/>
                <w:iCs/>
                <w:color w:val="000000"/>
              </w:rPr>
            </w:r>
          </w:p>
        </w:tc>
      </w:tr>
    </w:tbl>
    <w:p>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5"/>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3"/>
        </w:numPr>
        <w:pBdr/>
        <w:tabs>
          <w:tab w:val="left" w:leader="none" w:pos="993"/>
        </w:tabs>
        <w:spacing w:after="120" w:before="120" w:line="288" w:lineRule="auto"/>
        <w:ind/>
        <w:jc w:val="both"/>
        <w:rPr>
          <w:lang w:val="vi-VN"/>
        </w:rPr>
      </w:pPr>
      <w:r>
        <w:rPr>
          <w:highlight w:val="none"/>
          <w:lang w:val="vi-VN" w:bidi="vi-VN"/>
        </w:rPr>
      </w:r>
      <w:r>
        <w:rPr>
          <w:rFonts w:ascii="Times New Roman" w:hAnsi="Times New Roman" w:eastAsia="Times New Roman" w:cs="Times New Roman"/>
          <w:color w:val="000000"/>
          <w:sz w:val="24"/>
          <w:highlight w:val="white"/>
        </w:rPr>
        <w:t xml:space="preserve">Tại thời điểm khảo sát, tổ thẩm định nhận thấy trên đất có nhà 3 tầng , xây hết đất, kết cấu BTCT, tường xây gạch chịu lực, ngoại quan khá xây dựng đã lâu. Hiện công trình chưa được chứng nhận trên GCN số: AA 02940118. Đồng thời tổ thẩm định cũng không nhậ</w:t>
      </w:r>
      <w:r>
        <w:rPr>
          <w:rFonts w:ascii="Times New Roman" w:hAnsi="Times New Roman" w:eastAsia="Times New Roman" w:cs="Times New Roman"/>
          <w:color w:val="000000"/>
          <w:sz w:val="24"/>
          <w:highlight w:val="white"/>
        </w:rPr>
        <w:t xml:space="preserve">n được bất kỳ hồ sơ pháp lý nào liên quan tới CTXD hiện có này. Do đó, kết quả của Chứng thư và Báo cáo Thẩm định giá của chúng tôi chỉ xác định Giá trị quyền sử dụng đất. Kính đề nghị người sử dụng Chứng thư, Báo cáo thẩm định giá này (các tổ chức tín dụn</w:t>
      </w:r>
      <w:r>
        <w:rPr>
          <w:rFonts w:ascii="Times New Roman" w:hAnsi="Times New Roman" w:eastAsia="Times New Roman" w:cs="Times New Roman"/>
          <w:color w:val="000000"/>
          <w:sz w:val="24"/>
          <w:highlight w:val="white"/>
        </w:rPr>
        <w:t xml:space="preserve">g) lưu ý khi xét cấp tín dụng</w:t>
      </w:r>
      <w:r>
        <w:rPr>
          <w:lang w:val="vi-VN"/>
        </w:rPr>
      </w:r>
      <w:r>
        <w:rPr>
          <w:lang w:val="vi-VN"/>
        </w:rPr>
      </w:r>
    </w:p>
    <w:p>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5"/>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4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275/2025/1725/VFI-CT.51.A</w:t>
      </w:r>
      <w:r>
        <w:rPr>
          <w:color w:val="ff0000"/>
          <w:lang w:val="vi-VN"/>
        </w:rPr>
        <w:t xml:space="preserve"> </w:t>
      </w:r>
      <w:r>
        <w:rPr>
          <w:color w:val="000000" w:themeColor="text1"/>
        </w:rPr>
        <w:t xml:space="preserve">ngày 5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5"/>
      </w:tblGrid>
      <w:tr>
        <w:trPr>
          <w:trHeight w:val="20"/>
        </w:trPr>
        <w:tc>
          <w:tcPr>
            <w:tcBorders/>
            <w:tcW w:w="4695"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5"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275/2025/1725/VFI-BC.51.A ký ngày</w:t>
      </w:r>
      <w:r>
        <w:rPr>
          <w:i/>
          <w:lang w:val="pt-BR"/>
        </w:rPr>
        <w:t xml:space="preserve"> </w:t>
      </w:r>
      <w:r>
        <w:rPr>
          <w:i/>
          <w:lang w:val="pt-BR"/>
        </w:rPr>
        <w:t xml:space="preserve">5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523"/>
        <w:gridCol w:w="4859"/>
      </w:tblGrid>
      <w:tr>
        <w:trPr/>
        <w:tc>
          <w:tcPr>
            <w:tcBorders/>
            <w:tcW w:w="4523"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859"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523"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781892" cy="2251574"/>
                      <wp:effectExtent l="0" t="0" r="0" b="0"/>
                      <wp:docPr id="6" name=""/>
                      <wp:cNvGraphicFramePr/>
                      <a:graphic xmlns:a="http://schemas.openxmlformats.org/drawingml/2006/main">
                        <a:graphicData uri="http://schemas.openxmlformats.org/drawingml/2006/picture">
                          <pic:pic xmlns:pic="http://schemas.openxmlformats.org/drawingml/2006/picture">
                            <pic:nvPicPr>
                              <pic:cNvPr id="426887717" name="" descr=""/>
                              <pic:cNvPicPr/>
                              <pic:nvPr/>
                            </pic:nvPicPr>
                            <pic:blipFill>
                              <a:blip r:embed="rId17"/>
                              <a:stretch/>
                            </pic:blipFill>
                            <pic:spPr bwMode="auto">
                              <a:xfrm flipH="0" flipV="0">
                                <a:off x="0" y="0"/>
                                <a:ext cx="2781891" cy="22515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9.05pt;height:177.29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85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9364" cy="229622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17317" name=""/>
                              <pic:cNvPicPr>
                                <a:picLocks noChangeAspect="1"/>
                              </pic:cNvPicPr>
                              <pic:nvPr/>
                            </pic:nvPicPr>
                            <pic:blipFill>
                              <a:blip r:embed="rId18"/>
                              <a:stretch/>
                            </pic:blipFill>
                            <pic:spPr bwMode="auto">
                              <a:xfrm flipH="0" flipV="0">
                                <a:off x="0" y="0"/>
                                <a:ext cx="2759363" cy="2296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7.27pt;height:180.8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523"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859"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523"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61134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303924948" name="" descr=""/>
                              <pic:cNvPicPr/>
                              <pic:nvPr/>
                            </pic:nvPicPr>
                            <pic:blipFill>
                              <a:blip r:embed="rId19"/>
                              <a:stretch/>
                            </pic:blipFill>
                            <pic:spPr bwMode="auto">
                              <a:xfrm flipH="0" flipV="0">
                                <a:off x="0" y="0"/>
                                <a:ext cx="261133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5.62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859"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2117" cy="194004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3051" name=""/>
                              <pic:cNvPicPr>
                                <a:picLocks noChangeAspect="1"/>
                              </pic:cNvPicPr>
                              <pic:nvPr/>
                            </pic:nvPicPr>
                            <pic:blipFill>
                              <a:blip r:embed="rId20"/>
                              <a:stretch/>
                            </pic:blipFill>
                            <pic:spPr bwMode="auto">
                              <a:xfrm flipH="0" flipV="0">
                                <a:off x="0" y="0"/>
                                <a:ext cx="2802115" cy="19400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64pt;height:152.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523"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859"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3751"/>
        </w:trPr>
        <w:tc>
          <w:tcPr>
            <w:tcBorders/>
            <w:tcW w:w="4523"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5281" cy="223445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74341" name=""/>
                              <pic:cNvPicPr>
                                <a:picLocks noChangeAspect="1"/>
                              </pic:cNvPicPr>
                              <pic:nvPr/>
                            </pic:nvPicPr>
                            <pic:blipFill>
                              <a:blip r:embed="rId21"/>
                              <a:stretch/>
                            </pic:blipFill>
                            <pic:spPr bwMode="auto">
                              <a:xfrm flipH="0" flipV="0">
                                <a:off x="0" y="0"/>
                                <a:ext cx="2775279" cy="22344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53pt;height:175.9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859"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0838" cy="231802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411168" name=""/>
                              <pic:cNvPicPr>
                                <a:picLocks noChangeAspect="1"/>
                              </pic:cNvPicPr>
                              <pic:nvPr/>
                            </pic:nvPicPr>
                            <pic:blipFill>
                              <a:blip r:embed="rId22"/>
                              <a:stretch/>
                            </pic:blipFill>
                            <pic:spPr bwMode="auto">
                              <a:xfrm flipH="0" flipV="0">
                                <a:off x="0" y="0"/>
                                <a:ext cx="2850837" cy="23180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48pt;height:182.5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QUYỀN SỬ DỤNG ĐẤT</w:t>
      </w: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80645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356283" name=""/>
                        <pic:cNvPicPr>
                          <a:picLocks noChangeAspect="1"/>
                        </pic:cNvPicPr>
                        <pic:nvPr/>
                      </pic:nvPicPr>
                      <pic:blipFill>
                        <a:blip r:embed="rId2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00pt;mso-wrap-distance-left:0.00pt;mso-wrap-distance-top:0.00pt;mso-wrap-distance-right:0.00pt;mso-wrap-distance-bottom:0.00pt;z-index:1;" stroked="false">
                <v:imagedata r:id="rId23" o:title=""/>
                <o:lock v:ext="edit" rotation="t"/>
              </v:shape>
            </w:pict>
          </mc:Fallback>
        </mc:AlternateContent>
      </w:r>
      <w:r>
        <w:rPr>
          <w:highlight w:val="none"/>
        </w:rPr>
      </w:r>
      <w:r/>
    </w:p>
    <w:p>
      <w:pPr>
        <w:pBdr/>
        <w:spacing w:after="200" w:line="276" w:lineRule="auto"/>
        <w:ind/>
        <w:jc w:val="center"/>
        <w:rPr>
          <w:b/>
          <w:bCs/>
          <w:u w:val="single"/>
          <w:lang w:val="vi-VN"/>
        </w:rPr>
      </w:pPr>
      <w:r>
        <w:rPr>
          <w:b/>
          <w:u w:val="single"/>
          <w:lang w:val="vi-VN"/>
        </w:rPr>
      </w:r>
      <w:r>
        <mc:AlternateContent>
          <mc:Choice Requires="wpg">
            <w:drawing>
              <wp:inline xmlns:wp="http://schemas.openxmlformats.org/drawingml/2006/wordprocessingDrawing" distT="0" distB="0" distL="0" distR="0">
                <wp:extent cx="6048375" cy="80645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345561" name=""/>
                        <pic:cNvPicPr>
                          <a:picLocks noChangeAspect="1"/>
                        </pic:cNvPicPr>
                        <pic:nvPr/>
                      </pic:nvPicPr>
                      <pic:blipFill>
                        <a:blip r:embed="rId2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35.00pt;mso-wrap-distance-left:0.00pt;mso-wrap-distance-top:0.00pt;mso-wrap-distance-right:0.00pt;mso-wrap-distance-bottom:0.00pt;z-index:1;" stroked="false">
                <v:imagedata r:id="rId24" o:title=""/>
                <o:lock v:ext="edit" rotation="t"/>
              </v:shape>
            </w:pict>
          </mc:Fallback>
        </mc:AlternateContent>
      </w:r>
      <w:r>
        <w:rPr>
          <w:b/>
          <w:bCs/>
          <w:u w:val="single"/>
          <w:lang w:val="vi-VN"/>
        </w:rPr>
      </w:r>
      <w:r>
        <w:rPr>
          <w:b/>
          <w:bCs/>
          <w:u w:val="single"/>
          <w:lang w:val="vi-VN"/>
        </w:rPr>
      </w:r>
    </w:p>
    <w:p>
      <w:pPr>
        <w:pBdr/>
        <w:spacing w:after="200" w:line="276" w:lineRule="auto"/>
        <w:ind/>
        <w:jc w:val="center"/>
        <w:rPr>
          <w:bCs/>
          <w:i/>
          <w:lang w:val="pt-BR"/>
        </w:rPr>
      </w:pPr>
      <w:r>
        <w:rPr>
          <w:b/>
          <w:highlight w:val="none"/>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left"/>
        <w:rPr>
          <w:b/>
          <w:bCs/>
          <w:highlight w:val="none"/>
        </w:rPr>
      </w:pPr>
      <w:r>
        <w:rPr>
          <w:b/>
          <w:highlight w:val="none"/>
        </w:rPr>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BIÊN BẢN KHẢO SÁT HIỆN TRẠNG</w:t>
      </w:r>
      <w:r/>
    </w:p>
    <w:p>
      <w:pPr>
        <w:pBdr/>
        <w:spacing w:after="200" w:line="276" w:lineRule="auto"/>
        <w:ind/>
        <w:jc w:val="left"/>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78483" name=""/>
                        <pic:cNvPicPr>
                          <a:picLocks noChangeAspect="1"/>
                        </pic:cNvPicPr>
                        <pic:nvPr/>
                      </pic:nvPicPr>
                      <pic:blipFill>
                        <a:blip r:embed="rId2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35.00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pPr>
        <w:pBdr/>
        <w:spacing w:after="200" w:line="276" w:lineRule="auto"/>
        <w:ind/>
        <w:jc w:val="left"/>
        <w:rPr>
          <w:b/>
          <w:bCs/>
          <w:highlight w:val="none"/>
        </w:rPr>
      </w:pPr>
      <w:r>
        <w:rPr>
          <w:b/>
          <w:highlight w:val="none"/>
        </w:rPr>
      </w:r>
      <w:r>
        <w:rPr>
          <w:b/>
          <w:bCs/>
          <w:highlight w:val="none"/>
        </w:rPr>
      </w:r>
      <w:r>
        <w:rPr>
          <w:b/>
          <w:bCs/>
          <w:highlight w:val="none"/>
        </w:rPr>
      </w:r>
    </w:p>
    <w:p>
      <w:pPr>
        <w:pBdr/>
        <w:spacing w:after="200" w:line="276" w:lineRule="auto"/>
        <w:ind/>
        <w:jc w:val="left"/>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275/2025/1725/VFI-BC.51.A</w:t>
      </w:r>
      <w:r>
        <w:rPr>
          <w:i/>
          <w:lang w:val="pt-BR"/>
        </w:rPr>
        <w:t xml:space="preserve"> </w:t>
      </w:r>
      <w:r>
        <w:rPr>
          <w:i/>
          <w:lang w:val="pt-BR"/>
        </w:rPr>
        <w:t xml:space="preserve">5 tháng 12 năm 2025</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120"/>
        <w:ind/>
        <w:jc w:val="center"/>
        <w:rPr>
          <w:b/>
          <w:bCs/>
          <w:i w:val="0"/>
        </w:rPr>
      </w:pPr>
      <w:r>
        <w:rPr>
          <w:b/>
          <w:bCs/>
          <w:i w:val="0"/>
          <w:iCs w:val="0"/>
          <w:highlight w:val="none"/>
          <w:lang w:val="pt-BR" w:bidi="pt-BR"/>
        </w:rPr>
        <w:t xml:space="preserve">TSS1</w:t>
      </w:r>
      <w:r>
        <w:rPr>
          <w:b/>
          <w:bCs/>
          <w:i w:val="0"/>
        </w:rPr>
      </w:r>
      <w:r>
        <w:rPr>
          <w:b/>
          <w:bCs/>
          <w:i w:val="0"/>
        </w:rPr>
      </w:r>
    </w:p>
    <w:tbl>
      <w:tblPr>
        <w:tblW w:w="9619" w:type="dxa"/>
        <w:tblBorders/>
        <w:tblLayout w:type="fixed"/>
        <w:tblLook w:val="04A0" w:firstRow="1" w:lastRow="0" w:firstColumn="1" w:lastColumn="0" w:noHBand="0" w:noVBand="1"/>
      </w:tblPr>
      <w:tblGrid>
        <w:gridCol w:w="632"/>
        <w:gridCol w:w="4493"/>
        <w:gridCol w:w="4494"/>
      </w:tblGrid>
      <w:tr>
        <w:trPr>
          <w:trHeight w:val="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https://www.facebook.com/share/p/17RzJarUJ1/</w:t>
            </w:r>
            <w:r>
              <w:rPr>
                <w:color w:val="000000" w:themeColor="text1"/>
                <w:sz w:val="22"/>
                <w:szCs w:val="22"/>
              </w:rPr>
              <w:br/>
              <w:t xml:space="preserve">0979252661</w:t>
            </w:r>
            <w:r>
              <w:rPr>
                <w:sz w:val="22"/>
                <w:szCs w:val="22"/>
              </w:rPr>
              <w:t xml:space="preserve"> </w:t>
            </w:r>
            <w:r>
              <w:rPr>
                <w:sz w:val="22"/>
                <w:szCs w:val="22"/>
              </w:rPr>
              <w:t xml:space="preserve">(Anh Đoàn Phương Bắc</w:t>
            </w:r>
            <w:r>
              <w:rPr>
                <w:sz w:val="22"/>
                <w:szCs w:val="22"/>
              </w:rPr>
              <w:t xml:space="preserve">)</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2.975.000.000</w:t>
            </w:r>
            <w:r>
              <w:rPr>
                <w:sz w:val="22"/>
                <w:szCs w:val="22"/>
              </w:rPr>
            </w:r>
            <w:r>
              <w:rPr>
                <w:sz w:val="22"/>
                <w:szCs w:val="22"/>
              </w:rPr>
            </w:r>
          </w:p>
        </w:tc>
      </w:tr>
      <w:tr>
        <w:trPr>
          <w:trHeight w:val="41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541"/>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(85.2 m²)</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szCs w:val="22"/>
              </w:rPr>
              <w:t xml:space="preserve">Tài sản cách đường QL32 1km</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85.2</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6.72</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t xml:space="preserve">Hạ tầng khu dân cư thông thường</w:t>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Bằng chứng thu thập</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b/>
                <w:bCs/>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65920" behindDoc="0" locked="0" layoutInCell="1" allowOverlap="1">
                      <wp:simplePos x="0" y="0"/>
                      <wp:positionH relativeFrom="column">
                        <wp:posOffset>2892765</wp:posOffset>
                      </wp:positionH>
                      <wp:positionV relativeFrom="paragraph">
                        <wp:posOffset>0</wp:posOffset>
                      </wp:positionV>
                      <wp:extent cx="2685710" cy="2025062"/>
                      <wp:effectExtent l="0" t="0" r="0" b="0"/>
                      <wp:wrapNone/>
                      <wp:docPr id="15" name=""/>
                      <wp:cNvGraphicFramePr/>
                      <a:graphic xmlns:a="http://schemas.openxmlformats.org/drawingml/2006/main">
                        <a:graphicData uri="http://schemas.openxmlformats.org/drawingml/2006/picture">
                          <pic:pic xmlns:pic="http://schemas.openxmlformats.org/drawingml/2006/picture">
                            <pic:nvPicPr>
                              <pic:cNvPr id="339770485" name="" descr=""/>
                              <pic:cNvPicPr/>
                              <pic:nvPr/>
                            </pic:nvPicPr>
                            <pic:blipFill>
                              <a:blip r:embed="rId26"/>
                              <a:stretch/>
                            </pic:blipFill>
                            <pic:spPr bwMode="auto">
                              <a:xfrm flipH="0" flipV="0">
                                <a:off x="0" y="0"/>
                                <a:ext cx="2685709" cy="2025062"/>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5920;o:allowoverlap:true;o:allowincell:true;mso-position-horizontal-relative:text;margin-left:227.78pt;mso-position-horizontal:absolute;mso-position-vertical-relative:text;margin-top:0.00pt;mso-position-vertical:absolute;width:211.47pt;height:159.45pt;mso-wrap-distance-left:9.07pt;mso-wrap-distance-top:0.00pt;mso-wrap-distance-right:9.07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9850" cy="2025062"/>
                      <wp:effectExtent l="0" t="0" r="0" b="0"/>
                      <wp:docPr id="16" name=""/>
                      <wp:cNvGraphicFramePr/>
                      <a:graphic xmlns:a="http://schemas.openxmlformats.org/drawingml/2006/main">
                        <a:graphicData uri="http://schemas.openxmlformats.org/drawingml/2006/picture">
                          <pic:pic xmlns:pic="http://schemas.openxmlformats.org/drawingml/2006/picture">
                            <pic:nvPicPr>
                              <pic:cNvPr id="2099192327" name="" descr=""/>
                              <pic:cNvPicPr/>
                              <pic:nvPr/>
                            </pic:nvPicPr>
                            <pic:blipFill>
                              <a:blip r:embed="rId27"/>
                              <a:stretch/>
                            </pic:blipFill>
                            <pic:spPr bwMode="auto">
                              <a:xfrm rot="0" flipH="0" flipV="0">
                                <a:off x="0" y="0"/>
                                <a:ext cx="2609848" cy="202506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5.50pt;height:159.45pt;mso-wrap-distance-left:0.00pt;mso-wrap-distance-top:0.00pt;mso-wrap-distance-right:0.00pt;mso-wrap-distance-bottom:0.00pt;rotation:0;z-index:1;" stroked="false">
                      <v:imagedata r:id="rId27" o:title=""/>
                      <o:lock v:ext="edit" rotation="t"/>
                    </v:shape>
                  </w:pict>
                </mc:Fallback>
              </mc:AlternateContent>
            </w:r>
            <w:r>
              <w:rPr>
                <w:color w:val="000000"/>
                <w:sz w:val="22"/>
                <w:szCs w:val="22"/>
              </w:rPr>
            </w:r>
            <w:r>
              <w:rPr>
                <w:color w:val="000000"/>
                <w:sz w:val="22"/>
                <w:szCs w:val="22"/>
              </w:rPr>
            </w:r>
          </w:p>
        </w:tc>
      </w:tr>
    </w:tbl>
    <w:tbl>
      <w:tblPr>
        <w:tblInd w:w="28" w:type="dxa"/>
        <w:tblW w:w="9496" w:type="dxa"/>
        <w:tblBorders/>
        <w:tblLayout w:type="fixed"/>
        <w:tblLook w:val="04A0" w:firstRow="1" w:lastRow="0" w:firstColumn="1" w:lastColumn="0" w:noHBand="0" w:noVBand="1"/>
      </w:tblPr>
      <w:tblGrid>
        <w:gridCol w:w="4438"/>
        <w:gridCol w:w="5058"/>
      </w:tblGrid>
      <w:tr>
        <w:trPr>
          <w:trHeight w:val="1773"/>
        </w:trPr>
        <w:tc>
          <w:tcPr>
            <w:tcBorders/>
            <w:tcW w:w="4438" w:type="dxa"/>
            <w:vAlign w:val="center"/>
            <w:textDirection w:val="lrTb"/>
            <w:noWrap w:val="false"/>
          </w:tcPr>
          <w:p>
            <w:pPr>
              <w:pBdr/>
              <w:spacing/>
              <w:ind/>
              <w:jc w:val="center"/>
              <w:rPr>
                <w:b/>
                <w:bCs/>
              </w:rPr>
            </w:pPr>
            <w:r>
              <w:rPr>
                <w:b/>
                <w:bCs/>
              </w:rPr>
            </w:r>
            <w:r>
              <w:rPr>
                <w:b/>
                <w:bCs/>
              </w:rPr>
            </w:r>
            <w:r>
              <w:rPr>
                <w:b/>
                <w:bCs/>
              </w:rPr>
            </w:r>
          </w:p>
        </w:tc>
        <w:tc>
          <w:tcPr>
            <w:tcBorders/>
            <w:tcW w:w="5058"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p>
            <w:pPr>
              <w:pBdr/>
              <w:spacing/>
              <w:ind/>
              <w:jc w:val="left"/>
              <w:rPr>
                <w:b/>
                <w:bCs/>
              </w:rPr>
            </w:pPr>
            <w:r>
              <w:rPr>
                <w:b/>
                <w:bCs/>
              </w:rPr>
            </w:r>
            <w:r>
              <w:rPr>
                <w:b/>
                <w:bCs/>
              </w:rPr>
            </w:r>
            <w:r>
              <w:rPr>
                <w:b/>
                <w:bCs/>
              </w:rPr>
            </w:r>
          </w:p>
        </w:tc>
      </w:tr>
      <w:tr>
        <w:trPr>
          <w:trHeight w:val="308"/>
        </w:trPr>
        <w:tc>
          <w:tcPr>
            <w:tcBorders/>
            <w:tcW w:w="4438" w:type="dxa"/>
            <w:vAlign w:val="center"/>
            <w:textDirection w:val="lrTb"/>
            <w:noWrap w:val="false"/>
          </w:tcPr>
          <w:p>
            <w:pPr>
              <w:pBdr/>
              <w:spacing/>
              <w:ind/>
              <w:jc w:val="center"/>
              <w:rPr>
                <w:b/>
                <w:bCs/>
              </w:rPr>
            </w:pPr>
            <w:r>
              <w:rPr>
                <w:b/>
                <w:bCs/>
              </w:rPr>
            </w:r>
            <w:r>
              <w:rPr>
                <w:b/>
                <w:bCs/>
              </w:rPr>
            </w:r>
            <w:r>
              <w:rPr>
                <w:b/>
                <w:bCs/>
              </w:rPr>
            </w:r>
          </w:p>
        </w:tc>
        <w:tc>
          <w:tcPr>
            <w:tcBorders/>
            <w:tcW w:w="5058" w:type="dxa"/>
            <w:vAlign w:val="center"/>
            <w:textDirection w:val="lrTb"/>
            <w:noWrap/>
          </w:tcPr>
          <w:p>
            <w:pPr>
              <w:pBdr/>
              <w:spacing/>
              <w:ind/>
              <w:jc w:val="center"/>
              <w:rPr/>
            </w:pPr>
            <w:r>
              <w:t xml:space="preserve">Nguyễn Đăng Hiếu</w:t>
            </w:r>
            <w:r/>
          </w:p>
        </w:tc>
      </w:tr>
    </w:tbl>
    <w:p>
      <w:pPr>
        <w:pBdr/>
        <w:spacing w:after="200" w:line="276" w:lineRule="auto"/>
        <w:ind/>
        <w:jc w:val="center"/>
        <w:rPr>
          <w:b/>
          <w:bCs/>
          <w:iCs/>
          <w:highlight w:val="none"/>
          <w:lang w:val="pt-BR"/>
        </w:rPr>
      </w:pP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hyperlink r:id="rId28" w:tooltip="https://www.facebook.com/share/p/16iHLPz6" w:history="1">
              <w:r>
                <w:rPr>
                  <w:rStyle w:val="1035"/>
                  <w:color w:val="000000" w:themeColor="text1"/>
                  <w:sz w:val="22"/>
                  <w:szCs w:val="22"/>
                </w:rPr>
                <w:t xml:space="preserve">https://www.facebook.com/share/p/16iHLPz6</w:t>
              </w:r>
            </w:hyperlink>
            <w:r>
              <w:rPr>
                <w:color w:val="000000" w:themeColor="text1"/>
                <w:sz w:val="22"/>
                <w:szCs w:val="22"/>
              </w:rPr>
              <w:t xml:space="preserve">A/</w:t>
            </w:r>
            <w:r>
              <w:rPr>
                <w:color w:val="000000" w:themeColor="text1"/>
                <w:sz w:val="22"/>
                <w:szCs w:val="22"/>
              </w:rPr>
              <w:br/>
              <w:t xml:space="preserve">0963967794</w:t>
            </w:r>
            <w:r>
              <w:rPr>
                <w:sz w:val="22"/>
                <w:szCs w:val="22"/>
              </w:rPr>
              <w:t xml:space="preserve"> </w:t>
            </w:r>
            <w:r>
              <w:rPr>
                <w:sz w:val="22"/>
                <w:szCs w:val="22"/>
              </w:rPr>
              <w:t xml:space="preserve">(Anh Duy Linh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cách đường QL32 800m</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61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59390" cy="18634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9"/>
                              <a:stretch/>
                            </pic:blipFill>
                            <pic:spPr bwMode="auto">
                              <a:xfrm flipH="0" flipV="0">
                                <a:off x="0" y="0"/>
                                <a:ext cx="2559389" cy="18634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01.53pt;height:146.7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97515" cy="186341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0539256" name="" descr=""/>
                              <pic:cNvPicPr/>
                              <pic:nvPr/>
                            </pic:nvPicPr>
                            <pic:blipFill>
                              <a:blip r:embed="rId30"/>
                              <a:stretch/>
                            </pic:blipFill>
                            <pic:spPr bwMode="auto">
                              <a:xfrm flipH="0" flipV="0">
                                <a:off x="0" y="0"/>
                                <a:ext cx="2797514" cy="18634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0.28pt;height:146.73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28" w:type="dxa"/>
        <w:tblW w:w="9638" w:type="dxa"/>
        <w:tblBorders/>
        <w:tblLayout w:type="fixed"/>
        <w:tblLook w:val="04A0" w:firstRow="1" w:lastRow="0" w:firstColumn="1" w:lastColumn="0" w:noHBand="0" w:noVBand="1"/>
      </w:tblPr>
      <w:tblGrid>
        <w:gridCol w:w="4507"/>
        <w:gridCol w:w="5131"/>
      </w:tblGrid>
      <w:tr>
        <w:trPr>
          <w:trHeight w:val="312"/>
        </w:trPr>
        <w:tc>
          <w:tcPr>
            <w:tcBorders/>
            <w:tcW w:w="4507" w:type="dxa"/>
            <w:vAlign w:val="center"/>
            <w:textDirection w:val="lrTb"/>
            <w:noWrap w:val="false"/>
          </w:tcPr>
          <w:p>
            <w:pPr>
              <w:pBdr/>
              <w:spacing/>
              <w:ind/>
              <w:jc w:val="center"/>
              <w:rPr>
                <w:b/>
                <w:bCs/>
              </w:rPr>
            </w:pPr>
            <w:r>
              <w:rPr>
                <w:b/>
                <w:bCs/>
              </w:rPr>
            </w:r>
            <w:r>
              <w:rPr>
                <w:b/>
                <w:bCs/>
              </w:rPr>
            </w:r>
            <w:r>
              <w:rPr>
                <w:b/>
                <w:bCs/>
              </w:rPr>
            </w:r>
          </w:p>
        </w:tc>
        <w:tc>
          <w:tcPr>
            <w:tcBorders/>
            <w:tcW w:w="513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507" w:type="dxa"/>
            <w:vAlign w:val="center"/>
            <w:textDirection w:val="lrTb"/>
            <w:noWrap w:val="false"/>
          </w:tcPr>
          <w:p>
            <w:pPr>
              <w:pBdr/>
              <w:spacing/>
              <w:ind/>
              <w:jc w:val="center"/>
              <w:rPr>
                <w:b/>
                <w:bCs/>
              </w:rPr>
            </w:pPr>
            <w:r>
              <w:rPr>
                <w:b/>
                <w:bCs/>
              </w:rPr>
            </w:r>
            <w:r>
              <w:rPr>
                <w:b/>
                <w:bCs/>
              </w:rPr>
            </w:r>
            <w:r>
              <w:rPr>
                <w:b/>
                <w:bCs/>
              </w:rPr>
            </w:r>
          </w:p>
        </w:tc>
        <w:tc>
          <w:tcPr>
            <w:tcBorders/>
            <w:tcW w:w="5131"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https://www.facebook.com/share/p/1A7htqHPr/</w:t>
            </w:r>
            <w:r>
              <w:rPr>
                <w:color w:val="000000" w:themeColor="text1"/>
                <w:sz w:val="22"/>
                <w:szCs w:val="22"/>
              </w:rPr>
              <w:br/>
            </w:r>
            <w:r>
              <w:rPr>
                <w:sz w:val="22"/>
                <w:szCs w:val="22"/>
              </w:rPr>
              <w:t xml:space="preserve">SĐT: </w:t>
            </w:r>
            <w:r>
              <w:rPr>
                <w:color w:val="000000" w:themeColor="text1"/>
                <w:sz w:val="22"/>
                <w:szCs w:val="22"/>
              </w:rPr>
              <w:t xml:space="preserve">0359058885</w:t>
            </w:r>
            <w:r>
              <w:rPr>
                <w:sz w:val="22"/>
                <w:szCs w:val="22"/>
              </w:rPr>
              <w:t xml:space="preserve"> </w:t>
            </w:r>
            <w:r>
              <w:rPr>
                <w:sz w:val="22"/>
                <w:szCs w:val="22"/>
              </w:rPr>
              <w:t xml:space="preserve">(Chị Trang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36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QL32 800m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361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97490" cy="189199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324107679" name="" descr=""/>
                              <pic:cNvPicPr/>
                              <pic:nvPr/>
                            </pic:nvPicPr>
                            <pic:blipFill>
                              <a:blip r:embed="rId31"/>
                              <a:stretch/>
                            </pic:blipFill>
                            <pic:spPr bwMode="auto">
                              <a:xfrm flipH="0" flipV="0">
                                <a:off x="0" y="0"/>
                                <a:ext cx="2597488" cy="1891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4.53pt;height:148.98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59078" cy="1891990"/>
                      <wp:effectExtent l="0" t="0" r="0" b="0"/>
                      <wp:docPr id="20" name=""/>
                      <wp:cNvGraphicFramePr/>
                      <a:graphic xmlns:a="http://schemas.openxmlformats.org/drawingml/2006/main">
                        <a:graphicData uri="http://schemas.openxmlformats.org/drawingml/2006/picture">
                          <pic:pic xmlns:pic="http://schemas.openxmlformats.org/drawingml/2006/picture">
                            <pic:nvPicPr>
                              <pic:cNvPr id="99585857" name="" descr=""/>
                              <pic:cNvPicPr/>
                              <pic:nvPr/>
                            </pic:nvPicPr>
                            <pic:blipFill>
                              <a:blip r:embed="rId32"/>
                              <a:stretch/>
                            </pic:blipFill>
                            <pic:spPr bwMode="auto">
                              <a:xfrm rot="0" flipH="0" flipV="0">
                                <a:off x="0" y="0"/>
                                <a:ext cx="2759078" cy="1891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7.25pt;height:148.98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C69CF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46412E9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46412E9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22F77DF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22F77DF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png"/><Relationship Id="rId19" Type="http://schemas.openxmlformats.org/officeDocument/2006/relationships/image" Target="media/image6.jp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hyperlink" Target="https://www.facebook.com/share/p/16iHLPz6" TargetMode="External"/><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pn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276</cp:revision>
  <dcterms:created xsi:type="dcterms:W3CDTF">2025-09-15T09:58:00Z</dcterms:created>
  <dcterms:modified xsi:type="dcterms:W3CDTF">2025-12-05T08:00:14Z</dcterms:modified>
</cp:coreProperties>
</file>