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right"/>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800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800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275/2025/1622/VFI-CT.27.A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TRỌNG THÁI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220, tờ bản đồ số: 49 (bản đồ cập nhật năm 2010) có địa chỉ: Tổ dân phố 10, phường Nam Thanh, thành phố Điện Biên Phủ, tỉnh Điện Biê</w:t>
                            </w:r>
                            <w:r>
                              <w:rPr>
                                <w:color w:val="000000"/>
                              </w:rPr>
                              <w:t xml:space="preserve">n (nay là phường Mường Thanh, tỉnh Điện Biên) theo Giấy chứng nhận quyền sử dụng đất quyền sở hữu nhà ở và tài sản khác gắn liền với đất số: BG 021856, số vào sổ cấp GCN: CH 24117 do UBND thành phố Điện Biên Phủ cấp ngày 14/6/2013 cho ông Nguyễn Trọng Thái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3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275/2025/1622/VFI-CT.27.A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TRỌNG THÁI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220, tờ bản đồ số: 49 (bản đồ cập nhật năm 2010) có địa chỉ: Tổ dân phố 10, phường Nam Thanh, thành phố Điện Biên Phủ, tỉnh Điện Biê</w:t>
                      </w:r>
                      <w:r>
                        <w:rPr>
                          <w:color w:val="000000"/>
                        </w:rPr>
                        <w:t xml:space="preserve">n (nay là phường Mường Thanh, tỉnh Điện Biên) theo Giấy chứng nhận quyền sử dụng đất quyền sở hữu nhà ở và tài sản khác gắn liền với đất số: BG 021856, số vào sổ cấp GCN: CH 24117 do UBND thành phố Điện Biên Phủ cấp ngày 14/6/2013 cho ông Nguyễn Trọng Thái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right"/>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line="276" w:lineRule="auto"/>
        <w:ind w:right="-1"/>
        <w:jc w:val="center"/>
        <w:rPr>
          <w:sz w:val="28"/>
        </w:rPr>
      </w:pPr>
      <w:r>
        <w:rPr>
          <w:b/>
          <w:sz w:val="28"/>
        </w:rPr>
        <w:t xml:space="preserve">MỤC LỤC</w:t>
      </w:r>
      <w:r>
        <w:rPr>
          <w:sz w:val="28"/>
        </w:rPr>
      </w:r>
      <w:r>
        <w:rPr>
          <w:sz w:val="28"/>
        </w:rPr>
      </w:r>
    </w:p>
    <w:p>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76"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76"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19-22</w:t>
            </w:r>
            <w:r>
              <w:rPr>
                <w:b/>
                <w:bCs/>
              </w:rPr>
            </w:r>
            <w:r>
              <w:rPr>
                <w:b/>
                <w:bCs/>
              </w:rPr>
            </w:r>
          </w:p>
        </w:tc>
      </w:tr>
    </w:tbl>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992"/>
        </w:trPr>
        <w:tc>
          <w:tcPr>
            <w:tcBorders/>
            <w:tcMar>
              <w:left w:w="108" w:type="dxa"/>
              <w:top w:w="0" w:type="dxa"/>
              <w:right w:w="108" w:type="dxa"/>
              <w:bottom w:w="0" w:type="dxa"/>
            </w:tcMar>
            <w:tcW w:w="3996" w:type="dxa"/>
            <w:textDirection w:val="lrTb"/>
            <w:noWrap w:val="false"/>
          </w:tcPr>
          <w:p>
            <w:pPr>
              <w:pStyle w:val="1032"/>
              <w:pBdr/>
              <w:spacing w:after="60" w:before="200" w:line="276" w:lineRule="auto"/>
              <w:ind/>
              <w:rPr>
                <w:rStyle w:val="1031"/>
                <w:rFonts w:ascii="Times New Roman" w:hAnsi="Times New Roman"/>
                <w:color w:val="auto"/>
                <w:lang w:val="pt-BR"/>
              </w:rPr>
            </w:pPr>
            <w:r>
              <w:rPr>
                <w:rFonts w:ascii="Times New Roman" w:hAnsi="Times New Roman"/>
                <w:color w:val="auto"/>
                <w:lang w:val="pt-BR"/>
              </w:rPr>
            </w:r>
            <w:r>
              <mc:AlternateContent>
                <mc:Choice Requires="wpg">
                  <w:drawing>
                    <wp:anchor xmlns:wp="http://schemas.openxmlformats.org/drawingml/2006/wordprocessingDrawing" xmlns:wp14="http://schemas.microsoft.com/office/word/2010/wordprocessingDrawing" distT="0" distB="0" distL="115200" distR="115200" simplePos="0" relativeHeight="251705856" behindDoc="0" locked="0" layoutInCell="1" allowOverlap="1">
                      <wp:simplePos x="0" y="0"/>
                      <wp:positionH relativeFrom="column">
                        <wp:posOffset>-255202</wp:posOffset>
                      </wp:positionH>
                      <wp:positionV relativeFrom="paragraph">
                        <wp:posOffset>-669458</wp:posOffset>
                      </wp:positionV>
                      <wp:extent cx="6204298" cy="1065520"/>
                      <wp:effectExtent l="0" t="0" r="0" b="0"/>
                      <wp:wrapNone/>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64969" name=""/>
                              <pic:cNvPicPr>
                                <a:picLocks noChangeAspect="1"/>
                              </pic:cNvPicPr>
                              <pic:nvPr/>
                            </pic:nvPicPr>
                            <pic:blipFill>
                              <a:blip r:embed="rId14"/>
                              <a:stretch/>
                            </pic:blipFill>
                            <pic:spPr bwMode="auto">
                              <a:xfrm flipH="0" flipV="0">
                                <a:off x="0" y="0"/>
                                <a:ext cx="6204297" cy="106552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705856;o:allowoverlap:true;o:allowincell:true;mso-position-horizontal-relative:text;margin-left:-20.09pt;mso-position-horizontal:absolute;mso-position-vertical-relative:text;margin-top:-52.71pt;mso-position-vertical:absolute;width:488.53pt;height:83.90pt;mso-wrap-distance-left:9.07pt;mso-wrap-distance-top:0.00pt;mso-wrap-distance-right:9.07pt;mso-wrap-distance-bottom:0.00pt;z-index:1;" stroked="false">
                      <v:imagedata r:id="rId14" o:title=""/>
                      <o:lock v:ext="edit" rotation="t"/>
                    </v:shape>
                  </w:pict>
                </mc:Fallback>
              </mc:AlternateContent>
            </w:r>
            <w:r>
              <w:rPr>
                <w:rStyle w:val="1031"/>
                <w:rFonts w:ascii="Times New Roman" w:hAnsi="Times New Roman"/>
                <w:color w:val="auto"/>
                <w:lang w:val="pt-BR"/>
              </w:rPr>
            </w:r>
            <w:r>
              <w:rPr>
                <w:rStyle w:val="1031"/>
                <w:rFonts w:ascii="Times New Roman" w:hAnsi="Times New Roman"/>
                <w:color w:val="auto"/>
                <w:lang w:val="pt-BR"/>
              </w:rPr>
            </w:r>
          </w:p>
          <w:p>
            <w:pPr>
              <w:pStyle w:val="1032"/>
              <w:pBdr/>
              <w:spacing w:after="60" w:before="200" w:line="276" w:lineRule="auto"/>
              <w:ind/>
              <w:rPr>
                <w:sz w:val="24"/>
                <w:szCs w:val="24"/>
              </w:rPr>
            </w:pPr>
            <w:r>
              <w:rPr>
                <w:rStyle w:val="1031"/>
                <w:rFonts w:ascii="Times New Roman" w:hAnsi="Times New Roman"/>
                <w:color w:val="auto"/>
                <w:lang w:val="pt-BR"/>
              </w:rPr>
              <w:t xml:space="preserve">Số:</w:t>
            </w:r>
            <w:r>
              <w:rPr>
                <w:rStyle w:val="1031"/>
                <w:rFonts w:ascii="Times New Roman" w:hAnsi="Times New Roman"/>
                <w:color w:val="auto"/>
                <w:lang w:val="pt-BR"/>
              </w:rPr>
              <w:t xml:space="preserve"> </w:t>
            </w:r>
            <w:r>
              <w:rPr>
                <w:rStyle w:val="1031"/>
                <w:rFonts w:ascii="Times New Roman" w:hAnsi="Times New Roman"/>
                <w:color w:val="000000" w:themeColor="text1"/>
                <w:lang w:val="pt-BR"/>
              </w:rPr>
              <w:t xml:space="preserve">275/2025/1622/VFI-CT.27.A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32"/>
              <w:pBdr/>
              <w:spacing w:after="60" w:before="200" w:line="276" w:lineRule="auto"/>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pPr>
              <w:pStyle w:val="1032"/>
              <w:pBdr/>
              <w:spacing w:after="60" w:before="200" w:line="276" w:lineRule="auto"/>
              <w:ind w:right="-56"/>
              <w:jc w:val="right"/>
              <w:rPr>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rFonts w:ascii="Times New Roman" w:hAnsi="Times New Roman" w:eastAsia="Times New Roman" w:cs="Times New Roman"/>
                <w:i/>
                <w:color w:val="000000"/>
                <w:sz w:val="24"/>
              </w:rPr>
              <w:t xml:space="preserve">ngày 17 tháng 11 năm 2025</w:t>
            </w:r>
            <w:r>
              <w:rPr>
                <w:rStyle w:val="1031"/>
                <w:rFonts w:ascii="Times New Roman" w:hAnsi="Times New Roman"/>
                <w:i/>
                <w:color w:val="auto"/>
                <w:lang w:val="vi-VN"/>
              </w:rPr>
              <w:t xml:space="preserve"> </w:t>
            </w:r>
            <w:r>
              <w:rPr>
                <w:sz w:val="24"/>
                <w:szCs w:val="24"/>
                <w:lang w:val="vi-VN"/>
              </w:rPr>
            </w:r>
            <w:r>
              <w:rPr>
                <w:sz w:val="24"/>
                <w:szCs w:val="24"/>
                <w:lang w:val="vi-VN"/>
              </w:rPr>
            </w:r>
          </w:p>
        </w:tc>
      </w:tr>
    </w:tbl>
    <w:p>
      <w:pPr>
        <w:pStyle w:val="1032"/>
        <w:pBdr/>
        <w:spacing w:after="120" w:before="200" w:line="276"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TRỌNG THÁI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76" w:lineRule="auto"/>
        <w:ind w:left="-72"/>
        <w:jc w:val="both"/>
        <w:rPr>
          <w:spacing w:val="-4"/>
        </w:rPr>
      </w:pPr>
      <w:r>
        <w:rPr>
          <w:spacing w:val="-4"/>
          <w:lang w:val="vi-VN"/>
        </w:rPr>
        <w:tab/>
      </w:r>
      <w:r>
        <w:rPr>
          <w:rFonts w:ascii="Times New Roman" w:hAnsi="Times New Roman" w:eastAsia="Times New Roman" w:cs="Times New Roman"/>
          <w:color w:val="000000"/>
          <w:sz w:val="24"/>
        </w:rPr>
        <w:t xml:space="preserve">Căn cứ Hợp đồng dịch vụ thẩm định giá số 275/2025/1622/VFI-HĐTĐ.27.A ký ngày 15/11/2025 giữa ông Nguyễn Trọng Thái với Công ty Cổ phần Thẩm định và Đầu tư Tài chính Hoa Sen; </w:t>
      </w:r>
      <w:r>
        <w:rPr>
          <w:spacing w:val="-4"/>
        </w:rPr>
      </w:r>
      <w:r>
        <w:rPr>
          <w:spacing w:val="-4"/>
        </w:rP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Căn cứ Báo cáo thẩm định giá số 275/2025/1622/VFI-BC.27.A ngày 17/11/2025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220, tờ bản đồ số: 49 (bản đồ cập nhật năm 2010) có địa chỉ: Tổ dân phố 10, phường Nam Thanh, thành phố Điện Biên Phủ, tỉnh Điện Biê</w:t>
      </w:r>
      <w:r>
        <w:rPr>
          <w:color w:val="000000" w:themeColor="text1"/>
        </w:rPr>
        <w:t xml:space="preserve">n (nay là phường Mường Thanh, tỉnh Điện Biên) theo Giấy chứng nhận quyền sử dụng đất quyền sở hữu nhà ở và tài sản khác gắn liền với đất số: BG 021856, số vào sổ cấp GCN: CH 24117 do UBND thành phố Điện Biên Phủ cấp ngày 14/6/2013 cho ông Nguyễn Trọng Thái</w:t>
      </w:r>
      <w:r>
        <w:rPr>
          <w:i/>
          <w:iCs/>
        </w:rPr>
        <w:t xml:space="preserve">.</w:t>
      </w:r>
      <w:r>
        <w:rPr>
          <w:b/>
          <w:bCs/>
        </w:rPr>
      </w:r>
      <w:r>
        <w:rPr>
          <w:b/>
          <w:bCs/>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787"/>
        <w:gridCol w:w="1218"/>
        <w:gridCol w:w="1671"/>
        <w:gridCol w:w="1290"/>
        <w:gridCol w:w="2018"/>
      </w:tblGrid>
      <w:tr>
        <w:trPr>
          <w:trHeight w:val="600"/>
        </w:trPr>
        <w:tc>
          <w:tcPr>
            <w:shd w:val="clear" w:color="ffffff" w:fill="ffffff"/>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278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121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167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1290"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(đồng)</w:t>
            </w:r>
            <w:r/>
          </w:p>
        </w:tc>
      </w:tr>
      <w:tr>
        <w:trPr>
          <w:trHeight w:val="2325"/>
        </w:trPr>
        <w:tc>
          <w:tcPr>
            <w:shd w:val="clear" w:color="ffffff" w:fill="ffffff"/>
            <w:tcBorders>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3" w:space="0"/>
              <w:bottom w:val="single" w:color="000000" w:sz="3" w:space="0"/>
              <w:right w:val="single" w:color="000000" w:sz="4" w:space="0"/>
            </w:tcBorders>
            <w:tcMar>
              <w:left w:w="57" w:type="dxa"/>
              <w:top w:w="0" w:type="dxa"/>
              <w:right w:w="57" w:type="dxa"/>
              <w:bottom w:w="0" w:type="dxa"/>
            </w:tcMar>
            <w:tcW w:w="6965"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220, tờ bản đồ số: 49 (bản đồ cập nhật năm 2010) có địa chỉ: Tổ dân phố 10, phường Nam Thanh, thành phố Điện Biên Phủ, tỉnh Điện Biên (nay là phường Mường Thanh, tỉnh Điện Biên) theo Giấy chứng</w:t>
            </w:r>
            <w:r>
              <w:rPr>
                <w:rFonts w:ascii="Times New Roman" w:hAnsi="Times New Roman" w:eastAsia="Times New Roman" w:cs="Times New Roman"/>
                <w:b/>
                <w:color w:val="000000"/>
                <w:sz w:val="24"/>
              </w:rPr>
              <w:t xml:space="preserve"> nhận quyền sử dụng đất quyền sở hữu nhà ở và tài sản khác gắn liền với đất số: BG 021856, số vào sổ cấp GCN: CH 24117 do UBND thành phố Điện Biên Phủ cấp ngày 14/6/2013 cho ông Nguyễn Trọng Thái</w:t>
            </w:r>
            <w:r/>
          </w:p>
        </w:tc>
        <w:tc>
          <w:tcPr>
            <w:shd w:val="clear" w:color="ffffff" w:fill="ffffff"/>
            <w:tcBorders>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15"/>
        </w:trPr>
        <w:tc>
          <w:tcPr>
            <w:shd w:val="clear" w:color="ffffff" w:fill="ffffff"/>
            <w:tcBorders>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3" w:space="0"/>
              <w:right w:val="single" w:color="000000" w:sz="3" w:space="0"/>
            </w:tcBorders>
            <w:tcMar>
              <w:left w:w="57" w:type="dxa"/>
              <w:top w:w="0" w:type="dxa"/>
              <w:right w:w="57" w:type="dxa"/>
              <w:bottom w:w="0" w:type="dxa"/>
            </w:tcMar>
            <w:tcW w:w="278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Giá trị quyền sử dụng đất hỗn hợp</w:t>
            </w:r>
            <w:r/>
          </w:p>
        </w:tc>
        <w:tc>
          <w:tcPr>
            <w:tcBorders>
              <w:bottom w:val="single" w:color="000000" w:sz="3" w:space="0"/>
              <w:right w:val="single" w:color="000000" w:sz="3" w:space="0"/>
            </w:tcBorders>
            <w:tcMar>
              <w:left w:w="57" w:type="dxa"/>
              <w:top w:w="0" w:type="dxa"/>
              <w:right w:w="57" w:type="dxa"/>
              <w:bottom w:w="0" w:type="dxa"/>
            </w:tcMar>
            <w:tcW w:w="1218"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91,8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67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25.000.000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290"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2.295.000.000</w:t>
            </w:r>
            <w:r/>
          </w:p>
        </w:tc>
      </w:tr>
      <w:tr>
        <w:trPr>
          <w:trHeight w:val="308"/>
        </w:trPr>
        <w:tc>
          <w:tcPr>
            <w:shd w:val="clear" w:color="ffffff" w:fill="ffffff"/>
            <w:tcBorders>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3" w:space="0"/>
              <w:right w:val="single" w:color="000000" w:sz="3" w:space="0"/>
            </w:tcBorders>
            <w:tcMar>
              <w:left w:w="57" w:type="dxa"/>
              <w:top w:w="0" w:type="dxa"/>
              <w:right w:w="57" w:type="dxa"/>
              <w:bottom w:w="0" w:type="dxa"/>
            </w:tcMar>
            <w:tcW w:w="278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Nhà 3 tầng</w:t>
            </w:r>
            <w:r/>
          </w:p>
        </w:tc>
        <w:tc>
          <w:tcPr>
            <w:tcBorders>
              <w:bottom w:val="single" w:color="000000" w:sz="3" w:space="0"/>
              <w:right w:val="single" w:color="000000" w:sz="3" w:space="0"/>
            </w:tcBorders>
            <w:tcMar>
              <w:left w:w="57" w:type="dxa"/>
              <w:top w:w="0" w:type="dxa"/>
              <w:right w:w="57" w:type="dxa"/>
              <w:bottom w:w="0" w:type="dxa"/>
            </w:tcMar>
            <w:tcW w:w="1218"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210,0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67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6.923.675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290"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70%</w:t>
            </w:r>
            <w:r/>
          </w:p>
        </w:tc>
        <w:tc>
          <w:tcPr>
            <w:shd w:val="clear" w:color="ffffff" w:fill="ffffff"/>
            <w:tcBorders>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1.017.780.225</w:t>
            </w:r>
            <w:r/>
          </w:p>
        </w:tc>
      </w:tr>
      <w:tr>
        <w:trPr>
          <w:trHeight w:val="308"/>
        </w:trPr>
        <w:tc>
          <w:tcPr>
            <w:gridSpan w:val="5"/>
            <w:tcBorders>
              <w:top w:val="single" w:color="000000" w:sz="3" w:space="0"/>
              <w:left w:val="single" w:color="000000" w:sz="3" w:space="0"/>
              <w:bottom w:val="single" w:color="000000" w:sz="3" w:space="0"/>
              <w:right w:val="single" w:color="000000" w:sz="4" w:space="0"/>
            </w:tcBorders>
            <w:tcMar>
              <w:left w:w="57" w:type="dxa"/>
              <w:top w:w="0" w:type="dxa"/>
              <w:right w:w="57" w:type="dxa"/>
              <w:bottom w:w="0" w:type="dxa"/>
            </w:tcMar>
            <w:tcW w:w="750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3" w:space="0"/>
              <w:right w:val="single" w:color="000000" w:sz="3" w:space="0"/>
            </w:tcBorders>
            <w:tcMar>
              <w:left w:w="57" w:type="dxa"/>
              <w:top w:w="0" w:type="dxa"/>
              <w:right w:w="57" w:type="dxa"/>
              <w:bottom w:w="0" w:type="dxa"/>
            </w:tcMar>
            <w:tcW w:w="2018" w:type="dxa"/>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3.312.780.225 </w:t>
            </w:r>
            <w:r/>
          </w:p>
        </w:tc>
      </w:tr>
      <w:tr>
        <w:trPr>
          <w:trHeight w:val="308"/>
        </w:trPr>
        <w:tc>
          <w:tcPr>
            <w:gridSpan w:val="5"/>
            <w:tcBorders>
              <w:top w:val="single" w:color="000000" w:sz="3" w:space="0"/>
              <w:left w:val="single" w:color="000000" w:sz="3" w:space="0"/>
              <w:bottom w:val="single" w:color="000000" w:sz="3" w:space="0"/>
              <w:right w:val="single" w:color="000000" w:sz="4" w:space="0"/>
            </w:tcBorders>
            <w:tcMar>
              <w:left w:w="57" w:type="dxa"/>
              <w:top w:w="0" w:type="dxa"/>
              <w:right w:w="57" w:type="dxa"/>
              <w:bottom w:w="0" w:type="dxa"/>
            </w:tcMar>
            <w:tcW w:w="750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3" w:space="0"/>
              <w:right w:val="single" w:color="000000" w:sz="3" w:space="0"/>
            </w:tcBorders>
            <w:tcMar>
              <w:left w:w="57" w:type="dxa"/>
              <w:top w:w="0" w:type="dxa"/>
              <w:right w:w="57" w:type="dxa"/>
              <w:bottom w:w="0" w:type="dxa"/>
            </w:tcMar>
            <w:tcW w:w="2018" w:type="dxa"/>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3.313.000.000 </w:t>
            </w:r>
            <w:r/>
          </w:p>
        </w:tc>
      </w:tr>
      <w:tr>
        <w:trPr>
          <w:trHeight w:val="308"/>
        </w:trPr>
        <w:tc>
          <w:tcPr>
            <w:gridSpan w:val="6"/>
            <w:tcBorders>
              <w:top w:val="single" w:color="000000" w:sz="3" w:space="0"/>
              <w:left w:val="single" w:color="000000" w:sz="3" w:space="0"/>
              <w:bottom w:val="single" w:color="000000" w:sz="3" w:space="0"/>
              <w:right w:val="single" w:color="000000" w:sz="4" w:space="0"/>
            </w:tcBorders>
            <w:tcMar>
              <w:left w:w="57" w:type="dxa"/>
              <w:top w:w="0" w:type="dxa"/>
              <w:right w:w="57" w:type="dxa"/>
              <w:bottom w:w="0" w:type="dxa"/>
            </w:tcMar>
            <w:tcW w:w="9520"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Ba tỷ ba trăm mười ba triệu đồng chẵn ./.)</w:t>
            </w:r>
            <w:r/>
          </w:p>
        </w:tc>
      </w:tr>
    </w:tbl>
    <w:p>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76" w:lineRule="auto"/>
        <w:ind/>
        <w:rPr/>
      </w:pPr>
      <w:r>
        <w:rPr>
          <w:b/>
          <w:bCs/>
          <w:lang w:val="vi-VN"/>
        </w:rPr>
        <w:t xml:space="preserve">11. Những điều khoản loại trừ và hạn chế của kết quả thẩm định giá:</w:t>
      </w:r>
      <w:r/>
    </w:p>
    <w:p>
      <w:pPr>
        <w:pBdr/>
        <w:spacing w:after="120" w:before="120" w:line="276"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276"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32"/>
              <w:pBdr/>
              <w:tabs>
                <w:tab w:val="left" w:leader="none" w:pos="5103"/>
              </w:tabs>
              <w:spacing w:before="100" w:line="276" w:lineRule="auto"/>
              <w:ind/>
              <w:jc w:val="left"/>
              <w:rPr>
                <w:sz w:val="24"/>
                <w:szCs w:val="24"/>
              </w:rPr>
            </w:pPr>
            <w:r>
              <w:rPr>
                <w:sz w:val="24"/>
                <w:szCs w:val="24"/>
              </w:rPr>
            </w:r>
            <w:r>
              <w:rPr>
                <w:sz w:val="24"/>
                <w:szCs w:val="24"/>
              </w:rPr>
            </w:r>
            <w:r>
              <w:rPr>
                <w:sz w:val="24"/>
                <w:szCs w:val="24"/>
              </w:rPr>
            </w:r>
          </w:p>
          <w:p>
            <w:pPr>
              <w:pStyle w:val="1032"/>
              <w:pBdr/>
              <w:tabs>
                <w:tab w:val="left" w:leader="none" w:pos="5103"/>
              </w:tabs>
              <w:spacing w:before="100" w:line="276"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275/2025/1622/VFI-BC.27.A</w:t>
            </w:r>
            <w:r>
              <w:rPr>
                <w:sz w:val="24"/>
                <w:szCs w:val="24"/>
              </w:rPr>
            </w:r>
            <w:r>
              <w:rPr>
                <w:sz w:val="24"/>
                <w:szCs w:val="24"/>
              </w:rPr>
            </w:r>
          </w:p>
        </w:tc>
        <w:tc>
          <w:tcPr>
            <w:tcBorders/>
            <w:tcW w:w="4781" w:type="dxa"/>
            <w:textDirection w:val="lrTb"/>
            <w:noWrap w:val="false"/>
          </w:tcPr>
          <w:p>
            <w:pPr>
              <w:pStyle w:val="1032"/>
              <w:pBdr/>
              <w:tabs>
                <w:tab w:val="left" w:leader="none" w:pos="5103"/>
              </w:tabs>
              <w:spacing w:before="100" w:line="276" w:lineRule="auto"/>
              <w:ind/>
              <w:jc w:val="right"/>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pPr>
              <w:pStyle w:val="1032"/>
              <w:pBdr/>
              <w:tabs>
                <w:tab w:val="left" w:leader="none" w:pos="5103"/>
              </w:tabs>
              <w:spacing w:before="100" w:line="276" w:lineRule="auto"/>
              <w:ind/>
              <w:jc w:val="right"/>
              <w:rPr>
                <w:i/>
                <w:iCs/>
                <w:sz w:val="24"/>
                <w:szCs w:val="24"/>
              </w:rPr>
            </w:pPr>
            <w:r>
              <w:rPr>
                <w:rStyle w:val="1031"/>
                <w:rFonts w:ascii="Times New Roman" w:hAnsi="Times New Roman"/>
                <w:i/>
                <w:color w:val="auto"/>
              </w:rPr>
            </w:r>
            <w:r>
              <w:rPr>
                <w:rFonts w:ascii="Times New Roman" w:hAnsi="Times New Roman" w:eastAsia="Times New Roman" w:cs="Times New Roman"/>
                <w:i/>
                <w:color w:val="000000"/>
                <w:sz w:val="24"/>
              </w:rPr>
              <w:t xml:space="preserve">TP. Hà Nội, ngày 17 tháng 11 năm 2025</w:t>
            </w:r>
            <w:r>
              <w:rPr>
                <w:rStyle w:val="1031"/>
                <w:rFonts w:ascii="Times New Roman" w:hAnsi="Times New Roman"/>
                <w:i/>
                <w:color w:val="auto"/>
                <w:lang w:val="vi-VN"/>
              </w:rPr>
              <w:t xml:space="preserve"> </w:t>
            </w:r>
            <w:r>
              <w:rPr>
                <w:i/>
                <w:iCs/>
                <w:sz w:val="24"/>
                <w:szCs w:val="24"/>
              </w:rPr>
            </w:r>
            <w:r>
              <w:rPr>
                <w:i/>
                <w:iCs/>
                <w:sz w:val="24"/>
                <w:szCs w:val="24"/>
              </w:rPr>
            </w:r>
          </w:p>
        </w:tc>
      </w:tr>
    </w:tbl>
    <w:p>
      <w:pPr>
        <w:pStyle w:val="1032"/>
        <w:pBdr/>
        <w:tabs>
          <w:tab w:val="left" w:leader="none" w:pos="5103"/>
        </w:tabs>
        <w:spacing w:before="200" w:line="276" w:lineRule="auto"/>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5200" distR="115200" simplePos="0" relativeHeight="251708928" behindDoc="0" locked="0" layoutInCell="1" allowOverlap="1">
                <wp:simplePos x="0" y="0"/>
                <wp:positionH relativeFrom="column">
                  <wp:posOffset>0</wp:posOffset>
                </wp:positionH>
                <wp:positionV relativeFrom="paragraph">
                  <wp:posOffset>-713957</wp:posOffset>
                </wp:positionV>
                <wp:extent cx="6048375" cy="1038743"/>
                <wp:effectExtent l="0" t="0" r="0" b="0"/>
                <wp:wrapThrough wrapText="bothSides">
                  <wp:wrapPolygon edited="1">
                    <wp:start x="0" y="0"/>
                    <wp:lineTo x="21600" y="0"/>
                    <wp:lineTo x="21600" y="21600"/>
                    <wp:lineTo x="0" y="21600"/>
                  </wp:wrapPolygon>
                </wp:wrapThrough>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626549" name=""/>
                        <pic:cNvPicPr>
                          <a:picLocks noChangeAspect="1"/>
                        </pic:cNvPicPr>
                        <pic:nvPr/>
                      </pic:nvPicPr>
                      <pic:blipFill>
                        <a:blip r:embed="rId15"/>
                        <a:stretch/>
                      </pic:blipFill>
                      <pic:spPr bwMode="auto">
                        <a:xfrm>
                          <a:off x="0" y="0"/>
                          <a:ext cx="6048374" cy="1038742"/>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708928;o:allowoverlap:true;o:allowincell:true;mso-position-horizontal-relative:text;margin-left:0.00pt;mso-position-horizontal:absolute;mso-position-vertical-relative:text;margin-top:-56.22pt;mso-position-vertical:absolute;width:476.25pt;height:81.79pt;mso-wrap-distance-left:9.07pt;mso-wrap-distance-top:0.00pt;mso-wrap-distance-right:9.07pt;mso-wrap-distance-bottom:0.00pt;z-index:1;" wrapcoords="0 0 100000 0 100000 100000 0 100000" stroked="false">
                <w10:wrap type="through"/>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w:t>
      </w:r>
      <w:r>
        <w:rPr>
          <w:rFonts w:ascii="Times New Roman" w:hAnsi="Times New Roman" w:eastAsia="Times New Roman" w:cs="Times New Roman"/>
          <w:b w:val="0"/>
          <w:bCs w:val="0"/>
          <w:i/>
          <w:color w:val="000000"/>
          <w:sz w:val="24"/>
        </w:rPr>
        <w:t xml:space="preserve">Chứng thư thẩm định giá số: 275/2025/1622/VFI-CT.27.A ngày 17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276" w:lineRule="auto"/>
        <w:ind/>
        <w:jc w:val="both"/>
        <w:rPr>
          <w:b w:val="0"/>
          <w:i/>
          <w:spacing w:val="-6"/>
          <w:sz w:val="24"/>
          <w:szCs w:val="24"/>
          <w:lang w:val="pt-BR"/>
        </w:rPr>
      </w:pPr>
      <w:r>
        <w:rPr>
          <w:sz w:val="24"/>
          <w:szCs w:val="24"/>
          <w:lang w:val="pt-BR"/>
        </w:rPr>
      </w: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10029" w:type="dxa"/>
        <w:tblBorders/>
        <w:tblLayout w:type="fixed"/>
        <w:tblLook w:val="04A0" w:firstRow="1" w:lastRow="0" w:firstColumn="1" w:lastColumn="0" w:noHBand="0" w:noVBand="1"/>
      </w:tblPr>
      <w:tblGrid>
        <w:gridCol w:w="1951"/>
        <w:gridCol w:w="289"/>
        <w:gridCol w:w="7790"/>
      </w:tblGrid>
      <w:tr>
        <w:trPr>
          <w:trHeight w:val="20"/>
        </w:trPr>
        <w:tc>
          <w:tcPr>
            <w:tcBorders/>
            <w:tcW w:w="1951"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51"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1951"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79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51"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51"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79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51"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79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51"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79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pPr>
        <w:pStyle w:val="1033"/>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220, tờ bản đồ số: 49 (bản đồ cập nhật năm 2010) có địa chỉ: Tổ dân phố 10, phường Nam Thanh, thành phố Điện Biên Phủ, tỉnh Điện Biê</w:t>
            </w:r>
            <w:r>
              <w:rPr>
                <w:bCs/>
                <w:color w:val="000000" w:themeColor="text1"/>
                <w:lang w:val="pt-BR"/>
              </w:rPr>
              <w:t xml:space="preserve">n (nay là phường Mường Thanh, tỉnh Điện Biên) theo Giấy chứng nhận quyền sử dụng đất quyền sở hữu nhà ở và tài sản khác gắn liền với đất số: BG 021856, số vào sổ cấp GCN: CH 24117 do UBND thành phố Điện Biên Phủ cấp ngày 14/6/2013 cho ông Nguyễn Trọng Thái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Nam Thanh, Thành phố Điện Biên Phủ, Tỉnh Điện Biên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21.371519, 103.011883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Bdr/>
        <w:spacing w:line="276" w:lineRule="auto"/>
        <w:ind w:hanging="360" w:left="360"/>
        <w:rPr>
          <w:lang w:val="pt-BR"/>
        </w:rPr>
      </w:pPr>
      <w:r>
        <w:rPr>
          <w:rFonts w:hint="default" w:ascii="Times New Roman" w:hAnsi="Times New Roman" w:eastAsia="Times New Roman" w:cs="Times New Roman"/>
        </w:rPr>
      </w: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BG 021856, số vào sổ cấp GCN: CH 24117 do UBND thành phố Điện Biên Phủ cấp ngày 14/6/2013 cho ông Nguyễn Trọng Thái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275/2025/1622/VFI-HĐTĐ.27.A ký ngày 15/11/2025 giữa ông Nguyễn Trọng Thái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left"/>
        <w:rPr>
          <w:iCs/>
        </w:rPr>
      </w:pPr>
      <w:r>
        <w:rPr>
          <w:shd w:val="clear" w:color="auto" w:fill="ffffff"/>
        </w:rPr>
        <w:t xml:space="preserve">Thành phố Điện Biê</w:t>
      </w:r>
      <w:r>
        <w:rPr>
          <w:shd w:val="clear" w:color="auto" w:fill="ffffff"/>
        </w:rPr>
        <w:t xml:space="preserve">n Phủ nằm ở trung tâm địa lý của tỉnh Điện Biên, có vị trí địa lý:</w:t>
        <w:br/>
        <w:t xml:space="preserve">-</w:t>
        <w:tab/>
        <w:t xml:space="preserve">Phía đông giáp huyện Điện Biên Đông và huyện Mường Ảng;</w:t>
        <w:br/>
        <w:t xml:space="preserve">-</w:t>
        <w:tab/>
        <w:t xml:space="preserve">Phía tây và phía nam giáp huyện Điện Biên.</w:t>
        <w:br/>
        <w:t xml:space="preserve">-</w:t>
        <w:tab/>
        <w:t xml:space="preserve">Phía bắc giáp huyện Mường Chà.</w:t>
      </w:r>
      <w:r>
        <w:rPr>
          <w:iCs/>
        </w:rPr>
      </w:r>
      <w:r>
        <w:rPr>
          <w:iCs/>
        </w:rPr>
      </w:r>
    </w:p>
    <w:p>
      <w:pPr>
        <w:pBdr/>
        <w:tabs>
          <w:tab w:val="left" w:leader="none" w:pos="426"/>
        </w:tabs>
        <w:spacing w:after="120" w:before="120" w:line="276" w:lineRule="auto"/>
        <w:ind/>
        <w:jc w:val="both"/>
        <w:rPr/>
      </w:pPr>
      <w:r>
        <w:rPr>
          <w:shd w:val="clear" w:color="auto" w:fill="ffffff"/>
        </w:rPr>
        <w:t xml:space="preserve">Điện Biên Phủ cách trung tâm thủ đô Hà Nội 455 km về </w:t>
      </w:r>
      <w:r>
        <w:rPr>
          <w:shd w:val="clear" w:color="auto" w:fill="ffffff"/>
        </w:rPr>
        <w:t xml:space="preserve">phía tây bắc. Trung tâm thành phố nằm trên cánh đồng Mường Thanh với chiều dài khoảng 23 km, chiều rộng trung bình 6 km đến 8 km và tổng diện tích khoảng 150 km². Thành phố Điện Biên Phủ có diện tích 308,18 km², dân số năm 2018 là 80.366 người. Cư dân sống</w:t>
      </w:r>
      <w:r>
        <w:rPr>
          <w:shd w:val="clear" w:color="auto" w:fill="ffffff"/>
        </w:rPr>
        <w:t xml:space="preserve"> ở đây bên cạnh người Kinh còn có một số đông là người Thái, người H'Mông, người Si La. Các dân tộc thiểu số chiếm 1/3 dân số của thành phố.</w:t>
        <w:br/>
        <w:t xml:space="preserve">Thị trường đất nền tại tỉnh Điện Biên những năm gần đây đang nhận được sự ủng hộ tích cực từ người mua cá nhân và c</w:t>
      </w:r>
      <w:r>
        <w:rPr>
          <w:shd w:val="clear" w:color="auto" w:fill="ffffff"/>
        </w:rPr>
        <w:t xml:space="preserve">ác nhà môi giới. Với vị trí đẹp chủ yếu gần đồi A1, gần các khu đô thị, đặc biệt là khi quỹ đất của thành phố Điện Biên không còn nhiều nên khả năng mở rộng ra các khu đô thị, trung tâm thương mại là rất hạn chế. Vậy nên đất nền trở thành một sản phẩm bất </w:t>
      </w:r>
      <w:r>
        <w:rPr>
          <w:shd w:val="clear" w:color="auto" w:fill="ffffff"/>
        </w:rPr>
        <w:t xml:space="preserve">động sản được nhiều người dân săn đón. Hiện nay, tỉnh Điện Biên vẫn còn phải đối mặt với cơ sở hạ tầng kém phát triển, đường núi rừng nhiều, quỹ đất tại thành phố còn hạn hẹp gây nên thiếu thốn nguồn cung. Điều này cũng làm rõ lý do tại sao giá đất nền tại</w:t>
      </w:r>
      <w:r>
        <w:rPr>
          <w:shd w:val="clear" w:color="auto" w:fill="ffffff"/>
        </w:rPr>
        <w:t xml:space="preserve"> tỉnh Điện Biên tăng cao nhanh chóng như vậy. Đây cũng là một trong những thách thức lớn đối với thị trường bất động sản, đất nền tại tỉnh Điện Biên trong tương lai.</w:t>
      </w:r>
      <w:r>
        <w:rPr>
          <w:bCs/>
          <w:i/>
          <w:lang w:val="pt-BR"/>
        </w:rPr>
      </w:r>
      <w:r/>
    </w:p>
    <w:p>
      <w:pPr>
        <w:pBdr/>
        <w:tabs>
          <w:tab w:val="left" w:leader="none" w:pos="426"/>
        </w:tabs>
        <w:spacing w:after="120" w:before="120" w:line="276" w:lineRule="auto"/>
        <w:ind/>
        <w:jc w:val="both"/>
        <w:rPr>
          <w:bCs/>
          <w:i/>
          <w:lang w:val="pt-BR"/>
        </w:rPr>
      </w:pPr>
      <w:r>
        <w:rPr>
          <w:shd w:val="clear" w:color="auto" w:fill="ffffff"/>
        </w:rPr>
        <w:t xml:space="preserve">May mắn rằng nhu cầu mua và sử dụng đất nền tại tỉnh Điện Biên vẫn đang nhận được sự quan </w:t>
      </w:r>
      <w:r>
        <w:rPr>
          <w:shd w:val="clear" w:color="auto" w:fill="ffffff"/>
        </w:rPr>
        <w:t xml:space="preserve">tâm rất lớn đến từ người dân. Chỉ việc gõ cụm từ “mua đất nền Điện Biên” trên mục tìm kiếm thôi cũng ra hàng triệu kết quả trong chưa đầy một phút. Có thể thấy sức nóng của thị trường đất nền Điện Biên chưa từng giảm trong thời gian này và trong tương lai.</w:t>
      </w:r>
      <w:r>
        <w:rPr>
          <w:bCs/>
          <w:i/>
          <w:lang w:val="pt-BR"/>
        </w:rPr>
      </w:r>
      <w:r>
        <w:rPr>
          <w:bCs/>
          <w:i/>
          <w:lang w:val="pt-BR"/>
        </w:rPr>
      </w:r>
    </w:p>
    <w:p>
      <w:pPr>
        <w:pStyle w:val="103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145"/>
        <w:gridCol w:w="2091"/>
        <w:gridCol w:w="2204"/>
        <w:gridCol w:w="2117"/>
      </w:tblGrid>
      <w:tr>
        <w:trPr>
          <w:trHeight w:val="2121"/>
        </w:trPr>
        <w:tc>
          <w:tcPr>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Quyền sử dụng đất và tài sản gắn liền với đất tại thửa đất số: 220, tờ bản đồ số: 49 (bản đồ cập nhật năm 2010) có địa chỉ: Tổ dân phố 10, phường Nam Thanh, thành phố Điện Biên Phủ, tỉnh Điện Biên (nay là phường Mường Thanh, tỉnh Điện Biên) theo Giấy chứng</w:t>
            </w:r>
            <w:r>
              <w:rPr>
                <w:rFonts w:ascii="Times New Roman" w:hAnsi="Times New Roman" w:eastAsia="Times New Roman" w:cs="Times New Roman"/>
                <w:b/>
                <w:color w:val="000000"/>
                <w:sz w:val="24"/>
              </w:rPr>
              <w:t xml:space="preserve"> nhận quyền sử dụng đất quyền sở hữu nhà ở và tài sản khác gắn liền với đất số: BG 021856, số vào sổ cấp GCN: CH 24117 do UBND thành phố Điện Biên Phủ cấp ngày 14/6/2013 cho ông Nguyễn Trọng Thái</w:t>
            </w:r>
            <w:r/>
          </w:p>
        </w:tc>
      </w:tr>
      <w:tr>
        <w:trPr>
          <w:trHeight w:val="315"/>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Thửa đất:</w:t>
            </w:r>
            <w:r/>
          </w:p>
        </w:tc>
      </w:tr>
      <w:tr>
        <w:trPr>
          <w:trHeight w:val="615"/>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Thửa đất số:</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220</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49 (bản đồ cập nhật năm 2010)</w:t>
            </w:r>
            <w:r/>
          </w:p>
        </w:tc>
      </w:tr>
      <w:tr>
        <w:trPr>
          <w:trHeight w:val="1120"/>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3" w:space="0"/>
              <w:bottom w:val="single" w:color="000000" w:sz="3" w:space="0"/>
              <w:right w:val="single" w:color="000000" w:sz="4" w:space="0"/>
            </w:tcBorders>
            <w:tcMar>
              <w:left w:w="57" w:type="dxa"/>
              <w:top w:w="0" w:type="dxa"/>
              <w:right w:w="57" w:type="dxa"/>
              <w:bottom w:w="0" w:type="dxa"/>
            </w:tcMar>
            <w:tcW w:w="6413"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Tổ dân phố 10, phường Nam Thanh, thành phố Điện Biên Phủ, tỉnh Điện Biên (nay là phường Mường Thanh, tỉnh Điện Biên)</w:t>
            </w:r>
            <w:r/>
          </w:p>
        </w:tc>
      </w:tr>
      <w:tr>
        <w:trPr>
          <w:trHeight w:val="30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(m²):</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                       91,80 </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Sử dụng riêng</w:t>
            </w:r>
            <w:r/>
          </w:p>
        </w:tc>
      </w:tr>
      <w:tr>
        <w:trPr>
          <w:trHeight w:val="923"/>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70m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br/>
              <w:t xml:space="preserve">Đất trồng cây hàng năm khác 21,8m</w:t>
            </w:r>
            <w:r>
              <w:rPr>
                <w:rFonts w:ascii="Times New Roman" w:hAnsi="Times New Roman" w:eastAsia="Times New Roman" w:cs="Times New Roman"/>
                <w:color w:val="000000"/>
                <w:sz w:val="24"/>
                <w:vertAlign w:val="superscript"/>
              </w:rPr>
              <w:t xml:space="preserve">2</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Lâu dài</w:t>
            </w:r>
            <w:r/>
          </w:p>
        </w:tc>
      </w:tr>
      <w:tr>
        <w:trPr>
          <w:trHeight w:val="30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3" w:space="0"/>
              <w:bottom w:val="single" w:color="000000" w:sz="3" w:space="0"/>
              <w:right w:val="single" w:color="000000" w:sz="4" w:space="0"/>
            </w:tcBorders>
            <w:tcMar>
              <w:left w:w="57" w:type="dxa"/>
              <w:top w:w="0" w:type="dxa"/>
              <w:right w:w="57" w:type="dxa"/>
              <w:bottom w:w="0" w:type="dxa"/>
            </w:tcMar>
            <w:tcW w:w="6413"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Nhận Quyền sử dụng đất do chuyển nhượng Quyền sử dụng đất</w:t>
            </w:r>
            <w:r/>
          </w:p>
        </w:tc>
      </w:tr>
      <w:tr>
        <w:trPr>
          <w:trHeight w:val="30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3" w:space="0"/>
              <w:bottom w:val="single" w:color="000000" w:sz="3" w:space="0"/>
              <w:right w:val="single" w:color="000000" w:sz="4" w:space="0"/>
            </w:tcBorders>
            <w:tcMar>
              <w:left w:w="57" w:type="dxa"/>
              <w:top w:w="0" w:type="dxa"/>
              <w:right w:w="57" w:type="dxa"/>
              <w:bottom w:w="0" w:type="dxa"/>
            </w:tcMar>
            <w:tcW w:w="6413"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30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Vị trí; Giao thông;</w:t>
            </w:r>
            <w:r/>
          </w:p>
        </w:tc>
      </w:tr>
      <w:tr>
        <w:trPr>
          <w:trHeight w:val="660"/>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3" w:space="0"/>
              <w:bottom w:val="single" w:color="000000" w:sz="3" w:space="0"/>
              <w:right w:val="single" w:color="000000" w:sz="4" w:space="0"/>
            </w:tcBorders>
            <w:tcMar>
              <w:left w:w="57" w:type="dxa"/>
              <w:top w:w="0" w:type="dxa"/>
              <w:right w:w="57" w:type="dxa"/>
              <w:bottom w:w="0" w:type="dxa"/>
            </w:tcMar>
            <w:tcW w:w="6413"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Tổ dân phố 10, phường Nam Thanh, thành phố Điện Biên Phủ, tỉnh Điện Biên (nay là phường Mường Thanh, tỉnh Điện Biên)</w:t>
            </w:r>
            <w:r/>
          </w:p>
        </w:tc>
      </w:tr>
      <w:tr>
        <w:trPr>
          <w:trHeight w:val="153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tiếp giáp chính:</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Võ Nguyên Giáp</w:t>
            </w:r>
            <w:r/>
          </w:p>
        </w:tc>
        <w:tc>
          <w:tcPr>
            <w:tcBorders>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Số mặt tiền:</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2 mặt tiền (Lô góc)</w:t>
            </w:r>
            <w:r/>
          </w:p>
        </w:tc>
      </w:tr>
      <w:tr>
        <w:trPr>
          <w:trHeight w:val="1230"/>
        </w:trPr>
        <w:tc>
          <w:tcPr>
            <w:tcBorders>
              <w:left w:val="single" w:color="000000" w:sz="3" w:space="0"/>
              <w:bottom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ff0000"/>
                <w:sz w:val="24"/>
              </w:rPr>
              <w:t xml:space="preserve">-</w:t>
            </w:r>
            <w:r/>
          </w:p>
        </w:tc>
        <w:tc>
          <w:tcPr>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ff0000"/>
                <w:sz w:val="24"/>
              </w:rPr>
              <w:t xml:space="preserve">Mặt cắt đường/ngõ nhỏ nhất từ đường chính dẫn đến tài sản thẩm định giá:</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25m</w:t>
            </w:r>
            <w:r/>
          </w:p>
        </w:tc>
        <w:tc>
          <w:tcPr>
            <w:tcBorders>
              <w:top w:val="single" w:color="000000" w:sz="3" w:space="0"/>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ff0000"/>
                <w:sz w:val="24"/>
              </w:rPr>
              <w:t xml:space="preserve">Mặt cắt đường/ngõ trước mặt tài sản thẩm định giá:</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25m</w:t>
            </w:r>
            <w:r/>
          </w:p>
        </w:tc>
      </w:tr>
      <w:tr>
        <w:trPr>
          <w:trHeight w:val="900"/>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3" w:space="0"/>
              <w:right w:val="single" w:color="000000" w:sz="4" w:space="0"/>
            </w:tcBorders>
            <w:tcMar>
              <w:left w:w="57" w:type="dxa"/>
              <w:top w:w="0" w:type="dxa"/>
              <w:right w:w="57" w:type="dxa"/>
              <w:bottom w:w="0" w:type="dxa"/>
            </w:tcMar>
            <w:tcW w:w="641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Tài sản tiếp giáp với đường Võ Nguyên Giáp, cách bảo tàng chiến thắng Điện Biên Phủ khoảng 1,2km</w:t>
            </w:r>
            <w:r/>
          </w:p>
        </w:tc>
      </w:tr>
      <w:tr>
        <w:trPr>
          <w:trHeight w:val="30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3" w:space="0"/>
              <w:bottom w:val="single" w:color="000000" w:sz="3" w:space="0"/>
              <w:right w:val="single" w:color="000000" w:sz="4"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Vị trí trên bản đồ vệ tinh:</w:t>
            </w:r>
            <w:r/>
          </w:p>
        </w:tc>
      </w:tr>
      <w:tr>
        <w:trPr>
          <w:trHeight w:val="621"/>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3" w:space="0"/>
              <w:bottom w:val="single" w:color="000000" w:sz="3" w:space="0"/>
              <w:right w:val="single" w:color="000000" w:sz="4"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r>
            <w:r/>
            <w:r/>
            <w:r>
              <mc:AlternateContent>
                <mc:Choice Requires="wpg">
                  <w:drawing>
                    <wp:inline xmlns:wp="http://schemas.openxmlformats.org/drawingml/2006/wordprocessingDrawing" distT="0" distB="0" distL="0" distR="0">
                      <wp:extent cx="5663444" cy="314339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09660" name=""/>
                              <pic:cNvPicPr>
                                <a:picLocks noChangeAspect="1"/>
                              </pic:cNvPicPr>
                              <pic:nvPr/>
                            </pic:nvPicPr>
                            <pic:blipFill>
                              <a:blip r:embed="rId16"/>
                              <a:stretch/>
                            </pic:blipFill>
                            <pic:spPr bwMode="auto">
                              <a:xfrm flipH="0" flipV="0">
                                <a:off x="0" y="0"/>
                                <a:ext cx="5663444" cy="3143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5.94pt;height:247.51pt;mso-wrap-distance-left:0.00pt;mso-wrap-distance-top:0.00pt;mso-wrap-distance-right:0.00pt;mso-wrap-distance-bottom:0.00pt;z-index:1;" stroked="false">
                      <v:imagedata r:id="rId16" o:title=""/>
                      <o:lock v:ext="edit" rotation="t"/>
                    </v:shape>
                  </w:pict>
                </mc:Fallback>
              </mc:AlternateContent>
            </w:r>
            <w:r/>
            <w:r/>
          </w:p>
        </w:tc>
      </w:tr>
      <w:tr>
        <w:trPr>
          <w:trHeight w:val="30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Diện tích; Kích thước; Hình dáng</w:t>
            </w:r>
            <w:r/>
          </w:p>
        </w:tc>
      </w:tr>
      <w:tr>
        <w:trPr>
          <w:trHeight w:val="615"/>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91,8</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w:t>
            </w:r>
            <w:r/>
          </w:p>
        </w:tc>
      </w:tr>
      <w:tr>
        <w:trPr>
          <w:trHeight w:val="308"/>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KT mặt tiền (m)</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4,80 </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Chiều sâu (m): </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19,2</w:t>
            </w:r>
            <w:r/>
          </w:p>
        </w:tc>
      </w:tr>
      <w:tr>
        <w:trPr>
          <w:trHeight w:val="730"/>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Hình dáng</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Vuông vức</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Hướng mặt tiền:</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jc w:val="left"/>
              <w:rPr/>
            </w:pPr>
            <w:r>
              <w:rPr>
                <w:rFonts w:ascii="Times New Roman" w:hAnsi="Times New Roman" w:eastAsia="Times New Roman" w:cs="Times New Roman"/>
                <w:color w:val="000000"/>
                <w:sz w:val="24"/>
              </w:rPr>
              <w:t xml:space="preserve">Tây Bắc</w:t>
            </w:r>
            <w:r/>
          </w:p>
        </w:tc>
      </w:tr>
      <w:tr>
        <w:trPr>
          <w:trHeight w:val="450"/>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jc w:val="left"/>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41"/>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3" w:space="0"/>
              <w:bottom w:val="single" w:color="000000" w:sz="3" w:space="0"/>
              <w:right w:val="single" w:color="000000" w:sz="3" w:space="0"/>
            </w:tcBorders>
            <w:tcMar>
              <w:left w:w="57" w:type="dxa"/>
              <w:top w:w="0" w:type="dxa"/>
              <w:right w:w="57" w:type="dxa"/>
              <w:bottom w:w="0" w:type="dxa"/>
            </w:tcMar>
            <w:tcW w:w="6413"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71"/>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3" w:space="0"/>
              <w:bottom w:val="single" w:color="000000" w:sz="3" w:space="0"/>
              <w:right w:val="single" w:color="000000" w:sz="3" w:space="0"/>
            </w:tcBorders>
            <w:tcMar>
              <w:left w:w="57" w:type="dxa"/>
              <w:top w:w="0" w:type="dxa"/>
              <w:right w:w="57" w:type="dxa"/>
              <w:bottom w:w="0" w:type="dxa"/>
            </w:tcMar>
            <w:tcW w:w="6413"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Mật độ dân cư:</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Đông đúc</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Ổn định</w:t>
            </w:r>
            <w:r/>
          </w:p>
        </w:tc>
      </w:tr>
      <w:tr>
        <w:trPr>
          <w:trHeight w:val="614"/>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3" w:space="0"/>
              <w:right w:val="single" w:color="000000" w:sz="3" w:space="0"/>
            </w:tcBorders>
            <w:tcMar>
              <w:left w:w="57" w:type="dxa"/>
              <w:top w:w="0" w:type="dxa"/>
              <w:right w:w="57" w:type="dxa"/>
              <w:bottom w:w="0" w:type="dxa"/>
            </w:tcMar>
            <w:tcW w:w="214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3" w:space="0"/>
              <w:right w:val="single" w:color="000000" w:sz="3" w:space="0"/>
            </w:tcBorders>
            <w:tcMar>
              <w:left w:w="57" w:type="dxa"/>
              <w:top w:w="0" w:type="dxa"/>
              <w:right w:w="57" w:type="dxa"/>
              <w:bottom w:w="0" w:type="dxa"/>
            </w:tcMar>
            <w:tcW w:w="209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Tốt</w:t>
            </w:r>
            <w:r/>
          </w:p>
        </w:tc>
        <w:tc>
          <w:tcPr>
            <w:tcBorders>
              <w:bottom w:val="single" w:color="000000" w:sz="3" w:space="0"/>
              <w:right w:val="single" w:color="000000" w:sz="3" w:space="0"/>
            </w:tcBorders>
            <w:tcMar>
              <w:left w:w="57" w:type="dxa"/>
              <w:top w:w="0" w:type="dxa"/>
              <w:right w:w="57" w:type="dxa"/>
              <w:bottom w:w="0" w:type="dxa"/>
            </w:tcMar>
            <w:tcW w:w="220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3" w:space="0"/>
              <w:right w:val="single" w:color="000000" w:sz="3" w:space="0"/>
            </w:tcBorders>
            <w:tcMar>
              <w:left w:w="57" w:type="dxa"/>
              <w:top w:w="0" w:type="dxa"/>
              <w:right w:w="57" w:type="dxa"/>
              <w:bottom w:w="0" w:type="dxa"/>
            </w:tcMar>
            <w:tcW w:w="21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Tốt </w:t>
            </w:r>
            <w:r/>
          </w:p>
        </w:tc>
      </w:tr>
      <w:tr>
        <w:trPr>
          <w:trHeight w:val="501"/>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 Tài sản gắn liền với đất</w:t>
            </w:r>
            <w:r/>
          </w:p>
        </w:tc>
      </w:tr>
      <w:tr>
        <w:trPr>
          <w:trHeight w:val="1103"/>
        </w:trPr>
        <w:tc>
          <w:tcPr>
            <w:tcBorders>
              <w:left w:val="single" w:color="000000" w:sz="3" w:space="0"/>
              <w:bottom w:val="single" w:color="000000" w:sz="3" w:space="0"/>
              <w:right w:val="single" w:color="000000" w:sz="3" w:space="0"/>
            </w:tcBorders>
            <w:tcMar>
              <w:left w:w="57" w:type="dxa"/>
              <w:top w:w="0" w:type="dxa"/>
              <w:right w:w="57" w:type="dxa"/>
              <w:bottom w:w="0" w:type="dxa"/>
            </w:tcMar>
            <w:tcW w:w="65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3" w:space="0"/>
              <w:bottom w:val="single" w:color="000000" w:sz="3" w:space="0"/>
              <w:right w:val="single" w:color="000000" w:sz="3" w:space="0"/>
            </w:tcBorders>
            <w:tcMar>
              <w:left w:w="57" w:type="dxa"/>
              <w:top w:w="0" w:type="dxa"/>
              <w:right w:w="57" w:type="dxa"/>
              <w:bottom w:w="0" w:type="dxa"/>
            </w:tcMar>
            <w:tcW w:w="8558"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01 nhà 3 tầng tường gạch kết cấu BTCT diện tích xây dựng là 112,15/m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/sàn, công trình đang xây lấn so với diện tích được cấp trên sổ. Hiện trạng công trình xây dựng đã cũ.</w:t>
              <w:br/>
              <w:t xml:space="preserve"> Hiện công trình chưa được chứng nhận trên Giấy chứng nhạn quyền sử dụng đất, quyền </w:t>
            </w:r>
            <w:r>
              <w:rPr>
                <w:rFonts w:ascii="Times New Roman" w:hAnsi="Times New Roman" w:eastAsia="Times New Roman" w:cs="Times New Roman"/>
                <w:color w:val="000000"/>
                <w:sz w:val="24"/>
              </w:rPr>
              <w:t xml:space="preserve">sở hữu nhà ở và tài sản khác gắn liền với đất số BG 021856.</w:t>
            </w:r>
            <w:r/>
          </w:p>
        </w:tc>
      </w:tr>
    </w:tbl>
    <w:p>
      <w:pPr>
        <w:pBdr/>
        <w:spacing w:line="276" w:lineRule="auto"/>
        <w:ind w:left="646"/>
        <w:jc w:val="both"/>
        <w:rPr>
          <w:u w:val="single"/>
        </w:rPr>
      </w:pPr>
      <w:r>
        <w:rPr>
          <w:u w:val="single"/>
        </w:rPr>
      </w:r>
      <w:r>
        <w:rPr>
          <w:u w:val="single"/>
        </w:rPr>
      </w:r>
      <w:r>
        <w:rPr>
          <w:u w:val="single"/>
        </w:rPr>
      </w:r>
    </w:p>
    <w:p>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line="276" w:lineRule="auto"/>
              <w:ind/>
              <w:jc w:val="center"/>
              <w:rPr/>
            </w:pPr>
            <w:r>
              <w:t xml:space="preserve">1</w:t>
            </w:r>
            <w:r/>
          </w:p>
        </w:tc>
        <w:tc>
          <w:tcPr>
            <w:tcBorders/>
            <w:tcW w:w="1663" w:type="dxa"/>
            <w:vAlign w:val="center"/>
            <w:textDirection w:val="lrTb"/>
            <w:noWrap w:val="false"/>
          </w:tcPr>
          <w:p>
            <w:pPr>
              <w:pBdr/>
              <w:spacing w:line="276" w:lineRule="auto"/>
              <w:ind/>
              <w:jc w:val="center"/>
              <w:rPr/>
            </w:pPr>
            <w:r>
              <w:t xml:space="preserve">Địa chỉ trên sổ</w:t>
            </w:r>
            <w:r/>
          </w:p>
        </w:tc>
        <w:tc>
          <w:tcPr>
            <w:tcBorders/>
            <w:tcW w:w="1560" w:type="dxa"/>
            <w:vAlign w:val="center"/>
            <w:textDirection w:val="lrTb"/>
            <w:noWrap w:val="false"/>
          </w:tcPr>
          <w:p>
            <w:pPr>
              <w:pBdr/>
              <w:spacing w:line="276" w:lineRule="auto"/>
              <w:ind/>
              <w:jc w:val="center"/>
              <w:rPr/>
            </w:pPr>
            <w:r>
              <w:t xml:space="preserve">Tổ dân phố 10, phường Nam Thành, thành phố Điện Biên, tỉnh Điện Biên</w:t>
            </w:r>
            <w:r/>
          </w:p>
        </w:tc>
        <w:tc>
          <w:tcPr>
            <w:tcBorders/>
            <w:tcW w:w="1605" w:type="dxa"/>
            <w:vAlign w:val="center"/>
            <w:textDirection w:val="lrTb"/>
            <w:noWrap w:val="false"/>
          </w:tcPr>
          <w:p>
            <w:pPr>
              <w:pBdr/>
              <w:spacing w:line="276" w:lineRule="auto"/>
              <w:ind/>
              <w:jc w:val="center"/>
              <w:rPr/>
            </w:pPr>
            <w:r>
              <w:rPr>
                <w:highlight w:val="none"/>
              </w:rPr>
            </w:r>
            <w:r>
              <w:rPr>
                <w:highlight w:val="none"/>
              </w:rPr>
            </w:r>
            <w:r/>
          </w:p>
          <w:p>
            <w:pPr>
              <w:pBdr/>
              <w:spacing w:line="276" w:lineRule="auto"/>
              <w:ind/>
              <w:jc w:val="left"/>
              <w:rPr>
                <w:highlight w:val="none"/>
              </w:rPr>
            </w:pPr>
            <w:r>
              <w:t xml:space="preserve">Tổ dân phố 10, </w:t>
            </w:r>
            <w:r>
              <w:t xml:space="preserve">phường Nam Thanh, Thành phố Điện Biên Phủ, Tỉnh Điện Biên ✔</w:t>
            </w:r>
            <w:r>
              <w:rPr>
                <w:highlight w:val="none"/>
              </w:rPr>
            </w:r>
            <w:r>
              <w:rPr>
                <w:highlight w:val="none"/>
              </w:rP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2</w:t>
            </w:r>
            <w:r/>
          </w:p>
        </w:tc>
        <w:tc>
          <w:tcPr>
            <w:tcBorders/>
            <w:tcW w:w="1663" w:type="dxa"/>
            <w:vAlign w:val="center"/>
            <w:textDirection w:val="lrTb"/>
            <w:noWrap w:val="false"/>
          </w:tcPr>
          <w:p>
            <w:pPr>
              <w:pBdr/>
              <w:spacing w:line="276" w:lineRule="auto"/>
              <w:ind/>
              <w:jc w:val="center"/>
              <w:rPr/>
            </w:pPr>
            <w:r>
              <w:t xml:space="preserve">Địa chỉ thực tế</w:t>
            </w:r>
            <w:r/>
          </w:p>
        </w:tc>
        <w:tc>
          <w:tcPr>
            <w:tcBorders/>
            <w:tcW w:w="1560" w:type="dxa"/>
            <w:vAlign w:val="center"/>
            <w:textDirection w:val="lrTb"/>
            <w:noWrap w:val="false"/>
          </w:tcPr>
          <w:p>
            <w:pPr>
              <w:pBdr/>
              <w:spacing w:line="276" w:lineRule="auto"/>
              <w:ind/>
              <w:jc w:val="center"/>
              <w:rPr/>
            </w:pPr>
            <w:r>
              <w:t xml:space="preserve">Đường Võ Nguyên Giáp, Phường Nam Thanh, Thành phố Điện Biên Phủ, Tỉnh Điện Biên</w:t>
            </w:r>
            <w:r/>
          </w:p>
        </w:tc>
        <w:tc>
          <w:tcPr>
            <w:tcBorders/>
            <w:tcW w:w="1605" w:type="dxa"/>
            <w:vAlign w:val="center"/>
            <w:textDirection w:val="lrTb"/>
            <w:noWrap w:val="false"/>
          </w:tcPr>
          <w:p>
            <w:pPr>
              <w:pBdr/>
              <w:spacing w:line="276" w:lineRule="auto"/>
              <w:ind/>
              <w:jc w:val="center"/>
              <w:rPr/>
            </w:pPr>
            <w:r>
              <w:t xml:space="preserve">Đường Võ Nguyên Giáp, Phường Nam Thanh, Thành phố Điện Biên Phủ, Tỉnh Điện Biên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3</w:t>
            </w:r>
            <w:r/>
          </w:p>
        </w:tc>
        <w:tc>
          <w:tcPr>
            <w:tcBorders/>
            <w:tcW w:w="1663" w:type="dxa"/>
            <w:vAlign w:val="center"/>
            <w:textDirection w:val="lrTb"/>
            <w:noWrap w:val="false"/>
          </w:tcPr>
          <w:p>
            <w:pPr>
              <w:pBdr/>
              <w:spacing w:line="276" w:lineRule="auto"/>
              <w:ind/>
              <w:jc w:val="center"/>
              <w:rPr/>
            </w:pPr>
            <w:r>
              <w:t xml:space="preserve">Pháp lý</w:t>
            </w:r>
            <w:r/>
          </w:p>
        </w:tc>
        <w:tc>
          <w:tcPr>
            <w:tcBorders/>
            <w:tcW w:w="1560" w:type="dxa"/>
            <w:vAlign w:val="center"/>
            <w:textDirection w:val="lrTb"/>
            <w:noWrap w:val="false"/>
          </w:tcPr>
          <w:p>
            <w:pPr>
              <w:pBdr/>
              <w:spacing w:line="276" w:lineRule="auto"/>
              <w:ind/>
              <w:jc w:val="center"/>
              <w:rPr/>
            </w:pPr>
            <w:r>
              <w:t xml:space="preserve">Giấy chứng nhận quyền sử dụng đất, quyền sở hữu nhà cửa và tài sản gắn liền với đất</w:t>
            </w:r>
            <w:r/>
          </w:p>
        </w:tc>
        <w:tc>
          <w:tcPr>
            <w:tcBorders/>
            <w:tcW w:w="1605" w:type="dxa"/>
            <w:vAlign w:val="center"/>
            <w:textDirection w:val="lrTb"/>
            <w:noWrap w:val="false"/>
          </w:tcPr>
          <w:p>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4</w:t>
            </w:r>
            <w:r/>
          </w:p>
        </w:tc>
        <w:tc>
          <w:tcPr>
            <w:tcBorders/>
            <w:tcW w:w="1663" w:type="dxa"/>
            <w:vAlign w:val="center"/>
            <w:textDirection w:val="lrTb"/>
            <w:noWrap w:val="false"/>
          </w:tcPr>
          <w:p>
            <w:pPr>
              <w:pBdr/>
              <w:spacing w:line="276" w:lineRule="auto"/>
              <w:ind/>
              <w:jc w:val="center"/>
              <w:rPr/>
            </w:pPr>
            <w:r>
              <w:t xml:space="preserve">Loại đất</w:t>
            </w:r>
            <w:r/>
          </w:p>
        </w:tc>
        <w:tc>
          <w:tcPr>
            <w:tcBorders/>
            <w:tcW w:w="1560" w:type="dxa"/>
            <w:vAlign w:val="center"/>
            <w:textDirection w:val="lrTb"/>
            <w:noWrap w:val="false"/>
          </w:tcPr>
          <w:p>
            <w:pPr>
              <w:pBdr/>
              <w:spacing w:line="276" w:lineRule="auto"/>
              <w:ind/>
              <w:jc w:val="center"/>
              <w:rPr/>
            </w:pPr>
            <w:r>
              <w:rPr>
                <w:rFonts w:ascii="Times New Roman" w:hAnsi="Times New Roman" w:eastAsia="Times New Roman" w:cs="Times New Roman"/>
                <w:color w:val="000000"/>
                <w:sz w:val="24"/>
              </w:rPr>
              <w:t xml:space="preserve">Đất ở: 70m2</w:t>
              <w:br/>
              <w:t xml:space="preserve"> Đất trồng cây hàng năm khác 21,8m2</w:t>
            </w:r>
            <w:r/>
          </w:p>
        </w:tc>
        <w:tc>
          <w:tcPr>
            <w:tcBorders/>
            <w:tcW w:w="1605" w:type="dxa"/>
            <w:vAlign w:val="center"/>
            <w:textDirection w:val="lrTb"/>
            <w:noWrap w:val="false"/>
          </w:tcPr>
          <w:p>
            <w:pPr>
              <w:pBdr/>
              <w:spacing w:line="276" w:lineRule="auto"/>
              <w:ind/>
              <w:jc w:val="center"/>
              <w:rPr/>
            </w:pPr>
            <w:r>
              <w:rPr>
                <w:rFonts w:ascii="Times New Roman" w:hAnsi="Times New Roman" w:eastAsia="Times New Roman" w:cs="Times New Roman"/>
                <w:color w:val="000000"/>
                <w:sz w:val="24"/>
              </w:rPr>
              <w:t xml:space="preserve">Đất ở: 70m2</w:t>
              <w:br/>
              <w:t xml:space="preserve"> Đất trồng cây hàng năm khác 21,8m2</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5</w:t>
            </w:r>
            <w:r/>
          </w:p>
        </w:tc>
        <w:tc>
          <w:tcPr>
            <w:tcBorders/>
            <w:tcW w:w="1663" w:type="dxa"/>
            <w:vAlign w:val="center"/>
            <w:textDirection w:val="lrTb"/>
            <w:noWrap w:val="false"/>
          </w:tcPr>
          <w:p>
            <w:pPr>
              <w:pBdr/>
              <w:spacing w:line="276" w:lineRule="auto"/>
              <w:ind/>
              <w:jc w:val="center"/>
              <w:rPr/>
            </w:pPr>
            <w:r>
              <w:t xml:space="preserve">Thời hạn sử dụng</w:t>
            </w:r>
            <w:r/>
          </w:p>
        </w:tc>
        <w:tc>
          <w:tcPr>
            <w:tcBorders/>
            <w:tcW w:w="1560" w:type="dxa"/>
            <w:vAlign w:val="center"/>
            <w:textDirection w:val="lrTb"/>
            <w:noWrap w:val="false"/>
          </w:tcPr>
          <w:p>
            <w:pPr>
              <w:pBdr/>
              <w:spacing w:line="276" w:lineRule="auto"/>
              <w:ind/>
              <w:jc w:val="center"/>
              <w:rPr/>
            </w:pPr>
            <w:r>
              <w:t xml:space="preserve">Lâu dài</w:t>
            </w:r>
            <w:r/>
          </w:p>
        </w:tc>
        <w:tc>
          <w:tcPr>
            <w:tcBorders/>
            <w:tcW w:w="1605" w:type="dxa"/>
            <w:vAlign w:val="center"/>
            <w:textDirection w:val="lrTb"/>
            <w:noWrap w:val="false"/>
          </w:tcPr>
          <w:p>
            <w:pPr>
              <w:pBdr/>
              <w:spacing w:line="276" w:lineRule="auto"/>
              <w:ind/>
              <w:jc w:val="center"/>
              <w:rPr/>
            </w:pPr>
            <w:r>
              <w:t xml:space="preserve">Lâu dài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6</w:t>
            </w:r>
            <w:r/>
          </w:p>
        </w:tc>
        <w:tc>
          <w:tcPr>
            <w:tcBorders/>
            <w:tcW w:w="1663" w:type="dxa"/>
            <w:vAlign w:val="center"/>
            <w:textDirection w:val="lrTb"/>
            <w:noWrap w:val="false"/>
          </w:tcPr>
          <w:p>
            <w:pPr>
              <w:pBdr/>
              <w:spacing w:line="276" w:lineRule="auto"/>
              <w:ind/>
              <w:jc w:val="center"/>
              <w:rPr/>
            </w:pPr>
            <w:r>
              <w:t xml:space="preserve">Vị trí</w:t>
            </w:r>
            <w:r/>
          </w:p>
        </w:tc>
        <w:tc>
          <w:tcPr>
            <w:tcBorders/>
            <w:tcW w:w="1560" w:type="dxa"/>
            <w:vAlign w:val="center"/>
            <w:textDirection w:val="lrTb"/>
            <w:noWrap w:val="false"/>
          </w:tcPr>
          <w:p>
            <w:pPr>
              <w:pBdr/>
              <w:spacing w:line="276" w:lineRule="auto"/>
              <w:ind/>
              <w:jc w:val="center"/>
              <w:rPr/>
            </w:pPr>
            <w:r>
              <w:rPr>
                <w:rFonts w:ascii="Times New Roman" w:hAnsi="Times New Roman" w:eastAsia="Times New Roman" w:cs="Times New Roman"/>
                <w:color w:val="000000"/>
                <w:sz w:val="24"/>
              </w:rPr>
              <w:t xml:space="preserve">VT1</w:t>
            </w:r>
            <w:r/>
          </w:p>
        </w:tc>
        <w:tc>
          <w:tcPr>
            <w:tcBorders/>
            <w:tcW w:w="1605" w:type="dxa"/>
            <w:vAlign w:val="center"/>
            <w:textDirection w:val="lrTb"/>
            <w:noWrap w:val="false"/>
          </w:tcPr>
          <w:p>
            <w:pPr>
              <w:pBdr/>
              <w:spacing w:line="276" w:lineRule="auto"/>
              <w:ind/>
              <w:jc w:val="center"/>
              <w:rPr/>
            </w:pPr>
            <w:r>
              <w:t xml:space="preserve">VT1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7</w:t>
            </w:r>
            <w:r/>
          </w:p>
        </w:tc>
        <w:tc>
          <w:tcPr>
            <w:tcBorders/>
            <w:tcW w:w="1663" w:type="dxa"/>
            <w:vAlign w:val="center"/>
            <w:textDirection w:val="lrTb"/>
            <w:noWrap w:val="false"/>
          </w:tcPr>
          <w:p>
            <w:pPr>
              <w:pBdr/>
              <w:spacing w:line="276" w:lineRule="auto"/>
              <w:ind/>
              <w:jc w:val="center"/>
              <w:rPr/>
            </w:pPr>
            <w:r>
              <w:t xml:space="preserve">Kết cấu mặt đường</w:t>
            </w:r>
            <w:r/>
          </w:p>
        </w:tc>
        <w:tc>
          <w:tcPr>
            <w:tcBorders/>
            <w:tcW w:w="1560" w:type="dxa"/>
            <w:vAlign w:val="center"/>
            <w:textDirection w:val="lrTb"/>
            <w:noWrap w:val="false"/>
          </w:tcPr>
          <w:p>
            <w:pPr>
              <w:pBdr/>
              <w:spacing w:line="276" w:lineRule="auto"/>
              <w:ind/>
              <w:jc w:val="center"/>
              <w:rPr/>
            </w:pPr>
            <w:r>
              <w:t xml:space="preserve">Đường nhựa có vỉa hè</w:t>
            </w:r>
            <w:r/>
          </w:p>
        </w:tc>
        <w:tc>
          <w:tcPr>
            <w:tcBorders/>
            <w:tcW w:w="1605" w:type="dxa"/>
            <w:vAlign w:val="center"/>
            <w:textDirection w:val="lrTb"/>
            <w:noWrap w:val="false"/>
          </w:tcPr>
          <w:p>
            <w:pPr>
              <w:pBdr/>
              <w:spacing w:line="276" w:lineRule="auto"/>
              <w:ind/>
              <w:jc w:val="center"/>
              <w:rPr/>
            </w:pPr>
            <w:r>
              <w:t xml:space="preserve">Đường nhựa có vỉa hè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8</w:t>
            </w:r>
            <w:r/>
          </w:p>
        </w:tc>
        <w:tc>
          <w:tcPr>
            <w:tcBorders/>
            <w:tcW w:w="1663" w:type="dxa"/>
            <w:vAlign w:val="center"/>
            <w:textDirection w:val="lrTb"/>
            <w:noWrap w:val="false"/>
          </w:tcPr>
          <w:p>
            <w:pPr>
              <w:pBdr/>
              <w:spacing w:line="276" w:lineRule="auto"/>
              <w:ind/>
              <w:jc w:val="center"/>
              <w:rPr/>
            </w:pPr>
            <w:r>
              <w:t xml:space="preserve">Mặt cắt đường trước nhà</w:t>
            </w:r>
            <w:r/>
          </w:p>
        </w:tc>
        <w:tc>
          <w:tcPr>
            <w:tcBorders/>
            <w:tcW w:w="1560" w:type="dxa"/>
            <w:vAlign w:val="center"/>
            <w:textDirection w:val="lrTb"/>
            <w:noWrap w:val="false"/>
          </w:tcPr>
          <w:p>
            <w:pPr>
              <w:pBdr/>
              <w:spacing w:line="276" w:lineRule="auto"/>
              <w:ind/>
              <w:jc w:val="center"/>
              <w:rPr/>
            </w:pPr>
            <w:r>
              <w:t xml:space="preserve">25</w:t>
            </w:r>
            <w:r/>
          </w:p>
        </w:tc>
        <w:tc>
          <w:tcPr>
            <w:tcBorders/>
            <w:tcW w:w="1605" w:type="dxa"/>
            <w:vAlign w:val="center"/>
            <w:textDirection w:val="lrTb"/>
            <w:noWrap w:val="false"/>
          </w:tcPr>
          <w:p>
            <w:pPr>
              <w:pBdr/>
              <w:spacing w:line="276" w:lineRule="auto"/>
              <w:ind/>
              <w:jc w:val="center"/>
              <w:rPr/>
            </w:pPr>
            <w:r>
              <w:t xml:space="preserve">25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9</w:t>
            </w:r>
            <w:r/>
          </w:p>
        </w:tc>
        <w:tc>
          <w:tcPr>
            <w:tcBorders/>
            <w:tcW w:w="1663" w:type="dxa"/>
            <w:vAlign w:val="center"/>
            <w:textDirection w:val="lrTb"/>
            <w:noWrap w:val="false"/>
          </w:tcPr>
          <w:p>
            <w:pPr>
              <w:pBdr/>
              <w:spacing w:line="276" w:lineRule="auto"/>
              <w:ind/>
              <w:jc w:val="center"/>
              <w:rPr/>
            </w:pPr>
            <w:r>
              <w:t xml:space="preserve">Cơ sở hạ tầng kỹ thuật</w:t>
            </w:r>
            <w:r/>
          </w:p>
        </w:tc>
        <w:tc>
          <w:tcPr>
            <w:tcBorders/>
            <w:tcW w:w="1560" w:type="dxa"/>
            <w:vAlign w:val="center"/>
            <w:textDirection w:val="lrTb"/>
            <w:noWrap w:val="false"/>
          </w:tcPr>
          <w:p>
            <w:pPr>
              <w:pBdr/>
              <w:spacing w:line="276" w:lineRule="auto"/>
              <w:ind/>
              <w:jc w:val="center"/>
              <w:rPr/>
            </w:pPr>
            <w:r>
              <w:t xml:space="preserve">Hạ tầng khu dân cư thông thường</w:t>
            </w:r>
            <w:r/>
          </w:p>
        </w:tc>
        <w:tc>
          <w:tcPr>
            <w:tcBorders/>
            <w:tcW w:w="1605" w:type="dxa"/>
            <w:vAlign w:val="center"/>
            <w:textDirection w:val="lrTb"/>
            <w:noWrap w:val="false"/>
          </w:tcPr>
          <w:p>
            <w:pPr>
              <w:pBdr/>
              <w:spacing w:line="276" w:lineRule="auto"/>
              <w:ind/>
              <w:jc w:val="center"/>
              <w:rPr/>
            </w:pPr>
            <w:r>
              <w:t xml:space="preserve">Hạ tầng khu dân cư thông thường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10</w:t>
            </w:r>
            <w:r/>
          </w:p>
        </w:tc>
        <w:tc>
          <w:tcPr>
            <w:tcBorders/>
            <w:tcW w:w="1663" w:type="dxa"/>
            <w:vAlign w:val="center"/>
            <w:textDirection w:val="lrTb"/>
            <w:noWrap w:val="false"/>
          </w:tcPr>
          <w:p>
            <w:pPr>
              <w:pBdr/>
              <w:spacing w:line="276" w:lineRule="auto"/>
              <w:ind/>
              <w:jc w:val="center"/>
              <w:rPr/>
            </w:pPr>
            <w:r>
              <w:t xml:space="preserve">Môi trường, an ninh</w:t>
            </w:r>
            <w:r/>
          </w:p>
        </w:tc>
        <w:tc>
          <w:tcPr>
            <w:tcBorders/>
            <w:tcW w:w="1560" w:type="dxa"/>
            <w:vAlign w:val="center"/>
            <w:textDirection w:val="lrTb"/>
            <w:noWrap w:val="false"/>
          </w:tcPr>
          <w:p>
            <w:pPr>
              <w:pBdr/>
              <w:spacing w:line="276" w:lineRule="auto"/>
              <w:ind/>
              <w:jc w:val="center"/>
              <w:rPr/>
            </w:pPr>
            <w:r>
              <w:t xml:space="preserve">Tốt</w:t>
            </w:r>
            <w:r/>
          </w:p>
        </w:tc>
        <w:tc>
          <w:tcPr>
            <w:tcBorders/>
            <w:tcW w:w="1605" w:type="dxa"/>
            <w:vAlign w:val="center"/>
            <w:textDirection w:val="lrTb"/>
            <w:noWrap w:val="false"/>
          </w:tcPr>
          <w:p>
            <w:pPr>
              <w:pBdr/>
              <w:spacing w:line="276" w:lineRule="auto"/>
              <w:ind/>
              <w:jc w:val="center"/>
              <w:rPr/>
            </w:pPr>
            <w:r>
              <w:t xml:space="preserve">Tốt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11</w:t>
            </w:r>
            <w:r/>
          </w:p>
        </w:tc>
        <w:tc>
          <w:tcPr>
            <w:tcBorders/>
            <w:tcW w:w="1663" w:type="dxa"/>
            <w:vAlign w:val="center"/>
            <w:textDirection w:val="lrTb"/>
            <w:noWrap w:val="false"/>
          </w:tcPr>
          <w:p>
            <w:pPr>
              <w:pBdr/>
              <w:spacing w:line="276" w:lineRule="auto"/>
              <w:ind/>
              <w:jc w:val="center"/>
              <w:rPr/>
            </w:pPr>
            <w:r>
              <w:t xml:space="preserve">Diện tích</w:t>
            </w:r>
            <w:r/>
          </w:p>
        </w:tc>
        <w:tc>
          <w:tcPr>
            <w:tcBorders/>
            <w:tcW w:w="1560" w:type="dxa"/>
            <w:vAlign w:val="center"/>
            <w:textDirection w:val="lrTb"/>
            <w:noWrap w:val="false"/>
          </w:tcPr>
          <w:p>
            <w:pPr>
              <w:pBdr/>
              <w:spacing w:line="276" w:lineRule="auto"/>
              <w:ind/>
              <w:jc w:val="center"/>
              <w:rPr/>
            </w:pPr>
            <w:r>
              <w:t xml:space="preserve">91.8 ✔</w:t>
            </w:r>
            <w:r/>
          </w:p>
        </w:tc>
        <w:tc>
          <w:tcPr>
            <w:tcBorders/>
            <w:tcW w:w="1605" w:type="dxa"/>
            <w:vAlign w:val="center"/>
            <w:textDirection w:val="lrTb"/>
            <w:noWrap w:val="false"/>
          </w:tcPr>
          <w:p>
            <w:pPr>
              <w:pBdr/>
              <w:spacing w:line="276" w:lineRule="auto"/>
              <w:ind/>
              <w:jc w:val="center"/>
              <w:rPr/>
            </w:pPr>
            <w:r>
              <w:t xml:space="preserve">91.8</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12</w:t>
            </w:r>
            <w:r/>
          </w:p>
        </w:tc>
        <w:tc>
          <w:tcPr>
            <w:tcBorders/>
            <w:tcW w:w="1663" w:type="dxa"/>
            <w:vAlign w:val="center"/>
            <w:textDirection w:val="lrTb"/>
            <w:noWrap w:val="false"/>
          </w:tcPr>
          <w:p>
            <w:pPr>
              <w:pBdr/>
              <w:spacing w:line="276" w:lineRule="auto"/>
              <w:ind/>
              <w:jc w:val="center"/>
              <w:rPr/>
            </w:pPr>
            <w:r>
              <w:t xml:space="preserve">Mặt tiền</w:t>
            </w:r>
            <w:r/>
          </w:p>
        </w:tc>
        <w:tc>
          <w:tcPr>
            <w:tcBorders/>
            <w:tcW w:w="1560" w:type="dxa"/>
            <w:vAlign w:val="center"/>
            <w:textDirection w:val="lrTb"/>
            <w:noWrap w:val="false"/>
          </w:tcPr>
          <w:p>
            <w:pPr>
              <w:pBdr/>
              <w:spacing w:line="276" w:lineRule="auto"/>
              <w:ind/>
              <w:jc w:val="center"/>
              <w:rPr/>
            </w:pPr>
            <w:r>
              <w:t xml:space="preserve">4.8</w:t>
            </w:r>
            <w:r/>
          </w:p>
        </w:tc>
        <w:tc>
          <w:tcPr>
            <w:tcBorders/>
            <w:tcW w:w="1605" w:type="dxa"/>
            <w:vAlign w:val="center"/>
            <w:textDirection w:val="lrTb"/>
            <w:noWrap w:val="false"/>
          </w:tcPr>
          <w:p>
            <w:pPr>
              <w:pBdr/>
              <w:spacing w:line="276" w:lineRule="auto"/>
              <w:ind/>
              <w:jc w:val="center"/>
              <w:rPr/>
            </w:pPr>
            <w:r>
              <w:t xml:space="preserve">4.8 ✔</w:t>
            </w:r>
            <w:r/>
          </w:p>
        </w:tc>
        <w:tc>
          <w:tcPr>
            <w:tcBorders/>
            <w:tcW w:w="1371" w:type="dxa"/>
            <w:vAlign w:val="center"/>
            <w:textDirection w:val="lrTb"/>
            <w:noWrap w:val="false"/>
          </w:tcPr>
          <w:p>
            <w:pPr>
              <w:pBdr/>
              <w:spacing w:line="276" w:lineRule="auto"/>
              <w:ind/>
              <w:jc w:val="center"/>
              <w:rPr/>
            </w:pPr>
            <w:r>
              <w:t xml:space="preserve">0</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13</w:t>
            </w:r>
            <w:r/>
          </w:p>
        </w:tc>
        <w:tc>
          <w:tcPr>
            <w:tcBorders/>
            <w:tcW w:w="1663" w:type="dxa"/>
            <w:vAlign w:val="center"/>
            <w:textDirection w:val="lrTb"/>
            <w:noWrap w:val="false"/>
          </w:tcPr>
          <w:p>
            <w:pPr>
              <w:pBdr/>
              <w:spacing w:line="276" w:lineRule="auto"/>
              <w:ind/>
              <w:jc w:val="center"/>
              <w:rPr/>
            </w:pPr>
            <w:r>
              <w:t xml:space="preserve">Chiều sâu</w:t>
            </w:r>
            <w:r/>
          </w:p>
        </w:tc>
        <w:tc>
          <w:tcPr>
            <w:tcBorders/>
            <w:tcW w:w="1560" w:type="dxa"/>
            <w:vAlign w:val="center"/>
            <w:textDirection w:val="lrTb"/>
            <w:noWrap w:val="false"/>
          </w:tcPr>
          <w:p>
            <w:pPr>
              <w:pBdr/>
              <w:spacing w:line="276" w:lineRule="auto"/>
              <w:ind/>
              <w:jc w:val="center"/>
              <w:rPr/>
            </w:pPr>
            <w:r>
              <w:t xml:space="preserve">19.2</w:t>
            </w:r>
            <w:r/>
          </w:p>
        </w:tc>
        <w:tc>
          <w:tcPr>
            <w:tcBorders/>
            <w:tcW w:w="1605" w:type="dxa"/>
            <w:vAlign w:val="center"/>
            <w:textDirection w:val="lrTb"/>
            <w:noWrap w:val="false"/>
          </w:tcPr>
          <w:p>
            <w:pPr>
              <w:pBdr/>
              <w:spacing w:line="276" w:lineRule="auto"/>
              <w:ind/>
              <w:jc w:val="center"/>
              <w:rPr/>
            </w:pPr>
            <w:r>
              <w:t xml:space="preserve">19.2 ✔</w:t>
            </w:r>
            <w:r/>
          </w:p>
        </w:tc>
        <w:tc>
          <w:tcPr>
            <w:tcBorders/>
            <w:tcW w:w="1371" w:type="dxa"/>
            <w:vAlign w:val="center"/>
            <w:textDirection w:val="lrTb"/>
            <w:noWrap w:val="false"/>
          </w:tcPr>
          <w:p>
            <w:pPr>
              <w:pBdr/>
              <w:spacing w:line="276" w:lineRule="auto"/>
              <w:ind/>
              <w:jc w:val="center"/>
              <w:rPr/>
            </w:pPr>
            <w:r>
              <w:t xml:space="preserve">0</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14</w:t>
            </w:r>
            <w:r/>
          </w:p>
        </w:tc>
        <w:tc>
          <w:tcPr>
            <w:tcBorders/>
            <w:tcW w:w="1663" w:type="dxa"/>
            <w:vAlign w:val="center"/>
            <w:textDirection w:val="lrTb"/>
            <w:noWrap w:val="false"/>
          </w:tcPr>
          <w:p>
            <w:pPr>
              <w:pBdr/>
              <w:spacing w:line="276" w:lineRule="auto"/>
              <w:ind/>
              <w:jc w:val="center"/>
              <w:rPr/>
            </w:pPr>
            <w:r>
              <w:t xml:space="preserve">Mặt tiếp giáp</w:t>
            </w:r>
            <w:r/>
          </w:p>
        </w:tc>
        <w:tc>
          <w:tcPr>
            <w:tcBorders/>
            <w:tcW w:w="1560" w:type="dxa"/>
            <w:vAlign w:val="center"/>
            <w:textDirection w:val="lrTb"/>
            <w:noWrap w:val="false"/>
          </w:tcPr>
          <w:p>
            <w:pPr>
              <w:pBdr/>
              <w:spacing w:line="276" w:lineRule="auto"/>
              <w:ind/>
              <w:jc w:val="center"/>
              <w:rPr/>
            </w:pPr>
            <w:r>
              <w:t xml:space="preserve">Tiếp giáp góc 1 mặt đường, phố + 1 mặt ngõ ✔</w:t>
            </w:r>
            <w:r/>
          </w:p>
        </w:tc>
        <w:tc>
          <w:tcPr>
            <w:tcBorders/>
            <w:tcW w:w="1605" w:type="dxa"/>
            <w:vAlign w:val="center"/>
            <w:textDirection w:val="lrTb"/>
            <w:noWrap w:val="false"/>
          </w:tcPr>
          <w:p>
            <w:pPr>
              <w:pBdr/>
              <w:spacing w:line="276" w:lineRule="auto"/>
              <w:ind/>
              <w:jc w:val="center"/>
              <w:rPr/>
            </w:pPr>
            <w:r>
              <w:t xml:space="preserve">Tiếp giáp góc 2 mặt đường, phố</w:t>
            </w:r>
            <w:r/>
          </w:p>
        </w:tc>
        <w:tc>
          <w:tcPr>
            <w:tcBorders/>
            <w:tcW w:w="1371" w:type="dxa"/>
            <w:vAlign w:val="center"/>
            <w:textDirection w:val="lrTb"/>
            <w:noWrap w:val="false"/>
          </w:tcPr>
          <w:p>
            <w:pPr>
              <w:pBdr/>
              <w:spacing w:line="276" w:lineRule="auto"/>
              <w:ind/>
              <w:jc w:val="center"/>
              <w:rPr/>
            </w:pPr>
            <w:r>
              <w:t xml:space="preserve">Có</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15</w:t>
            </w:r>
            <w:r/>
          </w:p>
        </w:tc>
        <w:tc>
          <w:tcPr>
            <w:tcBorders/>
            <w:tcW w:w="1663" w:type="dxa"/>
            <w:vAlign w:val="center"/>
            <w:textDirection w:val="lrTb"/>
            <w:noWrap w:val="false"/>
          </w:tcPr>
          <w:p>
            <w:pPr>
              <w:pBdr/>
              <w:spacing w:line="276" w:lineRule="auto"/>
              <w:ind/>
              <w:jc w:val="center"/>
              <w:rPr/>
            </w:pPr>
            <w:r>
              <w:t xml:space="preserve">Hình dạng thửa đất</w:t>
            </w:r>
            <w:r/>
          </w:p>
        </w:tc>
        <w:tc>
          <w:tcPr>
            <w:tcBorders/>
            <w:tcW w:w="1560" w:type="dxa"/>
            <w:vAlign w:val="center"/>
            <w:textDirection w:val="lrTb"/>
            <w:noWrap w:val="false"/>
          </w:tcPr>
          <w:p>
            <w:pPr>
              <w:pBdr/>
              <w:spacing w:line="276" w:lineRule="auto"/>
              <w:ind/>
              <w:jc w:val="center"/>
              <w:rPr/>
            </w:pPr>
            <w:r>
              <w:t xml:space="preserve">Hình chữ nhật</w:t>
            </w:r>
            <w:r/>
          </w:p>
        </w:tc>
        <w:tc>
          <w:tcPr>
            <w:tcBorders/>
            <w:tcW w:w="1605" w:type="dxa"/>
            <w:vAlign w:val="center"/>
            <w:textDirection w:val="lrTb"/>
            <w:noWrap w:val="false"/>
          </w:tcPr>
          <w:p>
            <w:pPr>
              <w:pBdr/>
              <w:spacing w:line="276" w:lineRule="auto"/>
              <w:ind/>
              <w:jc w:val="center"/>
              <w:rPr/>
            </w:pPr>
            <w:r>
              <w:t xml:space="preserve">Hình chữ nhật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16</w:t>
            </w:r>
            <w:r/>
          </w:p>
        </w:tc>
        <w:tc>
          <w:tcPr>
            <w:tcBorders/>
            <w:tcW w:w="1663" w:type="dxa"/>
            <w:vAlign w:val="center"/>
            <w:textDirection w:val="lrTb"/>
            <w:noWrap w:val="false"/>
          </w:tcPr>
          <w:p>
            <w:pPr>
              <w:pBdr/>
              <w:spacing w:line="276" w:lineRule="auto"/>
              <w:ind/>
              <w:jc w:val="center"/>
              <w:rPr/>
            </w:pPr>
            <w:r>
              <w:t xml:space="preserve">Hướng</w:t>
            </w:r>
            <w:r/>
          </w:p>
        </w:tc>
        <w:tc>
          <w:tcPr>
            <w:tcBorders/>
            <w:tcW w:w="1560" w:type="dxa"/>
            <w:vAlign w:val="center"/>
            <w:textDirection w:val="lrTb"/>
            <w:noWrap w:val="false"/>
          </w:tcPr>
          <w:p>
            <w:pPr>
              <w:pBdr/>
              <w:spacing w:line="276" w:lineRule="auto"/>
              <w:ind/>
              <w:jc w:val="center"/>
              <w:rPr/>
            </w:pPr>
            <w:r>
              <w:t xml:space="preserve">Đông Nam</w:t>
            </w:r>
            <w:r/>
          </w:p>
        </w:tc>
        <w:tc>
          <w:tcPr>
            <w:tcBorders/>
            <w:tcW w:w="1605" w:type="dxa"/>
            <w:vAlign w:val="center"/>
            <w:textDirection w:val="lrTb"/>
            <w:noWrap w:val="false"/>
          </w:tcPr>
          <w:p>
            <w:pPr>
              <w:pBdr/>
              <w:spacing w:line="276" w:lineRule="auto"/>
              <w:ind/>
              <w:jc w:val="center"/>
              <w:rPr/>
            </w:pPr>
            <w:r>
              <w:t xml:space="preserve">Đông Nam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17</w:t>
            </w:r>
            <w:r/>
          </w:p>
        </w:tc>
        <w:tc>
          <w:tcPr>
            <w:tcBorders/>
            <w:tcW w:w="1663" w:type="dxa"/>
            <w:vAlign w:val="center"/>
            <w:textDirection w:val="lrTb"/>
            <w:noWrap w:val="false"/>
          </w:tcPr>
          <w:p>
            <w:pPr>
              <w:pBdr/>
              <w:spacing w:line="276" w:lineRule="auto"/>
              <w:ind/>
              <w:jc w:val="center"/>
              <w:rPr/>
            </w:pPr>
            <w:r>
              <w:t xml:space="preserve">Cảnh quan</w:t>
            </w:r>
            <w:r/>
          </w:p>
        </w:tc>
        <w:tc>
          <w:tcPr>
            <w:tcBorders/>
            <w:tcW w:w="1560" w:type="dxa"/>
            <w:vAlign w:val="center"/>
            <w:textDirection w:val="lrTb"/>
            <w:noWrap w:val="false"/>
          </w:tcPr>
          <w:p>
            <w:pPr>
              <w:pBdr/>
              <w:spacing w:line="276" w:lineRule="auto"/>
              <w:ind/>
              <w:jc w:val="center"/>
              <w:rPr/>
            </w:pPr>
            <w:r/>
            <w:r/>
          </w:p>
        </w:tc>
        <w:tc>
          <w:tcPr>
            <w:tcBorders/>
            <w:tcW w:w="1605" w:type="dxa"/>
            <w:vAlign w:val="center"/>
            <w:textDirection w:val="lrTb"/>
            <w:noWrap w:val="false"/>
          </w:tcPr>
          <w:p>
            <w:pPr>
              <w:pBdr/>
              <w:spacing w:line="276" w:lineRule="auto"/>
              <w:ind/>
              <w:jc w:val="center"/>
              <w:rPr/>
            </w:pPr>
            <w:r>
              <w:t xml:space="preserve">View khu dân cư ✔</w:t>
            </w:r>
            <w:r/>
          </w:p>
        </w:tc>
        <w:tc>
          <w:tcPr>
            <w:tcBorders/>
            <w:tcW w:w="1371" w:type="dxa"/>
            <w:vAlign w:val="center"/>
            <w:textDirection w:val="lrTb"/>
            <w:noWrap w:val="false"/>
          </w:tcPr>
          <w:p>
            <w:pPr>
              <w:pBdr/>
              <w:spacing w:line="276" w:lineRule="auto"/>
              <w:ind/>
              <w:jc w:val="center"/>
              <w:rPr/>
            </w:pPr>
            <w:r>
              <w:t xml:space="preserve">Có</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18</w:t>
            </w:r>
            <w:r/>
          </w:p>
        </w:tc>
        <w:tc>
          <w:tcPr>
            <w:tcBorders/>
            <w:tcW w:w="1663" w:type="dxa"/>
            <w:vAlign w:val="center"/>
            <w:textDirection w:val="lrTb"/>
            <w:noWrap w:val="false"/>
          </w:tcPr>
          <w:p>
            <w:pPr>
              <w:pBdr/>
              <w:spacing w:line="276" w:lineRule="auto"/>
              <w:ind/>
              <w:jc w:val="center"/>
              <w:rPr/>
            </w:pPr>
            <w:r>
              <w:t xml:space="preserve">Lợi thế kinh doanh</w:t>
            </w:r>
            <w:r/>
          </w:p>
        </w:tc>
        <w:tc>
          <w:tcPr>
            <w:tcBorders/>
            <w:tcW w:w="1560" w:type="dxa"/>
            <w:vAlign w:val="center"/>
            <w:textDirection w:val="lrTb"/>
            <w:noWrap w:val="false"/>
          </w:tcPr>
          <w:p>
            <w:pPr>
              <w:pBdr/>
              <w:spacing w:line="276" w:lineRule="auto"/>
              <w:ind/>
              <w:jc w:val="center"/>
              <w:rPr/>
            </w:pPr>
            <w:r>
              <w:t xml:space="preserve">Tốt</w:t>
            </w:r>
            <w:r/>
          </w:p>
        </w:tc>
        <w:tc>
          <w:tcPr>
            <w:tcBorders/>
            <w:tcW w:w="1605" w:type="dxa"/>
            <w:vAlign w:val="center"/>
            <w:textDirection w:val="lrTb"/>
            <w:noWrap w:val="false"/>
          </w:tcPr>
          <w:p>
            <w:pPr>
              <w:pBdr/>
              <w:spacing w:line="276" w:lineRule="auto"/>
              <w:ind/>
              <w:jc w:val="center"/>
              <w:rPr/>
            </w:pPr>
            <w:r>
              <w:t xml:space="preserve">Tốt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19</w:t>
            </w:r>
            <w:r/>
          </w:p>
        </w:tc>
        <w:tc>
          <w:tcPr>
            <w:tcBorders/>
            <w:tcW w:w="1663" w:type="dxa"/>
            <w:vAlign w:val="center"/>
            <w:textDirection w:val="lrTb"/>
            <w:noWrap w:val="false"/>
          </w:tcPr>
          <w:p>
            <w:pPr>
              <w:pBdr/>
              <w:spacing w:line="276" w:lineRule="auto"/>
              <w:ind/>
              <w:jc w:val="center"/>
              <w:rPr/>
            </w:pPr>
            <w:r>
              <w:t xml:space="preserve">Lợi thế thương mại</w:t>
            </w:r>
            <w:r/>
          </w:p>
        </w:tc>
        <w:tc>
          <w:tcPr>
            <w:tcBorders/>
            <w:tcW w:w="1560" w:type="dxa"/>
            <w:vAlign w:val="center"/>
            <w:textDirection w:val="lrTb"/>
            <w:noWrap w:val="false"/>
          </w:tcPr>
          <w:p>
            <w:pPr>
              <w:pBdr/>
              <w:spacing w:line="276" w:lineRule="auto"/>
              <w:ind/>
              <w:jc w:val="center"/>
              <w:rPr/>
            </w:pPr>
            <w:r>
              <w:t xml:space="preserve">Không có lợi thế thương mại</w:t>
            </w:r>
            <w:r/>
          </w:p>
        </w:tc>
        <w:tc>
          <w:tcPr>
            <w:tcBorders/>
            <w:tcW w:w="1605" w:type="dxa"/>
            <w:vAlign w:val="center"/>
            <w:textDirection w:val="lrTb"/>
            <w:noWrap w:val="false"/>
          </w:tcPr>
          <w:p>
            <w:pPr>
              <w:pBdr/>
              <w:spacing w:line="276" w:lineRule="auto"/>
              <w:ind/>
              <w:jc w:val="center"/>
              <w:rPr/>
            </w:pPr>
            <w:r>
              <w:t xml:space="preserve">Không có lợi thế thương mại ✔</w:t>
            </w:r>
            <w:r/>
          </w:p>
        </w:tc>
        <w:tc>
          <w:tcPr>
            <w:tcBorders/>
            <w:tcW w:w="1371" w:type="dxa"/>
            <w:vAlign w:val="center"/>
            <w:textDirection w:val="lrTb"/>
            <w:noWrap w:val="false"/>
          </w:tcPr>
          <w:p>
            <w:pPr>
              <w:pBdr/>
              <w:spacing w:line="276" w:lineRule="auto"/>
              <w:ind/>
              <w:jc w:val="center"/>
              <w:rPr/>
            </w:pPr>
            <w:r>
              <w:t xml:space="preserve">Có</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20</w:t>
            </w:r>
            <w:r/>
          </w:p>
        </w:tc>
        <w:tc>
          <w:tcPr>
            <w:tcBorders/>
            <w:tcW w:w="1663" w:type="dxa"/>
            <w:vAlign w:val="center"/>
            <w:textDirection w:val="lrTb"/>
            <w:noWrap w:val="false"/>
          </w:tcPr>
          <w:p>
            <w:pPr>
              <w:pBdr/>
              <w:spacing w:line="276" w:lineRule="auto"/>
              <w:ind/>
              <w:jc w:val="center"/>
              <w:rPr/>
            </w:pPr>
            <w:r>
              <w:t xml:space="preserve">Bất lợi thương mại</w:t>
            </w:r>
            <w:r/>
          </w:p>
        </w:tc>
        <w:tc>
          <w:tcPr>
            <w:tcBorders/>
            <w:tcW w:w="1560" w:type="dxa"/>
            <w:vAlign w:val="center"/>
            <w:textDirection w:val="lrTb"/>
            <w:noWrap w:val="false"/>
          </w:tcPr>
          <w:p>
            <w:pPr>
              <w:pBdr/>
              <w:spacing w:line="276" w:lineRule="auto"/>
              <w:ind/>
              <w:jc w:val="center"/>
              <w:rPr/>
            </w:pPr>
            <w:r>
              <w:t xml:space="preserve">Không có bất lợi thương mại</w:t>
            </w:r>
            <w:r/>
          </w:p>
        </w:tc>
        <w:tc>
          <w:tcPr>
            <w:tcBorders/>
            <w:tcW w:w="1605" w:type="dxa"/>
            <w:vAlign w:val="center"/>
            <w:textDirection w:val="lrTb"/>
            <w:noWrap w:val="false"/>
          </w:tcPr>
          <w:p>
            <w:pPr>
              <w:pBdr/>
              <w:spacing w:line="276" w:lineRule="auto"/>
              <w:ind/>
              <w:jc w:val="center"/>
              <w:rPr/>
            </w:pPr>
            <w:r>
              <w:t xml:space="preserve">Không có bất lợi thương mại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r>
        <w:trPr>
          <w:jc w:val="center"/>
        </w:trPr>
        <w:tc>
          <w:tcPr>
            <w:tcBorders/>
            <w:tcW w:w="1167" w:type="dxa"/>
            <w:vAlign w:val="center"/>
            <w:textDirection w:val="lrTb"/>
            <w:noWrap w:val="false"/>
          </w:tcPr>
          <w:p>
            <w:pPr>
              <w:pBdr/>
              <w:spacing w:line="276" w:lineRule="auto"/>
              <w:ind/>
              <w:jc w:val="center"/>
              <w:rPr/>
            </w:pPr>
            <w:r>
              <w:t xml:space="preserve">21</w:t>
            </w:r>
            <w:r/>
          </w:p>
        </w:tc>
        <w:tc>
          <w:tcPr>
            <w:tcBorders/>
            <w:tcW w:w="1663" w:type="dxa"/>
            <w:vAlign w:val="center"/>
            <w:textDirection w:val="lrTb"/>
            <w:noWrap w:val="false"/>
          </w:tcPr>
          <w:p>
            <w:pPr>
              <w:pBdr/>
              <w:spacing w:line="276" w:lineRule="auto"/>
              <w:ind/>
              <w:jc w:val="center"/>
              <w:rPr/>
            </w:pPr>
            <w:r>
              <w:t xml:space="preserve">Khả năng chuyển nhượng</w:t>
            </w:r>
            <w:r/>
          </w:p>
        </w:tc>
        <w:tc>
          <w:tcPr>
            <w:tcBorders/>
            <w:tcW w:w="1560" w:type="dxa"/>
            <w:vAlign w:val="center"/>
            <w:textDirection w:val="lrTb"/>
            <w:noWrap w:val="false"/>
          </w:tcPr>
          <w:p>
            <w:pPr>
              <w:pBdr/>
              <w:spacing w:line="276" w:lineRule="auto"/>
              <w:ind/>
              <w:jc w:val="center"/>
              <w:rPr/>
            </w:pPr>
            <w:r>
              <w:t xml:space="preserve">Tốt</w:t>
            </w:r>
            <w:r/>
          </w:p>
        </w:tc>
        <w:tc>
          <w:tcPr>
            <w:tcBorders/>
            <w:tcW w:w="1605" w:type="dxa"/>
            <w:vAlign w:val="center"/>
            <w:textDirection w:val="lrTb"/>
            <w:noWrap w:val="false"/>
          </w:tcPr>
          <w:p>
            <w:pPr>
              <w:pBdr/>
              <w:spacing w:line="276" w:lineRule="auto"/>
              <w:ind/>
              <w:jc w:val="center"/>
              <w:rPr/>
            </w:pPr>
            <w:r>
              <w:t xml:space="preserve">Tốt ✔</w:t>
            </w:r>
            <w:r/>
          </w:p>
        </w:tc>
        <w:tc>
          <w:tcPr>
            <w:tcBorders/>
            <w:tcW w:w="1371" w:type="dxa"/>
            <w:vAlign w:val="center"/>
            <w:textDirection w:val="lrTb"/>
            <w:noWrap w:val="false"/>
          </w:tcPr>
          <w:p>
            <w:pPr>
              <w:pBdr/>
              <w:spacing w:line="276" w:lineRule="auto"/>
              <w:ind/>
              <w:jc w:val="center"/>
              <w:rPr/>
            </w:pPr>
            <w:r>
              <w:t xml:space="preserve">Không</w:t>
            </w:r>
            <w:r/>
          </w:p>
        </w:tc>
        <w:tc>
          <w:tcPr>
            <w:tcBorders/>
            <w:tcW w:w="2149" w:type="dxa"/>
            <w:vAlign w:val="center"/>
            <w:textDirection w:val="lrTb"/>
            <w:noWrap w:val="false"/>
          </w:tcPr>
          <w:p>
            <w:pPr>
              <w:pBdr/>
              <w:spacing w:line="276" w:lineRule="auto"/>
              <w:ind/>
              <w:jc w:val="center"/>
              <w:rPr/>
            </w:pPr>
            <w:r/>
            <w:r/>
          </w:p>
        </w:tc>
      </w:tr>
    </w:tbl>
    <w:p>
      <w:pPr>
        <w:pBdr/>
        <w:spacing w:line="276" w:lineRule="auto"/>
        <w:ind/>
        <w:rPr>
          <w:b/>
          <w:bCs/>
        </w:rPr>
      </w:pPr>
      <w:r>
        <w:rPr>
          <w:b/>
          <w:bCs/>
        </w:rPr>
      </w:r>
      <w:r>
        <w:rPr>
          <w:b/>
          <w:bCs/>
        </w:rPr>
      </w:r>
      <w:r>
        <w:rPr>
          <w:b/>
          <w:bCs/>
        </w:rPr>
      </w:r>
    </w:p>
    <w:p>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Bdr/>
        <w:spacing w:line="276" w:lineRule="auto"/>
        <w:ind/>
        <w:jc w:val="both"/>
        <w:rPr>
          <w:u w:val="single"/>
        </w:rPr>
      </w:pPr>
      <w:r>
        <w:rPr>
          <w:u w:val="single"/>
        </w:rPr>
      </w:r>
      <w:r>
        <w:rPr>
          <w:u w:val="single"/>
        </w:rPr>
      </w:r>
      <w:r>
        <w:rPr>
          <w:u w:val="single"/>
        </w:rPr>
      </w:r>
    </w:p>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76"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76"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76"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3"/>
        <w:numPr>
          <w:ilvl w:val="0"/>
          <w:numId w:val="3"/>
        </w:numPr>
        <w:pBdr/>
        <w:tabs>
          <w:tab w:val="left" w:leader="none" w:pos="993"/>
        </w:tabs>
        <w:spacing w:after="120" w:before="120" w:line="276"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1701"/>
        <w:gridCol w:w="1616"/>
        <w:gridCol w:w="1899"/>
        <w:gridCol w:w="1888"/>
        <w:gridCol w:w="1939"/>
      </w:tblGrid>
      <w:tr>
        <w:trPr>
          <w:trHeight w:val="30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567" w:type="dxa"/>
            <w:vAlign w:val="top"/>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3" w:space="0"/>
              <w:bottom w:val="single" w:color="000000" w:sz="3" w:space="0"/>
              <w:right w:val="single" w:color="000000" w:sz="3" w:space="0"/>
            </w:tcBorders>
            <w:tcMar>
              <w:left w:w="0" w:type="dxa"/>
              <w:top w:w="0" w:type="dxa"/>
              <w:right w:w="0" w:type="dxa"/>
              <w:bottom w:w="0" w:type="dxa"/>
            </w:tcMar>
            <w:tcW w:w="1701" w:type="dxa"/>
            <w:vAlign w:val="top"/>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3" w:space="0"/>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3" w:space="0"/>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3" w:space="0"/>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3" w:space="0"/>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top"/>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top"/>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1761"/>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Tổ 7, phường Nam Thanh, thành phố Điện Biên, tỉnh Điện Biên (nay là phường Mường Thanh, tỉnh Điện Biên Phủ)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7, phố 2, phường Nam Thanh, thành phố Điện Biên, tỉnh Điện Biên (nay là phường Mường Thanh, tỉnh Điện Biên Phủ)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Tổ 8, phường Nam Thanh, thành phố Điện Biên, tỉnh Điện Biên (nay là phường Mường Thanh, tỉnh Điện Biên Phủ)</w:t>
            </w:r>
            <w:r>
              <w:rPr>
                <w:rFonts w:ascii="Times New Roman" w:hAnsi="Times New Roman" w:cs="Times New Roman"/>
                <w:sz w:val="22"/>
                <w:szCs w:val="22"/>
              </w:rPr>
            </w:r>
            <w:r>
              <w:rPr>
                <w:rFonts w:ascii="Times New Roman" w:hAnsi="Times New Roman" w:cs="Times New Roman"/>
                <w:sz w:val="22"/>
                <w:szCs w:val="22"/>
              </w:rPr>
            </w:r>
          </w:p>
        </w:tc>
      </w:tr>
      <w:tr>
        <w:trPr>
          <w:trHeight w:val="833"/>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color w:val="000000" w:themeColor="text1"/>
                <w:sz w:val="22"/>
                <w:szCs w:val="22"/>
              </w:rPr>
            </w:pPr>
            <w:r/>
            <w:hyperlink r:id="rId17" w:tooltip="https://www.facebook.com/share/p/1F5rVFwFv4/" w:history="1">
              <w:r>
                <w:rPr>
                  <w:rStyle w:val="1023"/>
                  <w:rFonts w:ascii="Times New Roman" w:hAnsi="Times New Roman" w:eastAsia="Times New Roman" w:cs="Times New Roman"/>
                  <w:color w:val="000000" w:themeColor="text1"/>
                  <w:sz w:val="22"/>
                  <w:szCs w:val="22"/>
                  <w:u w:val="single"/>
                </w:rPr>
                <w:t xml:space="preserve">https://www.facebook.com/share/p/1F5rVFwFv4/</w:t>
              </w:r>
            </w:hyperlink>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color w:val="000000" w:themeColor="text1"/>
                <w:sz w:val="22"/>
                <w:szCs w:val="22"/>
              </w:rPr>
            </w:pPr>
            <w:r/>
            <w:hyperlink r:id="rId18" w:tooltip="https://www.facebook.com/share/p/17L9zXNwP2/" w:history="1">
              <w:r>
                <w:rPr>
                  <w:rStyle w:val="1023"/>
                  <w:rFonts w:ascii="Times New Roman" w:hAnsi="Times New Roman" w:eastAsia="Times New Roman" w:cs="Times New Roman"/>
                  <w:color w:val="000000" w:themeColor="text1"/>
                  <w:sz w:val="22"/>
                  <w:szCs w:val="22"/>
                  <w:u w:val="none"/>
                </w:rPr>
                <w:t xml:space="preserve">https://www.facebook.com/share/p/17L9zXNwP2/</w:t>
              </w:r>
            </w:hyperlink>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0973100689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0837066066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0915350815</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Đã bán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11/2025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11/2025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11/2025 </w:t>
            </w:r>
            <w:r>
              <w:rPr>
                <w:rFonts w:ascii="Times New Roman" w:hAnsi="Times New Roman" w:cs="Times New Roman"/>
                <w:sz w:val="22"/>
                <w:szCs w:val="22"/>
              </w:rPr>
            </w:r>
            <w:r>
              <w:rPr>
                <w:rFonts w:ascii="Times New Roman" w:hAnsi="Times New Roman" w:cs="Times New Roman"/>
                <w:sz w:val="22"/>
                <w:szCs w:val="22"/>
              </w:rPr>
            </w:r>
          </w:p>
        </w:tc>
      </w:tr>
      <w:tr>
        <w:trPr>
          <w:trHeight w:val="833"/>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 w:val="22"/>
                <w:szCs w:val="22"/>
              </w:rPr>
            </w:r>
            <w:r>
              <w:rPr>
                <w:rFonts w:ascii="Times New Roman" w:hAnsi="Times New Roman" w:cs="Times New Roman"/>
                <w:sz w:val="22"/>
                <w:szCs w:val="22"/>
              </w:rPr>
            </w:r>
          </w:p>
        </w:tc>
      </w:tr>
      <w:tr>
        <w:trPr>
          <w:trHeight w:val="555"/>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771"/>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70m</w:t>
            </w:r>
            <w:r>
              <w:rPr>
                <w:rFonts w:ascii="Times New Roman" w:hAnsi="Times New Roman" w:eastAsia="Times New Roman" w:cs="Times New Roman"/>
                <w:color w:val="000000"/>
                <w:sz w:val="22"/>
                <w:szCs w:val="22"/>
                <w:vertAlign w:val="superscript"/>
              </w:rPr>
              <w:t xml:space="preserve">2</w:t>
            </w:r>
            <w:r>
              <w:rPr>
                <w:rFonts w:ascii="Times New Roman" w:hAnsi="Times New Roman" w:eastAsia="Times New Roman" w:cs="Times New Roman"/>
                <w:color w:val="000000"/>
                <w:sz w:val="22"/>
                <w:szCs w:val="22"/>
              </w:rPr>
              <w:br/>
              <w:t xml:space="preserve">Đất trồng cây hàng năm khác 21,8m</w:t>
            </w:r>
            <w:r>
              <w:rPr>
                <w:rFonts w:ascii="Times New Roman" w:hAnsi="Times New Roman" w:eastAsia="Times New Roman" w:cs="Times New Roman"/>
                <w:color w:val="000000"/>
                <w:sz w:val="22"/>
                <w:szCs w:val="22"/>
                <w:vertAlign w:val="superscript"/>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đô thị (80 m²), Đất trồng cây lâu năm (21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đô thị (70 m²), Đất trồng cây lâu năm (60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tại đô thị</w:t>
            </w:r>
            <w:r>
              <w:rPr>
                <w:rFonts w:ascii="Times New Roman" w:hAnsi="Times New Roman" w:cs="Times New Roman"/>
                <w:sz w:val="22"/>
                <w:szCs w:val="22"/>
              </w:rPr>
            </w:r>
            <w:r>
              <w:rPr>
                <w:rFonts w:ascii="Times New Roman" w:hAnsi="Times New Roman" w:cs="Times New Roman"/>
                <w:sz w:val="22"/>
                <w:szCs w:val="22"/>
              </w:rPr>
            </w:r>
          </w:p>
        </w:tc>
      </w:tr>
      <w:tr>
        <w:trPr>
          <w:trHeight w:val="1665"/>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Tài sản tiếp giáp với đường Võ Nguyên Giáp, cách bảo tàng chiến thắng Điện Biên Phủ khoảng 1,2km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Tài sản tiếp giáp với đường Võ Nguyên Giáp, cách bảo tàng chiến thắng Điện Biên Phủ khoảng 1,3km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Tài sản tiếp giáp với đường Võ Nguyên Giáp, cách bảo tàng chiến thắng Điện Biên Phủ khoảng 500m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Tài sản tiếp giáp với đường Võ Nguyên Giáp, cách bảo tàng chiến thắng Điện Biên Phủ khoảng 1,25km</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25m</w:t>
            </w:r>
            <w:r>
              <w:rPr>
                <w:rFonts w:ascii="Times New Roman" w:hAnsi="Times New Roman" w:cs="Times New Roman"/>
                <w:sz w:val="22"/>
                <w:szCs w:val="22"/>
              </w:rPr>
            </w:r>
            <w:r>
              <w:rPr>
                <w:rFonts w:ascii="Times New Roman" w:hAnsi="Times New Roman" w:cs="Times New Roman"/>
                <w:sz w:val="22"/>
                <w:szCs w:val="22"/>
              </w:rPr>
            </w:r>
          </w:p>
        </w:tc>
      </w:tr>
      <w:tr>
        <w:trPr>
          <w:trHeight w:val="600"/>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w:t>
              <w:br/>
              <w:t xml:space="preserve">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91,8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101,00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130,00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93,00</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4,80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4,08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4,5</w:t>
            </w:r>
            <w:r>
              <w:rPr>
                <w:rFonts w:ascii="Times New Roman" w:hAnsi="Times New Roman" w:cs="Times New Roman"/>
                <w:sz w:val="22"/>
                <w:szCs w:val="22"/>
              </w:rPr>
            </w:r>
            <w:r>
              <w:rPr>
                <w:rFonts w:ascii="Times New Roman" w:hAnsi="Times New Roman" w:cs="Times New Roman"/>
                <w:sz w:val="22"/>
                <w:szCs w:val="22"/>
              </w:rPr>
            </w:r>
          </w:p>
        </w:tc>
      </w:tr>
      <w:tr>
        <w:trPr>
          <w:trHeight w:val="555"/>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2 mặt tiền (Lô góc)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 mặt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2 mặt (mặt trước sau)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 mặt </w:t>
            </w:r>
            <w:r>
              <w:rPr>
                <w:rFonts w:ascii="Times New Roman" w:hAnsi="Times New Roman" w:cs="Times New Roman"/>
                <w:sz w:val="22"/>
                <w:szCs w:val="22"/>
              </w:rPr>
            </w:r>
            <w:r>
              <w:rPr>
                <w:rFonts w:ascii="Times New Roman" w:hAnsi="Times New Roman" w:cs="Times New Roman"/>
                <w:sz w:val="22"/>
                <w:szCs w:val="22"/>
              </w:rPr>
            </w:r>
          </w:p>
        </w:tc>
      </w:tr>
      <w:tr>
        <w:trPr>
          <w:trHeight w:val="520"/>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Vuông vức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đối vuông vức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Vuông vức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Thóp hậu</w:t>
            </w:r>
            <w:r>
              <w:rPr>
                <w:rFonts w:ascii="Times New Roman" w:hAnsi="Times New Roman" w:cs="Times New Roman"/>
                <w:sz w:val="22"/>
                <w:szCs w:val="22"/>
              </w:rPr>
            </w:r>
            <w:r>
              <w:rPr>
                <w:rFonts w:ascii="Times New Roman" w:hAnsi="Times New Roman" w:cs="Times New Roman"/>
                <w:sz w:val="22"/>
                <w:szCs w:val="22"/>
              </w:rPr>
            </w:r>
          </w:p>
        </w:tc>
      </w:tr>
      <w:tr>
        <w:trPr>
          <w:trHeight w:val="520"/>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 w:val="22"/>
                <w:szCs w:val="22"/>
              </w:rPr>
            </w:r>
            <w:r>
              <w:rPr>
                <w:rFonts w:ascii="Times New Roman" w:hAnsi="Times New Roman" w:cs="Times New Roman"/>
                <w:sz w:val="22"/>
                <w:szCs w:val="22"/>
              </w:rPr>
            </w:r>
          </w:p>
        </w:tc>
      </w:tr>
      <w:tr>
        <w:trPr>
          <w:trHeight w:val="1200"/>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đô thị: 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đô thị: 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đô thị: 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Hạ tầng khu đô thị: Hệ thống cấp điện, cấp thoát nước đầy đủ</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1,5 tầng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2 tầng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Nhà 2 tầng, 1 tum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bottom"/>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tầng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1,5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2,0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2,5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bottom"/>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sàn sử dụng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120,0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140,0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232,5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bottom"/>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Năm xây dựng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2.550.000.000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3.900.000.000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3.000.000.000</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2.550.000.000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3.670.000.000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2.840.000.000</w:t>
            </w:r>
            <w:r>
              <w:rPr>
                <w:rFonts w:ascii="Times New Roman" w:hAnsi="Times New Roman" w:cs="Times New Roman"/>
                <w:sz w:val="22"/>
                <w:szCs w:val="22"/>
              </w:rPr>
            </w:r>
            <w:r>
              <w:rPr>
                <w:rFonts w:ascii="Times New Roman" w:hAnsi="Times New Roman" w:cs="Times New Roman"/>
                <w:sz w:val="22"/>
                <w:szCs w:val="22"/>
              </w:rPr>
            </w:r>
          </w:p>
        </w:tc>
      </w:tr>
      <w:tr>
        <w:trPr>
          <w:trHeight w:val="315"/>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801"/>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320.650.200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669.811.870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1.032.911.417 </w:t>
            </w:r>
            <w:r>
              <w:rPr>
                <w:rFonts w:ascii="Times New Roman" w:hAnsi="Times New Roman" w:cs="Times New Roman"/>
                <w:sz w:val="22"/>
                <w:szCs w:val="22"/>
              </w:rPr>
            </w:r>
            <w:r>
              <w:rPr>
                <w:rFonts w:ascii="Times New Roman" w:hAnsi="Times New Roman" w:cs="Times New Roman"/>
                <w:sz w:val="22"/>
                <w:szCs w:val="22"/>
              </w:rPr>
            </w:r>
          </w:p>
        </w:tc>
      </w:tr>
      <w:tr>
        <w:trPr>
          <w:trHeight w:val="1690"/>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Đơn giá xây dựng theo Quyết định số 816/QĐ-BXD ngày 22/8/2024 của Bộ xây dựng  (đồng/m²)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4.453.475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6.834.815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6.834.815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Tỷ lệ % CLCL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65%</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đất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2.229.349.800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3.000.188.130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1.807.088.583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tcPr>
          <w:p>
            <w:pPr>
              <w:pBdr/>
              <w:spacing w:after="0" w:before="0" w:line="276" w:lineRule="auto"/>
              <w:ind/>
              <w:jc w:val="righ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22.072.770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23.078.370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19.431.060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555"/>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w:t>
              <w:br/>
              <w:t xml:space="preserve"> (m²)</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Chiều sâu (m)</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r>
        <w:trPr>
          <w:trHeight w:val="555"/>
        </w:trPr>
        <w:tc>
          <w:tcPr>
            <w:tcBorders>
              <w:left w:val="single" w:color="000000" w:sz="3" w:space="0"/>
              <w:bottom w:val="single" w:color="000000" w:sz="3" w:space="0"/>
              <w:right w:val="single" w:color="000000" w:sz="3" w:space="0"/>
            </w:tcBorders>
            <w:tcMar>
              <w:left w:w="0" w:type="dxa"/>
              <w:top w:w="0" w:type="dxa"/>
              <w:right w:w="0" w:type="dxa"/>
              <w:bottom w:w="0" w:type="dxa"/>
            </w:tcMar>
            <w:tcW w:w="567"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0" w:type="dxa"/>
              <w:top w:w="0" w:type="dxa"/>
              <w:right w:w="0" w:type="dxa"/>
              <w:bottom w:w="0" w:type="dxa"/>
            </w:tcMar>
            <w:tcW w:w="1701" w:type="dxa"/>
            <w:vAlign w:val="center"/>
            <w:textDirection w:val="lrTb"/>
            <w:noWrap w:val="false"/>
          </w:tcPr>
          <w:p>
            <w:pPr>
              <w:pBdr/>
              <w:spacing w:after="0" w:before="0" w:line="276" w:lineRule="auto"/>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Điều kiện cơ sở hạ tầng kỹ thuật</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616" w:type="dxa"/>
            <w:vAlign w:val="center"/>
            <w:textDirection w:val="lrTb"/>
            <w:noWrap/>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9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888"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c>
          <w:tcPr>
            <w:tcBorders>
              <w:bottom w:val="single" w:color="000000" w:sz="3" w:space="0"/>
              <w:right w:val="single" w:color="000000" w:sz="3" w:space="0"/>
            </w:tcBorders>
            <w:tcMar>
              <w:left w:w="57" w:type="dxa"/>
              <w:top w:w="0" w:type="dxa"/>
              <w:right w:w="57" w:type="dxa"/>
              <w:bottom w:w="0" w:type="dxa"/>
            </w:tcMar>
            <w:tcW w:w="1939" w:type="dxa"/>
            <w:vAlign w:val="center"/>
            <w:textDirection w:val="lrTb"/>
            <w:noWrap w:val="false"/>
          </w:tcPr>
          <w:p>
            <w:pPr>
              <w:pBdr/>
              <w:spacing w:after="0" w:before="0" w:line="276"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 w:val="22"/>
                <w:szCs w:val="22"/>
              </w:rPr>
            </w:r>
            <w:r>
              <w:rPr>
                <w:rFonts w:ascii="Times New Roman" w:hAnsi="Times New Roman" w:cs="Times New Roman"/>
                <w:sz w:val="22"/>
                <w:szCs w:val="22"/>
              </w:rPr>
            </w:r>
          </w:p>
        </w:tc>
      </w:tr>
    </w:tbl>
    <w:p>
      <w:pPr>
        <w:pBdr/>
        <w:tabs>
          <w:tab w:val="left" w:leader="none" w:pos="90"/>
          <w:tab w:val="left" w:leader="none" w:pos="180"/>
        </w:tabs>
        <w:spacing w:after="120" w:before="120" w:line="276" w:lineRule="auto"/>
        <w:ind/>
        <w:jc w:val="both"/>
        <w:rPr>
          <w:b/>
          <w:bCs/>
          <w:lang w:val="de-DE"/>
        </w:rPr>
      </w:pPr>
      <w:r>
        <w:rPr>
          <w:highlight w:val="none"/>
          <w:lang w:val="it-IT"/>
        </w:rPr>
      </w:r>
      <w:r>
        <w:rPr>
          <w:b/>
          <w:bCs/>
          <w:lang w:val="de-DE"/>
        </w:rPr>
      </w:r>
      <w:r>
        <w:rPr>
          <w:b/>
          <w:bCs/>
          <w:lang w:val="de-DE"/>
        </w:rPr>
      </w:r>
    </w:p>
    <w:p>
      <w:pPr>
        <w:pBdr/>
        <w:tabs>
          <w:tab w:val="left" w:leader="none" w:pos="90"/>
          <w:tab w:val="left" w:leader="none" w:pos="180"/>
        </w:tabs>
        <w:spacing w:after="120" w:before="120" w:line="276"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76"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2"/>
        <w:gridCol w:w="945"/>
        <w:gridCol w:w="1450"/>
        <w:gridCol w:w="1525"/>
        <w:gridCol w:w="1559"/>
        <w:gridCol w:w="1559"/>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2.229.349.800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3.000.188.130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1.807.088.583</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22.072.770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23.078.370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19.431.060</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spacing w:after="0" w:before="0" w:line="276" w:lineRule="auto"/>
              <w:ind/>
              <w:rPr/>
            </w:pPr>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22.072.770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23.078.370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19.431.060</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22.072.770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23.078.370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19.431.060</w:t>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70m2</w:t>
              <w:br/>
              <w:t xml:space="preserve"> Đất trồng cây hàng năm khác 21,8m2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(80 m²), Đất trồng cây lâu năm (21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 (70 m²), Đất trồng cây lâu năm (60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-662.183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692.351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-971.553</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21.410.587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23.770.721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18.459.507</w:t>
            </w:r>
            <w:r/>
          </w:p>
        </w:tc>
      </w:tr>
      <w:tr>
        <w:trPr>
          <w:trHeight w:val="18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Võ Nguyên Giáp, cách bảo tàng chiến thắng Điện Biên Phủ khoảng 1,2km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Võ Nguyên Giáp, cách bảo tàng chiến thắng Điện Biên Phủ khoảng 1,3km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Võ Nguyên Giáp, cách bảo tàng chiến thắng Điện Biên Phủ khoảng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 tiếp giáp với đường Võ Nguyên Giáp, cách bảo tàng chiến thắng Điện Biên Phủ khoảng 1,25km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21.410.587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23.770.721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18.459.507</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25m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21.410.587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23.770.721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18.459.507</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93</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428.212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713.122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21.838.799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24.483.843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18.459.507</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4,5</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428.212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475.414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22.267.011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24.959.257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18.459.507</w:t>
            </w:r>
            <w:r/>
          </w:p>
        </w:tc>
      </w:tr>
      <w:tr>
        <w:trPr>
          <w:trHeight w:val="74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 mặt tiền (Lô góc)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 mặt (mặt trước sau)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 mặt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3.211.588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2.768.926</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25.478.599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24.959.257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21.228.433</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Thóp hậu</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15,00%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642.318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2.768.926</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26.120.916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24.959.257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23.997.359</w:t>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Tốt</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26.120.916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24.959.257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23.997.359</w:t>
            </w:r>
            <w:r/>
          </w:p>
        </w:tc>
      </w:tr>
      <w:tr>
        <w:trPr>
          <w:trHeight w:val="135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Hạ tầng khu đô thị: Hệ thống cấp điện, cấp thoát nước đầy đủ</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26.120.916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24.959.257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23.997.359</w:t>
            </w:r>
            <w:r/>
          </w:p>
        </w:tc>
      </w:tr>
      <w:tr>
        <w:trPr>
          <w:trHeight w:val="2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26.120.916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24.959.257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23.997.359</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tcPr>
          <w:p>
            <w:pPr>
              <w:pBdr/>
              <w:spacing w:after="0" w:before="0" w:line="276"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25.026.000</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-4,1%</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spacing w:after="0" w:before="0" w:line="276" w:lineRule="auto"/>
              <w:ind/>
              <w:rPr/>
            </w:pPr>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5.372.512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1.880.887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6.509.405</w:t>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w:t>
            </w: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val="false"/>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 - 15%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0%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5% - 15%</w:t>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0" w:type="dxa"/>
            <w:vAlign w:val="center"/>
            <w:textDirection w:val="lrTb"/>
            <w:noWrap/>
          </w:tcPr>
          <w:p>
            <w:pPr>
              <w:pBdr/>
              <w:spacing w:after="0" w:before="0" w:line="27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4.048.146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1.880.887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4.566.299</w:t>
            </w:r>
            <w:r/>
          </w:p>
        </w:tc>
      </w:tr>
    </w:tbl>
    <w:p>
      <w:pPr>
        <w:pBdr/>
        <w:spacing w:after="120" w:before="120" w:line="276" w:lineRule="auto"/>
        <w:ind/>
        <w:jc w:val="both"/>
        <w:rPr>
          <w:b/>
          <w:bCs/>
          <w:i/>
        </w:rPr>
      </w:pPr>
      <w:r>
        <w:rPr>
          <w:b/>
          <w:bCs/>
          <w:i/>
          <w:iCs/>
          <w:highlight w:val="none"/>
        </w:rPr>
      </w:r>
      <w:r>
        <w:rPr>
          <w:b/>
          <w:bCs/>
          <w:i/>
        </w:rPr>
      </w:r>
      <w:r>
        <w:rPr>
          <w:b/>
          <w:bCs/>
          <w:i/>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rFonts w:ascii="Times New Roman" w:hAnsi="Times New Roman" w:eastAsia="Times New Roman" w:cs="Times New Roman"/>
          <w:color w:val="000000"/>
          <w:sz w:val="22"/>
        </w:rPr>
        <w:t xml:space="preserve">-4,1</w:t>
      </w:r>
      <w:r>
        <w:t xml:space="preserve">% đến </w:t>
      </w:r>
      <w:r>
        <w:rPr>
          <w:rFonts w:ascii="Times New Roman" w:hAnsi="Times New Roman" w:eastAsia="Times New Roman" w:cs="Times New Roman"/>
          <w:color w:val="000000"/>
          <w:sz w:val="22"/>
        </w:rPr>
        <w:t xml:space="preserve">4,4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line="276" w:lineRule="auto"/>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638"/>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26.120.916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30,00%</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7.836.275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24.959.257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40,00%</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9.983.703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23.997.359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30,00%</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7.199.208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25.019.186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25.000.000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khảo sát hiện trạng tài sản, tổ thẩm định nhận thấy trên đất có 01 nhà 3 tầng tường gạch kết cấu BTCT diện tích xây dựng là 112,15/m2/sàn, công trình đang bị xây lấn sang ngoài diện tích được cấp trên sổ. Hiện công trình xây dựng này chưa được chứng nh</w:t>
      </w:r>
      <w:r>
        <w:rPr>
          <w:rFonts w:ascii="Times New Roman" w:hAnsi="Times New Roman" w:eastAsia="Times New Roman" w:cs="Times New Roman"/>
          <w:color w:val="000000"/>
          <w:sz w:val="24"/>
        </w:rPr>
        <w:t xml:space="preserve">ận trên Giấy chứng nhận quyền sử dụng đất quyền sở hữu nhà ở và tài sản khác gắn liền với đất số: BG 021856, số vào sổ cấp GCN: CH 24117 do UBND thành phố Điện Biên Phủ cấp ngày 14/6/2013 cho ông Nguyễn Trọng Thái</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000000"/>
          <w:sz w:val="24"/>
        </w:rPr>
        <w:t xml:space="preserve"> quyền sử dụng đất và giá trị công trình trên diện tích đất ở đã được cấp trong sổ. Kính đề nghị người sử dụng Chứng thư, Báo cáo thẩm định giá này (các tổ chức tín dụng) lưu ý khi xét cấp tín dụng.</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công trình nhà liền kề 3 tầng,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7.405.000 đồng/m² sàn, tỉnh Điện Biên thuộc vùng 1là 0,935 ”.</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7.405.000 x  0,935 = </w:t>
      </w:r>
      <w:r>
        <w:rPr>
          <w:rFonts w:ascii="Times New Roman" w:hAnsi="Times New Roman" w:eastAsia="Times New Roman" w:cs="Times New Roman"/>
          <w:b/>
          <w:color w:val="000000"/>
          <w:sz w:val="24"/>
        </w:rPr>
        <w:t xml:space="preserve">6.923.675</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 sàn</w:t>
      </w:r>
      <w:r>
        <w:rPr>
          <w:rFonts w:ascii="Times New Roman" w:hAnsi="Times New Roman" w:eastAsia="Times New Roman" w:cs="Times New Roman"/>
          <w:color w:val="000000"/>
          <w:sz w:val="24"/>
          <w:highlight w:val="white"/>
        </w:rPr>
        <w:t xml:space="preserve">.</w:t>
      </w: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khoảng đầu năm 2019, do vậy tổ thẩm định xác định tuổi đời hiệu quả của công trình là 6 năm.</w:t>
      </w:r>
      <w:r/>
    </w:p>
    <w:p>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40 năm.</w:t>
      </w:r>
      <w:r/>
    </w:p>
    <w:tbl>
      <w:tblPr>
        <w:tblStyle w:val="1037"/>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8704"/>
        <w:gridCol w:w="21148"/>
        <w:gridCol w:w="21148"/>
        <w:gridCol w:w="17282"/>
        <w:gridCol w:w="17282"/>
        <w:gridCol w:w="17282"/>
        <w:gridCol w:w="21968"/>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8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148"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1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9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8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rPr>
                <w:color w:val="000000" w:themeColor="text1"/>
              </w:rPr>
            </w:pPr>
            <w:r>
              <w:rPr>
                <w:rFonts w:ascii="Times New Roman" w:hAnsi="Times New Roman" w:eastAsia="Times New Roman" w:cs="Times New Roman"/>
                <w:color w:val="000000" w:themeColor="text1"/>
                <w:sz w:val="24"/>
              </w:rPr>
              <w:t xml:space="preserve">Nhà 3 tầng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1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Năm 2010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1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color w:val="000000" w:themeColor="text1"/>
              </w:rPr>
            </w:pPr>
            <w:r>
              <w:rPr>
                <w:rFonts w:ascii="Times New Roman" w:hAnsi="Times New Roman" w:eastAsia="Times New Roman" w:cs="Times New Roman"/>
                <w:color w:val="000000" w:themeColor="text1"/>
                <w:sz w:val="24"/>
              </w:rPr>
              <w:t xml:space="preserve">Tháng 11/2025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436.191.525</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30</w:t>
      </w:r>
      <w:r>
        <w:rPr>
          <w:rFonts w:ascii="Times New Roman" w:hAnsi="Times New Roman" w:eastAsia="Times New Roman" w:cs="Times New Roman"/>
          <w:color w:val="000000"/>
          <w:sz w:val="24"/>
        </w:rPr>
        <w:t xml:space="preserve">%, theo đó tỷ lệ chất lượng còn lại của tài sản là: </w:t>
      </w:r>
      <w:r>
        <w:rPr>
          <w:rFonts w:ascii="Times New Roman" w:hAnsi="Times New Roman" w:eastAsia="Times New Roman" w:cs="Times New Roman"/>
          <w:b/>
          <w:color w:val="000000"/>
          <w:sz w:val="24"/>
        </w:rPr>
        <w:t xml:space="preserve">70%</w:t>
      </w:r>
      <w:r>
        <w:rPr>
          <w:rFonts w:ascii="Times New Roman" w:hAnsi="Times New Roman" w:eastAsia="Times New Roman" w:cs="Times New Roman"/>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2"/>
        </w:rPr>
        <w:t xml:space="preserve">Công thức:</w:t>
      </w:r>
      <w:r/>
    </w:p>
    <w:tbl>
      <w:tblPr>
        <w:tblStyle w:val="1037"/>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384"/>
        <w:gridCol w:w="425"/>
        <w:gridCol w:w="675"/>
        <w:gridCol w:w="735"/>
        <w:gridCol w:w="1108"/>
        <w:gridCol w:w="1667"/>
        <w:gridCol w:w="780"/>
        <w:gridCol w:w="1029"/>
        <w:gridCol w:w="105"/>
        <w:gridCol w:w="1701"/>
        <w:gridCol w:w="226"/>
      </w:tblGrid>
      <w:tr>
        <w:trPr>
          <w:gridAfter w:val="1"/>
          <w:trHeight w:val="794"/>
        </w:trPr>
        <w:tc>
          <w:tcPr>
            <w:gridSpan w:val="2"/>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gridSpan w:val="2"/>
            <w:tcBorders/>
            <w:tcMar>
              <w:left w:w="108" w:type="dxa"/>
              <w:top w:w="0" w:type="dxa"/>
              <w:right w:w="108" w:type="dxa"/>
              <w:bottom w:w="0" w:type="dxa"/>
            </w:tcMar>
            <w:tcW w:w="1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35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gridSpan w:val="2"/>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Tài sản</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Diện tích sàn (m²)</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Chi phí thay thế (đồng)</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351" w:firstLine="0" w:left="0"/>
              <w:jc w:val="center"/>
              <w:rPr/>
            </w:pPr>
            <w:r>
              <w:rPr>
                <w:rFonts w:ascii="Times New Roman" w:hAnsi="Times New Roman" w:eastAsia="Times New Roman" w:cs="Times New Roman"/>
                <w:b/>
                <w:color w:val="000000"/>
                <w:sz w:val="22"/>
              </w:rPr>
              <w:t xml:space="preserve">Giá trị hao mòn (đồng)</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(2)</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(3)</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(5) = (3) * (4)</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(6)</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2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2"/>
              </w:rPr>
              <w:t xml:space="preserve">(7) = (5) - (6)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p>
        </w:tc>
        <w:tc>
          <w:tcPr>
            <w:gridSpan w:val="2"/>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210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6.923.675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1.453.971.750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436.191.525</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203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1.017.780.225</w:t>
            </w:r>
            <w:r/>
          </w:p>
        </w:tc>
      </w:tr>
    </w:tbl>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Tháng 11/2025</w:t>
      </w:r>
      <w:r>
        <w:t xml:space="preserve"> </w:t>
      </w:r>
      <w:r>
        <w:t xml:space="preserve">ước tính </w:t>
      </w:r>
      <w:r>
        <w:t xml:space="preserve">như sau</w:t>
      </w:r>
      <w:r>
        <w:t xml:space="preserve">:</w:t>
      </w: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787"/>
        <w:gridCol w:w="1218"/>
        <w:gridCol w:w="1671"/>
        <w:gridCol w:w="1290"/>
        <w:gridCol w:w="2018"/>
      </w:tblGrid>
      <w:tr>
        <w:trPr>
          <w:trHeight w:val="600"/>
        </w:trPr>
        <w:tc>
          <w:tcPr>
            <w:shd w:val="clear" w:color="ffffff" w:fill="ffffff"/>
            <w:tcBorders>
              <w:top w:val="single" w:color="000000" w:sz="3" w:space="0"/>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278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121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167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1290"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3" w:space="0"/>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(đồng)</w:t>
            </w:r>
            <w:r/>
          </w:p>
        </w:tc>
      </w:tr>
      <w:tr>
        <w:trPr>
          <w:trHeight w:val="2325"/>
        </w:trPr>
        <w:tc>
          <w:tcPr>
            <w:shd w:val="clear" w:color="ffffff" w:fill="ffffff"/>
            <w:tcBorders>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3" w:space="0"/>
              <w:bottom w:val="single" w:color="000000" w:sz="3" w:space="0"/>
              <w:right w:val="single" w:color="000000" w:sz="4" w:space="0"/>
            </w:tcBorders>
            <w:tcMar>
              <w:left w:w="57" w:type="dxa"/>
              <w:top w:w="0" w:type="dxa"/>
              <w:right w:w="57" w:type="dxa"/>
              <w:bottom w:w="0" w:type="dxa"/>
            </w:tcMar>
            <w:tcW w:w="6965"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220, tờ bản đồ số: 49 (bản đồ cập nhật năm 2010) có địa chỉ: Tổ dân phố 10, phường Nam Thanh, thành phố Điện Biên Phủ, tỉnh Điện Biên (nay là phường Mường Thanh, tỉnh Điện Biên) theo Giấy chứng</w:t>
            </w:r>
            <w:r>
              <w:rPr>
                <w:rFonts w:ascii="Times New Roman" w:hAnsi="Times New Roman" w:eastAsia="Times New Roman" w:cs="Times New Roman"/>
                <w:b/>
                <w:color w:val="000000"/>
                <w:sz w:val="24"/>
              </w:rPr>
              <w:t xml:space="preserve"> nhận quyền sử dụng đất quyền sở hữu nhà ở và tài sản khác gắn liền với đất số: BG 021856, số vào sổ cấp GCN: CH 24117 do UBND thành phố Điện Biên Phủ cấp ngày 14/6/2013 cho ông Nguyễn Trọng Thái</w:t>
            </w:r>
            <w:r/>
          </w:p>
        </w:tc>
        <w:tc>
          <w:tcPr>
            <w:shd w:val="clear" w:color="ffffff" w:fill="ffffff"/>
            <w:tcBorders>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15"/>
        </w:trPr>
        <w:tc>
          <w:tcPr>
            <w:shd w:val="clear" w:color="ffffff" w:fill="ffffff"/>
            <w:tcBorders>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3" w:space="0"/>
              <w:right w:val="single" w:color="000000" w:sz="3" w:space="0"/>
            </w:tcBorders>
            <w:tcMar>
              <w:left w:w="57" w:type="dxa"/>
              <w:top w:w="0" w:type="dxa"/>
              <w:right w:w="57" w:type="dxa"/>
              <w:bottom w:w="0" w:type="dxa"/>
            </w:tcMar>
            <w:tcW w:w="278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Giá trị quyền sử dụng đất hỗn hợp</w:t>
            </w:r>
            <w:r/>
          </w:p>
        </w:tc>
        <w:tc>
          <w:tcPr>
            <w:tcBorders>
              <w:bottom w:val="single" w:color="000000" w:sz="3" w:space="0"/>
              <w:right w:val="single" w:color="000000" w:sz="3" w:space="0"/>
            </w:tcBorders>
            <w:tcMar>
              <w:left w:w="57" w:type="dxa"/>
              <w:top w:w="0" w:type="dxa"/>
              <w:right w:w="57" w:type="dxa"/>
              <w:bottom w:w="0" w:type="dxa"/>
            </w:tcMar>
            <w:tcW w:w="1218"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91,8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67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25.000.000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290"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2.295.000.000</w:t>
            </w:r>
            <w:r/>
          </w:p>
        </w:tc>
      </w:tr>
      <w:tr>
        <w:trPr>
          <w:trHeight w:val="308"/>
        </w:trPr>
        <w:tc>
          <w:tcPr>
            <w:shd w:val="clear" w:color="ffffff" w:fill="ffffff"/>
            <w:tcBorders>
              <w:left w:val="single" w:color="000000" w:sz="3" w:space="0"/>
              <w:bottom w:val="single" w:color="000000" w:sz="3" w:space="0"/>
              <w:right w:val="single" w:color="000000" w:sz="3" w:space="0"/>
            </w:tcBorders>
            <w:tcMar>
              <w:left w:w="57" w:type="dxa"/>
              <w:top w:w="0" w:type="dxa"/>
              <w:right w:w="57" w:type="dxa"/>
              <w:bottom w:w="0" w:type="dxa"/>
            </w:tcMar>
            <w:tcW w:w="5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3" w:space="0"/>
              <w:right w:val="single" w:color="000000" w:sz="3" w:space="0"/>
            </w:tcBorders>
            <w:tcMar>
              <w:left w:w="57" w:type="dxa"/>
              <w:top w:w="0" w:type="dxa"/>
              <w:right w:w="57" w:type="dxa"/>
              <w:bottom w:w="0" w:type="dxa"/>
            </w:tcMar>
            <w:tcW w:w="278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Nhà 3 tầng</w:t>
            </w:r>
            <w:r/>
          </w:p>
        </w:tc>
        <w:tc>
          <w:tcPr>
            <w:tcBorders>
              <w:bottom w:val="single" w:color="000000" w:sz="3" w:space="0"/>
              <w:right w:val="single" w:color="000000" w:sz="3" w:space="0"/>
            </w:tcBorders>
            <w:tcMar>
              <w:left w:w="57" w:type="dxa"/>
              <w:top w:w="0" w:type="dxa"/>
              <w:right w:w="57" w:type="dxa"/>
              <w:bottom w:w="0" w:type="dxa"/>
            </w:tcMar>
            <w:tcW w:w="1218"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         210,0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67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6.923.675 </w:t>
            </w:r>
            <w:r/>
          </w:p>
        </w:tc>
        <w:tc>
          <w:tcPr>
            <w:shd w:val="clear" w:color="ffffff" w:fill="ffffff"/>
            <w:tcBorders>
              <w:bottom w:val="single" w:color="000000" w:sz="3" w:space="0"/>
              <w:right w:val="single" w:color="000000" w:sz="3" w:space="0"/>
            </w:tcBorders>
            <w:tcMar>
              <w:left w:w="57" w:type="dxa"/>
              <w:top w:w="0" w:type="dxa"/>
              <w:right w:w="57" w:type="dxa"/>
              <w:bottom w:w="0" w:type="dxa"/>
            </w:tcMar>
            <w:tcW w:w="1290"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70%</w:t>
            </w:r>
            <w:r/>
          </w:p>
        </w:tc>
        <w:tc>
          <w:tcPr>
            <w:shd w:val="clear" w:color="ffffff" w:fill="ffffff"/>
            <w:tcBorders>
              <w:bottom w:val="single" w:color="000000" w:sz="3" w:space="0"/>
              <w:right w:val="single" w:color="000000" w:sz="3" w:space="0"/>
            </w:tcBorders>
            <w:tcMar>
              <w:left w:w="57" w:type="dxa"/>
              <w:top w:w="0" w:type="dxa"/>
              <w:right w:w="57" w:type="dxa"/>
              <w:bottom w:w="0" w:type="dxa"/>
            </w:tcMar>
            <w:tcW w:w="2018"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1.017.780.225</w:t>
            </w:r>
            <w:r/>
          </w:p>
        </w:tc>
      </w:tr>
      <w:tr>
        <w:trPr>
          <w:trHeight w:val="308"/>
        </w:trPr>
        <w:tc>
          <w:tcPr>
            <w:gridSpan w:val="5"/>
            <w:tcBorders>
              <w:top w:val="single" w:color="000000" w:sz="3" w:space="0"/>
              <w:left w:val="single" w:color="000000" w:sz="3" w:space="0"/>
              <w:bottom w:val="single" w:color="000000" w:sz="3" w:space="0"/>
              <w:right w:val="single" w:color="000000" w:sz="4" w:space="0"/>
            </w:tcBorders>
            <w:tcMar>
              <w:left w:w="57" w:type="dxa"/>
              <w:top w:w="0" w:type="dxa"/>
              <w:right w:w="57" w:type="dxa"/>
              <w:bottom w:w="0" w:type="dxa"/>
            </w:tcMar>
            <w:tcW w:w="750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3" w:space="0"/>
              <w:right w:val="single" w:color="000000" w:sz="3" w:space="0"/>
            </w:tcBorders>
            <w:tcMar>
              <w:left w:w="57" w:type="dxa"/>
              <w:top w:w="0" w:type="dxa"/>
              <w:right w:w="57" w:type="dxa"/>
              <w:bottom w:w="0" w:type="dxa"/>
            </w:tcMar>
            <w:tcW w:w="2018" w:type="dxa"/>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3.312.780.225 </w:t>
            </w:r>
            <w:r/>
          </w:p>
        </w:tc>
      </w:tr>
      <w:tr>
        <w:trPr>
          <w:trHeight w:val="308"/>
        </w:trPr>
        <w:tc>
          <w:tcPr>
            <w:gridSpan w:val="5"/>
            <w:tcBorders>
              <w:top w:val="single" w:color="000000" w:sz="3" w:space="0"/>
              <w:left w:val="single" w:color="000000" w:sz="3" w:space="0"/>
              <w:bottom w:val="single" w:color="000000" w:sz="3" w:space="0"/>
              <w:right w:val="single" w:color="000000" w:sz="4" w:space="0"/>
            </w:tcBorders>
            <w:tcMar>
              <w:left w:w="57" w:type="dxa"/>
              <w:top w:w="0" w:type="dxa"/>
              <w:right w:w="57" w:type="dxa"/>
              <w:bottom w:w="0" w:type="dxa"/>
            </w:tcMar>
            <w:tcW w:w="7502"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3" w:space="0"/>
              <w:right w:val="single" w:color="000000" w:sz="3" w:space="0"/>
            </w:tcBorders>
            <w:tcMar>
              <w:left w:w="57" w:type="dxa"/>
              <w:top w:w="0" w:type="dxa"/>
              <w:right w:w="57" w:type="dxa"/>
              <w:bottom w:w="0" w:type="dxa"/>
            </w:tcMar>
            <w:tcW w:w="2018" w:type="dxa"/>
            <w:vAlign w:val="center"/>
            <w:textDirection w:val="lrTb"/>
            <w:noWrap/>
          </w:tcPr>
          <w:p>
            <w:pPr>
              <w:pBdr/>
              <w:spacing w:after="0" w:before="0" w:line="276" w:lineRule="auto"/>
              <w:ind/>
              <w:rPr/>
            </w:pPr>
            <w:r>
              <w:rPr>
                <w:rFonts w:ascii="Times New Roman" w:hAnsi="Times New Roman" w:eastAsia="Times New Roman" w:cs="Times New Roman"/>
                <w:b/>
                <w:color w:val="000000"/>
                <w:sz w:val="24"/>
              </w:rPr>
              <w:t xml:space="preserve">        3.313.000.000 </w:t>
            </w:r>
            <w:r/>
          </w:p>
        </w:tc>
      </w:tr>
      <w:tr>
        <w:trPr>
          <w:trHeight w:val="308"/>
        </w:trPr>
        <w:tc>
          <w:tcPr>
            <w:gridSpan w:val="6"/>
            <w:tcBorders>
              <w:top w:val="single" w:color="000000" w:sz="3" w:space="0"/>
              <w:left w:val="single" w:color="000000" w:sz="3" w:space="0"/>
              <w:bottom w:val="single" w:color="000000" w:sz="3" w:space="0"/>
              <w:right w:val="single" w:color="000000" w:sz="4" w:space="0"/>
            </w:tcBorders>
            <w:tcMar>
              <w:left w:w="57" w:type="dxa"/>
              <w:top w:w="0" w:type="dxa"/>
              <w:right w:w="57" w:type="dxa"/>
              <w:bottom w:w="0" w:type="dxa"/>
            </w:tcMar>
            <w:tcW w:w="9520"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Ba tỷ ba trăm mười ba triệu đồng chẵn ./.)</w:t>
            </w:r>
            <w:r/>
          </w:p>
        </w:tc>
      </w:tr>
    </w:tbl>
    <w:p>
      <w:pPr>
        <w:pStyle w:val="1033"/>
        <w:pBdr/>
        <w:tabs>
          <w:tab w:val="left" w:leader="none" w:pos="993"/>
        </w:tabs>
        <w:spacing w:after="120" w:before="120" w:line="276" w:lineRule="auto"/>
        <w:ind w:left="0"/>
        <w:jc w:val="both"/>
        <w:rPr/>
      </w:pPr>
      <w:r/>
      <w:r/>
    </w:p>
    <w:p>
      <w:pPr>
        <w:pStyle w:val="1033"/>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spacing w:after="120" w:before="120" w:line="276" w:lineRule="auto"/>
        <w:ind/>
        <w:jc w:val="both"/>
        <w:rPr>
          <w:lang w:val="vi-VN"/>
        </w:rPr>
      </w:pPr>
      <w:r>
        <w:rPr>
          <w:lang w:val="vi-VN"/>
        </w:rPr>
      </w:r>
      <w:r>
        <w:rPr>
          <w:rFonts w:ascii="Times New Roman" w:hAnsi="Times New Roman" w:eastAsia="Times New Roman" w:cs="Times New Roman"/>
          <w:color w:val="000000"/>
          <w:sz w:val="24"/>
        </w:rPr>
        <w:t xml:space="preserve">Qua khảo sát hiện trạng tài sản, tổ thẩm định nhận thấy trên đất có 01 nhà 3 tầng tường gạch kết cấu BTCT diện tích xây dựng là 112,15/m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/sàn, công trình đang bị xây lấn sang ngoài diện tích được cấp trên sổ. Hiện công trình xây dựng này chưa được chứng nh</w:t>
      </w:r>
      <w:r>
        <w:rPr>
          <w:rFonts w:ascii="Times New Roman" w:hAnsi="Times New Roman" w:eastAsia="Times New Roman" w:cs="Times New Roman"/>
          <w:color w:val="000000"/>
          <w:sz w:val="24"/>
        </w:rPr>
        <w:t xml:space="preserve">ận trên Giấy chứng nhận quyền sử dụng đất quyền sở hữu nhà ở và tài sản khác gắn liền với đất số: BG 021856, số vào sổ cấp GCN: CH 24117 do UBND thành phố Điện Biên Phủ cấp ngày 14/6/2013 cho ông Nguyễn Trọng Thái</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000000"/>
          <w:sz w:val="24"/>
        </w:rPr>
        <w:t xml:space="preserve"> quyền sử dụng đất và giá trị công trình trên diện tích đất ở đã được cấp trong sổ. Kính đề nghị người sử dụng Chứng thư, Báo cáo thẩm định giá này (các tổ chức tín dụng) lưu ý khi xét cấp tín dụng.</w:t>
      </w:r>
      <w:r>
        <w:rPr>
          <w:lang w:val="vi-VN"/>
        </w:rPr>
      </w:r>
      <w:r>
        <w:rPr>
          <w:lang w:val="vi-VN"/>
        </w:rPr>
      </w:r>
    </w:p>
    <w:p>
      <w:pPr>
        <w:pStyle w:val="1033"/>
        <w:numPr>
          <w:ilvl w:val="0"/>
          <w:numId w:val="5"/>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76"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z w:val="24"/>
        </w:rPr>
        <w:t xml:space="preserve">275/2025/1622/VFI-CT.27.A ngày 17/11/2025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Vũ Văn Quân - Chủ tịch</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line="276" w:lineRule="auto"/>
        <w:ind/>
        <w:jc w:val="center"/>
        <w:rPr>
          <w:bCs/>
          <w:i/>
          <w:highlight w:val="none"/>
          <w:lang w:val="pt-BR"/>
        </w:rPr>
      </w:pPr>
      <w:r>
        <w:rPr>
          <w:i/>
          <w:lang w:val="pt-BR"/>
        </w:rPr>
        <w:t xml:space="preserve">(Kèm theo </w:t>
      </w:r>
      <w:r>
        <w:rPr>
          <w:rFonts w:ascii="Times New Roman" w:hAnsi="Times New Roman" w:eastAsia="Times New Roman" w:cs="Times New Roman"/>
          <w:i/>
          <w:color w:val="000000"/>
          <w:sz w:val="24"/>
        </w:rPr>
        <w:t xml:space="preserve">Báo cáo thẩm định số 275/2025/1622/VFI-BC.27.A ngày 17 tháng 11 năm 2025 của Công ty Cổ phần Thẩm định và Đầu tư Tài chính Hoa Sen</w:t>
      </w:r>
      <w:r>
        <w:rPr>
          <w:i/>
          <w:lang w:val="pt-BR"/>
        </w:rPr>
        <w:t xml:space="preserve">)</w:t>
      </w:r>
      <w:r>
        <w:rPr>
          <w:i/>
          <w:lang w:val="pt-BR"/>
        </w:rPr>
      </w:r>
    </w:p>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w:rPr>
          <w:rFonts w:ascii="Times New Roman" w:hAnsi="Times New Roman" w:eastAsia="Times New Roman" w:cs="Times New Roman"/>
          <w:i/>
          <w:color w:val="000000"/>
          <w:sz w:val="24"/>
        </w:rPr>
        <w:t xml:space="preserve"> </w:t>
      </w: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04599" name=""/>
                              <pic:cNvPicPr>
                                <a:picLocks noChangeAspect="1"/>
                              </pic:cNvPicPr>
                              <pic:nvPr/>
                            </pic:nvPicPr>
                            <pic:blipFill>
                              <a:blip r:embed="rId19"/>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1.75pt;height:174.00pt;mso-wrap-distance-left:0.00pt;mso-wrap-distance-top:0.00pt;mso-wrap-distance-right:0.00pt;mso-wrap-distance-bottom:0.00pt;z-index:1;" stroked="false">
                      <v:imagedata r:id="rId19" o:title=""/>
                      <o:lock v:ext="edit" rotation="t"/>
                    </v:shape>
                  </w:pict>
                </mc:Fallback>
              </mc:AlternateConten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77808" name=""/>
                              <pic:cNvPicPr>
                                <a:picLocks noChangeAspect="1"/>
                              </pic:cNvPicPr>
                              <pic:nvPr/>
                            </pic:nvPicPr>
                            <pic:blipFill>
                              <a:blip r:embed="rId20"/>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75pt;height:174.00pt;mso-wrap-distance-left:0.00pt;mso-wrap-distance-top:0.00pt;mso-wrap-distance-right:0.00pt;mso-wrap-distance-bottom:0.00pt;z-index:1;" stroked="false">
                      <v:imagedata r:id="rId20"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23185" name=""/>
                              <pic:cNvPicPr>
                                <a:picLocks noChangeAspect="1"/>
                              </pic:cNvPicPr>
                              <pic:nvPr/>
                            </pic:nvPicPr>
                            <pic:blipFill>
                              <a:blip r:embed="rId2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75pt;height:174.00pt;mso-wrap-distance-left:0.00pt;mso-wrap-distance-top:0.00pt;mso-wrap-distance-right:0.00pt;mso-wrap-distance-bottom:0.00pt;z-index:1;" stroked="false">
                      <v:imagedata r:id="rId21"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45759" name=""/>
                              <pic:cNvPicPr>
                                <a:picLocks noChangeAspect="1"/>
                              </pic:cNvPicPr>
                              <pic:nvPr/>
                            </pic:nvPicPr>
                            <pic:blipFill>
                              <a:blip r:embed="rId2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75pt;height:174.00pt;mso-wrap-distance-left:0.00pt;mso-wrap-distance-top:0.00pt;mso-wrap-distance-right:0.00pt;mso-wrap-distance-bottom:0.00pt;z-index:1;" stroked="false">
                      <v:imagedata r:id="rId22"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07588" name=""/>
                              <pic:cNvPicPr>
                                <a:picLocks noChangeAspect="1"/>
                              </pic:cNvPicPr>
                              <pic:nvPr/>
                            </pic:nvPicPr>
                            <pic:blipFill>
                              <a:blip r:embed="rId2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75pt;height:174.00pt;mso-wrap-distance-left:0.00pt;mso-wrap-distance-top:0.00pt;mso-wrap-distance-right:0.00pt;mso-wrap-distance-bottom:0.00pt;z-index:1;" stroked="false">
                      <v:imagedata r:id="rId23"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center"/>
              <w:rPr/>
            </w:pPr>
            <w:r>
              <mc:AlternateContent>
                <mc:Choice Requires="wpg">
                  <w:drawing>
                    <wp:inline xmlns:wp="http://schemas.openxmlformats.org/drawingml/2006/wordprocessingDrawing" distT="0" distB="0" distL="0" distR="0">
                      <wp:extent cx="1295400" cy="28670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69245" name=""/>
                              <pic:cNvPicPr>
                                <a:picLocks noChangeAspect="1"/>
                              </pic:cNvPicPr>
                              <pic:nvPr/>
                            </pic:nvPicPr>
                            <pic:blipFill>
                              <a:blip r:embed="rId24"/>
                              <a:stretch/>
                            </pic:blipFill>
                            <pic:spPr bwMode="auto">
                              <a:xfrm>
                                <a:off x="0" y="0"/>
                                <a:ext cx="1295399" cy="2867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02.00pt;height:225.75pt;mso-wrap-distance-left:0.00pt;mso-wrap-distance-top:0.00pt;mso-wrap-distance-right:0.00pt;mso-wrap-distance-bottom:0.00pt;z-index:1;" stroked="false">
                      <v:imagedata r:id="rId24" o:title=""/>
                      <o:lock v:ext="edit" rotation="t"/>
                    </v:shape>
                  </w:pict>
                </mc:Fallback>
              </mc:AlternateContent>
            </w:r>
            <w:r/>
          </w:p>
        </w:tc>
      </w:tr>
    </w:tbl>
    <w:p>
      <w:pPr>
        <w:pBdr/>
        <w:spacing w:line="276" w:lineRule="auto"/>
        <w:ind/>
        <w:jc w:val="center"/>
        <w:rPr>
          <w:bCs/>
          <w:i/>
          <w:lang w:val="pt-BR"/>
        </w:rPr>
      </w:pPr>
      <w:r>
        <w:rPr>
          <w:i/>
          <w:highlight w:val="none"/>
          <w:lang w:val="pt-BR" w:bidi="pt-BR"/>
        </w:rPr>
      </w:r>
      <w:r>
        <w:rPr>
          <w:i/>
          <w:highlight w:val="none"/>
          <w:lang w:val="pt-BR" w:bidi="pt-BR"/>
        </w:rPr>
      </w:r>
      <w:r>
        <w:rPr>
          <w:i/>
          <w:highlight w:val="none"/>
          <w:lang w:val="pt-BR"/>
        </w:rPr>
      </w:r>
    </w:p>
    <w:p>
      <w:pPr>
        <w:pBdr/>
        <w:shd w:val="nil"/>
        <w:spacing/>
        <w:ind/>
        <w:rPr>
          <w:b/>
          <w:bCs/>
          <w:highlight w:val="none"/>
        </w:rPr>
      </w:pPr>
      <w:r>
        <w:rPr>
          <w:b/>
          <w:highlight w:val="none"/>
        </w:rPr>
        <w:br w:type="page" w:clear="all"/>
      </w:r>
      <w:r>
        <w:rPr>
          <w:b/>
          <w:highlight w:val="none"/>
        </w:rPr>
      </w:r>
      <w:r>
        <w:rPr>
          <w:b/>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line="276" w:lineRule="auto"/>
        <w:ind/>
        <w:jc w:val="center"/>
        <w:rPr>
          <w:i/>
          <w:lang w:val="pt-BR"/>
        </w:rPr>
      </w:pPr>
      <w:r>
        <w:rPr>
          <w:i/>
          <w:lang w:val="pt-BR"/>
        </w:rPr>
        <w:t xml:space="preserve">(Kèm theo </w:t>
      </w:r>
      <w:r>
        <w:rPr>
          <w:rFonts w:ascii="Times New Roman" w:hAnsi="Times New Roman" w:eastAsia="Times New Roman" w:cs="Times New Roman"/>
          <w:i/>
          <w:color w:val="000000"/>
          <w:sz w:val="24"/>
        </w:rPr>
        <w:t xml:space="preserve">Báo cáo thẩm định số 275/2025/1622/VFI-BC.27.A ngày 17 tháng 11 năm 2025 của Công ty Cổ phần Thẩm định và Đầu tư Tài chính Hoa Sen</w:t>
      </w:r>
      <w:r>
        <w:rPr>
          <w:i/>
          <w:lang w:val="pt-BR"/>
        </w:rPr>
        <w:t xml:space="preserve">)</w:t>
      </w:r>
      <w:r>
        <w:rPr>
          <w:i/>
          <w:lang w:val="pt-BR"/>
        </w:rPr>
      </w:r>
      <w:r>
        <w:rPr>
          <w:i/>
          <w:lang w:val="pt-BR"/>
        </w:rPr>
      </w:r>
    </w:p>
    <w:p>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https://www.facebook.com/share/p/1F5rVFwFv4/</w:t>
            </w:r>
            <w:r>
              <w:rPr>
                <w:color w:val="000000" w:themeColor="text1"/>
                <w:sz w:val="22"/>
                <w:szCs w:val="22"/>
              </w:rPr>
              <w:br/>
              <w:t xml:space="preserve">0973100689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 Đất trồng cây lâu năm (21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rFonts w:ascii="Times New Roman" w:hAnsi="Times New Roman" w:eastAsia="Times New Roman" w:cs="Times New Roman"/>
                <w:b w:val="0"/>
                <w:bCs w:val="0"/>
                <w:color w:val="000000"/>
                <w:sz w:val="22"/>
              </w:rPr>
              <w:t xml:space="preserve">Tài sản tiếp giáp với đường Võ Nguyên Giáp, cách bảo tàng chiến thắng Điện Biên Phủ khoảng 1,3km</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203541" cy="207736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5"/>
                              <a:stretch/>
                            </pic:blipFill>
                            <pic:spPr bwMode="auto">
                              <a:xfrm flipH="0" flipV="0">
                                <a:off x="0" y="0"/>
                                <a:ext cx="1203540" cy="2077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94.77pt;height:163.57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104537" cy="18094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880403681" name="" descr=""/>
                              <pic:cNvPicPr/>
                              <pic:nvPr/>
                            </pic:nvPicPr>
                            <pic:blipFill>
                              <a:blip r:embed="rId26"/>
                              <a:stretch/>
                            </pic:blipFill>
                            <pic:spPr bwMode="auto">
                              <a:xfrm flipH="0" flipV="0">
                                <a:off x="0" y="0"/>
                                <a:ext cx="1104536" cy="18094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86.97pt;height:142.48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pPr>
            <w:r>
              <w:rPr>
                <w:color w:val="000000"/>
                <w:sz w:val="22"/>
                <w:szCs w:val="22"/>
              </w:rPr>
            </w:r>
            <w:r>
              <w:rPr>
                <w:color w:val="000000"/>
                <w:sz w:val="22"/>
                <w:szCs w:val="22"/>
              </w:rPr>
              <w:t xml:space="preserve"> </w:t>
            </w:r>
            <w:r>
              <w:rPr>
                <w:color w:val="000000"/>
                <w:sz w:val="22"/>
                <w:szCs w:val="22"/>
              </w:rPr>
            </w:r>
            <w:r/>
          </w:p>
        </w:tc>
      </w:tr>
    </w:tbl>
    <w:p>
      <w:pPr>
        <w:pBdr/>
        <w:spacing w:after="120" w:line="276" w:lineRule="auto"/>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line="276" w:lineRule="auto"/>
              <w:ind/>
              <w:jc w:val="center"/>
              <w:rPr>
                <w:b/>
                <w:bCs/>
              </w:rPr>
            </w:pPr>
            <w:r>
              <w:rPr>
                <w:b/>
                <w:bCs/>
              </w:rPr>
            </w:r>
            <w:r>
              <w:rPr>
                <w:b/>
                <w:bCs/>
              </w:rPr>
            </w:r>
            <w:r>
              <w:rPr>
                <w:b/>
                <w:bCs/>
              </w:rPr>
            </w:r>
          </w:p>
        </w:tc>
        <w:tc>
          <w:tcPr>
            <w:tcBorders/>
            <w:tcW w:w="4676" w:type="dxa"/>
            <w:vAlign w:val="center"/>
            <w:textDirection w:val="lrTb"/>
            <w:noWrap/>
          </w:tcPr>
          <w:p>
            <w:pPr>
              <w:pBdr/>
              <w:spacing w:line="276" w:lineRule="auto"/>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line="276" w:lineRule="auto"/>
              <w:ind/>
              <w:jc w:val="center"/>
              <w:rPr>
                <w:b/>
                <w:bCs/>
              </w:rPr>
            </w:pPr>
            <w:r>
              <w:rPr>
                <w:b/>
                <w:bCs/>
              </w:rPr>
            </w:r>
            <w:r>
              <w:rPr>
                <w:b/>
                <w:bCs/>
              </w:rPr>
            </w:r>
            <w:r>
              <w:rPr>
                <w:b/>
                <w:bCs/>
              </w:rPr>
            </w:r>
          </w:p>
        </w:tc>
        <w:tc>
          <w:tcPr>
            <w:tcBorders/>
            <w:tcW w:w="4676" w:type="dxa"/>
            <w:vAlign w:val="center"/>
            <w:textDirection w:val="lrTb"/>
            <w:noWrap/>
          </w:tcPr>
          <w:p>
            <w:pPr>
              <w:pBdr/>
              <w:spacing w:line="276" w:lineRule="auto"/>
              <w:ind/>
              <w:jc w:val="center"/>
              <w:rPr/>
            </w:pPr>
            <w:r/>
            <w:r/>
          </w:p>
          <w:p>
            <w:pPr>
              <w:pBdr/>
              <w:spacing w:line="276" w:lineRule="auto"/>
              <w:ind/>
              <w:jc w:val="center"/>
              <w:rPr/>
            </w:pPr>
            <w:r/>
            <w:r/>
          </w:p>
          <w:p>
            <w:pPr>
              <w:pBdr/>
              <w:spacing w:line="276" w:lineRule="auto"/>
              <w:ind/>
              <w:jc w:val="center"/>
              <w:rPr/>
            </w:pPr>
            <w:r/>
            <w:r/>
          </w:p>
          <w:p>
            <w:pPr>
              <w:pBdr/>
              <w:spacing w:line="276" w:lineRule="auto"/>
              <w:ind/>
              <w:jc w:val="center"/>
              <w:rPr/>
            </w:pPr>
            <w:r/>
            <w:r/>
          </w:p>
          <w:p>
            <w:pPr>
              <w:pBdr/>
              <w:spacing w:line="276" w:lineRule="auto"/>
              <w:ind/>
              <w:jc w:val="center"/>
              <w:rPr/>
            </w:pPr>
            <w:r>
              <w:t xml:space="preserve">Nguyễn Thị Thùy Dung</w:t>
            </w:r>
            <w:r/>
          </w:p>
          <w:p>
            <w:pPr>
              <w:pBdr/>
              <w:spacing w:line="276" w:lineRule="auto"/>
              <w:ind/>
              <w:jc w:val="center"/>
              <w:rPr/>
            </w:pPr>
            <w:r/>
            <w:r/>
          </w:p>
        </w:tc>
      </w:tr>
    </w:tbl>
    <w:p>
      <w:pPr>
        <w:pBdr/>
        <w:spacing w:line="276" w:lineRule="auto"/>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https://www.facebook.com/share/p/17L9zXNwP2/</w:t>
            </w:r>
            <w:r>
              <w:rPr>
                <w:color w:val="000000" w:themeColor="text1"/>
                <w:sz w:val="22"/>
                <w:szCs w:val="22"/>
              </w:rPr>
              <w:br/>
              <w:t xml:space="preserve">083 2696979</w:t>
            </w:r>
            <w:r>
              <w:rPr>
                <w:sz w:val="22"/>
                <w:szCs w:val="22"/>
              </w:rPr>
              <w:t xml:space="preserve"> </w:t>
            </w:r>
            <w:r>
              <w:rPr>
                <w:sz w:val="22"/>
                <w:szCs w:val="22"/>
              </w:rPr>
              <w:br/>
              <w:t xml:space="preserve">(Anh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3.900.000.000</w:t>
            </w:r>
            <w:r>
              <w:rPr>
                <w:rFonts w:ascii="Times New Roman" w:hAnsi="Times New Roman" w:cs="Times New Roman"/>
                <w:sz w:val="22"/>
                <w:szCs w:val="22"/>
              </w:rPr>
            </w:r>
            <w:r>
              <w:rPr>
                <w:rFonts w:ascii="Times New Roman" w:hAnsi="Times New Roman" w:cs="Times New Roman"/>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sz w:val="22"/>
                <w:szCs w:val="22"/>
              </w:rPr>
              <w:t xml:space="preserve">3.670.000.000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 Đất trồng cây lâu năm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sz w:val="22"/>
                <w:szCs w:val="22"/>
              </w:rPr>
              <w:t xml:space="preserve">Tài sản tiếp giáp với đường Võ Nguyên Giáp, cách bảo tàng chiến thắng Điện Biên Phủ khoảng 500m</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130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 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1860" cy="16011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7"/>
                              <a:stretch/>
                            </pic:blipFill>
                            <pic:spPr bwMode="auto">
                              <a:xfrm flipH="0" flipV="0">
                                <a:off x="0" y="0"/>
                                <a:ext cx="1461859" cy="1601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5.11pt;height:126.0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587515" cy="13661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578741279" name="" descr=""/>
                              <pic:cNvPicPr/>
                              <pic:nvPr/>
                            </pic:nvPicPr>
                            <pic:blipFill>
                              <a:blip r:embed="rId28"/>
                              <a:stretch/>
                            </pic:blipFill>
                            <pic:spPr bwMode="auto">
                              <a:xfrm flipH="0" flipV="0">
                                <a:off x="0" y="0"/>
                                <a:ext cx="1587514" cy="1366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5.00pt;height:107.5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line="276" w:lineRule="auto"/>
              <w:ind/>
              <w:jc w:val="center"/>
              <w:rPr>
                <w:b/>
                <w:bCs/>
              </w:rPr>
            </w:pPr>
            <w:r>
              <w:rPr>
                <w:b/>
                <w:bCs/>
              </w:rPr>
            </w:r>
            <w:r>
              <w:rPr>
                <w:b/>
                <w:bCs/>
              </w:rPr>
            </w:r>
            <w:r>
              <w:rPr>
                <w:b/>
                <w:bCs/>
              </w:rPr>
            </w:r>
          </w:p>
        </w:tc>
        <w:tc>
          <w:tcPr>
            <w:tcBorders/>
            <w:tcW w:w="4701" w:type="dxa"/>
            <w:vAlign w:val="center"/>
            <w:textDirection w:val="lrTb"/>
            <w:noWrap/>
          </w:tcPr>
          <w:p>
            <w:pPr>
              <w:pBdr/>
              <w:spacing w:line="276" w:lineRule="auto"/>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line="276" w:lineRule="auto"/>
              <w:ind/>
              <w:jc w:val="center"/>
              <w:rPr>
                <w:b/>
                <w:bCs/>
              </w:rPr>
            </w:pPr>
            <w:r>
              <w:rPr>
                <w:b/>
                <w:bCs/>
              </w:rPr>
            </w:r>
            <w:r>
              <w:rPr>
                <w:b/>
                <w:bCs/>
              </w:rPr>
            </w:r>
            <w:r>
              <w:rPr>
                <w:b/>
                <w:bCs/>
              </w:rPr>
            </w:r>
          </w:p>
        </w:tc>
        <w:tc>
          <w:tcPr>
            <w:tcBorders/>
            <w:tcW w:w="4701" w:type="dxa"/>
            <w:vAlign w:val="center"/>
            <w:textDirection w:val="lrTb"/>
            <w:noWrap/>
          </w:tcPr>
          <w:p>
            <w:pPr>
              <w:pBdr/>
              <w:spacing w:line="276" w:lineRule="auto"/>
              <w:ind/>
              <w:jc w:val="center"/>
              <w:rPr/>
            </w:pPr>
            <w:r/>
            <w:r/>
          </w:p>
          <w:p>
            <w:pPr>
              <w:pBdr/>
              <w:spacing w:line="276" w:lineRule="auto"/>
              <w:ind/>
              <w:jc w:val="center"/>
              <w:rPr/>
            </w:pPr>
            <w:r/>
            <w:r/>
          </w:p>
          <w:p>
            <w:pPr>
              <w:pBdr/>
              <w:spacing w:line="276" w:lineRule="auto"/>
              <w:ind/>
              <w:jc w:val="center"/>
              <w:rPr/>
            </w:pPr>
            <w:r/>
            <w:r/>
          </w:p>
          <w:p>
            <w:pPr>
              <w:pBdr/>
              <w:spacing w:line="276" w:lineRule="auto"/>
              <w:ind/>
              <w:rPr/>
            </w:pPr>
            <w:r/>
            <w:r/>
          </w:p>
          <w:p>
            <w:pPr>
              <w:pBdr/>
              <w:spacing w:line="276" w:lineRule="auto"/>
              <w:ind/>
              <w:jc w:val="center"/>
              <w:rPr/>
            </w:pPr>
            <w:r/>
            <w:r/>
          </w:p>
          <w:p>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pPr>
              <w:pBdr/>
              <w:spacing w:line="276" w:lineRule="auto"/>
              <w:ind/>
              <w:rPr>
                <w:b/>
                <w:bCs/>
              </w:rPr>
            </w:pPr>
            <w:r>
              <w:rPr>
                <w:b/>
                <w:bCs/>
              </w:rPr>
            </w:r>
            <w:r>
              <w:rPr>
                <w:b/>
                <w:bCs/>
              </w:rPr>
            </w:r>
            <w:r>
              <w:rPr>
                <w:b/>
                <w:bCs/>
              </w:rPr>
            </w:r>
          </w:p>
        </w:tc>
        <w:tc>
          <w:tcPr>
            <w:tcBorders/>
            <w:tcW w:w="4701" w:type="dxa"/>
            <w:vAlign w:val="center"/>
            <w:textDirection w:val="lrTb"/>
            <w:noWrap/>
          </w:tcPr>
          <w:p>
            <w:pPr>
              <w:pBdr/>
              <w:spacing w:line="276" w:lineRule="auto"/>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hd w:val="nil" w:color="auto"/>
        <w:spacing/>
        <w:ind/>
        <w:rPr>
          <w:b/>
          <w:bCs/>
          <w:lang w:val="pt-BR"/>
        </w:rPr>
      </w:pPr>
      <w:r>
        <w:rPr>
          <w:b/>
          <w:bCs/>
          <w:iCs/>
          <w:highlight w:val="none"/>
          <w:lang w:val="pt-BR"/>
        </w:rPr>
        <w:br w:type="page" w:clear="all"/>
      </w:r>
      <w:r>
        <w:rPr>
          <w:b/>
          <w:bCs/>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0915350815</w:t>
            </w:r>
            <w:r>
              <w:rPr>
                <w:sz w:val="22"/>
                <w:szCs w:val="22"/>
              </w:rPr>
              <w:t xml:space="preserve"> </w:t>
            </w:r>
            <w:r>
              <w:rPr>
                <w:sz w:val="22"/>
                <w:szCs w:val="22"/>
              </w:rPr>
              <w:br/>
              <w:t xml:space="preserve">(Anh Chiến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tiếp giáp với đường Võ Nguyên Giáp, cách bảo tàng chiến thắng Điện Biên Phủ khoảng 1,25km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 trên 1m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87615" cy="26301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89906395" name="" descr=""/>
                              <pic:cNvPicPr/>
                              <pic:nvPr/>
                            </pic:nvPicPr>
                            <pic:blipFill>
                              <a:blip r:embed="rId29"/>
                              <a:stretch/>
                            </pic:blipFill>
                            <pic:spPr bwMode="auto">
                              <a:xfrm flipH="0" flipV="0">
                                <a:off x="0" y="0"/>
                                <a:ext cx="2387614" cy="2630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8.00pt;height:207.1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8967" cy="1279271"/>
                      <wp:effectExtent l="0" t="0" r="0" b="0"/>
                      <wp:docPr id="17" name=""/>
                      <wp:cNvGraphicFramePr/>
                      <a:graphic xmlns:a="http://schemas.openxmlformats.org/drawingml/2006/main">
                        <a:graphicData uri="http://schemas.openxmlformats.org/drawingml/2006/picture">
                          <pic:pic xmlns:pic="http://schemas.openxmlformats.org/drawingml/2006/picture">
                            <pic:nvPicPr>
                              <pic:cNvPr id="399203252" name="" descr=""/>
                              <pic:cNvPicPr/>
                              <pic:nvPr/>
                            </pic:nvPicPr>
                            <pic:blipFill>
                              <a:blip r:embed="rId30"/>
                              <a:stretch/>
                            </pic:blipFill>
                            <pic:spPr bwMode="auto">
                              <a:xfrm flipH="0" flipV="0">
                                <a:off x="0" y="0"/>
                                <a:ext cx="2748966" cy="12792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45pt;height:100.73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8257" cy="1279271"/>
                      <wp:effectExtent l="0" t="0" r="0" b="0"/>
                      <wp:docPr id="18" name=""/>
                      <wp:cNvGraphicFramePr/>
                      <a:graphic xmlns:a="http://schemas.openxmlformats.org/drawingml/2006/main">
                        <a:graphicData uri="http://schemas.openxmlformats.org/drawingml/2006/picture">
                          <pic:pic xmlns:pic="http://schemas.openxmlformats.org/drawingml/2006/picture">
                            <pic:nvPicPr>
                              <pic:cNvPr id="6685294" name="" descr=""/>
                              <pic:cNvPicPr/>
                              <pic:nvPr/>
                            </pic:nvPicPr>
                            <pic:blipFill>
                              <a:blip r:embed="rId31"/>
                              <a:stretch/>
                            </pic:blipFill>
                            <pic:spPr bwMode="auto">
                              <a:xfrm flipH="0" flipV="0">
                                <a:off x="0" y="0"/>
                                <a:ext cx="2688257" cy="12792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1.67pt;height:100.7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8967" cy="1303421"/>
                      <wp:effectExtent l="0" t="0" r="0" b="0"/>
                      <wp:docPr id="19" name=""/>
                      <wp:cNvGraphicFramePr/>
                      <a:graphic xmlns:a="http://schemas.openxmlformats.org/drawingml/2006/main">
                        <a:graphicData uri="http://schemas.openxmlformats.org/drawingml/2006/picture">
                          <pic:pic xmlns:pic="http://schemas.openxmlformats.org/drawingml/2006/picture">
                            <pic:nvPicPr>
                              <pic:cNvPr id="777815061" name="" descr=""/>
                              <pic:cNvPicPr/>
                              <pic:nvPr/>
                            </pic:nvPicPr>
                            <pic:blipFill>
                              <a:blip r:embed="rId32"/>
                              <a:stretch/>
                            </pic:blipFill>
                            <pic:spPr bwMode="auto">
                              <a:xfrm flipH="0" flipV="0">
                                <a:off x="0" y="0"/>
                                <a:ext cx="2748966" cy="13034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45pt;height:102.6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8257" cy="1303421"/>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88813521" name="" descr=""/>
                              <pic:cNvPicPr/>
                              <pic:nvPr/>
                            </pic:nvPicPr>
                            <pic:blipFill>
                              <a:blip r:embed="rId33"/>
                              <a:stretch/>
                            </pic:blipFill>
                            <pic:spPr bwMode="auto">
                              <a:xfrm flipH="0" flipV="0">
                                <a:off x="0" y="0"/>
                                <a:ext cx="2688257" cy="13034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1.67pt;height:102.6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8967" cy="1206935"/>
                      <wp:effectExtent l="0" t="0" r="0" b="0"/>
                      <wp:docPr id="21" name=""/>
                      <wp:cNvGraphicFramePr/>
                      <a:graphic xmlns:a="http://schemas.openxmlformats.org/drawingml/2006/main">
                        <a:graphicData uri="http://schemas.openxmlformats.org/drawingml/2006/picture">
                          <pic:pic xmlns:pic="http://schemas.openxmlformats.org/drawingml/2006/picture">
                            <pic:nvPicPr>
                              <pic:cNvPr id="91219480" name="" descr=""/>
                              <pic:cNvPicPr/>
                              <pic:nvPr/>
                            </pic:nvPicPr>
                            <pic:blipFill>
                              <a:blip r:embed="rId34"/>
                              <a:stretch/>
                            </pic:blipFill>
                            <pic:spPr bwMode="auto">
                              <a:xfrm flipH="0" flipV="0">
                                <a:off x="0" y="0"/>
                                <a:ext cx="2748966" cy="1206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45pt;height:95.03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8967" cy="12069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1791535358" name="" descr=""/>
                              <pic:cNvPicPr/>
                              <pic:nvPr/>
                            </pic:nvPicPr>
                            <pic:blipFill>
                              <a:blip r:embed="rId35"/>
                              <a:stretch/>
                            </pic:blipFill>
                            <pic:spPr bwMode="auto">
                              <a:xfrm flipH="0" flipV="0">
                                <a:off x="0" y="0"/>
                                <a:ext cx="2748966" cy="1206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6.45pt;height:95.03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line="276" w:lineRule="auto"/>
              <w:ind/>
              <w:jc w:val="center"/>
              <w:rPr>
                <w:b/>
                <w:bCs/>
              </w:rPr>
            </w:pPr>
            <w:r>
              <w:rPr>
                <w:b/>
                <w:bCs/>
              </w:rPr>
            </w:r>
            <w:r>
              <w:rPr>
                <w:b/>
                <w:bCs/>
              </w:rPr>
            </w:r>
            <w:r>
              <w:rPr>
                <w:b/>
                <w:bCs/>
              </w:rPr>
            </w:r>
          </w:p>
        </w:tc>
        <w:tc>
          <w:tcPr>
            <w:tcBorders/>
            <w:tcW w:w="4776" w:type="dxa"/>
            <w:vAlign w:val="center"/>
            <w:textDirection w:val="lrTb"/>
            <w:noWrap/>
          </w:tcPr>
          <w:p>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line="276" w:lineRule="auto"/>
              <w:ind/>
              <w:jc w:val="center"/>
              <w:rPr>
                <w:b/>
                <w:bCs/>
              </w:rPr>
            </w:pPr>
            <w:r>
              <w:rPr>
                <w:b/>
                <w:bCs/>
              </w:rPr>
            </w:r>
            <w:r>
              <w:rPr>
                <w:b/>
                <w:bCs/>
              </w:rPr>
            </w:r>
            <w:r>
              <w:rPr>
                <w:b/>
                <w:bCs/>
              </w:rPr>
            </w:r>
          </w:p>
        </w:tc>
        <w:tc>
          <w:tcPr>
            <w:tcBorders/>
            <w:tcW w:w="4776" w:type="dxa"/>
            <w:vAlign w:val="center"/>
            <w:textDirection w:val="lrTb"/>
            <w:noWrap/>
          </w:tcPr>
          <w:p>
            <w:pPr>
              <w:pBdr/>
              <w:spacing w:line="276" w:lineRule="auto"/>
              <w:ind/>
              <w:jc w:val="center"/>
              <w:rPr/>
            </w:pPr>
            <w:r/>
            <w:r/>
          </w:p>
          <w:p>
            <w:pPr>
              <w:pBdr/>
              <w:spacing w:line="276" w:lineRule="auto"/>
              <w:ind/>
              <w:jc w:val="center"/>
              <w:rPr/>
            </w:pPr>
            <w:r/>
            <w:r/>
          </w:p>
          <w:p>
            <w:pPr>
              <w:pBdr/>
              <w:spacing w:line="276" w:lineRule="auto"/>
              <w:ind/>
              <w:rPr/>
            </w:pPr>
            <w:r/>
            <w:r/>
          </w:p>
          <w:p>
            <w:pPr>
              <w:pBdr/>
              <w:spacing w:line="276" w:lineRule="auto"/>
              <w:ind/>
              <w:jc w:val="center"/>
              <w:rPr/>
            </w:pPr>
            <w:r/>
            <w:r/>
          </w:p>
          <w:p>
            <w:pPr>
              <w:pBdr/>
              <w:spacing w:line="276" w:lineRule="auto"/>
              <w:ind/>
              <w:jc w:val="center"/>
              <w:rPr/>
            </w:pPr>
            <w:r/>
            <w:r/>
          </w:p>
          <w:p>
            <w:pPr>
              <w:pBdr/>
              <w:spacing w:line="276" w:lineRule="auto"/>
              <w:ind/>
              <w:jc w:val="center"/>
              <w:rPr/>
            </w:pPr>
            <w:r>
              <w:t xml:space="preserve">Nguyễn Thị Thùy Dung</w:t>
            </w:r>
            <w:r/>
          </w:p>
        </w:tc>
      </w:tr>
      <w:tr>
        <w:trPr>
          <w:trHeight w:val="312"/>
        </w:trPr>
        <w:tc>
          <w:tcPr>
            <w:tcBorders/>
            <w:tcW w:w="4427" w:type="dxa"/>
            <w:vAlign w:val="bottom"/>
            <w:textDirection w:val="lrTb"/>
            <w:noWrap w:val="false"/>
          </w:tcPr>
          <w:p>
            <w:pPr>
              <w:pBdr/>
              <w:spacing w:line="276" w:lineRule="auto"/>
              <w:ind/>
              <w:jc w:val="center"/>
              <w:rPr>
                <w:b/>
                <w:bCs/>
              </w:rPr>
            </w:pPr>
            <w:r>
              <w:rPr>
                <w:b/>
                <w:bCs/>
              </w:rPr>
            </w:r>
            <w:r>
              <w:rPr>
                <w:b/>
                <w:bCs/>
              </w:rPr>
            </w:r>
            <w:r>
              <w:rPr>
                <w:b/>
                <w:bCs/>
              </w:rPr>
            </w:r>
          </w:p>
        </w:tc>
        <w:tc>
          <w:tcPr>
            <w:tcBorders/>
            <w:tcW w:w="4776" w:type="dxa"/>
            <w:vAlign w:val="center"/>
            <w:textDirection w:val="lrTb"/>
            <w:noWrap/>
          </w:tcPr>
          <w:p>
            <w:pPr>
              <w:pBdr/>
              <w:spacing w:line="276" w:lineRule="auto"/>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8E9B81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EAFEF7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2439212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4F527A4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gif"/><Relationship Id="rId17" Type="http://schemas.openxmlformats.org/officeDocument/2006/relationships/hyperlink" Target="https://www.facebook.com/share/p/1F5rVFwFv4/" TargetMode="External"/><Relationship Id="rId18" Type="http://schemas.openxmlformats.org/officeDocument/2006/relationships/hyperlink" Target="https://www.facebook.com/share/p/17L9zXNwP2/" TargetMode="External"/><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492</cp:revision>
  <dcterms:created xsi:type="dcterms:W3CDTF">2025-09-15T02:01:00Z</dcterms:created>
  <dcterms:modified xsi:type="dcterms:W3CDTF">2025-12-06T07:54:28Z</dcterms:modified>
</cp:coreProperties>
</file>