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center"/>
        <w:rPr>
          <w:b/>
          <w:sz w:val="28"/>
          <w:lang w:val="vi-VN"/>
        </w:rPr>
      </w:pPr>
      <w:r>
        <w:rPr>
          <w:b/>
          <w:sz w:val="28"/>
          <w:lang w:val="vi-VN"/>
        </w:rPr>
      </w:r>
      <w:r>
        <w:rPr>
          <w:b/>
          <w:sz w:val="28"/>
          <w:lang w:val="vi-VN"/>
        </w:rPr>
      </w:r>
      <w:r>
        <w:rPr>
          <w:b/>
          <w:sz w:val="28"/>
          <w:lang w:val="vi-VN"/>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432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432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275/2025/1716/VFI-CT.27.A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Ngọc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9-1+9-2, tờ bản đồ số: 16 có địa chỉ: Thôn Tân Phú, xã Sơn Đông, thị xã Sơn Tây, thành phố Hà Nội (nay là xã Phương Đoài, thành phố Hà Nội) theo Giấy</w:t>
                            </w:r>
                            <w:r>
                              <w:rPr>
                                <w:color w:val="000000"/>
                              </w:rPr>
                              <w:t xml:space="preserve"> chứng nhận quyền sử dụng đất quyền sở hữu nhà ở và tài sản khác gắn liền với đất số: CP 096813, số vào sổ cấp GCN: CS-ST 11289 do Sở Tài nguyên và Môi trường thành phố Hà Nội cấp ngày 22/07/2019. Chủ sử dụng đất là bà Vũ Ngọc Hà (cập nhật ngày 26/6/2024).</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0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275/2025/1716/VFI-CT.27.A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Vũ Ngọc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9-1+9-2, tờ bản đồ số: 16 có địa chỉ: Thôn Tân Phú, xã Sơn Đông, thị xã Sơn Tây, thành phố Hà Nội (nay là xã Phương Đoài, thành phố Hà Nội) theo Giấy</w:t>
                      </w:r>
                      <w:r>
                        <w:rPr>
                          <w:color w:val="000000"/>
                        </w:rPr>
                        <w:t xml:space="preserve"> chứng nhận quyền sử dụng đất quyền sở hữu nhà ở và tài sản khác gắn liền với đất số: CP 096813, số vào sổ cấp GCN: CS-ST 11289 do Sở Tài nguyên và Môi trường thành phố Hà Nội cấp ngày 22/07/2019. Chủ sử dụng đất là bà Vũ Ngọc Hà (cập nhật ngày 26/6/2024).</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line="276" w:lineRule="auto"/>
        <w:ind w:right="-1"/>
        <w:jc w:val="center"/>
        <w:rPr>
          <w:sz w:val="28"/>
        </w:rPr>
      </w:pPr>
      <w:r>
        <w:rPr>
          <w:b/>
          <w:sz w:val="28"/>
        </w:rPr>
        <w:t xml:space="preserve">MỤC LỤC</w:t>
      </w:r>
      <w:r>
        <w:rPr>
          <w:sz w:val="28"/>
        </w:rPr>
      </w:r>
      <w:r>
        <w:rPr>
          <w:sz w:val="28"/>
        </w:rPr>
      </w:r>
    </w:p>
    <w:p>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76"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76"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19-22</w:t>
            </w:r>
            <w:r>
              <w:rPr>
                <w:b/>
                <w:bCs/>
              </w:rPr>
            </w:r>
            <w:r>
              <w:rPr>
                <w:b/>
                <w:bCs/>
              </w:rPr>
            </w:r>
          </w:p>
        </w:tc>
      </w:tr>
    </w:tbl>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8"/>
              <w:pBdr/>
              <w:spacing w:after="60" w:before="200" w:line="276" w:lineRule="auto"/>
              <w:ind/>
              <w:rPr>
                <w:rStyle w:val="1027"/>
                <w:rFonts w:ascii="Times New Roman" w:hAnsi="Times New Roman"/>
                <w:color w:val="auto"/>
                <w:lang w:val="pt-BR"/>
              </w:rPr>
            </w:pPr>
            <w:r>
              <w:rPr>
                <w:rFonts w:ascii="Times New Roman" w:hAnsi="Times New Roman"/>
                <w:color w:val="auto"/>
                <w:lang w:val="pt-BR"/>
              </w:rPr>
            </w:r>
            <w:r>
              <w:rPr>
                <w:rStyle w:val="1027"/>
                <w:rFonts w:ascii="Times New Roman" w:hAnsi="Times New Roman"/>
                <w:color w:val="auto"/>
                <w:lang w:val="pt-BR"/>
              </w:rPr>
            </w:r>
            <w:r>
              <w:rPr>
                <w:rStyle w:val="1027"/>
                <w:rFonts w:ascii="Times New Roman" w:hAnsi="Times New Roman"/>
                <w:color w:val="auto"/>
                <w:lang w:val="pt-BR"/>
              </w:rPr>
            </w:r>
          </w:p>
          <w:p>
            <w:pPr>
              <w:pStyle w:val="1028"/>
              <w:pBdr/>
              <w:spacing w:after="60" w:before="200" w:line="276" w:lineRule="auto"/>
              <w:ind/>
              <w:rPr>
                <w:sz w:val="24"/>
                <w:szCs w:val="24"/>
              </w:rPr>
            </w:pPr>
            <w:r>
              <w:rPr>
                <w:rStyle w:val="1027"/>
                <w:rFonts w:ascii="Times New Roman" w:hAnsi="Times New Roman"/>
                <w:color w:val="auto"/>
                <w:lang w:val="pt-BR"/>
              </w:rPr>
              <w:t xml:space="preserve">Số:</w:t>
            </w:r>
            <w:r>
              <w:rPr>
                <w:rStyle w:val="1027"/>
                <w:rFonts w:ascii="Times New Roman" w:hAnsi="Times New Roman"/>
                <w:color w:val="auto"/>
                <w:lang w:val="pt-BR"/>
              </w:rPr>
              <w:t xml:space="preserve"> </w:t>
            </w:r>
            <w:r>
              <w:rPr>
                <w:rStyle w:val="1027"/>
                <w:rFonts w:ascii="Times New Roman" w:hAnsi="Times New Roman"/>
                <w:color w:val="000000" w:themeColor="text1"/>
                <w:lang w:val="pt-BR"/>
              </w:rPr>
              <w:t xml:space="preserve">275/2025/1716/VFI-CT.27.A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8"/>
              <w:pBdr/>
              <w:spacing w:after="60" w:before="200" w:line="276" w:lineRule="auto"/>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p>
            <w:pPr>
              <w:pStyle w:val="1028"/>
              <w:pBdr/>
              <w:spacing w:after="60" w:before="200" w:line="276" w:lineRule="auto"/>
              <w:ind w:right="-56"/>
              <w:jc w:val="right"/>
              <w:rPr>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03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sz w:val="24"/>
                <w:szCs w:val="24"/>
                <w:lang w:val="vi-VN"/>
              </w:rPr>
            </w:r>
            <w:r>
              <w:rPr>
                <w:sz w:val="24"/>
                <w:szCs w:val="24"/>
                <w:lang w:val="vi-VN"/>
              </w:rPr>
            </w:r>
          </w:p>
        </w:tc>
      </w:tr>
    </w:tbl>
    <w:p>
      <w:pPr>
        <w:pStyle w:val="1028"/>
        <w:pBdr/>
        <w:spacing w:after="120" w:before="200" w:line="276" w:lineRule="auto"/>
        <w:ind/>
        <w:jc w:val="center"/>
        <w:rPr>
          <w:rStyle w:val="1027"/>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VŨ NGỌC HÀ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275/2025/1716/VFI-HĐTĐ.27.A</w:t>
      </w:r>
      <w:r>
        <w:rPr>
          <w:spacing w:val="-4"/>
          <w:lang w:val="vi-VN"/>
        </w:rPr>
        <w:t xml:space="preserve"> ký ngày </w:t>
      </w:r>
      <w:r>
        <w:rPr>
          <w:color w:val="000000" w:themeColor="text1"/>
          <w:spacing w:val="-4"/>
        </w:rPr>
        <w:t xml:space="preserve">29 tháng 11 năm 2025</w:t>
      </w:r>
      <w:r>
        <w:rPr>
          <w:spacing w:val="-4"/>
          <w:lang w:val="vi-VN"/>
        </w:rPr>
        <w:t xml:space="preserve"> </w:t>
      </w:r>
      <w:r>
        <w:rPr>
          <w:spacing w:val="-4"/>
          <w:lang w:val="vi-VN"/>
        </w:rPr>
        <w:t xml:space="preserve">giữa </w:t>
      </w:r>
      <w:r>
        <w:rPr>
          <w:color w:val="000000" w:themeColor="text1"/>
          <w:spacing w:val="-4"/>
        </w:rPr>
        <w:t xml:space="preserve">bà Vũ Ngọc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7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275/2025/1716/VFI-BC.27.A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03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z w:val="24"/>
              </w:rPr>
              <w:t xml:space="preserve">BÀ VŨ NGỌC HÀ</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1985</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022185000004</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Số 1A hẻm 107/1/51 Nguyễn Chí Thanh, phường</w:t>
            </w:r>
            <w:r>
              <w:rPr>
                <w:rFonts w:ascii="Times New Roman" w:hAnsi="Times New Roman" w:eastAsia="Times New Roman" w:cs="Times New Roman"/>
                <w:color w:val="0066cc"/>
                <w:sz w:val="24"/>
              </w:rPr>
              <w:t xml:space="preserve"> Láng Hạ, quận Đống Đa,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275/TĐG của Bộ Tài chính,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Đăng ký lần đầu ngày 22 tháng 1 năm 2018</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Cấp lại lần thứ 6, ngày 27 tháng 5 năm 2025.</w:t>
            </w: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9-1+9-2, tờ bản đồ số: 16 có địa chỉ: Thôn Tân Phú, xã Sơn Đông, thị xã Sơn Tây, thành phố Hà Nội (nay là xã Phương Đoài, thành phố Hà Nội) theo Giấy</w:t>
      </w:r>
      <w:r>
        <w:rPr>
          <w:color w:val="000000" w:themeColor="text1"/>
        </w:rPr>
        <w:t xml:space="preserve"> chứng nhận quyền sử dụng đất quyền sở hữu nhà ở và tài sản khác gắn liền với đất số: CP 096813, số vào sổ cấp GCN: CS-ST 11289 do Sở Tài nguyên và Môi trường thành phố Hà Nội cấp ngày 22/07/2019. Chủ sử dụng đất là bà Vũ Ngọc Hà (cập nhật ngày 26/6/2024).</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3"/>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3793"/>
        <w:gridCol w:w="1220"/>
        <w:gridCol w:w="1760"/>
        <w:gridCol w:w="212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9-1+9-2, tờ bản đồ số: 16 có địa chỉ: Thôn Tân Phú, xã Sơn Đông, thị xã Sơn Tây, thành phố Hà Nội (nay là xã Phương Đoài, thành phố Hà Nội)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CP 096813, số vào sổ cấp GCN: CS-ST 11289 do Sở Tài nguyên và Môi trường thành phố Hà Nội cấp ngày 22/07/2019. Chủ sử dụng đất là bà Vũ Ngọc Hà (cập nhật ngày 26/6/2024)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181,0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40.000.000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7.240.800.000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18,98</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22.770.000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432.174.600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trồng cây lâu năm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158.000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1.580.000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1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7.674.554.600 </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1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7.675.000.000 </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Bảy tỷ sáu trăm bảy mươi lăm triệu đồng chẵn ./.)</w:t>
            </w: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8"/>
              <w:pBdr/>
              <w:tabs>
                <w:tab w:val="left" w:leader="none" w:pos="5103"/>
              </w:tabs>
              <w:spacing w:before="100" w:line="276" w:lineRule="auto"/>
              <w:ind/>
              <w:jc w:val="left"/>
              <w:rPr>
                <w:sz w:val="24"/>
                <w:szCs w:val="24"/>
              </w:rPr>
            </w:pPr>
            <w:r>
              <w:rPr>
                <w:sz w:val="24"/>
                <w:szCs w:val="24"/>
              </w:rPr>
            </w:r>
            <w:r>
              <w:rPr>
                <w:sz w:val="24"/>
                <w:szCs w:val="24"/>
              </w:rPr>
            </w:r>
            <w:r>
              <w:rPr>
                <w:sz w:val="24"/>
                <w:szCs w:val="24"/>
              </w:rPr>
            </w:r>
          </w:p>
          <w:p>
            <w:pPr>
              <w:pStyle w:val="1028"/>
              <w:pBdr/>
              <w:tabs>
                <w:tab w:val="left" w:leader="none" w:pos="5103"/>
              </w:tabs>
              <w:spacing w:before="100" w:line="276"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275/2025/1716/VFI-BC.27.A</w:t>
            </w:r>
            <w:r>
              <w:rPr>
                <w:sz w:val="24"/>
                <w:szCs w:val="24"/>
              </w:rPr>
            </w:r>
            <w:r>
              <w:rPr>
                <w:sz w:val="24"/>
                <w:szCs w:val="24"/>
              </w:rPr>
            </w:r>
          </w:p>
        </w:tc>
        <w:tc>
          <w:tcPr>
            <w:tcBorders/>
            <w:tcW w:w="4781" w:type="dxa"/>
            <w:textDirection w:val="lrTb"/>
            <w:noWrap w:val="false"/>
          </w:tcPr>
          <w:p>
            <w:pPr>
              <w:pStyle w:val="1028"/>
              <w:pBdr/>
              <w:tabs>
                <w:tab w:val="left" w:leader="none" w:pos="5103"/>
              </w:tabs>
              <w:spacing w:before="100" w:line="276" w:lineRule="auto"/>
              <w:ind/>
              <w:jc w:val="right"/>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p>
            <w:pPr>
              <w:pStyle w:val="1028"/>
              <w:pBdr/>
              <w:tabs>
                <w:tab w:val="left" w:leader="none" w:pos="5103"/>
              </w:tabs>
              <w:spacing w:before="100" w:line="276" w:lineRule="auto"/>
              <w:ind/>
              <w:jc w:val="right"/>
              <w:rPr>
                <w:i/>
                <w:iCs/>
                <w:sz w:val="24"/>
                <w:szCs w:val="24"/>
              </w:rPr>
            </w:pPr>
            <w:r>
              <w:rPr>
                <w:rStyle w:val="1027"/>
                <w:rFonts w:ascii="Times New Roman" w:hAnsi="Times New Roman"/>
                <w:i/>
                <w:color w:val="auto"/>
              </w:rPr>
              <w:t xml:space="preserve">TP</w:t>
            </w:r>
            <w:r>
              <w:rPr>
                <w:rStyle w:val="1027"/>
                <w:rFonts w:ascii="Times New Roman" w:hAnsi="Times New Roman"/>
                <w:color w:val="auto"/>
              </w:rPr>
              <w:t xml:space="preserve">.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i/>
                <w:iCs/>
                <w:color w:val="000000" w:themeColor="text1"/>
                <w:sz w:val="24"/>
                <w:szCs w:val="24"/>
                <w:lang w:val="pt-BR"/>
              </w:rPr>
              <w:t xml:space="preserve">ngày 3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i/>
                <w:iCs/>
                <w:sz w:val="24"/>
                <w:szCs w:val="24"/>
              </w:rPr>
            </w:r>
            <w:r>
              <w:rPr>
                <w:i/>
                <w:iCs/>
                <w:sz w:val="24"/>
                <w:szCs w:val="24"/>
              </w:rPr>
            </w:r>
          </w:p>
        </w:tc>
      </w:tr>
    </w:tbl>
    <w:p>
      <w:pPr>
        <w:pStyle w:val="1028"/>
        <w:pBdr/>
        <w:tabs>
          <w:tab w:val="left" w:leader="none" w:pos="5103"/>
        </w:tabs>
        <w:spacing w:before="200" w:line="276" w:lineRule="auto"/>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275/2025/1716/VFI-CT.27.A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color w:val="auto"/>
              </w:rPr>
            </w:pPr>
            <w:r>
              <w:rPr>
                <w:color w:val="auto"/>
              </w:rPr>
              <w:t xml:space="preserve">GCN</w:t>
            </w:r>
            <w:r>
              <w:rPr>
                <w:color w:val="auto"/>
              </w:rPr>
              <w:t xml:space="preserve"> đủ điều kiện hành nghề</w:t>
            </w:r>
            <w:r>
              <w:rPr>
                <w:color w:val="auto"/>
              </w:rPr>
            </w:r>
            <w:r>
              <w:rPr>
                <w:color w:val="auto"/>
              </w:rPr>
            </w:r>
          </w:p>
        </w:tc>
        <w:tc>
          <w:tcPr>
            <w:tcBorders/>
            <w:tcW w:w="289" w:type="dxa"/>
            <w:vAlign w:val="center"/>
            <w:textDirection w:val="lrTb"/>
            <w:noWrap w:val="false"/>
          </w:tcPr>
          <w:p>
            <w:pPr>
              <w:pBdr/>
              <w:spacing w:after="60" w:before="60" w:line="276" w:lineRule="auto"/>
              <w:ind/>
              <w:rPr>
                <w:bCs/>
                <w:color w:val="auto"/>
              </w:rPr>
            </w:pPr>
            <w:r>
              <w:rPr>
                <w:bCs/>
                <w:color w:val="auto"/>
                <w:lang w:val="pt-BR"/>
              </w:rPr>
              <w:t xml:space="preserve">:</w:t>
            </w:r>
            <w:r>
              <w:rPr>
                <w:bCs/>
                <w:color w:val="auto"/>
                <w:lang w:val="pt-BR"/>
              </w:rPr>
            </w:r>
            <w:r>
              <w:rPr>
                <w:bCs/>
                <w:color w:val="auto"/>
              </w:rP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275/TĐG của Bộ Tài chính,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Đăng ký lần đầu ngày 22 tháng 1 năm 2018</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i/>
                <w:color w:val="000000"/>
                <w:sz w:val="24"/>
              </w:rPr>
              <w:t xml:space="preserve">Cấp lại lần thứ 6, ngày 27 tháng 5 năm 2025.</w:t>
            </w:r>
            <w:r/>
          </w:p>
        </w:tc>
      </w:tr>
      <w:tr>
        <w:trPr>
          <w:trHeight w:val="20"/>
        </w:trPr>
        <w:tc>
          <w:tcPr>
            <w:tcBorders/>
            <w:tcW w:w="2552" w:type="dxa"/>
            <w:vAlign w:val="center"/>
            <w:textDirection w:val="lrTb"/>
            <w:noWrap w:val="false"/>
          </w:tcPr>
          <w:p>
            <w:pPr>
              <w:pBdr/>
              <w:spacing w:after="60" w:before="60" w:line="276" w:lineRule="auto"/>
              <w:ind/>
              <w:rPr>
                <w:bCs/>
                <w:color w:val="auto"/>
              </w:rPr>
            </w:pPr>
            <w:r>
              <w:rPr>
                <w:bCs/>
                <w:color w:val="auto"/>
              </w:rPr>
              <w:t xml:space="preserve">Tài khoản số</w:t>
            </w:r>
            <w:r>
              <w:rPr>
                <w:bCs/>
                <w:color w:val="auto"/>
              </w:rPr>
            </w:r>
            <w:r>
              <w:rPr>
                <w:bCs/>
                <w:color w:val="auto"/>
              </w:rPr>
            </w:r>
          </w:p>
        </w:tc>
        <w:tc>
          <w:tcPr>
            <w:tcBorders/>
            <w:tcW w:w="289" w:type="dxa"/>
            <w:vAlign w:val="center"/>
            <w:textDirection w:val="lrTb"/>
            <w:noWrap w:val="false"/>
          </w:tcPr>
          <w:p>
            <w:pPr>
              <w:pBdr/>
              <w:spacing w:after="60" w:before="60" w:line="276" w:lineRule="auto"/>
              <w:ind/>
              <w:rPr>
                <w:bCs/>
                <w:color w:val="auto"/>
              </w:rPr>
            </w:pPr>
            <w:r>
              <w:rPr>
                <w:bCs/>
                <w:color w:val="auto"/>
              </w:rPr>
              <w:t xml:space="preserve">:</w:t>
            </w:r>
            <w:r>
              <w:rPr>
                <w:bCs/>
                <w:color w:val="auto"/>
              </w:rPr>
            </w:r>
            <w:r>
              <w:rPr>
                <w:bCs/>
                <w:color w:val="auto"/>
              </w:rPr>
            </w:r>
          </w:p>
        </w:tc>
        <w:tc>
          <w:tcPr>
            <w:tcBorders/>
            <w:tcW w:w="6940" w:type="dxa"/>
            <w:vAlign w:val="center"/>
            <w:textDirection w:val="lrTb"/>
            <w:noWrap w:val="false"/>
          </w:tcPr>
          <w:p>
            <w:pPr>
              <w:pBdr/>
              <w:spacing w:after="60" w:before="60" w:line="276" w:lineRule="auto"/>
              <w:ind/>
              <w:rPr>
                <w:color w:val="auto"/>
                <w:spacing w:val="-4"/>
              </w:rPr>
            </w:pPr>
            <w:r>
              <w:rPr>
                <w:color w:val="auto"/>
                <w:spacing w:val="-4"/>
              </w:rPr>
              <w:t xml:space="preserve">1505112366666 tại Agribank Chi nhánh Hà Nội II</w:t>
            </w:r>
            <w:r>
              <w:rPr>
                <w:color w:val="auto"/>
                <w:spacing w:val="-4"/>
              </w:rPr>
            </w:r>
            <w:r>
              <w:rPr>
                <w:color w:val="auto"/>
                <w:spacing w:val="-4"/>
              </w:rPr>
            </w:r>
          </w:p>
        </w:tc>
      </w:tr>
      <w:tr>
        <w:trPr>
          <w:trHeight w:val="20"/>
        </w:trPr>
        <w:tc>
          <w:tcPr>
            <w:tcBorders/>
            <w:tcW w:w="2552" w:type="dxa"/>
            <w:vAlign w:val="center"/>
            <w:textDirection w:val="lrTb"/>
            <w:noWrap w:val="false"/>
          </w:tcPr>
          <w:p>
            <w:pPr>
              <w:pBdr/>
              <w:spacing w:after="60" w:before="60" w:line="276" w:lineRule="auto"/>
              <w:ind/>
              <w:rPr>
                <w:bCs/>
                <w:color w:val="auto"/>
              </w:rPr>
            </w:pPr>
            <w:r>
              <w:rPr>
                <w:bCs/>
                <w:color w:val="auto"/>
              </w:rPr>
              <w:t xml:space="preserve">Đại diện</w:t>
            </w:r>
            <w:r>
              <w:rPr>
                <w:bCs/>
                <w:color w:val="auto"/>
              </w:rPr>
            </w:r>
            <w:r>
              <w:rPr>
                <w:bCs/>
                <w:color w:val="auto"/>
              </w:rPr>
            </w:r>
          </w:p>
        </w:tc>
        <w:tc>
          <w:tcPr>
            <w:tcBorders/>
            <w:tcW w:w="289" w:type="dxa"/>
            <w:vAlign w:val="center"/>
            <w:textDirection w:val="lrTb"/>
            <w:noWrap w:val="false"/>
          </w:tcPr>
          <w:p>
            <w:pPr>
              <w:pBdr/>
              <w:spacing w:after="60" w:before="60" w:line="276" w:lineRule="auto"/>
              <w:ind/>
              <w:rPr>
                <w:bCs/>
                <w:color w:val="auto"/>
              </w:rPr>
            </w:pPr>
            <w:r>
              <w:rPr>
                <w:bCs/>
                <w:color w:val="auto"/>
              </w:rPr>
              <w:t xml:space="preserve">:</w:t>
            </w:r>
            <w:r>
              <w:rPr>
                <w:bCs/>
                <w:color w:val="auto"/>
              </w:rPr>
            </w:r>
            <w:r>
              <w:rPr>
                <w:bCs/>
                <w:color w:val="auto"/>
              </w:rPr>
            </w:r>
          </w:p>
        </w:tc>
        <w:tc>
          <w:tcPr>
            <w:tcBorders/>
            <w:tcW w:w="6940" w:type="dxa"/>
            <w:vAlign w:val="center"/>
            <w:textDirection w:val="lrTb"/>
            <w:noWrap w:val="false"/>
          </w:tcPr>
          <w:p>
            <w:pPr>
              <w:pBdr/>
              <w:spacing w:after="60" w:before="60" w:line="276" w:lineRule="auto"/>
              <w:ind/>
              <w:rPr>
                <w:b/>
                <w:bCs/>
                <w:color w:val="auto"/>
              </w:rPr>
            </w:pPr>
            <w:r>
              <w:rPr>
                <w:b/>
                <w:bCs/>
                <w:color w:val="auto"/>
                <w:lang w:val="vi-VN"/>
              </w:rPr>
              <w:t xml:space="preserve">Ông</w:t>
            </w:r>
            <w:r>
              <w:rPr>
                <w:b/>
                <w:bCs/>
                <w:color w:val="auto"/>
              </w:rPr>
              <w:t xml:space="preserve"> Vũ Văn Quân </w:t>
            </w:r>
            <w:r>
              <w:rPr>
                <w:b/>
                <w:bCs/>
                <w:color w:val="auto"/>
                <w:lang w:val="vi-VN"/>
              </w:rPr>
              <w:tab/>
              <w:t xml:space="preserve">Chức vụ: </w:t>
            </w:r>
            <w:r>
              <w:rPr>
                <w:b/>
                <w:bCs/>
                <w:color w:val="auto"/>
              </w:rPr>
              <w:t xml:space="preserve">Chủ Tịch HĐQT</w:t>
            </w:r>
            <w:r>
              <w:rPr>
                <w:b/>
                <w:bCs/>
                <w:color w:val="auto"/>
                <w:lang w:val="vi-VN"/>
              </w:rPr>
            </w:r>
            <w:r>
              <w:rPr>
                <w:b/>
                <w:bCs/>
                <w:color w:val="auto"/>
              </w:rPr>
            </w:r>
          </w:p>
        </w:tc>
      </w:tr>
    </w:tbl>
    <w:p>
      <w:pPr>
        <w:pStyle w:val="1029"/>
        <w:pBdr/>
        <w:tabs>
          <w:tab w:val="left" w:leader="none" w:pos="284"/>
        </w:tabs>
        <w:spacing w:after="120" w:line="276" w:lineRule="auto"/>
        <w:ind w:left="0"/>
        <w:jc w:val="both"/>
        <w:rPr>
          <w:b/>
          <w:bCs/>
          <w:color w:val="auto"/>
        </w:rPr>
      </w:pPr>
      <w:r>
        <w:rPr>
          <w:b/>
          <w:bCs/>
          <w:color w:val="auto"/>
          <w:lang w:val="pt-BR"/>
        </w:rPr>
        <w:t xml:space="preserve">II. </w:t>
      </w:r>
      <w:r>
        <w:rPr>
          <w:b/>
          <w:bCs/>
          <w:color w:val="auto"/>
          <w:lang w:val="pt-BR"/>
        </w:rPr>
        <w:t xml:space="preserve">T</w:t>
      </w:r>
      <w:r>
        <w:rPr>
          <w:b/>
          <w:bCs/>
          <w:color w:val="auto"/>
          <w:lang w:val="pt-BR"/>
        </w:rPr>
        <w:t xml:space="preserve">HÔNG TIN CƠ BẢN VỀ CUỘC THẨM ĐỊNH GIÁ</w:t>
      </w:r>
      <w:r>
        <w:rPr>
          <w:b/>
          <w:bCs/>
          <w:color w:val="auto"/>
          <w:lang w:val="pt-BR"/>
        </w:rPr>
      </w:r>
      <w:r>
        <w:rPr>
          <w:b/>
          <w:bCs/>
          <w:color w:val="auto"/>
        </w:rPr>
      </w:r>
    </w:p>
    <w:p>
      <w:pPr>
        <w:pBdr/>
        <w:tabs>
          <w:tab w:val="left" w:leader="none" w:pos="284"/>
        </w:tabs>
        <w:spacing w:after="120" w:before="120" w:line="276" w:lineRule="auto"/>
        <w:ind/>
        <w:jc w:val="both"/>
        <w:rPr>
          <w:b/>
          <w:bCs/>
          <w:color w:val="auto"/>
        </w:rPr>
      </w:pPr>
      <w:r>
        <w:rPr>
          <w:b/>
          <w:bCs/>
          <w:color w:val="auto"/>
          <w:lang w:val="pt-BR"/>
        </w:rPr>
        <w:t xml:space="preserve">1</w:t>
      </w:r>
      <w:r>
        <w:rPr>
          <w:b/>
          <w:bCs/>
          <w:color w:val="auto"/>
          <w:lang w:val="pt-BR"/>
        </w:rPr>
        <w:t xml:space="preserve">. Thông tin cơ bản về cuộc thẩm định giá:</w:t>
      </w:r>
      <w:r>
        <w:rPr>
          <w:b/>
          <w:bCs/>
          <w:color w:val="auto"/>
          <w:lang w:val="pt-BR"/>
        </w:rPr>
      </w:r>
      <w:r>
        <w:rPr>
          <w:b/>
          <w:bCs/>
          <w:color w:val="auto"/>
        </w:rPr>
      </w:r>
    </w:p>
    <w:tbl>
      <w:tblPr>
        <w:tblW w:w="9747" w:type="dxa"/>
        <w:tblBorders/>
        <w:tblLook w:val="04A0" w:firstRow="1" w:lastRow="0" w:firstColumn="1" w:lastColumn="0" w:noHBand="0" w:noVBand="1"/>
      </w:tblPr>
      <w:tblGrid>
        <w:gridCol w:w="2518"/>
        <w:gridCol w:w="284"/>
        <w:gridCol w:w="6945"/>
      </w:tblGrid>
      <w:tr>
        <w:trPr>
          <w:trHeight w:val="465"/>
        </w:trPr>
        <w:tc>
          <w:tcPr>
            <w:tcBorders/>
            <w:tcW w:w="2518" w:type="dxa"/>
            <w:vAlign w:val="center"/>
            <w:textDirection w:val="lrTb"/>
            <w:noWrap w:val="false"/>
          </w:tcPr>
          <w:p>
            <w:pPr>
              <w:pBdr/>
              <w:spacing w:after="60" w:before="60" w:line="276" w:lineRule="auto"/>
              <w:ind/>
              <w:rPr>
                <w:bCs/>
                <w:color w:val="auto"/>
              </w:rPr>
            </w:pPr>
            <w:r>
              <w:rPr>
                <w:bCs/>
                <w:color w:val="auto"/>
                <w:lang w:val="pt-BR"/>
              </w:rPr>
              <w:t xml:space="preserve">Tên khách hàng</w:t>
            </w:r>
            <w:r>
              <w:rPr>
                <w:bCs/>
                <w:color w:val="auto"/>
                <w:lang w:val="pt-BR"/>
              </w:rPr>
            </w:r>
            <w:r>
              <w:rPr>
                <w:bCs/>
                <w:color w:val="auto"/>
              </w:rPr>
            </w:r>
          </w:p>
        </w:tc>
        <w:tc>
          <w:tcPr>
            <w:tcBorders/>
            <w:tcW w:w="284" w:type="dxa"/>
            <w:vAlign w:val="center"/>
            <w:textDirection w:val="lrTb"/>
            <w:noWrap w:val="false"/>
          </w:tcPr>
          <w:p>
            <w:pPr>
              <w:pStyle w:val="1029"/>
              <w:pBdr/>
              <w:spacing w:after="60" w:before="60" w:line="276" w:lineRule="auto"/>
              <w:ind w:left="0"/>
              <w:rPr>
                <w:bCs/>
                <w:color w:val="auto"/>
              </w:rPr>
            </w:pPr>
            <w:r>
              <w:rPr>
                <w:bCs/>
                <w:color w:val="auto"/>
                <w:lang w:val="pt-BR"/>
              </w:rPr>
              <w:t xml:space="preserve">:</w:t>
            </w:r>
            <w:r>
              <w:rPr>
                <w:bCs/>
                <w:color w:val="auto"/>
                <w:lang w:val="pt-BR"/>
              </w:rPr>
            </w:r>
            <w:r>
              <w:rPr>
                <w:bCs/>
                <w:color w:val="auto"/>
              </w:rPr>
            </w:r>
          </w:p>
        </w:tc>
        <w:tc>
          <w:tcPr>
            <w:tcBorders/>
            <w:tcW w:w="6945" w:type="dxa"/>
            <w:vAlign w:val="center"/>
            <w:textDirection w:val="lrTb"/>
            <w:noWrap w:val="false"/>
          </w:tcPr>
          <w:p>
            <w:pPr>
              <w:pBdr/>
              <w:tabs>
                <w:tab w:val="left" w:leader="none" w:pos="1261"/>
              </w:tabs>
              <w:spacing w:line="276" w:lineRule="auto"/>
              <w:ind/>
              <w:rPr>
                <w:color w:val="auto"/>
              </w:rPr>
            </w:pPr>
            <w:r>
              <w:rPr>
                <w:color w:val="auto"/>
              </w:rPr>
            </w:r>
            <w:r>
              <w:rPr>
                <w:rFonts w:ascii="Times New Roman" w:hAnsi="Times New Roman" w:eastAsia="Times New Roman" w:cs="Times New Roman"/>
                <w:b/>
                <w:color w:val="auto"/>
                <w:sz w:val="24"/>
              </w:rPr>
              <w:t xml:space="preserve">BÀ VŨ NGỌC HÀ</w:t>
            </w:r>
            <w:r>
              <w:rPr>
                <w:color w:val="auto"/>
              </w:rPr>
            </w:r>
            <w:r>
              <w:rPr>
                <w:color w:val="auto"/>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Sinh năm</w:t>
            </w:r>
            <w:r>
              <w:rPr>
                <w:color w:val="auto"/>
              </w:rPr>
            </w:r>
            <w:r>
              <w:rPr>
                <w:color w:val="auto"/>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w:t>
            </w:r>
            <w:r>
              <w:rPr>
                <w:color w:val="auto"/>
              </w:rPr>
            </w:r>
            <w:r>
              <w:rPr>
                <w:color w:val="auto"/>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1985</w:t>
            </w:r>
            <w:r>
              <w:rPr>
                <w:color w:val="auto"/>
              </w:rPr>
            </w:r>
            <w:r>
              <w:rPr>
                <w:color w:val="auto"/>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CMND số</w:t>
            </w:r>
            <w:r>
              <w:rPr>
                <w:rFonts w:ascii="Times New Roman" w:hAnsi="Times New Roman" w:eastAsia="Times New Roman" w:cs="Times New Roman"/>
                <w:color w:val="auto"/>
                <w:sz w:val="24"/>
              </w:rPr>
              <w:t xml:space="preserve"> </w:t>
            </w:r>
            <w:r>
              <w:rPr>
                <w:color w:val="auto"/>
              </w:rPr>
            </w:r>
            <w:r>
              <w:rPr>
                <w:color w:val="auto"/>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w:t>
            </w:r>
            <w:r>
              <w:rPr>
                <w:color w:val="auto"/>
              </w:rPr>
            </w:r>
            <w:r>
              <w:rPr>
                <w:color w:val="auto"/>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022185000004</w:t>
            </w:r>
            <w:r>
              <w:rPr>
                <w:color w:val="auto"/>
              </w:rPr>
            </w:r>
            <w:r>
              <w:rPr>
                <w:color w:val="auto"/>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pacing w:val="-6"/>
                <w:sz w:val="24"/>
              </w:rPr>
              <w:t xml:space="preserve">Địa chỉ</w:t>
            </w:r>
            <w:r>
              <w:rPr>
                <w:rFonts w:ascii="Times New Roman" w:hAnsi="Times New Roman" w:eastAsia="Times New Roman" w:cs="Times New Roman"/>
                <w:color w:val="auto"/>
                <w:sz w:val="24"/>
              </w:rPr>
              <w:t xml:space="preserve"> thường trú</w:t>
            </w:r>
            <w:r>
              <w:rPr>
                <w:color w:val="auto"/>
              </w:rPr>
            </w:r>
            <w:r>
              <w:rPr>
                <w:color w:val="auto"/>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w:t>
            </w:r>
            <w:r>
              <w:rPr>
                <w:color w:val="auto"/>
              </w:rPr>
            </w:r>
            <w:r>
              <w:rPr>
                <w:color w:val="auto"/>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color w:val="auto"/>
              </w:rPr>
            </w:pPr>
            <w:r>
              <w:rPr>
                <w:rFonts w:ascii="Times New Roman" w:hAnsi="Times New Roman" w:eastAsia="Times New Roman" w:cs="Times New Roman"/>
                <w:color w:val="auto"/>
                <w:sz w:val="24"/>
              </w:rPr>
              <w:t xml:space="preserve">Số 1A hẻm 107/1/51 Nguyễn Chí Thanh, phường</w:t>
            </w:r>
            <w:r>
              <w:rPr>
                <w:rFonts w:ascii="Times New Roman" w:hAnsi="Times New Roman" w:eastAsia="Times New Roman" w:cs="Times New Roman"/>
                <w:color w:val="auto"/>
                <w:sz w:val="24"/>
              </w:rPr>
              <w:t xml:space="preserve"> Láng Hạ, quận Đống Đa, thành phố Hà Nội</w:t>
            </w:r>
            <w:r>
              <w:rPr>
                <w:color w:val="auto"/>
              </w:rPr>
            </w:r>
            <w:r>
              <w:rPr>
                <w:color w:val="auto"/>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9-1+9-2, tờ bản đồ số: 16 có địa chỉ: Thôn Tân Phú, xã Sơn Đông, thị xã Sơn Tây, thành phố Hà Nội (nay là xã Phương Đoài, thành phố Hà Nội) theo Giấy</w:t>
            </w:r>
            <w:r>
              <w:rPr>
                <w:bCs/>
                <w:color w:val="000000" w:themeColor="text1"/>
                <w:lang w:val="pt-BR"/>
              </w:rPr>
              <w:t xml:space="preserve"> chứng nhận quyền sử dụng đất quyền sở hữu nhà ở và tài sản khác gắn liền với đất số: CP 096813, số vào sổ cấp GCN: CS-ST 11289 do Sở Tài nguyên và Môi trường thành phố Hà Nội cấp ngày 22/07/2019. Chủ sử dụng đất là bà Vũ Ngọc Hà (cập nhật ngày 26/6/2024).</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Tân Phú, xã Sơn Đông, Thị xã Sơn Tây,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21.079116818251, 105.50237576108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w:t>
      </w:r>
      <w:r>
        <w:rPr>
          <w:bCs/>
          <w:color w:val="000000" w:themeColor="text1"/>
          <w:lang w:val="pt-BR"/>
        </w:rPr>
        <w:t xml:space="preserve">y chứng nhận quyền sử dụng đất quyền sở hữu nhà ở và tài sản khác gắn liền với đất số: CP 096813, số vào sổ cấp GCN: CS-ST 11289 do Sở Tài nguyên và Môi trường thành phố Hà Nội cấp ngày 22/07/2019. Chủ sử dụng đất là bà Vũ Ngọc Hà (cập nhật ngày 26/6/2024)</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275/2025/1716/VFI-HĐTĐ.27.A ký ngày 12/11/2025 giữa bà Vũ Ngọc Hà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Trong bối cảnh thị trường đang từng bước ổn định và dần định hình sau giai đoạn siết tín dụng và thanh lọc đầu tư, các chuyên gia cho rằng năm 2025 sẽ là “bản lề” qu</w:t>
      </w:r>
      <w:r>
        <w:rPr>
          <w:shd w:val="clear" w:color="auto" w:fill="ffffff"/>
        </w:rPr>
        <w:t xml:space="preserve">an trọng cho chu kỳ phục hồi của BĐS Hà Nội.</w:t>
      </w:r>
      <w:r>
        <w:rPr>
          <w:bCs/>
          <w:i/>
          <w:iCs/>
          <w:lang w:val="pt-BR"/>
        </w:rPr>
      </w:r>
      <w:r>
        <w:rPr>
          <w:iCs/>
        </w:rPr>
      </w:r>
    </w:p>
    <w:p>
      <w:pPr>
        <w:pBdr/>
        <w:tabs>
          <w:tab w:val="left" w:leader="none" w:pos="426"/>
        </w:tabs>
        <w:spacing w:after="120" w:before="120" w:line="276" w:lineRule="auto"/>
        <w:ind/>
        <w:jc w:val="both"/>
        <w:rPr/>
      </w:pPr>
      <w:r>
        <w:rPr>
          <w:shd w:val="clear" w:color="auto" w:fill="ffffff"/>
        </w:rPr>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w:t>
      </w:r>
      <w:r>
        <w:rPr>
          <w:shd w:val="clear" w:color="auto" w:fill="ffffff"/>
        </w:rPr>
        <w:t xml:space="preserve">để ở và tích sản trung – dài hạn.</w:t>
        <w:br/>
        <w:t xml:space="preserve">“Nhu cầu thực vẫn đang chiếm tỷ trọng lớn. Người mua hiện nay không còn chạy theo ‘sóng ngắn’ mà có xu hướng lựa chọn sản phẩm rõ pháp lý, chủ đầu tư uy tín và vị trí kết nối tốt,” – ông Troy Griffiths, Phó Tổng giám đốc S</w:t>
      </w:r>
      <w:r>
        <w:rPr>
          <w:shd w:val="clear" w:color="auto" w:fill="ffffff"/>
        </w:rPr>
        <w:t xml:space="preserve">avills Việt Nam nhận định.</w:t>
      </w:r>
      <w:r>
        <w:rPr>
          <w:bCs/>
          <w:i/>
          <w:lang w:val="pt-BR"/>
        </w:rPr>
      </w:r>
      <w:r/>
    </w:p>
    <w:p>
      <w:pPr>
        <w:pBdr/>
        <w:tabs>
          <w:tab w:val="left" w:leader="none" w:pos="426"/>
        </w:tabs>
        <w:spacing w:after="120" w:before="120" w:line="276" w:lineRule="auto"/>
        <w:ind/>
        <w:jc w:val="both"/>
        <w:rPr/>
      </w:pPr>
      <w:r>
        <w:rPr>
          <w:shd w:val="clear" w:color="auto" w:fill="ffffff"/>
        </w:rPr>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w:t>
      </w:r>
      <w:r>
        <w:rPr>
          <w:shd w:val="clear" w:color="auto" w:fill="ffffff"/>
        </w:rPr>
        <w:t xml:space="preserve">õ ràng, pháp lý minh bạch và tiềm năng tăng trưởng bền vững.</w:t>
        <w:br/>
        <w:t xml:space="preserve">Như vậy, dù còn nhiều khó khăn nhưng thị trường bất động sản Hà Nội trong nửa đầu năm 2025 cho thấy nhiều tín hiệu tích cực sau giai đoạn điều chỉnh kéo dài. Dù chưa có sự bùng nổ rõ nét, nhưng s</w:t>
      </w:r>
      <w:r>
        <w:rPr>
          <w:shd w:val="clear" w:color="auto" w:fill="ffffff"/>
        </w:rPr>
        <w:t xml:space="preserve">ự ổn định về thanh khoản, sự trở lại của nhà đầu tư cá nhân, cùng với các chính sách tháo gỡ pháp lý và tín dụng đang dần tạo dựng nền tảng cho một chu kỳ tăng trưởng bền vững hơn.</w:t>
        <w:br/>
        <w:t xml:space="preserve">Dù vậy, đây không còn là giai đoạn dành cho đầu cơ ngắn hạn. Các chuyên gia</w:t>
      </w:r>
      <w:r>
        <w:rPr>
          <w:shd w:val="clear" w:color="auto" w:fill="ffffff"/>
        </w:rPr>
        <w:t xml:space="preserve"> đều nhấn mạnh: người mua và nhà đầu tư cần thận trọng, chọn lọc kỹ lưỡng, ưu tiên sản phẩm rõ pháp lý, chủ đầu tư uy tín và nằm trong các khu vực được quy hoạch đồng bộ.</w:t>
      </w:r>
      <w:r>
        <w:rPr>
          <w:bCs/>
          <w:i/>
          <w:lang w:val="pt-BR"/>
        </w:rPr>
      </w:r>
      <w:r/>
    </w:p>
    <w:p>
      <w:pPr>
        <w:pBdr/>
        <w:tabs>
          <w:tab w:val="left" w:leader="none" w:pos="426"/>
        </w:tabs>
        <w:spacing w:after="120" w:before="120" w:line="276" w:lineRule="auto"/>
        <w:ind/>
        <w:jc w:val="both"/>
        <w:rPr>
          <w:bCs/>
          <w:i/>
          <w:lang w:val="pt-BR"/>
        </w:rPr>
      </w:pPr>
      <w:r>
        <w:rPr>
          <w:shd w:val="clear" w:color="auto" w:fill="ffffff"/>
        </w:rPr>
        <w:t xml:space="preserve">(Nguồn: https://wiki.batdongsan.com.vn/tin-tuc/thi-truong-bat-dong-san-ha-noi-836237)</w:t>
      </w:r>
      <w:r>
        <w:rPr>
          <w:bCs/>
          <w:i/>
          <w:lang w:val="pt-BR"/>
        </w:rPr>
      </w:r>
    </w:p>
    <w:p>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234"/>
        <w:gridCol w:w="2126"/>
        <w:gridCol w:w="2500"/>
        <w:gridCol w:w="203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9-1+9-2, tờ bản đồ số: 16 có địa chỉ: Thôn Tân Phú, xã Sơn Đông, thị xã Sơn Tây, thành phố Hà Nội (nay là xã Phương Đoài, thành phố Hà Nội)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CP 096813, số vào sổ cấp GCN: CS-ST 11289 do Sở Tài nguyên và Môi trường thành phố Hà Nội cấp ngày 22/07/2019. Chủ sử dụng đất là bà Vũ Ngọc Hà (cập nhật ngày 26/6/2024)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9-1+9-2</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 Tân Phú, xã Sơn Đông, thị xã Sơn Tây, thành phố Hà Nội (nay là xã Phương Đoài,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210</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200m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trồng cây lâu năm 10m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Lâu dài</w:t>
              <w:br/>
              <w:t xml:space="preserve"> Đất trồng cây lâu năm: Sử dụng đến ngày 15/10/2043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Nhận chuyển nhượng đất đượng Công nhận QSDĐ như giao đất có thu tiền sử dụng đất 200,0m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không thu tiền sử dụng đất 10m</w:t>
            </w:r>
            <w:r>
              <w:rPr>
                <w:rFonts w:ascii="Times New Roman" w:hAnsi="Times New Roman" w:eastAsia="Times New Roman" w:cs="Times New Roman"/>
                <w:color w:val="000000"/>
                <w:sz w:val="20"/>
                <w:vertAlign w:val="superscript"/>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Ghi chú: </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Giấy chứng nhận này được cấp đổi từ GCN số CM 007170 do Sở TN&amp;MT thành phố Hà Nội cấp ngày 16/5/2018.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Những thay đổi sau khi cấp giấy chứng nhận</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Ngày 26/6/2024ày 26/6/2024</w:t>
            </w:r>
            <w:r/>
          </w:p>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Chuyển nhượng cho bà Vũ Ngọc Hà, sinh năm 1958, CMND số 022185000004, thường trú: Số 1A hẻm 107/1/51 Nguyễn Chí Thanh, phường Láng Hạ, quận Đống Đa, thành phố Hà Nội (QSDĐ này là tài sản riêng của bà Vũ Ngọc Hà căn cứ Văn bản công nhận tài sản riêng của vợ</w:t>
            </w:r>
            <w:r>
              <w:rPr>
                <w:rFonts w:ascii="Times New Roman" w:hAnsi="Times New Roman" w:eastAsia="Times New Roman" w:cs="Times New Roman"/>
                <w:color w:val="000000"/>
                <w:sz w:val="24"/>
              </w:rPr>
              <w:t xml:space="preserve"> chồng số 1873, quyển số 9/2021 do Phòng công chứng số 4 tp Hà Nội lập ngày 19/4/2021); theo hồ sơ số: 000374.CN.001;</w:t>
            </w:r>
            <w:r/>
          </w:p>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Nay xác định là thửa đất số 205, tờ bản đồ 51 – Bản đồ tổng thể</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Tại thời điểm thẩm định tổ thẩm định thu thập được thông tin thửa đất thẩm định có nằm trong quy hoạch hành lang giao thông với diện tích trong quy hoạch là 28,98m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(nguồn https://beta.meeymap.com/tra-cuu-quy-hoach)</w:t>
            </w:r>
            <w:r/>
          </w:p>
          <w:p>
            <w:pPr>
              <w:pBdr>
                <w:top w:val="none" w:color="000000" w:sz="4" w:space="0"/>
                <w:left w:val="none" w:color="000000" w:sz="4" w:space="0"/>
                <w:bottom w:val="none" w:color="000000" w:sz="4" w:space="0"/>
                <w:right w:val="none" w:color="000000" w:sz="4" w:space="0"/>
              </w:pBdr>
              <w:spacing w:after="0" w:line="276" w:lineRule="auto"/>
              <w:ind w:right="0" w:firstLine="0" w:left="0"/>
              <w:rPr/>
            </w:pPr>
            <w:r>
              <mc:AlternateContent>
                <mc:Choice Requires="wpg">
                  <w:drawing>
                    <wp:inline xmlns:wp="http://schemas.openxmlformats.org/drawingml/2006/wordprocessingDrawing" distT="0" distB="0" distL="0" distR="0">
                      <wp:extent cx="5172075" cy="30384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14619" name=""/>
                              <pic:cNvPicPr>
                                <a:picLocks noChangeAspect="1"/>
                              </pic:cNvPicPr>
                              <pic:nvPr/>
                            </pic:nvPicPr>
                            <pic:blipFill>
                              <a:blip r:embed="rId15"/>
                              <a:stretch/>
                            </pic:blipFill>
                            <pic:spPr bwMode="auto">
                              <a:xfrm>
                                <a:off x="0" y="0"/>
                                <a:ext cx="5172074" cy="3038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7.25pt;height:239.25pt;mso-wrap-distance-left:0.00pt;mso-wrap-distance-top:0.00pt;mso-wrap-distance-right:0.00pt;mso-wrap-distance-bottom:0.00pt;z-index:1;" stroked="false">
                      <v:imagedata r:id="rId15"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 Tân Phú, xã Sơn Đông, thị xã Sơn Tây, thành phố Hà Nội (nay là xã Phương Đoài,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auto"/>
              </w:rPr>
            </w:pPr>
            <w:r>
              <w:rPr>
                <w:rFonts w:ascii="Times New Roman" w:hAnsi="Times New Roman" w:eastAsia="Times New Roman" w:cs="Times New Roman"/>
                <w:color w:val="auto"/>
                <w:sz w:val="24"/>
              </w:rPr>
              <w:t xml:space="preserve">Đường tiếp giáp chính:</w:t>
            </w:r>
            <w:r>
              <w:rPr>
                <w:color w:val="auto"/>
              </w:rPr>
            </w:r>
            <w:r>
              <w:rPr>
                <w:color w:val="auto"/>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auto"/>
              </w:rPr>
            </w:pPr>
            <w:r>
              <w:rPr>
                <w:rFonts w:ascii="Times New Roman" w:hAnsi="Times New Roman" w:eastAsia="Times New Roman" w:cs="Times New Roman"/>
                <w:color w:val="auto"/>
                <w:sz w:val="24"/>
              </w:rPr>
              <w:t xml:space="preserve">Đường QL21A</w:t>
            </w:r>
            <w:r>
              <w:rPr>
                <w:color w:val="auto"/>
              </w:rPr>
            </w:r>
            <w:r>
              <w:rPr>
                <w:color w:val="auto"/>
              </w:rP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auto"/>
              </w:rPr>
            </w:pPr>
            <w:r>
              <w:rPr>
                <w:rFonts w:ascii="Times New Roman" w:hAnsi="Times New Roman" w:eastAsia="Times New Roman" w:cs="Times New Roman"/>
                <w:color w:val="auto"/>
                <w:sz w:val="24"/>
              </w:rPr>
              <w:t xml:space="preserve">Số mặt tiền:</w:t>
            </w:r>
            <w:r>
              <w:rPr>
                <w:color w:val="auto"/>
              </w:rPr>
            </w:r>
            <w:r>
              <w:rPr>
                <w:color w:val="auto"/>
              </w:rP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auto"/>
              </w:rPr>
            </w:pPr>
            <w:r>
              <w:rPr>
                <w:rFonts w:ascii="Times New Roman" w:hAnsi="Times New Roman" w:eastAsia="Times New Roman" w:cs="Times New Roman"/>
                <w:color w:val="auto"/>
                <w:sz w:val="24"/>
              </w:rPr>
              <w:t xml:space="preserve">1 mặt</w:t>
            </w:r>
            <w:r>
              <w:rPr>
                <w:color w:val="auto"/>
              </w:rPr>
            </w:r>
            <w:r>
              <w:rPr>
                <w:color w:val="auto"/>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auto"/>
              </w:rPr>
            </w:pPr>
            <w:r>
              <w:rPr>
                <w:rFonts w:ascii="Times New Roman" w:hAnsi="Times New Roman" w:eastAsia="Times New Roman" w:cs="Times New Roman"/>
                <w:color w:val="auto"/>
                <w:sz w:val="24"/>
              </w:rPr>
              <w:t xml:space="preserve">Mặt cắt đường/ngõ nhỏ nhất từ đường chính dẫn đến tài sản thẩm định giá:</w:t>
            </w:r>
            <w:r>
              <w:rPr>
                <w:color w:val="auto"/>
              </w:rPr>
            </w:r>
            <w:r>
              <w:rPr>
                <w:color w:val="auto"/>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auto"/>
              </w:rPr>
            </w:pPr>
            <w:r>
              <w:rPr>
                <w:rFonts w:ascii="Times New Roman" w:hAnsi="Times New Roman" w:eastAsia="Times New Roman" w:cs="Times New Roman"/>
                <w:color w:val="auto"/>
                <w:sz w:val="24"/>
              </w:rPr>
              <w:t xml:space="preserve">10m</w:t>
            </w:r>
            <w:r>
              <w:rPr>
                <w:color w:val="auto"/>
              </w:rPr>
            </w:r>
            <w:r>
              <w:rPr>
                <w:color w:val="auto"/>
              </w:rP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color w:val="auto"/>
              </w:rPr>
            </w:pPr>
            <w:r>
              <w:rPr>
                <w:rFonts w:ascii="Times New Roman" w:hAnsi="Times New Roman" w:eastAsia="Times New Roman" w:cs="Times New Roman"/>
                <w:color w:val="auto"/>
                <w:sz w:val="24"/>
              </w:rPr>
              <w:t xml:space="preserve">Mặt cắt đường/ngõ trước mặt tài sản thẩm định giá:</w:t>
            </w:r>
            <w:r>
              <w:rPr>
                <w:color w:val="auto"/>
              </w:rPr>
            </w:r>
            <w:r>
              <w:rPr>
                <w:color w:val="auto"/>
              </w:rP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color w:val="auto"/>
              </w:rPr>
            </w:pPr>
            <w:r>
              <w:rPr>
                <w:rFonts w:ascii="Times New Roman" w:hAnsi="Times New Roman" w:eastAsia="Times New Roman" w:cs="Times New Roman"/>
                <w:color w:val="auto"/>
                <w:sz w:val="24"/>
              </w:rPr>
              <w:t xml:space="preserve">10m</w:t>
            </w:r>
            <w:r>
              <w:rPr>
                <w:color w:val="auto"/>
              </w:rPr>
            </w:r>
            <w:r>
              <w:rPr>
                <w:color w:val="auto"/>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Tài sản tiếp giáp với đường QL 21A, cách đường chùa thông khoảng 4,3km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spacing w:line="276" w:lineRule="auto"/>
              <w:ind/>
              <w:rPr>
                <w:color w:val="000000"/>
              </w:rPr>
            </w:pPr>
            <w:r>
              <w:rPr>
                <w:color w:val="000000"/>
              </w:rPr>
              <w:t xml:space="preserve">Vị trí trên bản đồ vệ tinh: </w:t>
            </w:r>
            <w:r>
              <w:rPr>
                <w:color w:val="000000"/>
              </w:rPr>
              <w:t xml:space="preserve">(</w:t>
            </w:r>
            <w:r>
              <w:rPr>
                <w:color w:val="000000"/>
              </w:rPr>
              <w:t xml:space="preserve">21.079116818251</w:t>
            </w:r>
            <w:r>
              <w:rPr>
                <w:color w:val="000000"/>
              </w:rPr>
              <w:t xml:space="preserve">, </w:t>
            </w:r>
            <w:r>
              <w:rPr>
                <w:color w:val="000000"/>
              </w:rPr>
              <w:t xml:space="preserve">105.50237576108</w:t>
            </w:r>
            <w:r>
              <w:rPr>
                <w:color w:val="000000"/>
              </w:rPr>
              <w:t xml:space="preserve">)</w:t>
            </w:r>
            <w:r>
              <w:rPr>
                <w:color w:val="000000"/>
              </w:rPr>
            </w:r>
            <w:r>
              <w:rPr>
                <w:color w:val="00000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551556" cy="2759998"/>
                      <wp:effectExtent l="0" t="0" r="0" b="0"/>
                      <wp:docPr id="6" name=""/>
                      <wp:cNvGraphicFramePr/>
                      <a:graphic xmlns:a="http://schemas.openxmlformats.org/drawingml/2006/main">
                        <a:graphicData uri="http://schemas.openxmlformats.org/drawingml/2006/picture">
                          <pic:pic xmlns:pic="http://schemas.openxmlformats.org/drawingml/2006/picture">
                            <pic:nvPicPr>
                              <pic:cNvPr id="365387375" name="" descr=""/>
                              <pic:cNvPicPr/>
                              <pic:nvPr/>
                            </pic:nvPicPr>
                            <pic:blipFill>
                              <a:blip r:embed="rId16"/>
                              <a:stretch/>
                            </pic:blipFill>
                            <pic:spPr bwMode="auto">
                              <a:xfrm rot="0" flipH="0" flipV="0">
                                <a:off x="0" y="0"/>
                                <a:ext cx="5551556" cy="2759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7.13pt;height:217.32pt;mso-wrap-distance-left:0.00pt;mso-wrap-distance-top:0.00pt;mso-wrap-distance-right:0.00pt;mso-wrap-distance-bottom:0.00pt;rotation:0;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210</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 mặt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3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Tài sản gắn liền với đất: </w:t>
            </w:r>
            <w:r>
              <w:rPr>
                <w:rFonts w:ascii="Times New Roman" w:hAnsi="Times New Roman" w:eastAsia="Times New Roman" w:cs="Times New Roman"/>
                <w:color w:val="000000"/>
                <w:sz w:val="24"/>
              </w:rPr>
              <w:t xml:space="preserve">Đất trống</w:t>
            </w:r>
            <w:r/>
          </w:p>
        </w:tc>
      </w:tr>
    </w:tbl>
    <w:p>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line="276" w:lineRule="auto"/>
              <w:ind/>
              <w:jc w:val="center"/>
              <w:rPr/>
            </w:pPr>
            <w:r>
              <w:t xml:space="preserve">1</w:t>
            </w:r>
            <w:r/>
          </w:p>
        </w:tc>
        <w:tc>
          <w:tcPr>
            <w:tcBorders/>
            <w:tcW w:w="1663" w:type="dxa"/>
            <w:vAlign w:val="center"/>
            <w:textDirection w:val="lrTb"/>
            <w:noWrap w:val="false"/>
          </w:tcPr>
          <w:p>
            <w:pPr>
              <w:pBdr/>
              <w:spacing w:line="276" w:lineRule="auto"/>
              <w:ind/>
              <w:jc w:val="center"/>
              <w:rPr/>
            </w:pPr>
            <w:r>
              <w:t xml:space="preserve">Địa chỉ trên sổ</w:t>
            </w:r>
            <w:r/>
          </w:p>
        </w:tc>
        <w:tc>
          <w:tcPr>
            <w:tcBorders/>
            <w:tcW w:w="1560" w:type="dxa"/>
            <w:vAlign w:val="center"/>
            <w:textDirection w:val="lrTb"/>
            <w:noWrap w:val="false"/>
          </w:tcPr>
          <w:p>
            <w:pPr>
              <w:pBdr/>
              <w:spacing w:line="276" w:lineRule="auto"/>
              <w:ind/>
              <w:jc w:val="center"/>
              <w:rPr/>
            </w:pPr>
            <w:r>
              <w:t xml:space="preserve">Thôn Tân Phú, xã Sơn Đông, Thị xã Sơn Tây, Thành phố Hà Nội ✔</w:t>
            </w:r>
            <w:r/>
          </w:p>
        </w:tc>
        <w:tc>
          <w:tcPr>
            <w:tcBorders/>
            <w:tcW w:w="1605" w:type="dxa"/>
            <w:vAlign w:val="center"/>
            <w:textDirection w:val="lrTb"/>
            <w:noWrap w:val="false"/>
          </w:tcPr>
          <w:p>
            <w:pPr>
              <w:pBdr/>
              <w:spacing w:line="276" w:lineRule="auto"/>
              <w:ind/>
              <w:jc w:val="center"/>
              <w:rPr/>
            </w:pPr>
            <w:r>
              <w:t xml:space="preserve">Thôn Tân Phú, xã Sơn Đông, Thị xã Sơn Tây, Thành phố Hà Nội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2</w:t>
            </w:r>
            <w:r/>
          </w:p>
        </w:tc>
        <w:tc>
          <w:tcPr>
            <w:tcBorders/>
            <w:tcW w:w="1663" w:type="dxa"/>
            <w:vAlign w:val="center"/>
            <w:textDirection w:val="lrTb"/>
            <w:noWrap w:val="false"/>
          </w:tcPr>
          <w:p>
            <w:pPr>
              <w:pBdr/>
              <w:spacing w:line="276" w:lineRule="auto"/>
              <w:ind/>
              <w:jc w:val="center"/>
              <w:rPr/>
            </w:pPr>
            <w:r>
              <w:t xml:space="preserve">Địa chỉ thực tế</w:t>
            </w:r>
            <w:r/>
          </w:p>
        </w:tc>
        <w:tc>
          <w:tcPr>
            <w:tcBorders/>
            <w:tcW w:w="1560" w:type="dxa"/>
            <w:vAlign w:val="center"/>
            <w:textDirection w:val="lrTb"/>
            <w:noWrap w:val="false"/>
          </w:tcPr>
          <w:p>
            <w:pPr>
              <w:pBdr/>
              <w:spacing w:line="276" w:lineRule="auto"/>
              <w:ind/>
              <w:jc w:val="center"/>
              <w:rPr/>
            </w:pPr>
            <w:r>
              <w:t xml:space="preserve">Đường Quốc lộ 21, Xã Sơn Đông, Thị xã Sơn Tây, Thành phố Hà Nội</w:t>
            </w:r>
            <w:r/>
          </w:p>
        </w:tc>
        <w:tc>
          <w:tcPr>
            <w:tcBorders/>
            <w:tcW w:w="1605" w:type="dxa"/>
            <w:vAlign w:val="center"/>
            <w:textDirection w:val="lrTb"/>
            <w:noWrap w:val="false"/>
          </w:tcPr>
          <w:p>
            <w:pPr>
              <w:pBdr/>
              <w:spacing w:line="276" w:lineRule="auto"/>
              <w:ind/>
              <w:jc w:val="center"/>
              <w:rPr/>
            </w:pPr>
            <w:r>
              <w:t xml:space="preserve">Đường Quốc lộ 21, Xã Sơn Đông, Thị xã Sơn Tây, Thành phố Hà Nội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3</w:t>
            </w:r>
            <w:r/>
          </w:p>
        </w:tc>
        <w:tc>
          <w:tcPr>
            <w:tcBorders/>
            <w:tcW w:w="1663" w:type="dxa"/>
            <w:vAlign w:val="center"/>
            <w:textDirection w:val="lrTb"/>
            <w:noWrap w:val="false"/>
          </w:tcPr>
          <w:p>
            <w:pPr>
              <w:pBdr/>
              <w:spacing w:line="276" w:lineRule="auto"/>
              <w:ind/>
              <w:jc w:val="center"/>
              <w:rPr/>
            </w:pPr>
            <w:r>
              <w:t xml:space="preserve">Pháp lý</w:t>
            </w:r>
            <w:r/>
          </w:p>
        </w:tc>
        <w:tc>
          <w:tcPr>
            <w:tcBorders/>
            <w:tcW w:w="1560" w:type="dxa"/>
            <w:vAlign w:val="center"/>
            <w:textDirection w:val="lrTb"/>
            <w:noWrap w:val="false"/>
          </w:tcPr>
          <w:p>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4</w:t>
            </w:r>
            <w:r/>
          </w:p>
        </w:tc>
        <w:tc>
          <w:tcPr>
            <w:tcBorders/>
            <w:tcW w:w="1663" w:type="dxa"/>
            <w:vAlign w:val="center"/>
            <w:textDirection w:val="lrTb"/>
            <w:noWrap w:val="false"/>
          </w:tcPr>
          <w:p>
            <w:pPr>
              <w:pBdr/>
              <w:spacing w:line="276" w:lineRule="auto"/>
              <w:ind/>
              <w:jc w:val="center"/>
              <w:rPr/>
            </w:pPr>
            <w:r>
              <w:t xml:space="preserve">Loại đất</w:t>
            </w:r>
            <w:r/>
          </w:p>
        </w:tc>
        <w:tc>
          <w:tcPr>
            <w:tcBorders/>
            <w:tcW w:w="1560" w:type="dxa"/>
            <w:vAlign w:val="center"/>
            <w:textDirection w:val="lrTb"/>
            <w:noWrap w:val="false"/>
          </w:tcPr>
          <w:p>
            <w:pPr>
              <w:pBdr/>
              <w:spacing w:line="276" w:lineRule="auto"/>
              <w:ind/>
              <w:jc w:val="center"/>
              <w:rPr/>
            </w:pPr>
            <w:r>
              <w:t xml:space="preserve">Đất ở nông thôn, Đất trồng cây lâu năm ✔</w:t>
            </w:r>
            <w:r/>
          </w:p>
        </w:tc>
        <w:tc>
          <w:tcPr>
            <w:tcBorders/>
            <w:tcW w:w="1605" w:type="dxa"/>
            <w:vAlign w:val="center"/>
            <w:textDirection w:val="lrTb"/>
            <w:noWrap w:val="false"/>
          </w:tcPr>
          <w:p>
            <w:pPr>
              <w:pBdr/>
              <w:spacing w:line="276" w:lineRule="auto"/>
              <w:ind/>
              <w:jc w:val="center"/>
              <w:rPr/>
            </w:pPr>
            <w:r>
              <w:t xml:space="preserve">Đất ở nông thôn, Đất trồng cây lâu năm ✔</w:t>
            </w:r>
            <w:r/>
          </w:p>
          <w:p>
            <w:pPr>
              <w:pBdr/>
              <w:spacing w:line="276" w:lineRule="auto"/>
              <w:ind/>
              <w:jc w:val="center"/>
              <w:rPr/>
            </w:pPr>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5</w:t>
            </w:r>
            <w:r/>
          </w:p>
        </w:tc>
        <w:tc>
          <w:tcPr>
            <w:tcBorders/>
            <w:tcW w:w="1663" w:type="dxa"/>
            <w:vAlign w:val="center"/>
            <w:textDirection w:val="lrTb"/>
            <w:noWrap w:val="false"/>
          </w:tcPr>
          <w:p>
            <w:pPr>
              <w:pBdr/>
              <w:spacing w:line="276" w:lineRule="auto"/>
              <w:ind/>
              <w:jc w:val="center"/>
              <w:rPr/>
            </w:pPr>
            <w:r>
              <w:t xml:space="preserve">Thời hạn sử dụng</w:t>
            </w:r>
            <w:r/>
          </w:p>
        </w:tc>
        <w:tc>
          <w:tcPr>
            <w:tcBorders/>
            <w:tcW w:w="1560" w:type="dxa"/>
            <w:vAlign w:val="center"/>
            <w:textDirection w:val="lrTb"/>
            <w:noWrap w:val="false"/>
          </w:tcPr>
          <w:p>
            <w:pPr>
              <w:pBdr/>
              <w:spacing w:line="276" w:lineRule="auto"/>
              <w:ind/>
              <w:jc w:val="center"/>
              <w:rPr/>
            </w:pPr>
            <w:r>
              <w:t xml:space="preserve">Lâu dài</w:t>
            </w:r>
            <w:r/>
          </w:p>
        </w:tc>
        <w:tc>
          <w:tcPr>
            <w:tcBorders/>
            <w:tcW w:w="1605" w:type="dxa"/>
            <w:vAlign w:val="center"/>
            <w:textDirection w:val="lrTb"/>
            <w:noWrap w:val="false"/>
          </w:tcPr>
          <w:p>
            <w:pPr>
              <w:pBdr/>
              <w:spacing w:line="276" w:lineRule="auto"/>
              <w:ind/>
              <w:jc w:val="center"/>
              <w:rPr/>
            </w:pPr>
            <w:r>
              <w:t xml:space="preserve">Lâu dài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6</w:t>
            </w:r>
            <w:r/>
          </w:p>
        </w:tc>
        <w:tc>
          <w:tcPr>
            <w:tcBorders/>
            <w:tcW w:w="1663" w:type="dxa"/>
            <w:vAlign w:val="center"/>
            <w:textDirection w:val="lrTb"/>
            <w:noWrap w:val="false"/>
          </w:tcPr>
          <w:p>
            <w:pPr>
              <w:pBdr/>
              <w:spacing w:line="276" w:lineRule="auto"/>
              <w:ind/>
              <w:jc w:val="center"/>
              <w:rPr/>
            </w:pPr>
            <w:r>
              <w:t xml:space="preserve">Vị trí</w:t>
            </w:r>
            <w:r/>
          </w:p>
        </w:tc>
        <w:tc>
          <w:tcPr>
            <w:tcBorders/>
            <w:tcW w:w="1560" w:type="dxa"/>
            <w:vAlign w:val="center"/>
            <w:textDirection w:val="lrTb"/>
            <w:noWrap w:val="false"/>
          </w:tcPr>
          <w:p>
            <w:pPr>
              <w:pBdr/>
              <w:spacing w:line="276" w:lineRule="auto"/>
              <w:ind/>
              <w:jc w:val="center"/>
              <w:rPr/>
            </w:pPr>
            <w:r>
              <w:t xml:space="preserve">VT1</w:t>
            </w:r>
            <w:r/>
          </w:p>
        </w:tc>
        <w:tc>
          <w:tcPr>
            <w:tcBorders/>
            <w:tcW w:w="1605" w:type="dxa"/>
            <w:vAlign w:val="center"/>
            <w:textDirection w:val="lrTb"/>
            <w:noWrap w:val="false"/>
          </w:tcPr>
          <w:p>
            <w:pPr>
              <w:pBdr/>
              <w:spacing w:line="276" w:lineRule="auto"/>
              <w:ind/>
              <w:jc w:val="center"/>
              <w:rPr/>
            </w:pPr>
            <w:r>
              <w:t xml:space="preserve">VT1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7</w:t>
            </w:r>
            <w:r/>
          </w:p>
        </w:tc>
        <w:tc>
          <w:tcPr>
            <w:tcBorders/>
            <w:tcW w:w="1663" w:type="dxa"/>
            <w:vAlign w:val="center"/>
            <w:textDirection w:val="lrTb"/>
            <w:noWrap w:val="false"/>
          </w:tcPr>
          <w:p>
            <w:pPr>
              <w:pBdr/>
              <w:spacing w:line="276" w:lineRule="auto"/>
              <w:ind/>
              <w:jc w:val="center"/>
              <w:rPr/>
            </w:pPr>
            <w:r>
              <w:t xml:space="preserve">Kết cấu mặt đường</w:t>
            </w:r>
            <w:r/>
          </w:p>
        </w:tc>
        <w:tc>
          <w:tcPr>
            <w:tcBorders/>
            <w:tcW w:w="1560" w:type="dxa"/>
            <w:vAlign w:val="center"/>
            <w:textDirection w:val="lrTb"/>
            <w:noWrap w:val="false"/>
          </w:tcPr>
          <w:p>
            <w:pPr>
              <w:pBdr/>
              <w:spacing w:line="276" w:lineRule="auto"/>
              <w:ind/>
              <w:jc w:val="center"/>
              <w:rPr/>
            </w:pPr>
            <w:r>
              <w:t xml:space="preserve">Đường nhựa có vỉa hè</w:t>
            </w:r>
            <w:r/>
          </w:p>
        </w:tc>
        <w:tc>
          <w:tcPr>
            <w:tcBorders/>
            <w:tcW w:w="1605" w:type="dxa"/>
            <w:vAlign w:val="center"/>
            <w:textDirection w:val="lrTb"/>
            <w:noWrap w:val="false"/>
          </w:tcPr>
          <w:p>
            <w:pPr>
              <w:pBdr/>
              <w:spacing w:line="276" w:lineRule="auto"/>
              <w:ind/>
              <w:jc w:val="center"/>
              <w:rPr/>
            </w:pPr>
            <w:r>
              <w:t xml:space="preserve">Đường nhựa có vỉa hè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8</w:t>
            </w:r>
            <w:r/>
          </w:p>
        </w:tc>
        <w:tc>
          <w:tcPr>
            <w:tcBorders/>
            <w:tcW w:w="1663" w:type="dxa"/>
            <w:vAlign w:val="center"/>
            <w:textDirection w:val="lrTb"/>
            <w:noWrap w:val="false"/>
          </w:tcPr>
          <w:p>
            <w:pPr>
              <w:pBdr/>
              <w:spacing w:line="276" w:lineRule="auto"/>
              <w:ind/>
              <w:jc w:val="center"/>
              <w:rPr/>
            </w:pPr>
            <w:r>
              <w:t xml:space="preserve">Mặt cắt đường trước nhà</w:t>
            </w:r>
            <w:r/>
          </w:p>
        </w:tc>
        <w:tc>
          <w:tcPr>
            <w:tcBorders/>
            <w:tcW w:w="1560" w:type="dxa"/>
            <w:vAlign w:val="center"/>
            <w:textDirection w:val="lrTb"/>
            <w:noWrap w:val="false"/>
          </w:tcPr>
          <w:p>
            <w:pPr>
              <w:pBdr/>
              <w:spacing w:line="276" w:lineRule="auto"/>
              <w:ind/>
              <w:jc w:val="center"/>
              <w:rPr/>
            </w:pPr>
            <w:r>
              <w:t xml:space="preserve">15</w:t>
            </w:r>
            <w:r/>
          </w:p>
        </w:tc>
        <w:tc>
          <w:tcPr>
            <w:tcBorders/>
            <w:tcW w:w="1605" w:type="dxa"/>
            <w:vAlign w:val="center"/>
            <w:textDirection w:val="lrTb"/>
            <w:noWrap w:val="false"/>
          </w:tcPr>
          <w:p>
            <w:pPr>
              <w:pBdr/>
              <w:spacing w:line="276" w:lineRule="auto"/>
              <w:ind/>
              <w:jc w:val="center"/>
              <w:rPr/>
            </w:pPr>
            <w:r>
              <w:t xml:space="preserve">15 ✔</w:t>
            </w:r>
            <w:r/>
          </w:p>
        </w:tc>
        <w:tc>
          <w:tcPr>
            <w:tcBorders/>
            <w:tcW w:w="1371" w:type="dxa"/>
            <w:vAlign w:val="center"/>
            <w:textDirection w:val="lrTb"/>
            <w:noWrap w:val="false"/>
          </w:tcPr>
          <w:p>
            <w:pPr>
              <w:pBdr/>
              <w:spacing w:line="276" w:lineRule="auto"/>
              <w:ind/>
              <w:jc w:val="center"/>
              <w:rPr/>
            </w:pPr>
            <w:r>
              <w:t xml:space="preserve">0</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9</w:t>
            </w:r>
            <w:r/>
          </w:p>
        </w:tc>
        <w:tc>
          <w:tcPr>
            <w:tcBorders/>
            <w:tcW w:w="1663" w:type="dxa"/>
            <w:vAlign w:val="center"/>
            <w:textDirection w:val="lrTb"/>
            <w:noWrap w:val="false"/>
          </w:tcPr>
          <w:p>
            <w:pPr>
              <w:pBdr/>
              <w:spacing w:line="276" w:lineRule="auto"/>
              <w:ind/>
              <w:jc w:val="center"/>
              <w:rPr/>
            </w:pPr>
            <w:r>
              <w:t xml:space="preserve">Cơ sở hạ tầng kỹ thuật</w:t>
            </w:r>
            <w:r/>
          </w:p>
        </w:tc>
        <w:tc>
          <w:tcPr>
            <w:tcBorders/>
            <w:tcW w:w="1560" w:type="dxa"/>
            <w:vAlign w:val="center"/>
            <w:textDirection w:val="lrTb"/>
            <w:noWrap w:val="false"/>
          </w:tcPr>
          <w:p>
            <w:pPr>
              <w:pBdr/>
              <w:spacing w:line="276" w:lineRule="auto"/>
              <w:ind/>
              <w:jc w:val="center"/>
              <w:rPr/>
            </w:pPr>
            <w:r>
              <w:t xml:space="preserve">Hạ tầng khu dân cư thông thường</w:t>
            </w:r>
            <w:r/>
          </w:p>
        </w:tc>
        <w:tc>
          <w:tcPr>
            <w:tcBorders/>
            <w:tcW w:w="1605" w:type="dxa"/>
            <w:vAlign w:val="center"/>
            <w:textDirection w:val="lrTb"/>
            <w:noWrap w:val="false"/>
          </w:tcPr>
          <w:p>
            <w:pPr>
              <w:pBdr/>
              <w:spacing w:line="276" w:lineRule="auto"/>
              <w:ind/>
              <w:jc w:val="center"/>
              <w:rPr/>
            </w:pPr>
            <w:r>
              <w:t xml:space="preserve">Hạ tầng khu dân cư thông thường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10</w:t>
            </w:r>
            <w:r/>
          </w:p>
        </w:tc>
        <w:tc>
          <w:tcPr>
            <w:tcBorders/>
            <w:tcW w:w="1663" w:type="dxa"/>
            <w:vAlign w:val="center"/>
            <w:textDirection w:val="lrTb"/>
            <w:noWrap w:val="false"/>
          </w:tcPr>
          <w:p>
            <w:pPr>
              <w:pBdr/>
              <w:spacing w:line="276" w:lineRule="auto"/>
              <w:ind/>
              <w:jc w:val="center"/>
              <w:rPr/>
            </w:pPr>
            <w:r>
              <w:t xml:space="preserve">Môi trường, an ninh</w:t>
            </w:r>
            <w:r/>
          </w:p>
        </w:tc>
        <w:tc>
          <w:tcPr>
            <w:tcBorders/>
            <w:tcW w:w="1560" w:type="dxa"/>
            <w:vAlign w:val="center"/>
            <w:textDirection w:val="lrTb"/>
            <w:noWrap w:val="false"/>
          </w:tcPr>
          <w:p>
            <w:pPr>
              <w:pBdr/>
              <w:spacing w:line="276" w:lineRule="auto"/>
              <w:ind/>
              <w:jc w:val="center"/>
              <w:rPr/>
            </w:pPr>
            <w:r>
              <w:t xml:space="preserve">Tốt</w:t>
            </w:r>
            <w:r/>
          </w:p>
        </w:tc>
        <w:tc>
          <w:tcPr>
            <w:tcBorders/>
            <w:tcW w:w="1605" w:type="dxa"/>
            <w:vAlign w:val="center"/>
            <w:textDirection w:val="lrTb"/>
            <w:noWrap w:val="false"/>
          </w:tcPr>
          <w:p>
            <w:pPr>
              <w:pBdr/>
              <w:spacing w:line="276" w:lineRule="auto"/>
              <w:ind/>
              <w:jc w:val="center"/>
              <w:rPr/>
            </w:pPr>
            <w:r>
              <w:t xml:space="preserve">Tốt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11</w:t>
            </w:r>
            <w:r/>
          </w:p>
        </w:tc>
        <w:tc>
          <w:tcPr>
            <w:tcBorders/>
            <w:tcW w:w="1663" w:type="dxa"/>
            <w:vAlign w:val="center"/>
            <w:textDirection w:val="lrTb"/>
            <w:noWrap w:val="false"/>
          </w:tcPr>
          <w:p>
            <w:pPr>
              <w:pBdr/>
              <w:spacing w:line="276" w:lineRule="auto"/>
              <w:ind/>
              <w:jc w:val="center"/>
              <w:rPr/>
            </w:pPr>
            <w:r>
              <w:t xml:space="preserve">Diện tích</w:t>
            </w:r>
            <w:r/>
          </w:p>
        </w:tc>
        <w:tc>
          <w:tcPr>
            <w:tcBorders/>
            <w:tcW w:w="1560" w:type="dxa"/>
            <w:vAlign w:val="center"/>
            <w:textDirection w:val="lrTb"/>
            <w:noWrap w:val="false"/>
          </w:tcPr>
          <w:p>
            <w:pPr>
              <w:pBdr/>
              <w:spacing w:line="276" w:lineRule="auto"/>
              <w:ind/>
              <w:jc w:val="center"/>
              <w:rPr/>
            </w:pPr>
            <w:r>
              <w:t xml:space="preserve">210</w:t>
            </w:r>
            <w:r/>
          </w:p>
        </w:tc>
        <w:tc>
          <w:tcPr>
            <w:tcBorders/>
            <w:tcW w:w="1605" w:type="dxa"/>
            <w:vAlign w:val="center"/>
            <w:textDirection w:val="lrTb"/>
            <w:noWrap w:val="false"/>
          </w:tcPr>
          <w:p>
            <w:pPr>
              <w:pBdr/>
              <w:spacing w:line="276" w:lineRule="auto"/>
              <w:ind/>
              <w:jc w:val="center"/>
              <w:rPr/>
            </w:pPr>
            <w:r>
              <w:t xml:space="preserve">210 ✔</w:t>
            </w:r>
            <w:r/>
          </w:p>
        </w:tc>
        <w:tc>
          <w:tcPr>
            <w:tcBorders/>
            <w:tcW w:w="1371" w:type="dxa"/>
            <w:vAlign w:val="center"/>
            <w:textDirection w:val="lrTb"/>
            <w:noWrap w:val="false"/>
          </w:tcPr>
          <w:p>
            <w:pPr>
              <w:pBdr/>
              <w:spacing w:line="276" w:lineRule="auto"/>
              <w:ind/>
              <w:jc w:val="center"/>
              <w:rPr/>
            </w:pPr>
            <w:r>
              <w:t xml:space="preserve">0</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12</w:t>
            </w:r>
            <w:r/>
          </w:p>
        </w:tc>
        <w:tc>
          <w:tcPr>
            <w:tcBorders/>
            <w:tcW w:w="1663" w:type="dxa"/>
            <w:vAlign w:val="center"/>
            <w:textDirection w:val="lrTb"/>
            <w:noWrap w:val="false"/>
          </w:tcPr>
          <w:p>
            <w:pPr>
              <w:pBdr/>
              <w:spacing w:line="276" w:lineRule="auto"/>
              <w:ind/>
              <w:jc w:val="center"/>
              <w:rPr/>
            </w:pPr>
            <w:r>
              <w:t xml:space="preserve">Mặt tiền</w:t>
            </w:r>
            <w:r/>
          </w:p>
        </w:tc>
        <w:tc>
          <w:tcPr>
            <w:tcBorders/>
            <w:tcW w:w="1560" w:type="dxa"/>
            <w:vAlign w:val="center"/>
            <w:textDirection w:val="lrTb"/>
            <w:noWrap w:val="false"/>
          </w:tcPr>
          <w:p>
            <w:pPr>
              <w:pBdr/>
              <w:spacing w:line="276" w:lineRule="auto"/>
              <w:ind/>
              <w:jc w:val="center"/>
              <w:rPr/>
            </w:pPr>
            <w:r>
              <w:t xml:space="preserve">14</w:t>
            </w:r>
            <w:r/>
          </w:p>
        </w:tc>
        <w:tc>
          <w:tcPr>
            <w:tcBorders/>
            <w:tcW w:w="1605" w:type="dxa"/>
            <w:vAlign w:val="center"/>
            <w:textDirection w:val="lrTb"/>
            <w:noWrap w:val="false"/>
          </w:tcPr>
          <w:p>
            <w:pPr>
              <w:pBdr/>
              <w:spacing w:line="276" w:lineRule="auto"/>
              <w:ind/>
              <w:jc w:val="center"/>
              <w:rPr/>
            </w:pPr>
            <w:r>
              <w:t xml:space="preserve">14 ✔</w:t>
            </w:r>
            <w:r/>
          </w:p>
        </w:tc>
        <w:tc>
          <w:tcPr>
            <w:tcBorders/>
            <w:tcW w:w="1371" w:type="dxa"/>
            <w:vAlign w:val="center"/>
            <w:textDirection w:val="lrTb"/>
            <w:noWrap w:val="false"/>
          </w:tcPr>
          <w:p>
            <w:pPr>
              <w:pBdr/>
              <w:spacing w:line="276" w:lineRule="auto"/>
              <w:ind/>
              <w:jc w:val="center"/>
              <w:rPr/>
            </w:pPr>
            <w:r>
              <w:t xml:space="preserve">0</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13</w:t>
            </w:r>
            <w:r/>
          </w:p>
        </w:tc>
        <w:tc>
          <w:tcPr>
            <w:tcBorders/>
            <w:tcW w:w="1663" w:type="dxa"/>
            <w:vAlign w:val="center"/>
            <w:textDirection w:val="lrTb"/>
            <w:noWrap w:val="false"/>
          </w:tcPr>
          <w:p>
            <w:pPr>
              <w:pBdr/>
              <w:spacing w:line="276" w:lineRule="auto"/>
              <w:ind/>
              <w:jc w:val="center"/>
              <w:rPr/>
            </w:pPr>
            <w:r>
              <w:t xml:space="preserve">Chiều sâu</w:t>
            </w:r>
            <w:r/>
          </w:p>
        </w:tc>
        <w:tc>
          <w:tcPr>
            <w:tcBorders/>
            <w:tcW w:w="1560" w:type="dxa"/>
            <w:vAlign w:val="center"/>
            <w:textDirection w:val="lrTb"/>
            <w:noWrap w:val="false"/>
          </w:tcPr>
          <w:p>
            <w:pPr>
              <w:pBdr/>
              <w:spacing w:line="276" w:lineRule="auto"/>
              <w:ind/>
              <w:jc w:val="center"/>
              <w:rPr/>
            </w:pPr>
            <w:r>
              <w:t xml:space="preserve">15</w:t>
            </w:r>
            <w:r/>
          </w:p>
        </w:tc>
        <w:tc>
          <w:tcPr>
            <w:tcBorders/>
            <w:tcW w:w="1605" w:type="dxa"/>
            <w:vAlign w:val="center"/>
            <w:textDirection w:val="lrTb"/>
            <w:noWrap w:val="false"/>
          </w:tcPr>
          <w:p>
            <w:pPr>
              <w:pBdr/>
              <w:spacing w:line="276" w:lineRule="auto"/>
              <w:ind/>
              <w:jc w:val="center"/>
              <w:rPr/>
            </w:pPr>
            <w:r>
              <w:t xml:space="preserve">15 ✔</w:t>
            </w:r>
            <w:r/>
          </w:p>
        </w:tc>
        <w:tc>
          <w:tcPr>
            <w:tcBorders/>
            <w:tcW w:w="1371" w:type="dxa"/>
            <w:vAlign w:val="center"/>
            <w:textDirection w:val="lrTb"/>
            <w:noWrap w:val="false"/>
          </w:tcPr>
          <w:p>
            <w:pPr>
              <w:pBdr/>
              <w:spacing w:line="276" w:lineRule="auto"/>
              <w:ind/>
              <w:jc w:val="center"/>
              <w:rPr/>
            </w:pPr>
            <w:r>
              <w:t xml:space="preserve">0</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14</w:t>
            </w:r>
            <w:r/>
          </w:p>
        </w:tc>
        <w:tc>
          <w:tcPr>
            <w:tcBorders/>
            <w:tcW w:w="1663" w:type="dxa"/>
            <w:vAlign w:val="center"/>
            <w:textDirection w:val="lrTb"/>
            <w:noWrap w:val="false"/>
          </w:tcPr>
          <w:p>
            <w:pPr>
              <w:pBdr/>
              <w:spacing w:line="276" w:lineRule="auto"/>
              <w:ind/>
              <w:jc w:val="center"/>
              <w:rPr/>
            </w:pPr>
            <w:r>
              <w:t xml:space="preserve">Mặt tiếp giáp</w:t>
            </w:r>
            <w:r/>
          </w:p>
        </w:tc>
        <w:tc>
          <w:tcPr>
            <w:tcBorders/>
            <w:tcW w:w="1560" w:type="dxa"/>
            <w:vAlign w:val="center"/>
            <w:textDirection w:val="lrTb"/>
            <w:noWrap w:val="false"/>
          </w:tcPr>
          <w:p>
            <w:pPr>
              <w:pBdr/>
              <w:spacing w:line="276" w:lineRule="auto"/>
              <w:ind/>
              <w:jc w:val="center"/>
              <w:rPr/>
            </w:pPr>
            <w:r>
              <w:t xml:space="preserve">Tiếp giáp 2 mặt đường, phố + 1 mặt ngõ</w:t>
            </w:r>
            <w:r/>
          </w:p>
        </w:tc>
        <w:tc>
          <w:tcPr>
            <w:tcBorders/>
            <w:tcW w:w="1605" w:type="dxa"/>
            <w:vAlign w:val="center"/>
            <w:textDirection w:val="lrTb"/>
            <w:noWrap w:val="false"/>
          </w:tcPr>
          <w:p>
            <w:pPr>
              <w:pBdr/>
              <w:spacing w:line="276" w:lineRule="auto"/>
              <w:ind/>
              <w:jc w:val="center"/>
              <w:rPr/>
            </w:pPr>
            <w:r>
              <w:t xml:space="preserve">Tiếp giáp 2 mặt đường, phố + 1 mặt ngõ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15</w:t>
            </w:r>
            <w:r/>
          </w:p>
        </w:tc>
        <w:tc>
          <w:tcPr>
            <w:tcBorders/>
            <w:tcW w:w="1663" w:type="dxa"/>
            <w:vAlign w:val="center"/>
            <w:textDirection w:val="lrTb"/>
            <w:noWrap w:val="false"/>
          </w:tcPr>
          <w:p>
            <w:pPr>
              <w:pBdr/>
              <w:spacing w:line="276" w:lineRule="auto"/>
              <w:ind/>
              <w:jc w:val="center"/>
              <w:rPr/>
            </w:pPr>
            <w:r>
              <w:t xml:space="preserve">Hình dạng thửa đất</w:t>
            </w:r>
            <w:r/>
          </w:p>
        </w:tc>
        <w:tc>
          <w:tcPr>
            <w:tcBorders/>
            <w:tcW w:w="1560" w:type="dxa"/>
            <w:vAlign w:val="center"/>
            <w:textDirection w:val="lrTb"/>
            <w:noWrap w:val="false"/>
          </w:tcPr>
          <w:p>
            <w:pPr>
              <w:pBdr/>
              <w:spacing w:line="276" w:lineRule="auto"/>
              <w:ind/>
              <w:jc w:val="center"/>
              <w:rPr/>
            </w:pPr>
            <w:r>
              <w:t xml:space="preserve">Hình chữ nhật ✔</w:t>
            </w:r>
            <w:r/>
          </w:p>
        </w:tc>
        <w:tc>
          <w:tcPr>
            <w:tcBorders/>
            <w:tcW w:w="1605" w:type="dxa"/>
            <w:vAlign w:val="center"/>
            <w:textDirection w:val="lrTb"/>
            <w:noWrap w:val="false"/>
          </w:tcPr>
          <w:p>
            <w:pPr>
              <w:pBdr/>
              <w:spacing w:line="276" w:lineRule="auto"/>
              <w:ind/>
              <w:jc w:val="center"/>
              <w:rPr/>
            </w:pPr>
            <w:r>
              <w:t xml:space="preserve">Hình chữ nhật ✔</w:t>
            </w:r>
            <w:r/>
          </w:p>
        </w:tc>
        <w:tc>
          <w:tcPr>
            <w:tcBorders/>
            <w:tcW w:w="1371" w:type="dxa"/>
            <w:vAlign w:val="center"/>
            <w:textDirection w:val="lrTb"/>
            <w:noWrap w:val="false"/>
          </w:tcPr>
          <w:p>
            <w:pPr>
              <w:pBdr/>
              <w:spacing w:line="276" w:lineRule="auto"/>
              <w:ind/>
              <w:jc w:val="center"/>
              <w:rPr/>
            </w:pPr>
            <w:r>
              <w:t xml:space="preserve">Không</w:t>
            </w:r>
            <w:r/>
          </w:p>
          <w:p>
            <w:pPr>
              <w:pBdr/>
              <w:spacing w:line="276" w:lineRule="auto"/>
              <w:ind/>
              <w:jc w:val="left"/>
              <w:rPr/>
            </w:pPr>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16</w:t>
            </w:r>
            <w:r/>
          </w:p>
        </w:tc>
        <w:tc>
          <w:tcPr>
            <w:tcBorders/>
            <w:tcW w:w="1663" w:type="dxa"/>
            <w:vAlign w:val="center"/>
            <w:textDirection w:val="lrTb"/>
            <w:noWrap w:val="false"/>
          </w:tcPr>
          <w:p>
            <w:pPr>
              <w:pBdr/>
              <w:spacing w:line="276" w:lineRule="auto"/>
              <w:ind/>
              <w:jc w:val="center"/>
              <w:rPr/>
            </w:pPr>
            <w:r>
              <w:t xml:space="preserve">Hướng</w:t>
            </w:r>
            <w:r/>
          </w:p>
        </w:tc>
        <w:tc>
          <w:tcPr>
            <w:tcBorders/>
            <w:tcW w:w="1560" w:type="dxa"/>
            <w:vAlign w:val="center"/>
            <w:textDirection w:val="lrTb"/>
            <w:noWrap w:val="false"/>
          </w:tcPr>
          <w:p>
            <w:pPr>
              <w:pBdr/>
              <w:spacing w:line="276" w:lineRule="auto"/>
              <w:ind/>
              <w:jc w:val="center"/>
              <w:rPr/>
            </w:pPr>
            <w:r>
              <w:t xml:space="preserve">Đông</w:t>
            </w:r>
            <w:r/>
          </w:p>
        </w:tc>
        <w:tc>
          <w:tcPr>
            <w:tcBorders/>
            <w:tcW w:w="1605" w:type="dxa"/>
            <w:vAlign w:val="center"/>
            <w:textDirection w:val="lrTb"/>
            <w:noWrap w:val="false"/>
          </w:tcPr>
          <w:p>
            <w:pPr>
              <w:pBdr/>
              <w:spacing w:line="276" w:lineRule="auto"/>
              <w:ind/>
              <w:jc w:val="center"/>
              <w:rPr/>
            </w:pPr>
            <w:r>
              <w:t xml:space="preserve">Đông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17</w:t>
            </w:r>
            <w:r/>
          </w:p>
        </w:tc>
        <w:tc>
          <w:tcPr>
            <w:tcBorders/>
            <w:tcW w:w="1663" w:type="dxa"/>
            <w:vAlign w:val="center"/>
            <w:textDirection w:val="lrTb"/>
            <w:noWrap w:val="false"/>
          </w:tcPr>
          <w:p>
            <w:pPr>
              <w:pBdr/>
              <w:spacing w:line="276" w:lineRule="auto"/>
              <w:ind/>
              <w:jc w:val="center"/>
              <w:rPr/>
            </w:pPr>
            <w:r>
              <w:t xml:space="preserve">Lợi thế kinh doanh</w:t>
            </w:r>
            <w:r/>
          </w:p>
        </w:tc>
        <w:tc>
          <w:tcPr>
            <w:tcBorders/>
            <w:tcW w:w="1560" w:type="dxa"/>
            <w:vAlign w:val="center"/>
            <w:textDirection w:val="lrTb"/>
            <w:noWrap w:val="false"/>
          </w:tcPr>
          <w:p>
            <w:pPr>
              <w:pBdr/>
              <w:spacing w:line="276" w:lineRule="auto"/>
              <w:ind/>
              <w:jc w:val="center"/>
              <w:rPr/>
            </w:pPr>
            <w:r>
              <w:t xml:space="preserve">Tốt</w:t>
            </w:r>
            <w:r/>
          </w:p>
        </w:tc>
        <w:tc>
          <w:tcPr>
            <w:tcBorders/>
            <w:tcW w:w="1605" w:type="dxa"/>
            <w:vAlign w:val="center"/>
            <w:textDirection w:val="lrTb"/>
            <w:noWrap w:val="false"/>
          </w:tcPr>
          <w:p>
            <w:pPr>
              <w:pBdr/>
              <w:spacing w:line="276" w:lineRule="auto"/>
              <w:ind/>
              <w:jc w:val="center"/>
              <w:rPr/>
            </w:pPr>
            <w:r>
              <w:t xml:space="preserve">Tốt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18</w:t>
            </w:r>
            <w:r/>
          </w:p>
        </w:tc>
        <w:tc>
          <w:tcPr>
            <w:tcBorders/>
            <w:tcW w:w="1663" w:type="dxa"/>
            <w:vAlign w:val="center"/>
            <w:textDirection w:val="lrTb"/>
            <w:noWrap w:val="false"/>
          </w:tcPr>
          <w:p>
            <w:pPr>
              <w:pBdr/>
              <w:spacing w:line="276" w:lineRule="auto"/>
              <w:ind/>
              <w:jc w:val="center"/>
              <w:rPr/>
            </w:pPr>
            <w:r>
              <w:t xml:space="preserve">Lợi thế thương mại</w:t>
            </w:r>
            <w:r/>
          </w:p>
        </w:tc>
        <w:tc>
          <w:tcPr>
            <w:tcBorders/>
            <w:tcW w:w="1560" w:type="dxa"/>
            <w:vAlign w:val="center"/>
            <w:textDirection w:val="lrTb"/>
            <w:noWrap w:val="false"/>
          </w:tcPr>
          <w:p>
            <w:pPr>
              <w:pBdr/>
              <w:spacing w:line="276" w:lineRule="auto"/>
              <w:ind/>
              <w:jc w:val="center"/>
              <w:rPr/>
            </w:pPr>
            <w:r>
              <w:t xml:space="preserve">Không có lợi thế thương mại</w:t>
            </w:r>
            <w:r/>
          </w:p>
        </w:tc>
        <w:tc>
          <w:tcPr>
            <w:tcBorders/>
            <w:tcW w:w="1605" w:type="dxa"/>
            <w:vAlign w:val="center"/>
            <w:textDirection w:val="lrTb"/>
            <w:noWrap w:val="false"/>
          </w:tcPr>
          <w:p>
            <w:pPr>
              <w:pBdr/>
              <w:spacing w:line="276" w:lineRule="auto"/>
              <w:ind/>
              <w:jc w:val="center"/>
              <w:rPr/>
            </w:pPr>
            <w:r>
              <w:t xml:space="preserve">Không có lợi thế thương mại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19</w:t>
            </w:r>
            <w:r/>
          </w:p>
        </w:tc>
        <w:tc>
          <w:tcPr>
            <w:tcBorders/>
            <w:tcW w:w="1663" w:type="dxa"/>
            <w:vAlign w:val="center"/>
            <w:textDirection w:val="lrTb"/>
            <w:noWrap w:val="false"/>
          </w:tcPr>
          <w:p>
            <w:pPr>
              <w:pBdr/>
              <w:spacing w:line="276" w:lineRule="auto"/>
              <w:ind/>
              <w:jc w:val="center"/>
              <w:rPr/>
            </w:pPr>
            <w:r>
              <w:t xml:space="preserve">Bất lợi thương mại</w:t>
            </w:r>
            <w:r/>
          </w:p>
        </w:tc>
        <w:tc>
          <w:tcPr>
            <w:tcBorders/>
            <w:tcW w:w="1560" w:type="dxa"/>
            <w:vAlign w:val="center"/>
            <w:textDirection w:val="lrTb"/>
            <w:noWrap w:val="false"/>
          </w:tcPr>
          <w:p>
            <w:pPr>
              <w:pBdr/>
              <w:spacing w:line="276" w:lineRule="auto"/>
              <w:ind/>
              <w:jc w:val="center"/>
              <w:rPr/>
            </w:pPr>
            <w:r>
              <w:t xml:space="preserve">Không có bất lợi thương mại</w:t>
            </w:r>
            <w:r/>
          </w:p>
        </w:tc>
        <w:tc>
          <w:tcPr>
            <w:tcBorders/>
            <w:tcW w:w="1605" w:type="dxa"/>
            <w:vAlign w:val="center"/>
            <w:textDirection w:val="lrTb"/>
            <w:noWrap w:val="false"/>
          </w:tcPr>
          <w:p>
            <w:pPr>
              <w:pBdr/>
              <w:spacing w:line="276" w:lineRule="auto"/>
              <w:ind/>
              <w:jc w:val="center"/>
              <w:rPr/>
            </w:pPr>
            <w:r>
              <w:t xml:space="preserve">Không có bất lợi thương mại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20</w:t>
            </w:r>
            <w:r/>
          </w:p>
        </w:tc>
        <w:tc>
          <w:tcPr>
            <w:tcBorders/>
            <w:tcW w:w="1663" w:type="dxa"/>
            <w:vAlign w:val="center"/>
            <w:textDirection w:val="lrTb"/>
            <w:noWrap w:val="false"/>
          </w:tcPr>
          <w:p>
            <w:pPr>
              <w:pBdr/>
              <w:spacing w:line="276" w:lineRule="auto"/>
              <w:ind/>
              <w:jc w:val="center"/>
              <w:rPr/>
            </w:pPr>
            <w:r>
              <w:t xml:space="preserve">Khả năng chuyển nhượng</w:t>
            </w:r>
            <w:r/>
          </w:p>
        </w:tc>
        <w:tc>
          <w:tcPr>
            <w:tcBorders/>
            <w:tcW w:w="1560" w:type="dxa"/>
            <w:vAlign w:val="center"/>
            <w:textDirection w:val="lrTb"/>
            <w:noWrap w:val="false"/>
          </w:tcPr>
          <w:p>
            <w:pPr>
              <w:pBdr/>
              <w:spacing w:line="276" w:lineRule="auto"/>
              <w:ind/>
              <w:jc w:val="center"/>
              <w:rPr/>
            </w:pPr>
            <w:r>
              <w:t xml:space="preserve">Tốt</w:t>
            </w:r>
            <w:r/>
          </w:p>
        </w:tc>
        <w:tc>
          <w:tcPr>
            <w:tcBorders/>
            <w:tcW w:w="1605" w:type="dxa"/>
            <w:vAlign w:val="center"/>
            <w:textDirection w:val="lrTb"/>
            <w:noWrap w:val="false"/>
          </w:tcPr>
          <w:p>
            <w:pPr>
              <w:pBdr/>
              <w:spacing w:line="276" w:lineRule="auto"/>
              <w:ind/>
              <w:jc w:val="center"/>
              <w:rPr/>
            </w:pPr>
            <w:r>
              <w:t xml:space="preserve">Tốt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ff0000"/>
          <w:spacing w:val="-2"/>
          <w14:ligatures w14:val="none"/>
        </w:rPr>
      </w:pPr>
      <w:r>
        <w:rPr>
          <w:color w:val="ff0000"/>
          <w:spacing w:val="-2"/>
          <w:lang w:val="pt-BR"/>
        </w:rPr>
        <w:t xml:space="preserve">Tại thời điểm thẩm định tổ thẩm định thu thập được thông tin thửa đất thẩm định có nằm trong quy hoạch hành lang giao thông với diện tích trong quy hoạch là 28,98m</w:t>
      </w:r>
      <w:r>
        <w:rPr>
          <w:color w:val="ff0000"/>
          <w:spacing w:val="-2"/>
          <w:lang w:val="pt-BR"/>
        </w:rPr>
        <w:t xml:space="preserve">2</w:t>
      </w:r>
      <w:r>
        <w:rPr>
          <w:color w:val="ff0000"/>
          <w:spacing w:val="-2"/>
          <w:lang w:val="pt-BR"/>
        </w:rPr>
        <w:t xml:space="preserve"> (nguồn </w:t>
      </w:r>
      <w:hyperlink r:id="rId17" w:tooltip="https://beta.meeymap.com/tra-cuu-quy-hoach" w:history="1">
        <w:r>
          <w:rPr>
            <w:color w:val="ff0000"/>
            <w:spacing w:val="-2"/>
            <w:lang w:val="pt-BR"/>
          </w:rPr>
          <w:t xml:space="preserve">https://beta.meeymap.com/tra-cuu-quy-hoach</w:t>
        </w:r>
      </w:hyperlink>
      <w:r>
        <w:rPr>
          <w:color w:val="ff0000"/>
          <w:spacing w:val="-2"/>
          <w:lang w:val="pt-BR"/>
        </w:rPr>
        <w:t xml:space="preserve">). Theo thông tin trên GCN số CP 096813 không phân chia rõ vị trí các loại đất, do đó tổ thẩm định giả sử diện tích đất ở nằm trong hành lang giao thông là 18,98m</w:t>
      </w:r>
      <w:r>
        <w:rPr>
          <w:color w:val="ff0000"/>
          <w:spacing w:val="-2"/>
          <w:lang w:val="pt-BR"/>
        </w:rPr>
        <w:t xml:space="preserve">2</w:t>
      </w:r>
      <w:r>
        <w:rPr>
          <w:color w:val="ff0000"/>
          <w:spacing w:val="-2"/>
          <w:lang w:val="pt-BR"/>
        </w:rPr>
        <w:t xml:space="preserve">; Diện tích đất trồng cây nằm trong hành lang giao thông là 10m</w:t>
      </w:r>
      <w:r>
        <w:rPr>
          <w:color w:val="ff0000"/>
          <w:spacing w:val="-2"/>
          <w:lang w:val="pt-BR"/>
        </w:rPr>
        <w:t xml:space="preserve">2</w:t>
      </w:r>
      <w:r>
        <w:rPr>
          <w:color w:val="ff0000"/>
          <w:spacing w:val="-2"/>
          <w:lang w:val="pt-BR"/>
        </w:rPr>
        <w:t xml:space="preserve">. Thông tin quy hoạch trên chỉ mang tính tham khảo, sau thời điểm ra chứng thư có những văn bản quy hoạch chi tiết cụ thể hơn, sẽ được thẩm định bằng 1 cuộc thẩm định giá khác. Kính đề nghị đơn vị sử dụng chứng thư lưu ý và xem xét.</w:t>
      </w:r>
      <w:r>
        <w:rPr>
          <w:color w:val="ff0000"/>
          <w:spacing w:val="-2"/>
          <w14:ligatures w14:val="none"/>
        </w:rPr>
      </w:r>
      <w:r>
        <w:rPr>
          <w:color w:val="ff0000"/>
          <w:spacing w:val="-2"/>
          <w14:ligatures w14:val="none"/>
        </w:rPr>
      </w:r>
    </w:p>
    <w:p>
      <w:pPr>
        <w:pStyle w:val="1029"/>
        <w:numPr>
          <w:ilvl w:val="0"/>
          <w:numId w:val="3"/>
        </w:numPr>
        <w:pBdr/>
        <w:tabs>
          <w:tab w:val="left" w:leader="none" w:pos="993"/>
        </w:tabs>
        <w:spacing w:after="120" w:before="120" w:line="276"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76"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76"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18"/>
        <w:gridCol w:w="1941"/>
        <w:gridCol w:w="1596"/>
        <w:gridCol w:w="1702"/>
        <w:gridCol w:w="1609"/>
        <w:gridCol w:w="2126"/>
      </w:tblGrid>
      <w:tr>
        <w:trPr>
          <w:trHeight w:val="300"/>
        </w:trPr>
        <w:tc>
          <w:tcPr>
            <w:tcBorders>
              <w:top w:val="single" w:color="000000" w:sz="8" w:space="0"/>
              <w:left w:val="single" w:color="000000" w:sz="8" w:space="0"/>
              <w:bottom w:val="single" w:color="000000" w:sz="8" w:space="0"/>
              <w:right w:val="single" w:color="000000" w:sz="8" w:space="0"/>
            </w:tcBorders>
            <w:tcMar>
              <w:left w:w="51" w:type="dxa"/>
              <w:top w:w="0" w:type="dxa"/>
              <w:right w:w="51" w:type="dxa"/>
              <w:bottom w:w="0" w:type="dxa"/>
            </w:tcMar>
            <w:tcW w:w="61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51" w:type="dxa"/>
              <w:top w:w="0" w:type="dxa"/>
              <w:right w:w="51" w:type="dxa"/>
              <w:bottom w:w="0" w:type="dxa"/>
            </w:tcMar>
            <w:tcW w:w="194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51" w:type="dxa"/>
              <w:top w:w="0" w:type="dxa"/>
              <w:right w:w="51" w:type="dxa"/>
              <w:bottom w:w="0" w:type="dxa"/>
            </w:tcMar>
            <w:tcW w:w="194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spacing w:after="0" w:before="0" w:line="276" w:lineRule="auto"/>
              <w:ind/>
              <w:rPr/>
            </w:pPr>
            <w:r/>
            <w:r/>
          </w:p>
        </w:tc>
      </w:tr>
      <w:tr>
        <w:trPr>
          <w:trHeight w:val="1761"/>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Thôn Tân Phú, xã Sơn Đông, thị xã Sơn Tây, thành phố Hà Nội (nay là xã Phương Đoài, thành phố Hà Nội)</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Xã Sơn Đông, thị xã Sơn Tây, thành phố Hà Nội</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Xã Sơn Đông, thị xã Sơn Tây, thành phố Hà Nội</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Xã Sơn Đông, thị xã Sơn Tây, thành phố Hà Nội</w:t>
            </w:r>
            <w:r/>
          </w:p>
        </w:tc>
      </w:tr>
      <w:tr>
        <w:trPr>
          <w:trHeight w:val="216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hyperlink r:id="rId18" w:tooltip="https://batdongsan.com.vn/ban-dat-duong-quoc-lo-21a-quoc-lo-21-xa-co-dong/ban-mat-21-a-luc-quan-108-m2-gia-4-5-ty-pr44447127" w:history="1">
              <w:r>
                <w:rPr>
                  <w:rStyle w:val="1019"/>
                  <w:rFonts w:ascii="Times New Roman" w:hAnsi="Times New Roman" w:eastAsia="Times New Roman" w:cs="Times New Roman"/>
                  <w:color w:val="0000ff"/>
                  <w:sz w:val="22"/>
                  <w:u w:val="none"/>
                </w:rPr>
                <w:t xml:space="preserve">https://batdongsan.com.vn/ban-dat-duong-quoc-lo-21a-quoc-lo-21-xa-co-dong/ban-mat-21-a-luc-quan-108-m2-gia-4-5-ty-pr44447127</w:t>
              </w:r>
            </w:hyperlink>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ff"/>
                <w:sz w:val="22"/>
                <w:u w:val="single"/>
              </w:rPr>
              <w:t xml:space="preserve">Liên hệ trực tiếp</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hyperlink r:id="rId19" w:tooltip="https://www.facebook.com/photo/?fbid=3223157767837525&amp;set=pcb.2409779819450488" w:history="1">
              <w:r>
                <w:rPr>
                  <w:rStyle w:val="1019"/>
                  <w:rFonts w:ascii="Times New Roman" w:hAnsi="Times New Roman" w:eastAsia="Times New Roman" w:cs="Times New Roman"/>
                  <w:color w:val="0000ff"/>
                  <w:sz w:val="22"/>
                  <w:u w:val="none"/>
                </w:rPr>
                <w:t xml:space="preserve">https://www.facebook.com/photo/?fbid=3223157767837525&amp;set=pcb.2409779819450488</w:t>
              </w:r>
            </w:hyperlink>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0963441680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0912655866</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SĐT: 0942.755.456</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Tháng 12/2025</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Tháng 12/2025</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833"/>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55"/>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771"/>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ở 60,5m</w:t>
            </w:r>
            <w:r>
              <w:rPr>
                <w:rFonts w:ascii="Times New Roman" w:hAnsi="Times New Roman" w:eastAsia="Times New Roman" w:cs="Times New Roman"/>
                <w:color w:val="000000"/>
                <w:sz w:val="18"/>
                <w:vertAlign w:val="superscript"/>
              </w:rPr>
              <w:t xml:space="preserve">2</w:t>
            </w:r>
            <w:r>
              <w:rPr>
                <w:rFonts w:ascii="Times New Roman" w:hAnsi="Times New Roman" w:eastAsia="Times New Roman" w:cs="Times New Roman"/>
                <w:color w:val="000000"/>
                <w:sz w:val="22"/>
              </w:rPr>
              <w:t xml:space="preserve">; đất trồng cây lâu năm 30,5m</w:t>
            </w:r>
            <w:r>
              <w:rPr>
                <w:rFonts w:ascii="Times New Roman" w:hAnsi="Times New Roman" w:eastAsia="Times New Roman" w:cs="Times New Roman"/>
                <w:color w:val="000000"/>
                <w:sz w:val="18"/>
                <w:vertAlign w:val="superscript"/>
              </w:rPr>
              <w:t xml:space="preserve">2</w:t>
            </w:r>
            <w:r/>
          </w:p>
        </w:tc>
      </w:tr>
      <w:tr>
        <w:trPr>
          <w:trHeight w:val="96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ff0000"/>
                <w:sz w:val="22"/>
              </w:rPr>
              <w:t xml:space="preserve">Vị trí</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2"/>
              </w:rPr>
              <w:t xml:space="preserve">Tài sản tiếp giáp với đường QL 21A, cách chợ Bãi Đá khoảng 4km</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2"/>
              </w:rPr>
              <w:t xml:space="preserve">Tài sản tiếp giáp với đường QL 21A, cách chợ Bãi Đá khoảng 1km</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2"/>
              </w:rPr>
              <w:t xml:space="preserve">Tài sản tiếp giáp với đường QL 21A, cách chợ Bãi Đá khoảng 3km</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2"/>
              </w:rPr>
              <w:t xml:space="preserve">Tài sản tiếp giáp với đường QL 21A, cách chợ Bãi Đá khoảng 860m</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15m</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15m</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15m</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15m</w:t>
            </w:r>
            <w:r/>
          </w:p>
        </w:tc>
      </w:tr>
      <w:tr>
        <w:trPr>
          <w:trHeight w:val="60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210,0</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84,00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152,30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90,50</w:t>
            </w:r>
            <w:r/>
          </w:p>
        </w:tc>
      </w:tr>
      <w:tr>
        <w:trPr>
          <w:trHeight w:val="60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Diện tích đất ở</w:t>
              <w:br/>
              <w:t xml:space="preserve">  (m²)</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181,0</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84,00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60,00</w:t>
            </w:r>
            <w:r/>
          </w:p>
        </w:tc>
      </w:tr>
      <w:tr>
        <w:trPr>
          <w:trHeight w:val="60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Diện tích trồng cây lâu năm</w:t>
              <w:br/>
              <w:t xml:space="preserve">  (m²)</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0,0</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30,50</w:t>
            </w:r>
            <w:r/>
          </w:p>
        </w:tc>
      </w:tr>
      <w:tr>
        <w:trPr>
          <w:trHeight w:val="60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Đất ở nằm trong qui hoạch Hành lang giao thông </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18,98</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52,30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90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Đất trồng cây lâu năm nằm trong quy hoạch hành lang giao thông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10,00</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555"/>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Tỷ lệ đất ở/tổng diện tích đất không nằm trong quy hoạch</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66%</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4,4</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 mặt tiền</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 mặt tiền</w:t>
            </w:r>
            <w:r/>
          </w:p>
        </w:tc>
      </w:tr>
      <w:tr>
        <w:trPr>
          <w:trHeight w:val="52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Vuông vức</w:t>
            </w:r>
            <w:r/>
          </w:p>
        </w:tc>
      </w:tr>
      <w:tr>
        <w:trPr>
          <w:trHeight w:val="52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120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Nhà cấp 4</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Nhà cấp 4</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84,0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304,6</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70,0</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bottom"/>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Năm xây dựng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spacing w:after="0" w:before="0" w:line="276" w:lineRule="auto"/>
              <w:ind/>
              <w:rPr/>
            </w:pPr>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4.500.000.000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6.500.000.000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4.072.500.000</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3.830.000.000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5.980.000.000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3.260.000.000</w:t>
            </w:r>
            <w:r/>
          </w:p>
        </w:tc>
      </w:tr>
      <w:tr>
        <w:trPr>
          <w:trHeight w:val="315"/>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spacing w:after="0" w:before="0" w:line="276" w:lineRule="auto"/>
              <w:ind/>
              <w:rPr/>
            </w:pPr>
            <w:r/>
            <w:r/>
          </w:p>
        </w:tc>
      </w:tr>
      <w:tr>
        <w:trPr>
          <w:trHeight w:val="801"/>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248.732.467</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1.431.047.352</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190.003.968</w:t>
            </w:r>
            <w:r/>
          </w:p>
        </w:tc>
      </w:tr>
      <w:tr>
        <w:trPr>
          <w:trHeight w:val="169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Đơn giá xây dựng theo Quyết định số 816/QĐ-BXD ngày 22/8/2024 của Bộ xây dựng  (đồng/m²)</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4.935.168</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7.830.200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4.935.168</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55%</w:t>
            </w:r>
            <w:r/>
          </w:p>
        </w:tc>
      </w:tr>
      <w:tr>
        <w:trPr>
          <w:trHeight w:val="540"/>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Gía đất nằm trong quy hoạch hành lang giao thông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1.190.871.000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r>
      <w:tr>
        <w:trPr>
          <w:trHeight w:val="555"/>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Đơn giá đất ở theo giá UBND (đồng/m2)</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22.770.000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22.770.000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22.770.000</w:t>
            </w:r>
            <w:r/>
          </w:p>
        </w:tc>
      </w:tr>
      <w:tr>
        <w:trPr>
          <w:trHeight w:val="885"/>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Đơn giá đất trồng cây lâu năm theo giá UBND (đồng/m2)</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158.000</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158.000</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158.000</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3.581.267.533</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3.358.081.648</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3.069.996.032</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4</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42.634.137,3</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33.580.816</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33.922.608</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spacing w:after="0" w:before="0" w:line="276" w:lineRule="auto"/>
              <w:ind/>
              <w:rPr/>
            </w:pPr>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Lợi thế hơn</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833"/>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Diện tích đất không nằm trong quy hoạch</w:t>
              <w:br/>
              <w:t xml:space="preserve">  (m²)</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Lợi thế hơn</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555"/>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Tỷ lệ đất ở/tổng diện tích đất không nằm trong quy hoạch</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8"/>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555"/>
        </w:trPr>
        <w:tc>
          <w:tcPr>
            <w:tcBorders>
              <w:left w:val="single" w:color="000000" w:sz="8" w:space="0"/>
              <w:bottom w:val="single" w:color="000000" w:sz="8" w:space="0"/>
              <w:right w:val="single" w:color="000000" w:sz="8" w:space="0"/>
            </w:tcBorders>
            <w:tcMar>
              <w:left w:w="51" w:type="dxa"/>
              <w:top w:w="0" w:type="dxa"/>
              <w:right w:w="51" w:type="dxa"/>
              <w:bottom w:w="0" w:type="dxa"/>
            </w:tcMar>
            <w:tcW w:w="61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51" w:type="dxa"/>
              <w:top w:w="0" w:type="dxa"/>
              <w:right w:w="51" w:type="dxa"/>
              <w:bottom w:w="0" w:type="dxa"/>
            </w:tcMar>
            <w:tcW w:w="19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51" w:type="dxa"/>
              <w:top w:w="0" w:type="dxa"/>
              <w:right w:w="51" w:type="dxa"/>
              <w:bottom w:w="0" w:type="dxa"/>
            </w:tcMar>
            <w:tcW w:w="1596" w:type="dxa"/>
            <w:vAlign w:val="center"/>
            <w:textDirection w:val="lrTb"/>
            <w:noWrap/>
          </w:tcPr>
          <w:p>
            <w:pPr>
              <w:pBdr/>
              <w:spacing w:after="0" w:before="0" w:line="276" w:lineRule="auto"/>
              <w:ind/>
              <w:rPr/>
            </w:pPr>
            <w:r/>
            <w:r/>
          </w:p>
        </w:tc>
        <w:tc>
          <w:tcPr>
            <w:tcBorders>
              <w:bottom w:val="single" w:color="000000" w:sz="8" w:space="0"/>
              <w:right w:val="single" w:color="000000" w:sz="8" w:space="0"/>
            </w:tcBorders>
            <w:tcMar>
              <w:left w:w="51" w:type="dxa"/>
              <w:top w:w="0" w:type="dxa"/>
              <w:right w:w="51"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51" w:type="dxa"/>
              <w:top w:w="0" w:type="dxa"/>
              <w:right w:w="51"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76" w:lineRule="auto"/>
        <w:ind/>
        <w:jc w:val="both"/>
        <w:rPr>
          <w:highlight w:val="none"/>
          <w:lang w:val="it-IT"/>
        </w:rPr>
      </w:pPr>
      <w:r>
        <w:rPr>
          <w:highlight w:val="none"/>
          <w:lang w:val="it-IT"/>
        </w:rPr>
      </w:r>
      <w:r>
        <w:rPr>
          <w:highlight w:val="none"/>
          <w:lang w:val="it-IT"/>
        </w:rPr>
      </w:r>
      <w:r>
        <w:rPr>
          <w:highlight w:val="none"/>
          <w:lang w:val="it-IT"/>
        </w:rPr>
      </w:r>
    </w:p>
    <w:p>
      <w:pPr>
        <w:pBdr/>
        <w:tabs>
          <w:tab w:val="left" w:leader="none" w:pos="90"/>
          <w:tab w:val="left" w:leader="none" w:pos="180"/>
        </w:tabs>
        <w:spacing w:after="120" w:before="120" w:line="276"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76"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3"/>
        <w:tblInd w:w="0" w:type="dxa"/>
        <w:tblW w:w="0" w:type="auto"/>
        <w:tblCellMar>
          <w:left w:w="57" w:type="dxa"/>
          <w:top w:w="0" w:type="dxa"/>
          <w:right w:w="57"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26"/>
        <w:gridCol w:w="1779"/>
        <w:gridCol w:w="1196"/>
        <w:gridCol w:w="1463"/>
        <w:gridCol w:w="1514"/>
        <w:gridCol w:w="1559"/>
        <w:gridCol w:w="1559"/>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3.581.267.533</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3.358.081.648</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3.069.996.032</w:t>
            </w:r>
            <w:r/>
          </w:p>
        </w:tc>
      </w:tr>
      <w:tr>
        <w:trPr>
          <w:trHeight w:val="39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42.634.137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33.580.816</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33.922.608</w:t>
            </w:r>
            <w:r/>
          </w:p>
        </w:tc>
      </w:tr>
      <w:tr>
        <w:trPr>
          <w:trHeight w:val="525"/>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spacing w:after="0" w:before="0" w:line="276" w:lineRule="auto"/>
              <w:ind/>
              <w:rPr/>
            </w:pP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42.634.137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33.580.816</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33.922.608</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42.634.137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33.580.816</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33.922.608</w:t>
            </w:r>
            <w:r/>
          </w:p>
        </w:tc>
      </w:tr>
      <w:tr>
        <w:trPr>
          <w:trHeight w:val="108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60,5m2; đất trồng cây lâu năm 30,5m2</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6.784.522</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42.634.137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33.580.816</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40.707.130</w:t>
            </w:r>
            <w:r/>
          </w:p>
        </w:tc>
      </w:tr>
      <w:tr>
        <w:trPr>
          <w:trHeight w:val="187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QL 21A, cách chợ Bãi Đá khoảng 4km</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QL 21A, cách chợ Bãi Đá khoảng 1km</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QL 21A, cách chợ Bãi Đá khoảng 3km</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QL 21A, cách chợ Bãi Đá khoảng 860m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-1.705.365</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-335.808</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-2.849.499</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40.928.772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33.245.008</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37.857.631</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15m</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15m</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15m</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15m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40.928.772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33.245.008</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37.857.631</w:t>
            </w:r>
            <w:r/>
          </w:p>
        </w:tc>
      </w:tr>
      <w:tr>
        <w:trPr>
          <w:trHeight w:val="118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Diện tích đất không nằm trong quy hoạch</w:t>
              <w:br/>
              <w:t xml:space="preserve">  (m²)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181,02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84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90,50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-3.837.072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-2.350.657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-3.256.570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37.091.699</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30.894.351</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34.601.060</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2.131.707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1.679.041</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2.035.356</w:t>
            </w:r>
            <w:r/>
          </w:p>
        </w:tc>
      </w:tr>
      <w:tr>
        <w:trPr>
          <w:trHeight w:val="30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39.223.406</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32.573.392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36.636.417</w:t>
            </w:r>
            <w:r/>
          </w:p>
        </w:tc>
      </w:tr>
      <w:tr>
        <w:trPr>
          <w:trHeight w:val="741"/>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 tiền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4.263.414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3.358.082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4.070.713</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43.486.820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35.931.474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40.707.130</w:t>
            </w:r>
            <w:r/>
          </w:p>
        </w:tc>
      </w:tr>
      <w:tr>
        <w:trPr>
          <w:trHeight w:val="54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43.486.820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35.931.474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40.707.130</w:t>
            </w:r>
            <w:r/>
          </w:p>
        </w:tc>
      </w:tr>
      <w:tr>
        <w:trPr>
          <w:trHeight w:val="54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ff0000"/>
                <w:sz w:val="22"/>
              </w:rPr>
              <w:t xml:space="preserve">Lợi thế kinh doanh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ff0000"/>
                <w:sz w:val="22"/>
              </w:rPr>
              <w:t xml:space="preserve">Tốt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ff0000"/>
                <w:sz w:val="22"/>
              </w:rPr>
              <w:t xml:space="preserve">Tốt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ff0000"/>
                <w:sz w:val="22"/>
              </w:rPr>
              <w:t xml:space="preserve">Tốt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ff0000"/>
                <w:sz w:val="22"/>
              </w:rPr>
              <w:t xml:space="preserve">Tốt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0</w:t>
            </w: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43.486.820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35.931.474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40.707.130</w:t>
            </w:r>
            <w:r/>
          </w:p>
        </w:tc>
      </w:tr>
      <w:tr>
        <w:trPr>
          <w:trHeight w:val="135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43.486.820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35.931.474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40.707.130</w:t>
            </w:r>
            <w:r/>
          </w:p>
        </w:tc>
      </w:tr>
      <w:tr>
        <w:trPr>
          <w:trHeight w:val="27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43.486.820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35.931.474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40.707.130</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tcPr>
          <w:p>
            <w:pPr>
              <w:pBdr/>
              <w:spacing w:after="0" w:before="0" w:line="276" w:lineRule="auto"/>
              <w:ind/>
              <w:rPr/>
            </w:pPr>
            <w:r/>
          </w:p>
        </w:tc>
        <w:tc>
          <w:tcPr>
            <w:gridSpan w:val="3"/>
            <w:shd w:val="clear" w:color="ffffff" w:fill="ffffff"/>
            <w:tcBorders>
              <w:bottom w:val="single" w:color="000000" w:sz="8" w:space="0"/>
              <w:right w:val="single" w:color="000000" w:sz="8" w:space="0"/>
            </w:tcBorders>
            <w:tcMar>
              <w:left w:w="57" w:type="dxa"/>
              <w:top w:w="0" w:type="dxa"/>
              <w:right w:w="57" w:type="dxa"/>
              <w:bottom w:w="0" w:type="dxa"/>
            </w:tcMar>
            <w:tcW w:w="4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40.042.000</w:t>
            </w:r>
            <w:r/>
          </w:p>
        </w:tc>
      </w:tr>
      <w:tr>
        <w:trPr>
          <w:trHeight w:val="30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8,6%</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-10,3%</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1,7%</w:t>
            </w:r>
            <w:r/>
          </w:p>
        </w:tc>
      </w:tr>
      <w:tr>
        <w:trPr>
          <w:trHeight w:val="810"/>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spacing w:after="0" w:before="0" w:line="276" w:lineRule="auto"/>
              <w:ind/>
              <w:rPr/>
            </w:pPr>
            <w:r/>
          </w:p>
        </w:tc>
      </w:tr>
      <w:tr>
        <w:trPr>
          <w:trHeight w:val="555"/>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11.937.558</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7.723.588</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18.996.661</w:t>
            </w:r>
            <w:r/>
          </w:p>
        </w:tc>
      </w:tr>
      <w:tr>
        <w:trPr>
          <w:trHeight w:val="555"/>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78"/>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val="false"/>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9% - 10%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7% - 10%</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ff0000"/>
                <w:sz w:val="22"/>
              </w:rPr>
              <w:t xml:space="preserve">8% - 20%</w:t>
            </w:r>
            <w:r/>
          </w:p>
        </w:tc>
      </w:tr>
      <w:tr>
        <w:trPr>
          <w:trHeight w:val="555"/>
        </w:trPr>
        <w:tc>
          <w:tcPr>
            <w:shd w:val="clear" w:color="ffffff" w:fill="ffffff"/>
            <w:tcBorders>
              <w:left w:val="single" w:color="000000" w:sz="8" w:space="0"/>
              <w:bottom w:val="single" w:color="000000" w:sz="8" w:space="0"/>
              <w:right w:val="single" w:color="000000" w:sz="8" w:space="0"/>
            </w:tcBorders>
            <w:tcMar>
              <w:left w:w="57" w:type="dxa"/>
              <w:top w:w="0" w:type="dxa"/>
              <w:right w:w="57" w:type="dxa"/>
              <w:bottom w:w="0" w:type="dxa"/>
            </w:tcMar>
            <w:tcW w:w="6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57" w:type="dxa"/>
              <w:top w:w="0" w:type="dxa"/>
              <w:right w:w="57"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19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57" w:type="dxa"/>
              <w:top w:w="0" w:type="dxa"/>
              <w:right w:w="57" w:type="dxa"/>
              <w:bottom w:w="0" w:type="dxa"/>
            </w:tcMar>
            <w:tcW w:w="1463" w:type="dxa"/>
            <w:vAlign w:val="center"/>
            <w:textDirection w:val="lrTb"/>
            <w:noWrap/>
          </w:tcPr>
          <w:p>
            <w:pPr>
              <w:pBdr/>
              <w:spacing w:after="0" w:before="0" w:line="276" w:lineRule="auto"/>
              <w:ind/>
              <w:rPr/>
            </w:pPr>
            <w:r/>
          </w:p>
        </w:tc>
        <w:tc>
          <w:tcPr>
            <w:shd w:val="clear" w:color="ffffff" w:fill="ffffff"/>
            <w:tcBorders>
              <w:bottom w:val="single" w:color="000000" w:sz="8" w:space="0"/>
              <w:right w:val="single" w:color="000000" w:sz="8" w:space="0"/>
            </w:tcBorders>
            <w:tcMar>
              <w:left w:w="57" w:type="dxa"/>
              <w:top w:w="0" w:type="dxa"/>
              <w:right w:w="57" w:type="dxa"/>
              <w:bottom w:w="0" w:type="dxa"/>
            </w:tcMar>
            <w:tcW w:w="15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852.683</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2.350.657</w:t>
            </w:r>
            <w:r/>
          </w:p>
        </w:tc>
        <w:tc>
          <w:tcPr>
            <w:shd w:val="clear" w:color="ffffff" w:fill="ffffff"/>
            <w:tcBorders>
              <w:bottom w:val="single" w:color="000000" w:sz="8" w:space="0"/>
              <w:right w:val="single" w:color="000000" w:sz="8"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6.784.522</w:t>
            </w:r>
            <w:r/>
          </w:p>
        </w:tc>
      </w:tr>
    </w:tbl>
    <w:p>
      <w:pPr>
        <w:pBdr/>
        <w:spacing w:after="120" w:before="120" w:line="276" w:lineRule="auto"/>
        <w:ind/>
        <w:jc w:val="both"/>
        <w:rPr>
          <w:b/>
          <w:bCs/>
          <w:i/>
          <w:iCs/>
          <w:color w:val="auto"/>
          <w:highlight w:val="none"/>
        </w:rPr>
      </w:pPr>
      <w:r>
        <w:rPr>
          <w:i/>
          <w:iCs/>
          <w:color w:val="auto"/>
          <w:u w:val="single"/>
        </w:rPr>
        <w:t xml:space="preserve"> </w:t>
      </w:r>
      <w:r>
        <w:rPr>
          <w:b/>
          <w:bCs/>
          <w:i/>
          <w:iCs/>
          <w:color w:val="auto"/>
          <w:u w:val="single"/>
        </w:rPr>
        <w:t xml:space="preserve">Về nguyên tắc khống chế</w:t>
      </w:r>
      <w:r>
        <w:rPr>
          <w:b/>
          <w:bCs/>
          <w:i/>
          <w:iCs/>
          <w:color w:val="auto"/>
        </w:rPr>
        <w:t xml:space="preserve">: </w:t>
      </w:r>
      <w:r>
        <w:rPr>
          <w:b/>
          <w:bCs/>
          <w:i/>
          <w:iCs/>
          <w:color w:val="auto"/>
          <w:highlight w:val="none"/>
        </w:rPr>
      </w:r>
      <w:r>
        <w:rPr>
          <w:b/>
          <w:bCs/>
          <w:i/>
          <w:iCs/>
          <w:color w:val="auto"/>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auto"/>
        </w:rPr>
      </w:pPr>
      <w:r>
        <w:rPr>
          <w:rFonts w:ascii="Times New Roman" w:hAnsi="Times New Roman" w:eastAsia="Times New Roman" w:cs="Times New Roman"/>
          <w:color w:val="auto"/>
          <w:sz w:val="24"/>
        </w:rPr>
        <w:t xml:space="preserve">Theo số</w:t>
      </w:r>
      <w:r>
        <w:rPr>
          <w:rFonts w:ascii="Times New Roman" w:hAnsi="Times New Roman" w:eastAsia="Times New Roman" w:cs="Times New Roman"/>
          <w:color w:val="auto"/>
          <w:sz w:val="24"/>
          <w:szCs w:val="24"/>
        </w:rPr>
        <w:t xml:space="preserve"> liệu tại mục D2, chênh lệch giữa mức giá trung bình của các mức giá chỉ dẫn nằm trong khoảng từ </w:t>
      </w:r>
      <w:r>
        <w:rPr>
          <w:rFonts w:ascii="Times New Roman" w:hAnsi="Times New Roman" w:eastAsia="Times New Roman" w:cs="Times New Roman"/>
          <w:color w:val="auto"/>
          <w:sz w:val="24"/>
          <w:szCs w:val="24"/>
        </w:rPr>
        <w:t xml:space="preserve">-10,3%</w:t>
      </w:r>
      <w:r>
        <w:rPr>
          <w:rFonts w:ascii="Times New Roman" w:hAnsi="Times New Roman" w:eastAsia="Times New Roman" w:cs="Times New Roman"/>
          <w:color w:val="auto"/>
          <w:sz w:val="24"/>
          <w:szCs w:val="24"/>
        </w:rPr>
        <w:t xml:space="preserve"> đến </w:t>
      </w:r>
      <w:r>
        <w:rPr>
          <w:rFonts w:ascii="Times New Roman" w:hAnsi="Times New Roman" w:eastAsia="Times New Roman" w:cs="Times New Roman"/>
          <w:color w:val="auto"/>
          <w:sz w:val="24"/>
          <w:szCs w:val="24"/>
        </w:rPr>
        <w:t xml:space="preserve">8,6%</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z w:val="24"/>
          <w:szCs w:val="24"/>
        </w:rPr>
        <w:t xml:space="preserve">đảm bảo không quá 15% (theo Thông tư số 32/2024/TT-BTCngày 16/5/2024 của Bộ Tài Chính).</w:t>
      </w:r>
      <w:r>
        <w:rPr>
          <w:color w:val="auto"/>
        </w:rPr>
      </w:r>
      <w:r>
        <w:rPr>
          <w:color w:val="auto"/>
        </w:rPr>
      </w:r>
    </w:p>
    <w:p>
      <w:pPr>
        <w:pBdr/>
        <w:spacing w:after="120" w:before="120" w:line="276" w:lineRule="auto"/>
        <w:ind/>
        <w:rPr>
          <w:b/>
          <w:bCs/>
          <w:i/>
          <w:iCs/>
          <w:color w:val="auto"/>
          <w:u w:val="single"/>
        </w:rPr>
      </w:pPr>
      <w:r>
        <w:rPr>
          <w:b/>
          <w:bCs/>
          <w:i/>
          <w:iCs/>
          <w:color w:val="auto"/>
          <w:u w:val="single"/>
        </w:rPr>
        <w:t xml:space="preserve">Về thống nhất mức giá chỉ dẫn</w:t>
      </w:r>
      <w:r>
        <w:rPr>
          <w:b/>
          <w:bCs/>
          <w:i/>
          <w:iCs/>
          <w:color w:val="auto"/>
          <w:u w:val="single"/>
        </w:rPr>
        <w:t xml:space="preserve">:</w:t>
      </w:r>
      <w:r>
        <w:rPr>
          <w:b/>
          <w:bCs/>
          <w:i/>
          <w:iCs/>
          <w:color w:val="auto"/>
          <w:u w:val="single"/>
        </w:rPr>
      </w:r>
      <w:r>
        <w:rPr>
          <w:b/>
          <w:bCs/>
          <w:i/>
          <w:iCs/>
          <w:color w:val="auto"/>
          <w:u w:val="single"/>
        </w:rPr>
      </w:r>
    </w:p>
    <w:p>
      <w:pPr>
        <w:pBdr/>
        <w:spacing w:line="276" w:lineRule="auto"/>
        <w:ind/>
        <w:jc w:val="right"/>
        <w:rPr>
          <w:i/>
          <w:iCs/>
          <w:color w:val="auto"/>
        </w:rPr>
      </w:pPr>
      <w:r>
        <w:rPr>
          <w:i/>
          <w:iCs/>
          <w:color w:val="auto"/>
        </w:rPr>
        <w:t xml:space="preserve">Đơn vị tính: Đồng/m²</w:t>
      </w:r>
      <w:r>
        <w:rPr>
          <w:i/>
          <w:iCs/>
          <w:color w:val="auto"/>
        </w:rPr>
      </w:r>
      <w:r>
        <w:rPr>
          <w:i/>
          <w:iCs/>
          <w:color w:val="auto"/>
        </w:rPr>
      </w:r>
    </w:p>
    <w:tbl>
      <w:tblPr>
        <w:tblW w:w="5000" w:type="pct"/>
        <w:tblBorders/>
        <w:tblLook w:val="04A0" w:firstRow="1" w:lastRow="0" w:firstColumn="1" w:lastColumn="0" w:noHBand="0" w:noVBand="1"/>
      </w:tblPr>
      <w:tblGrid>
        <w:gridCol w:w="906"/>
        <w:gridCol w:w="2067"/>
        <w:gridCol w:w="2238"/>
        <w:gridCol w:w="2154"/>
        <w:gridCol w:w="2150"/>
      </w:tblGrid>
      <w:tr>
        <w:trPr>
          <w:trHeight w:val="979"/>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auto"/>
              </w:rPr>
            </w:pPr>
            <w:r>
              <w:rPr>
                <w:b/>
                <w:bCs/>
                <w:color w:val="auto"/>
              </w:rPr>
              <w:t xml:space="preserve">TT</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auto"/>
              </w:rPr>
            </w:pPr>
            <w:r>
              <w:rPr>
                <w:b/>
                <w:bCs/>
                <w:color w:val="auto"/>
              </w:rPr>
              <w:t xml:space="preserve">Tài sản</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auto"/>
              </w:rPr>
            </w:pPr>
            <w:r>
              <w:rPr>
                <w:b/>
                <w:bCs/>
                <w:color w:val="auto"/>
              </w:rPr>
              <w:t xml:space="preserve">Mức giá chỉ dẫn của các TSSS</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auto"/>
              </w:rPr>
            </w:pPr>
            <w:r>
              <w:rPr>
                <w:b/>
                <w:bCs/>
                <w:color w:val="auto"/>
              </w:rPr>
              <w:t xml:space="preserve">Trọng số của các TSSS sau điều chỉnh</w:t>
            </w:r>
            <w:r>
              <w:rPr>
                <w:b/>
                <w:bCs/>
                <w:color w:val="auto"/>
              </w:rPr>
            </w:r>
            <w:r>
              <w:rPr>
                <w:b/>
                <w:bCs/>
                <w:color w:val="auto"/>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auto"/>
              </w:rPr>
            </w:pPr>
            <w:r>
              <w:rPr>
                <w:b/>
                <w:bCs/>
                <w:color w:val="auto"/>
              </w:rPr>
              <w:t xml:space="preserve">Giá trị trung bình của mức giá chỉ dẫn sau điều chỉnh</w:t>
            </w:r>
            <w:r>
              <w:rPr>
                <w:b/>
                <w:bCs/>
                <w:color w:val="auto"/>
              </w:rPr>
            </w:r>
            <w:r>
              <w:rPr>
                <w:b/>
                <w:bCs/>
                <w:color w:val="auto"/>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auto"/>
              </w:rPr>
            </w:pPr>
            <w:r>
              <w:rPr>
                <w:color w:val="auto"/>
              </w:rPr>
              <w:t xml:space="preserve">1</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auto"/>
              </w:rPr>
            </w:pPr>
            <w:r>
              <w:rPr>
                <w:color w:val="auto"/>
              </w:rPr>
              <w:t xml:space="preserve">Tài sản so sánh 1</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45.192.186 </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30,00%</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    13.557.656 </w:t>
            </w:r>
            <w:r>
              <w:rPr>
                <w:color w:val="auto"/>
              </w:rPr>
            </w:r>
            <w:r>
              <w:rPr>
                <w:color w:val="auto"/>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auto"/>
              </w:rPr>
            </w:pPr>
            <w:r>
              <w:rPr>
                <w:color w:val="auto"/>
              </w:rPr>
              <w:t xml:space="preserve">2</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auto"/>
              </w:rPr>
            </w:pPr>
            <w:r>
              <w:rPr>
                <w:color w:val="auto"/>
              </w:rPr>
              <w:t xml:space="preserve">Tài sản so sánh 2</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38.427.282 </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35,00%</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    13.449.549 </w:t>
            </w:r>
            <w:r>
              <w:rPr>
                <w:color w:val="auto"/>
              </w:rPr>
            </w:r>
            <w:r>
              <w:rPr>
                <w:color w:val="auto"/>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auto"/>
              </w:rPr>
            </w:pPr>
            <w:r>
              <w:rPr>
                <w:color w:val="auto"/>
              </w:rPr>
              <w:t xml:space="preserve">3</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auto"/>
              </w:rPr>
            </w:pPr>
            <w:r>
              <w:rPr>
                <w:color w:val="auto"/>
              </w:rPr>
              <w:t xml:space="preserve">Tài sản so sánh 3</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43.391.160 </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30,00%</w:t>
            </w:r>
            <w:r>
              <w:rPr>
                <w:color w:val="auto"/>
              </w:rPr>
            </w:r>
            <w:r>
              <w:rPr>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color w:val="auto"/>
                <w:sz w:val="24"/>
              </w:rPr>
              <w:t xml:space="preserve">    13.017.348 </w:t>
            </w:r>
            <w:r>
              <w:rPr>
                <w:color w:val="auto"/>
              </w:rPr>
            </w:r>
            <w:r>
              <w:rPr>
                <w:color w:val="auto"/>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auto"/>
              </w:rPr>
            </w:pPr>
            <w:r>
              <w:rPr>
                <w:b/>
                <w:bCs/>
                <w:color w:val="auto"/>
              </w:rPr>
              <w:t xml:space="preserve">Giá trị bình quân theo trọng số:</w:t>
            </w:r>
            <w:r>
              <w:rPr>
                <w:b/>
                <w:bCs/>
                <w:color w:val="auto"/>
              </w:rPr>
            </w:r>
            <w:r>
              <w:rPr>
                <w:b/>
                <w:bCs/>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    40.024.552 </w:t>
            </w:r>
            <w:r>
              <w:rPr>
                <w:color w:val="auto"/>
              </w:rPr>
            </w:r>
            <w:r>
              <w:rPr>
                <w:color w:val="auto"/>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auto"/>
              </w:rPr>
            </w:pPr>
            <w:r>
              <w:rPr>
                <w:b/>
                <w:bCs/>
                <w:color w:val="auto"/>
              </w:rPr>
              <w:t xml:space="preserve">Làm tròn:</w:t>
            </w:r>
            <w:r>
              <w:rPr>
                <w:b/>
                <w:bCs/>
                <w:color w:val="auto"/>
              </w:rPr>
            </w:r>
            <w:r>
              <w:rPr>
                <w:b/>
                <w:bCs/>
                <w:color w:val="auto"/>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color w:val="auto"/>
              </w:rPr>
            </w:pPr>
            <w:r>
              <w:rPr>
                <w:rFonts w:ascii="Times New Roman" w:hAnsi="Times New Roman" w:eastAsia="Times New Roman" w:cs="Times New Roman"/>
                <w:b/>
                <w:color w:val="auto"/>
                <w:sz w:val="24"/>
              </w:rPr>
              <w:t xml:space="preserve">    40.000.000 </w:t>
            </w:r>
            <w:r>
              <w:rPr>
                <w:color w:val="auto"/>
              </w:rPr>
            </w:r>
            <w:r>
              <w:rPr>
                <w:color w:val="auto"/>
              </w:rPr>
            </w:r>
          </w:p>
        </w:tc>
      </w:tr>
    </w:tbl>
    <w:p>
      <w:pPr>
        <w:pBdr/>
        <w:spacing w:after="120" w:before="120" w:line="276" w:lineRule="auto"/>
        <w:ind/>
        <w:jc w:val="both"/>
        <w:rPr>
          <w:b/>
          <w:bCs/>
          <w:color w:val="auto"/>
        </w:rPr>
      </w:pPr>
      <w:r>
        <w:rPr>
          <w:color w:val="auto"/>
        </w:rPr>
        <w:t xml:space="preserve">Tổ thẩm định sử dụng mức giá chỉ dẫn là mức giá bình quân có trọng số của 03 tài sản so sánh làm mức giá của tài sản thẩm định, tương ứng là</w:t>
      </w:r>
      <w:r>
        <w:rPr>
          <w:color w:val="auto"/>
        </w:rPr>
        <w:t xml:space="preserve">:</w:t>
      </w:r>
      <w:r>
        <w:rPr>
          <w:color w:val="auto"/>
        </w:rPr>
        <w:t xml:space="preserve"> </w:t>
      </w:r>
      <w:r>
        <w:rPr>
          <w:b/>
          <w:bCs/>
          <w:color w:val="auto"/>
          <w:lang w:val="vi-VN"/>
        </w:rPr>
        <w:t xml:space="preserve">40.000.000</w:t>
      </w:r>
      <w:r>
        <w:rPr>
          <w:b/>
          <w:bCs/>
          <w:color w:val="auto"/>
        </w:rPr>
        <w:t xml:space="preserve"> </w:t>
      </w:r>
      <w:r>
        <w:rPr>
          <w:b/>
          <w:bCs/>
          <w:color w:val="auto"/>
        </w:rPr>
        <w:t xml:space="preserve">đồng/m².</w:t>
      </w:r>
      <w:r>
        <w:rPr>
          <w:b/>
          <w:bCs/>
          <w:color w:val="auto"/>
        </w:rPr>
      </w:r>
      <w:r>
        <w:rPr>
          <w:b/>
          <w:bCs/>
          <w:color w:val="auto"/>
        </w:rPr>
      </w:r>
    </w:p>
    <w:p>
      <w:pPr>
        <w:pStyle w:val="1029"/>
        <w:numPr>
          <w:ilvl w:val="0"/>
          <w:numId w:val="26"/>
        </w:numPr>
        <w:pBdr/>
        <w:spacing w:after="120" w:before="120" w:line="276" w:lineRule="auto"/>
        <w:ind w:hanging="357" w:left="357"/>
        <w:jc w:val="both"/>
        <w:rPr>
          <w:b/>
          <w:bCs/>
          <w:color w:val="auto"/>
        </w:rPr>
      </w:pPr>
      <w:r>
        <w:rPr>
          <w:b/>
          <w:bCs/>
          <w:color w:val="auto"/>
        </w:rPr>
        <w:t xml:space="preserve">Xác định giá trị tài sản gắn liền với đất</w:t>
      </w:r>
      <w:r>
        <w:rPr>
          <w:b/>
          <w:bCs/>
          <w:color w:val="auto"/>
        </w:rPr>
      </w:r>
      <w:r>
        <w:rPr>
          <w:b/>
          <w:bCs/>
          <w:color w:val="auto"/>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và check quy hoạch tổ thẩm định nhận thấy tài sản có khoảng 28,98m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nằm trong quy hoạch hành lang giao thông (nguồn https://beta.meeymap.com/tra-cuu-quy-hoach), tổ thẩm định giả sử diện tích đất ở nằm trong hành lang giao thông là 18,98m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đất trồng cây nằm trong hành lang giao thông là 10m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Qua quá trình khảo sát tổ thẩm định nhận thấy tại khu vực tài sản thẩm định tọa lạc rất hạn chế giao dịch đất nằm trong hành lang giao thông do đó tổ thẩm định ước tính loại đất này theo khung giá nhà nước ban hành, do đó vận dụng Quyết định số 71/2024/Q</w:t>
      </w:r>
      <w:r>
        <w:rPr>
          <w:rFonts w:ascii="Times New Roman" w:hAnsi="Times New Roman" w:eastAsia="Times New Roman" w:cs="Times New Roman"/>
          <w:color w:val="000000"/>
          <w:sz w:val="24"/>
        </w:rPr>
        <w:t xml:space="preserve">Đ-UBND ngày 20/12/2024 của Ủy ban nhân dân thành phố Hà Nội đơn giá đất quy hoạch nằm trong hành lang giao thông như sau:</w:t>
      </w:r>
      <w:r/>
    </w:p>
    <w:tbl>
      <w:tblPr>
        <w:tblStyle w:val="1033"/>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3796"/>
        <w:gridCol w:w="1220"/>
        <w:gridCol w:w="1951"/>
        <w:gridCol w:w="191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7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18,98</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22.770.000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432.174.600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trồng cây lâu năm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158.000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1.580.000</w:t>
            </w:r>
            <w:r/>
          </w:p>
        </w:tc>
      </w:tr>
    </w:tbl>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33"/>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651"/>
        <w:gridCol w:w="1220"/>
        <w:gridCol w:w="1761"/>
        <w:gridCol w:w="212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9-1+9-2, tờ bản đồ số: 16 có địa chỉ: Thôn Tân Phú, xã Sơn Đông, thị xã Sơn Tây, thành phố Hà Nội (nay là xã Phương Đoài, thành phố Hà Nội)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CP 096813, số vào sổ cấp GCN: CS-ST 11289 do Sở Tài nguyên và Môi trường thành phố Hà Nội cấp ngày 22/07/2019. Chủ sử dụng đất là bà Vũ Ngọc Hà (cập nhật ngày 26/6/2024)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181,0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       40.000.000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7.240.800.000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18,98</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22.770.000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432.174.600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trồng cây lâu năm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            158.000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1.580.000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0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7.674.554.600 </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0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7.675.000.000 </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Bảy tỷ sáu trăm bảy mươi lăm triệu đồng chẵn ./.)</w:t>
            </w:r>
            <w:r/>
          </w:p>
        </w:tc>
      </w:tr>
    </w:tbl>
    <w:p>
      <w:pPr>
        <w:pStyle w:val="1029"/>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9"/>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76" w:lineRule="auto"/>
        <w:ind/>
        <w:jc w:val="both"/>
        <w:rPr>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spacing w:val="2"/>
          <w:lang w:val="pt-BR"/>
        </w:rPr>
      </w:r>
      <w:r>
        <w:rPr>
          <w:spacing w:val="2"/>
          <w:lang w:val="pt-BR"/>
        </w:rPr>
      </w:r>
    </w:p>
    <w:p>
      <w:pPr>
        <w:pStyle w:val="1029"/>
        <w:numPr>
          <w:ilvl w:val="0"/>
          <w:numId w:val="5"/>
        </w:numPr>
        <w:pBdr/>
        <w:tabs>
          <w:tab w:val="left" w:leader="none" w:pos="993"/>
        </w:tabs>
        <w:spacing w:after="120" w:before="120" w:line="276" w:lineRule="auto"/>
        <w:ind/>
        <w:jc w:val="both"/>
        <w:rPr>
          <w:b/>
          <w:bCs/>
          <w:spacing w:val="2"/>
          <w:lang w:val="pt-BR"/>
        </w:rPr>
      </w:pPr>
      <w:r>
        <w:rPr>
          <w:spacing w:val="2"/>
          <w:lang w:val="pt-BR"/>
        </w:rPr>
      </w:r>
      <w:r>
        <w:rPr>
          <w:rFonts w:ascii="Times New Roman" w:hAnsi="Times New Roman" w:eastAsia="Times New Roman" w:cs="Times New Roman"/>
          <w:color w:val="ff0000"/>
          <w:sz w:val="24"/>
        </w:rPr>
        <w:t xml:space="preserve">Tại thời điểm thẩm định tổ thẩm định thu thập được thông tin thửa đất thẩm định có nằm trong quy hoạch hành lang giao thông với diện tích trong quy hoạch là 28,98m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(nguồn </w:t>
      </w:r>
      <w:hyperlink r:id="rId20" w:tooltip="https://beta.meeymap.com/tra-cuu-quy-hoach" w:history="1">
        <w:r>
          <w:rPr>
            <w:rStyle w:val="1019"/>
            <w:rFonts w:ascii="Times New Roman" w:hAnsi="Times New Roman" w:eastAsia="Times New Roman" w:cs="Times New Roman"/>
            <w:color w:val="ff0000"/>
            <w:sz w:val="24"/>
            <w:u w:val="none"/>
          </w:rPr>
          <w:t xml:space="preserve">https://beta.meeymap.com/tra-cuu-quy-hoach</w:t>
        </w:r>
      </w:hyperlink>
      <w:r>
        <w:rPr>
          <w:rFonts w:ascii="Times New Roman" w:hAnsi="Times New Roman" w:eastAsia="Times New Roman" w:cs="Times New Roman"/>
          <w:color w:val="ff0000"/>
          <w:sz w:val="24"/>
        </w:rPr>
        <w:t xml:space="preserve">). Theo thông tin trên GCN số CP 096813 không phân chia rõ vị trí các loại đất, do đó tổ thẩm định giả sử diện tích đất ở nằm trong hành lang giao thông là 18,98m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Diện tích đất trồng cây nằm trong hành lang giao thông là 10m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Thông tin quy hoạch trên chỉ mang tính tham khảo, sau thời điểm ra chứng thư có những văn bản quy hoạch chi tiết cụ thể hơn, sẽ được thẩm định bằng 1 cuộc thẩm định giá khác. Kính đề nghị đơn vị sử dụng chứng thư lưu ý và xem xét.</w:t>
      </w:r>
      <w:r>
        <w:rPr>
          <w:b/>
          <w:bCs/>
          <w:spacing w:val="2"/>
          <w:lang w:val="pt-BR"/>
        </w:rPr>
      </w:r>
      <w:r>
        <w:rPr>
          <w:b/>
          <w:bCs/>
          <w:spacing w:val="2"/>
          <w:lang w:val="pt-BR"/>
        </w:rPr>
      </w:r>
    </w:p>
    <w:p>
      <w:pPr>
        <w:pStyle w:val="1029"/>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9"/>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275/2025/1716/VFI-CT.27.A</w:t>
      </w:r>
      <w:r>
        <w:rPr>
          <w:color w:val="ff0000"/>
          <w:lang w:val="vi-VN"/>
        </w:rPr>
        <w:t xml:space="preserve"> </w:t>
      </w:r>
      <w:r>
        <w:rPr>
          <w:color w:val="000000" w:themeColor="text1"/>
        </w:rPr>
        <w:t xml:space="preserve">ngày 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Vũ Văn Quân - Chủ tịch</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bCs/>
          <w:u w:val="single"/>
          <w:lang w:val="vi-VN"/>
        </w:rPr>
      </w:pPr>
      <w:r>
        <w:rPr>
          <w:b/>
          <w:u w:val="single"/>
          <w:lang w:val="vi-VN"/>
        </w:rPr>
      </w:r>
      <w:r>
        <w:rPr>
          <w:b/>
          <w:bCs/>
          <w:u w:val="single"/>
          <w:lang w:val="vi-VN"/>
        </w:rPr>
      </w:r>
      <w:r>
        <w:rPr>
          <w:b/>
          <w:bCs/>
          <w:u w:val="single"/>
          <w:lang w:val="vi-VN"/>
        </w:rPr>
      </w:r>
    </w:p>
    <w:p>
      <w:pPr>
        <w:pBdr/>
        <w:shd w:val="nil" w:color="auto"/>
        <w:spacing w:line="276" w:lineRule="auto"/>
        <w:ind/>
        <w:rPr/>
      </w:pPr>
      <w:r>
        <w:rPr>
          <w:rFonts w:ascii="Times New Roman" w:hAnsi="Times New Roman" w:eastAsia="Times New Roman" w:cs="Times New Roman"/>
          <w:b/>
          <w:color w:val="000000"/>
          <w:sz w:val="24"/>
          <w:highlight w:val="none"/>
        </w:rPr>
        <w:br w:type="page" w:clear="all"/>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GIẤY CHỨNG NHẬN QSDĐ</w:t>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none"/>
        </w:rPr>
      </w:pPr>
      <w:r>
        <mc:AlternateContent>
          <mc:Choice Requires="wpg">
            <w:drawing>
              <wp:inline xmlns:wp="http://schemas.openxmlformats.org/drawingml/2006/wordprocessingDrawing" distT="0" distB="0" distL="0" distR="0">
                <wp:extent cx="6048375" cy="875566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01097" name=""/>
                        <pic:cNvPicPr>
                          <a:picLocks noChangeAspect="1"/>
                        </pic:cNvPicPr>
                        <pic:nvPr/>
                      </pic:nvPicPr>
                      <pic:blipFill>
                        <a:blip r:embed="rId21"/>
                        <a:stretch/>
                      </pic:blipFill>
                      <pic:spPr bwMode="auto">
                        <a:xfrm>
                          <a:off x="0" y="0"/>
                          <a:ext cx="6048374" cy="8755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89.42pt;mso-wrap-distance-left:0.00pt;mso-wrap-distance-top:0.00pt;mso-wrap-distance-right:0.00pt;mso-wrap-distance-bottom:0.00pt;z-index:1;" stroked="false">
                <v:imagedata r:id="rId21" o:title=""/>
                <o:lock v:ext="edit" rotation="t"/>
              </v:shape>
            </w:pict>
          </mc:Fallback>
        </mc:AlternateContent>
      </w:r>
      <w:r>
        <w:rPr>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highlight w:val="none"/>
        </w:rPr>
      </w:r>
      <w:r>
        <mc:AlternateContent>
          <mc:Choice Requires="wpg">
            <w:drawing>
              <wp:inline xmlns:wp="http://schemas.openxmlformats.org/drawingml/2006/wordprocessingDrawing" distT="0" distB="0" distL="0" distR="0">
                <wp:extent cx="6048375" cy="909866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77037" name=""/>
                        <pic:cNvPicPr>
                          <a:picLocks noChangeAspect="1"/>
                        </pic:cNvPicPr>
                        <pic:nvPr/>
                      </pic:nvPicPr>
                      <pic:blipFill>
                        <a:blip r:embed="rId22"/>
                        <a:stretch/>
                      </pic:blipFill>
                      <pic:spPr bwMode="auto">
                        <a:xfrm>
                          <a:off x="0" y="0"/>
                          <a:ext cx="6048374" cy="90986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716.43pt;mso-wrap-distance-left:0.00pt;mso-wrap-distance-top:0.00pt;mso-wrap-distance-right:0.00pt;mso-wrap-distance-bottom:0.00pt;z-index:1;" stroked="false">
                <v:imagedata r:id="rId22" o:title=""/>
                <o:lock v:ext="edit" rotation="t"/>
              </v:shape>
            </w:pict>
          </mc:Fallback>
        </mc:AlternateContent>
      </w:r>
      <w:r>
        <w:rPr>
          <w:highlight w:val="none"/>
        </w:r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0581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39372" name=""/>
                        <pic:cNvPicPr>
                          <a:picLocks noChangeAspect="1"/>
                        </pic:cNvPicPr>
                        <pic:nvPr/>
                      </pic:nvPicPr>
                      <pic:blipFill>
                        <a:blip r:embed="rId23"/>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634.50pt;mso-wrap-distance-left:0.00pt;mso-wrap-distance-top:0.00pt;mso-wrap-distance-right:0.00pt;mso-wrap-distance-bottom:0.00pt;z-index:1;" stroked="false">
                <v:imagedata r:id="rId23" o:title=""/>
                <o:lock v:ext="edit" rotation="t"/>
              </v:shape>
            </w:pict>
          </mc:Fallback>
        </mc:AlternateContent>
      </w: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line="276" w:lineRule="auto"/>
        <w:ind/>
        <w:jc w:val="center"/>
        <w:rPr>
          <w:i/>
          <w:lang w:val="pt-BR"/>
        </w:rPr>
      </w:pPr>
      <w:r>
        <w:rPr>
          <w:i/>
          <w:lang w:val="pt-BR"/>
        </w:rPr>
        <w:t xml:space="preserve">(Kèm theo Báo cáo thẩm định số</w:t>
      </w:r>
      <w:r>
        <w:rPr>
          <w:i/>
          <w:lang w:val="pt-BR"/>
        </w:rPr>
        <w:t xml:space="preserve"> </w:t>
      </w:r>
      <w:r>
        <w:rPr>
          <w:i/>
        </w:rPr>
        <w:t xml:space="preserve">275/2025/1716/VFI-BC.27.A</w:t>
      </w:r>
      <w:r>
        <w:rPr>
          <w:i/>
          <w:lang w:val="pt-BR"/>
        </w:rPr>
        <w:t xml:space="preserve"> </w:t>
      </w:r>
      <w:r>
        <w:rPr>
          <w:i/>
          <w:lang w:val="pt-BR"/>
        </w:rPr>
        <w:t xml:space="preserve">ngày 03 tháng 12 năm 2025</w:t>
      </w:r>
      <w:r>
        <w:rPr>
          <w:i/>
          <w:lang w:val="pt-BR"/>
        </w:rPr>
        <w:t xml:space="preserve"> </w:t>
      </w:r>
      <w:r>
        <w:rPr>
          <w:i/>
          <w:lang w:val="pt-BR"/>
        </w:rPr>
        <w:t xml:space="preserve">của </w:t>
      </w:r>
      <w:r>
        <w:rPr>
          <w:i/>
          <w:lang w:val="pt-BR"/>
        </w:rPr>
      </w:r>
      <w:r>
        <w:rPr>
          <w:i/>
          <w:lang w:val="pt-BR"/>
        </w:rPr>
      </w:r>
    </w:p>
    <w:p>
      <w:pPr>
        <w:pBdr/>
        <w:spacing w:after="120" w:line="276" w:lineRule="auto"/>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58281" name=""/>
                              <pic:cNvPicPr>
                                <a:picLocks noChangeAspect="1"/>
                              </pic:cNvPicPr>
                              <pic:nvPr/>
                            </pic:nvPicPr>
                            <pic:blipFill>
                              <a:blip r:embed="rId24"/>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75pt;height:174.00pt;mso-wrap-distance-left:0.00pt;mso-wrap-distance-top:0.00pt;mso-wrap-distance-right:0.00pt;mso-wrap-distance-bottom:0.00pt;z-index:1;" stroked="false">
                      <v:imagedata r:id="rId24" o:title=""/>
                      <o:lock v:ext="edit" rotation="t"/>
                    </v:shape>
                  </w:pict>
                </mc:Fallback>
              </mc:AlternateConten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9681" name=""/>
                              <pic:cNvPicPr>
                                <a:picLocks noChangeAspect="1"/>
                              </pic:cNvPicPr>
                              <pic:nvPr/>
                            </pic:nvPicPr>
                            <pic:blipFill>
                              <a:blip r:embed="rId2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75pt;height:174.00pt;mso-wrap-distance-left:0.00pt;mso-wrap-distance-top:0.00pt;mso-wrap-distance-right:0.00pt;mso-wrap-distance-bottom:0.00pt;z-index:1;" stroked="false">
                      <v:imagedata r:id="rId25"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vMerge w:val="restart"/>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w:t xml:space="preserve">Đường trước tài sản</w:t>
            </w:r>
            <w:r/>
          </w:p>
        </w:tc>
        <w:tc>
          <w:tcPr>
            <w:tcBorders>
              <w:bottom w:val="single" w:color="000000" w:sz="8" w:space="0"/>
              <w:right w:val="single" w:color="000000" w:sz="8" w:space="0"/>
            </w:tcBorders>
            <w:tcMar>
              <w:left w:w="108" w:type="dxa"/>
              <w:top w:w="0" w:type="dxa"/>
              <w:right w:w="108" w:type="dxa"/>
              <w:bottom w:w="0" w:type="dxa"/>
            </w:tcMar>
            <w:tcW w:w="4837" w:type="dxa"/>
            <w:vAlign w:val="top"/>
            <w:vMerge w:val="restart"/>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w:t xml:space="preserve">Tổng quan tài sản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39463" name=""/>
                              <pic:cNvPicPr>
                                <a:picLocks noChangeAspect="1"/>
                              </pic:cNvPicPr>
                              <pic:nvPr/>
                            </pic:nvPicPr>
                            <pic:blipFill>
                              <a:blip r:embed="rId2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75pt;height:174.00pt;mso-wrap-distance-left:0.00pt;mso-wrap-distance-top:0.00pt;mso-wrap-distance-right:0.00pt;mso-wrap-distance-bottom:0.00pt;z-index:1;" stroked="false">
                      <v:imagedata r:id="rId2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80540" name=""/>
                              <pic:cNvPicPr>
                                <a:picLocks noChangeAspect="1"/>
                              </pic:cNvPicPr>
                              <pic:nvPr/>
                            </pic:nvPicPr>
                            <pic:blipFill>
                              <a:blip r:embed="rId2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75pt;height:174.00pt;mso-wrap-distance-left:0.00pt;mso-wrap-distance-top:0.00pt;mso-wrap-distance-right:0.00pt;mso-wrap-distance-bottom:0.00pt;z-index:1;" stroked="false">
                      <v:imagedata r:id="rId27"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vMerge w:val="restart"/>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w:t xml:space="preserve">Tổng quan tài sản</w:t>
            </w:r>
            <w:r/>
          </w:p>
        </w:tc>
        <w:tc>
          <w:tcPr>
            <w:tcBorders>
              <w:bottom w:val="single" w:color="000000" w:sz="8" w:space="0"/>
              <w:right w:val="single" w:color="000000" w:sz="8" w:space="0"/>
            </w:tcBorders>
            <w:tcMar>
              <w:left w:w="108" w:type="dxa"/>
              <w:top w:w="0" w:type="dxa"/>
              <w:right w:w="108" w:type="dxa"/>
              <w:bottom w:w="0" w:type="dxa"/>
            </w:tcMar>
            <w:tcW w:w="4837" w:type="dxa"/>
            <w:vAlign w:val="top"/>
            <w:vMerge w:val="restart"/>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w:t xml:space="preserve">Hiện trạng tài sản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94230" name=""/>
                              <pic:cNvPicPr>
                                <a:picLocks noChangeAspect="1"/>
                              </pic:cNvPicPr>
                              <pic:nvPr/>
                            </pic:nvPicPr>
                            <pic:blipFill>
                              <a:blip r:embed="rId28"/>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75pt;height:174.00pt;mso-wrap-distance-left:0.00pt;mso-wrap-distance-top:0.00pt;mso-wrap-distance-right:0.00pt;mso-wrap-distance-bottom:0.00pt;z-index:1;" stroked="false">
                      <v:imagedata r:id="rId28" o:title=""/>
                      <o:lock v:ext="edit" rotation="t"/>
                    </v:shape>
                  </w:pict>
                </mc:Fallback>
              </mc:AlternateContent>
            </w: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rPr>
                <w:sz w:val="22"/>
                <w:szCs w:val="22"/>
              </w:rPr>
            </w:pPr>
            <w:r>
              <w:rPr>
                <w:sz w:val="22"/>
                <w:szCs w:val="22"/>
              </w:rPr>
            </w:r>
            <w:r>
              <w:rPr>
                <w:sz w:val="22"/>
                <w:szCs w:val="22"/>
              </w:rPr>
            </w:r>
            <w:r>
              <w:rPr>
                <w:sz w:val="22"/>
                <w:szCs w:val="22"/>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jc w:val="center"/>
              <w:rPr>
                <w:sz w:val="22"/>
                <w:szCs w:val="22"/>
              </w:rPr>
            </w:pPr>
            <w:r>
              <w:rPr>
                <w:sz w:val="22"/>
                <w:szCs w:val="22"/>
              </w:rPr>
              <w:t xml:space="preserve">Người khảo sát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highlight w:val="none"/>
              </w:rPr>
            </w:pPr>
            <w:r>
              <mc:AlternateContent>
                <mc:Choice Requires="wpg">
                  <w:drawing>
                    <wp:inline xmlns:wp="http://schemas.openxmlformats.org/drawingml/2006/wordprocessingDrawing" distT="0" distB="0" distL="0" distR="0">
                      <wp:extent cx="1295400" cy="28670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78249" name=""/>
                              <pic:cNvPicPr>
                                <a:picLocks noChangeAspect="1"/>
                              </pic:cNvPicPr>
                              <pic:nvPr/>
                            </pic:nvPicPr>
                            <pic:blipFill>
                              <a:blip r:embed="rId29"/>
                              <a:stretch/>
                            </pic:blipFill>
                            <pic:spPr bwMode="auto">
                              <a:xfrm>
                                <a:off x="0" y="0"/>
                                <a:ext cx="1295399" cy="2867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2.00pt;height:225.75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0" w:line="276" w:lineRule="auto"/>
              <w:ind w:right="0" w:firstLine="0" w:left="0"/>
              <w:jc w:val="center"/>
              <w:rPr>
                <w:sz w:val="22"/>
                <w:szCs w:val="22"/>
              </w:rPr>
            </w:pPr>
            <w:r>
              <w:rPr>
                <w:highlight w:val="none"/>
              </w:rPr>
              <w:t xml:space="preserve">Hướng</w:t>
            </w:r>
            <w:r>
              <w:rPr>
                <w:sz w:val="22"/>
                <w:szCs w:val="22"/>
              </w:rPr>
            </w:r>
            <w:r>
              <w:rPr>
                <w:sz w:val="22"/>
                <w:szCs w:val="22"/>
              </w:rP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spacing w:after="120" w:line="276" w:lineRule="auto"/>
        <w:ind/>
        <w:jc w:val="center"/>
        <w:rPr>
          <w:bCs/>
          <w:i/>
          <w:lang w:val="pt-BR"/>
        </w:rPr>
      </w:pPr>
      <w:r>
        <w:rPr>
          <w:i/>
          <w:highlight w:val="none"/>
          <w:lang w:val="pt-BR" w:bidi="pt-BR"/>
        </w:rPr>
      </w:r>
      <w:r>
        <w:rPr>
          <w:bCs/>
          <w:i/>
          <w:lang w:val="pt-BR"/>
        </w:rPr>
      </w:r>
      <w:r>
        <w:rPr>
          <w:bCs/>
          <w:i/>
          <w:lang w:val="pt-BR"/>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line="276" w:lineRule="auto"/>
        <w:ind/>
        <w:jc w:val="center"/>
        <w:rPr>
          <w:i/>
          <w:lang w:val="pt-BR"/>
        </w:rPr>
      </w:pPr>
      <w:r>
        <w:rPr>
          <w:i/>
          <w:lang w:val="pt-BR"/>
        </w:rPr>
        <w:t xml:space="preserve">(Kèm theo Báo cáo thẩm định số </w:t>
      </w:r>
      <w:r>
        <w:rPr>
          <w:i/>
        </w:rPr>
        <w:t xml:space="preserve">275/2025/1716/VFI-BC.27.A</w:t>
      </w:r>
      <w:r>
        <w:rPr>
          <w:i/>
          <w:lang w:val="pt-BR"/>
        </w:rPr>
        <w:t xml:space="preserve"> ngày 0</w:t>
      </w:r>
      <w:r>
        <w:rPr>
          <w:i/>
          <w:lang w:val="pt-BR"/>
        </w:rPr>
        <w:t xml:space="preserve">3 tháng 12 năm 2025</w:t>
      </w:r>
      <w:r>
        <w:rPr>
          <w:i/>
          <w:lang w:val="pt-BR"/>
        </w:rPr>
        <w:t xml:space="preserve"> </w:t>
      </w:r>
      <w:r>
        <w:rPr>
          <w:i/>
          <w:lang w:val="pt-BR"/>
        </w:rPr>
        <w:t xml:space="preserve">của </w:t>
      </w:r>
      <w:r>
        <w:rPr>
          <w:i/>
          <w:lang w:val="pt-BR"/>
        </w:rPr>
      </w:r>
      <w:r>
        <w:rPr>
          <w:i/>
          <w:lang w:val="pt-BR"/>
        </w:rPr>
      </w:r>
    </w:p>
    <w:p>
      <w:pPr>
        <w:pBdr/>
        <w:spacing w:after="120" w:line="276" w:lineRule="auto"/>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line="276" w:lineRule="auto"/>
        <w:ind/>
        <w:jc w:val="center"/>
        <w:rPr>
          <w:highlight w:val="none"/>
        </w:rPr>
      </w:pPr>
      <w:r>
        <w:rPr>
          <w:b/>
          <w:bCs/>
          <w:iCs/>
          <w:highlight w:val="none"/>
          <w:lang w:val="pt-BR"/>
        </w:rPr>
      </w:r>
      <w:r>
        <w:rPr>
          <w:highlight w:val="none"/>
        </w:rPr>
      </w:r>
      <w:r>
        <w:rPr>
          <w:highlight w:val="none"/>
        </w:rPr>
      </w:r>
    </w:p>
    <w:p>
      <w:pPr>
        <w:pBdr/>
        <w:shd w:val="nil" w:color="auto"/>
        <w:spacing w:line="276" w:lineRule="auto"/>
        <w:ind/>
        <w:rPr>
          <w:color w:val="000000"/>
          <w:sz w:val="22"/>
          <w:szCs w:val="22"/>
        </w:rPr>
      </w:pPr>
      <w:r>
        <mc:AlternateContent>
          <mc:Choice Requires="wpg">
            <w:drawing>
              <wp:inline xmlns:wp="http://schemas.openxmlformats.org/drawingml/2006/wordprocessingDrawing" distT="0" distB="0" distL="0" distR="0">
                <wp:extent cx="6048375" cy="701354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47613" name=""/>
                        <pic:cNvPicPr>
                          <a:picLocks noChangeAspect="1"/>
                        </pic:cNvPicPr>
                        <pic:nvPr/>
                      </pic:nvPicPr>
                      <pic:blipFill>
                        <a:blip r:embed="rId30"/>
                        <a:stretch/>
                      </pic:blipFill>
                      <pic:spPr bwMode="auto">
                        <a:xfrm>
                          <a:off x="0" y="0"/>
                          <a:ext cx="6048374" cy="70135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552.25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hd w:val="nil" w:color="auto"/>
        <w:spacing w:line="276" w:lineRule="auto"/>
        <w:ind/>
        <w:rPr>
          <w:color w:val="000000"/>
          <w:sz w:val="22"/>
          <w:szCs w:val="22"/>
          <w:highlight w:val="none"/>
        </w:rPr>
      </w:pPr>
      <w:r>
        <w:rPr>
          <w:color w:val="000000"/>
          <w:sz w:val="22"/>
          <w:szCs w:val="22"/>
          <w:highlight w:val="none"/>
        </w:rPr>
        <w:br w:type="page" w:clear="all"/>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rPr>
        <w:t xml:space="preserve">Hình ảnh đăng bán: </w:t>
      </w:r>
      <w:r>
        <w:rPr>
          <w:color w:val="000000"/>
          <w:sz w:val="22"/>
          <w:szCs w:val="22"/>
          <w:highlight w:val="none"/>
        </w:rPr>
      </w:r>
      <w:r>
        <w:rPr>
          <w:color w:val="000000"/>
          <w:sz w:val="22"/>
          <w:szCs w:val="22"/>
          <w:highlight w:val="none"/>
        </w:rPr>
      </w:r>
    </w:p>
    <w:p>
      <w:pPr>
        <w:pBdr/>
        <w:spacing w:after="120" w:line="276" w:lineRule="auto"/>
        <w:ind/>
        <w:jc w:val="center"/>
        <w:rPr>
          <w:b/>
          <w:bCs/>
          <w:highlight w:val="none"/>
          <w:lang w:val="pt-BR"/>
        </w:rPr>
      </w:pPr>
      <w:r>
        <w:rPr>
          <w:highlight w:val="none"/>
          <w:lang w:val="pt-BR" w:bidi="pt-BR"/>
        </w:rPr>
      </w:r>
      <w:r>
        <w:rPr>
          <w:b/>
          <w:bCs/>
          <w:highlight w:val="none"/>
          <w:lang w:val="pt-BR"/>
        </w:rPr>
      </w:r>
      <w:r>
        <w:rPr>
          <w:b/>
          <w:bCs/>
          <w:highlight w:val="none"/>
          <w:lang w:val="pt-BR"/>
        </w:rPr>
      </w:r>
    </w:p>
    <w:p>
      <w:pPr>
        <w:pBdr/>
        <w:spacing w:after="120" w:line="276" w:lineRule="auto"/>
        <w:ind/>
        <w:jc w:val="center"/>
        <w:rPr>
          <w:b/>
          <w:bCs/>
          <w:highlight w:val="none"/>
          <w:lang w:val="pt-BR"/>
        </w:rPr>
      </w:pPr>
      <w:r>
        <w:rPr>
          <w:b/>
          <w:bCs/>
          <w:highlight w:val="none"/>
          <w:lang w:val="pt-BR"/>
        </w:rPr>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271075933" name="" descr=""/>
                        <pic:cNvPicPr/>
                        <pic:nvPr/>
                      </pic:nvPicPr>
                      <pic:blipFill>
                        <a:blip r:embed="rId31"/>
                        <a:stretch/>
                      </pic:blipFill>
                      <pic:spPr bwMode="auto">
                        <a:xfrm rot="0" flipH="0" flipV="0">
                          <a:off x="0" y="0"/>
                          <a:ext cx="178593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63pt;height:250.0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53262752" name="" descr=""/>
                        <pic:cNvPicPr/>
                        <pic:nvPr/>
                      </pic:nvPicPr>
                      <pic:blipFill>
                        <a:blip r:embed="rId32"/>
                        <a:stretch/>
                      </pic:blipFill>
                      <pic:spPr bwMode="auto">
                        <a:xfrm rot="0" flipH="0" flipV="0">
                          <a:off x="0" y="0"/>
                          <a:ext cx="178593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63pt;height:250.00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534600" cy="2285930"/>
                <wp:effectExtent l="0" t="0" r="0" b="0"/>
                <wp:docPr id="19" name=""/>
                <wp:cNvGraphicFramePr/>
                <a:graphic xmlns:a="http://schemas.openxmlformats.org/drawingml/2006/main">
                  <a:graphicData uri="http://schemas.openxmlformats.org/drawingml/2006/picture">
                    <pic:pic xmlns:pic="http://schemas.openxmlformats.org/drawingml/2006/picture">
                      <pic:nvPicPr>
                        <pic:cNvPr id="436554202" name="" descr=""/>
                        <pic:cNvPicPr/>
                        <pic:nvPr/>
                      </pic:nvPicPr>
                      <pic:blipFill>
                        <a:blip r:embed="rId33"/>
                        <a:stretch/>
                      </pic:blipFill>
                      <pic:spPr bwMode="auto">
                        <a:xfrm rot="0" flipH="0" flipV="0">
                          <a:off x="0" y="0"/>
                          <a:ext cx="3534598" cy="22859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78.31pt;height:179.99pt;mso-wrap-distance-left:0.00pt;mso-wrap-distance-top:0.00pt;mso-wrap-distance-right:0.00pt;mso-wrap-distance-bottom:0.00pt;rotation:0;z-index:1;" stroked="false">
                <v:imagedata r:id="rId33" o:title=""/>
                <o:lock v:ext="edit" rotation="t"/>
              </v:shape>
            </w:pict>
          </mc:Fallback>
        </mc:AlternateContent>
      </w:r>
      <w:r>
        <w:rPr>
          <w:b/>
          <w:bCs/>
          <w:highlight w:val="none"/>
          <w:lang w:val="pt-BR"/>
        </w:rPr>
      </w:r>
      <w:r>
        <w:rPr>
          <w:b/>
          <w:bCs/>
          <w:highlight w:val="none"/>
          <w:lang w:val="pt-BR"/>
        </w:rPr>
      </w:r>
    </w:p>
    <w:p>
      <w:pPr>
        <w:pBdr/>
        <w:spacing w:after="120" w:line="276" w:lineRule="auto"/>
        <w:ind/>
        <w:jc w:val="center"/>
        <w:rPr>
          <w:b/>
          <w:bCs/>
          <w:highlight w:val="none"/>
          <w:lang w:val="pt-BR" w:bidi="pt-BR"/>
        </w:rPr>
      </w:pPr>
      <w:r>
        <w:rPr>
          <w:b/>
          <w:bCs/>
          <w:highlight w:val="none"/>
          <w:lang w:val="pt-BR" w:bidi="pt-BR"/>
        </w:rPr>
      </w:r>
      <w:r>
        <w:rPr>
          <w:b/>
          <w:bCs/>
          <w:highlight w:val="none"/>
          <w:lang w:val="pt-BR" w:bidi="pt-BR"/>
        </w:rPr>
      </w:r>
      <w:r>
        <w:rPr>
          <w:b/>
          <w:bCs/>
          <w:highlight w:val="none"/>
          <w:lang w:val="pt-BR" w:bidi="pt-BR"/>
        </w:rPr>
      </w:r>
    </w:p>
    <w:p>
      <w:pPr>
        <w:pBdr/>
        <w:spacing w:after="120" w:line="276" w:lineRule="auto"/>
        <w:ind/>
        <w:jc w:val="center"/>
        <w:rPr>
          <w:b/>
          <w:bCs/>
          <w:highlight w:val="none"/>
          <w:lang w:val="pt-BR" w:bidi="pt-BR"/>
        </w:rPr>
      </w:pPr>
      <w:r>
        <w:rPr>
          <w:b/>
          <w:bCs/>
          <w:highlight w:val="none"/>
          <w:lang w:val="pt-BR" w:bidi="pt-BR"/>
        </w:rPr>
      </w:r>
      <w:r>
        <w:rPr>
          <w:color w:val="000000"/>
          <w:sz w:val="22"/>
          <w:szCs w:val="22"/>
        </w:rPr>
        <mc:AlternateContent>
          <mc:Choice Requires="wpg">
            <w:drawing>
              <wp:inline xmlns:wp="http://schemas.openxmlformats.org/drawingml/2006/wordprocessingDrawing" distT="0" distB="0" distL="0" distR="0">
                <wp:extent cx="4552678" cy="2259576"/>
                <wp:effectExtent l="0" t="0" r="0" b="0"/>
                <wp:docPr id="20" name=""/>
                <wp:cNvGraphicFramePr/>
                <a:graphic xmlns:a="http://schemas.openxmlformats.org/drawingml/2006/main">
                  <a:graphicData uri="http://schemas.openxmlformats.org/drawingml/2006/picture">
                    <pic:pic xmlns:pic="http://schemas.openxmlformats.org/drawingml/2006/picture">
                      <pic:nvPicPr>
                        <pic:cNvPr id="539017578" name="" descr=""/>
                        <pic:cNvPicPr/>
                        <pic:nvPr/>
                      </pic:nvPicPr>
                      <pic:blipFill>
                        <a:blip r:embed="rId34"/>
                        <a:stretch/>
                      </pic:blipFill>
                      <pic:spPr bwMode="auto">
                        <a:xfrm rot="0" flipH="0" flipV="0">
                          <a:off x="0" y="0"/>
                          <a:ext cx="4552677" cy="22595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8.48pt;height:177.92pt;mso-wrap-distance-left:0.00pt;mso-wrap-distance-top:0.00pt;mso-wrap-distance-right:0.00pt;mso-wrap-distance-bottom:0.00pt;rotation:0;z-index:1;" stroked="false">
                <v:imagedata r:id="rId34" o:title=""/>
                <o:lock v:ext="edit" rotation="t"/>
              </v:shape>
            </w:pict>
          </mc:Fallback>
        </mc:AlternateContent>
      </w:r>
      <w:r>
        <w:rPr>
          <w:b/>
          <w:bCs/>
          <w:highlight w:val="none"/>
          <w:lang w:val="pt-BR" w:bidi="pt-BR"/>
        </w:rPr>
      </w:r>
      <w:r>
        <w:rPr>
          <w:b/>
          <w:bCs/>
          <w:highlight w:val="none"/>
          <w:lang w:val="pt-BR" w:bidi="pt-BR"/>
        </w:rPr>
      </w:r>
    </w:p>
    <w:p>
      <w:pPr>
        <w:pBdr/>
        <w:spacing w:after="120" w:line="276" w:lineRule="auto"/>
        <w:ind/>
        <w:jc w:val="center"/>
        <w:rPr>
          <w:b/>
          <w:bCs/>
          <w:highlight w:val="none"/>
          <w:lang w:val="pt-BR"/>
        </w:rPr>
      </w:pPr>
      <w:r>
        <w:rPr>
          <w:b/>
          <w:bCs/>
          <w:highlight w:val="none"/>
          <w:lang w:val="pt-BR"/>
        </w:rPr>
      </w:r>
      <w:r>
        <w:rPr>
          <w:b/>
          <w:bCs/>
          <w:highlight w:val="none"/>
          <w:lang w:val="pt-BR"/>
        </w:rPr>
      </w:r>
      <w:r>
        <w:rPr>
          <w:b/>
          <w:bCs/>
          <w:highlight w:val="none"/>
          <w:lang w:val="pt-BR"/>
        </w:rPr>
      </w:r>
    </w:p>
    <w:p>
      <w:pPr>
        <w:pBdr/>
        <w:spacing w:after="120" w:line="276" w:lineRule="auto"/>
        <w:ind/>
        <w:jc w:val="center"/>
        <w:rPr>
          <w:b/>
          <w:bCs/>
          <w:highlight w:val="none"/>
          <w:lang w:val="pt-BR"/>
        </w:rPr>
      </w:pPr>
      <w:r>
        <w:rPr>
          <w:b/>
          <w:bCs/>
          <w:highlight w:val="none"/>
          <w:lang w:val="pt-BR"/>
        </w:rPr>
      </w:r>
      <w:r>
        <w:rPr>
          <w:b/>
          <w:bCs/>
          <w:highlight w:val="none"/>
          <w:lang w:val="pt-BR"/>
        </w:rPr>
      </w:r>
      <w:r>
        <w:rPr>
          <w:b/>
          <w:bCs/>
          <w:highlight w:val="none"/>
          <w:lang w:val="pt-BR"/>
        </w:rPr>
      </w:r>
    </w:p>
    <w:p>
      <w:pPr>
        <w:pBdr/>
        <w:spacing w:after="120" w:line="276" w:lineRule="auto"/>
        <w:ind/>
        <w:jc w:val="center"/>
        <w:rPr>
          <w:b/>
          <w:bCs/>
          <w:highlight w:val="none"/>
          <w:lang w:val="pt-BR"/>
        </w:rPr>
      </w:pPr>
      <w:r>
        <w:rPr>
          <w:b/>
          <w:bCs/>
          <w:highlight w:val="none"/>
          <w:lang w:val="pt-BR"/>
        </w:rPr>
      </w:r>
      <w:r>
        <w:rPr>
          <w:b/>
          <w:bCs/>
          <w:highlight w:val="none"/>
          <w:lang w:val="pt-BR"/>
        </w:rPr>
      </w:r>
      <w:r>
        <w:rPr>
          <w:b/>
          <w:bCs/>
          <w:highlight w:val="none"/>
          <w:lang w:val="pt-BR"/>
        </w:rPr>
      </w:r>
    </w:p>
    <w:p>
      <w:pPr>
        <w:pBdr/>
        <w:spacing w:after="12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649007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45330" name=""/>
                        <pic:cNvPicPr>
                          <a:picLocks noChangeAspect="1"/>
                        </pic:cNvPicPr>
                        <pic:nvPr/>
                      </pic:nvPicPr>
                      <pic:blipFill>
                        <a:blip r:embed="rId35"/>
                        <a:stretch/>
                      </pic:blipFill>
                      <pic:spPr bwMode="auto">
                        <a:xfrm>
                          <a:off x="0" y="0"/>
                          <a:ext cx="6048374" cy="64900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511.03pt;mso-wrap-distance-left:0.00pt;mso-wrap-distance-top:0.00pt;mso-wrap-distance-right:0.00pt;mso-wrap-distance-bottom:0.00pt;z-index:1;" stroked="false">
                <v:imagedata r:id="rId35" o:title=""/>
                <o:lock v:ext="edit" rotation="t"/>
              </v:shape>
            </w:pict>
          </mc:Fallback>
        </mc:AlternateContent>
      </w:r>
      <w:r>
        <w:rPr>
          <w:b/>
          <w:bCs/>
          <w:highlight w:val="none"/>
          <w:lang w:val="pt-BR" w:bidi="pt-BR"/>
        </w:rPr>
      </w:r>
      <w:r>
        <w:rPr>
          <w:b/>
          <w:bCs/>
          <w:highlight w:val="none"/>
          <w:lang w:val="pt-BR" w:bidi="pt-BR"/>
        </w:rPr>
      </w:r>
    </w:p>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53455" cy="1878576"/>
                <wp:effectExtent l="0" t="0" r="0" b="0"/>
                <wp:docPr id="22" name=""/>
                <wp:cNvGraphicFramePr/>
                <a:graphic xmlns:a="http://schemas.openxmlformats.org/drawingml/2006/main">
                  <a:graphicData uri="http://schemas.openxmlformats.org/drawingml/2006/picture">
                    <pic:pic xmlns:pic="http://schemas.openxmlformats.org/drawingml/2006/picture">
                      <pic:nvPicPr>
                        <pic:cNvPr id="1397145387" name="" descr=""/>
                        <pic:cNvPicPr/>
                        <pic:nvPr/>
                      </pic:nvPicPr>
                      <pic:blipFill>
                        <a:blip r:embed="rId36"/>
                        <a:stretch/>
                      </pic:blipFill>
                      <pic:spPr bwMode="auto">
                        <a:xfrm flipH="0" flipV="0">
                          <a:off x="0" y="0"/>
                          <a:ext cx="1953455" cy="18785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53.82pt;height:147.92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92172" cy="1667695"/>
                <wp:effectExtent l="0" t="0" r="0" b="0"/>
                <wp:docPr id="23" name=""/>
                <wp:cNvGraphicFramePr/>
                <a:graphic xmlns:a="http://schemas.openxmlformats.org/drawingml/2006/main">
                  <a:graphicData uri="http://schemas.openxmlformats.org/drawingml/2006/picture">
                    <pic:pic xmlns:pic="http://schemas.openxmlformats.org/drawingml/2006/picture">
                      <pic:nvPicPr>
                        <pic:cNvPr id="758137150" name="" descr=""/>
                        <pic:cNvPicPr/>
                        <pic:nvPr/>
                      </pic:nvPicPr>
                      <pic:blipFill>
                        <a:blip r:embed="rId37"/>
                        <a:stretch/>
                      </pic:blipFill>
                      <pic:spPr bwMode="auto">
                        <a:xfrm rot="0" flipH="0" flipV="0">
                          <a:off x="0" y="0"/>
                          <a:ext cx="3892172" cy="16676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06.47pt;height:131.31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hd w:val="nil" w:color="auto"/>
        <w:spacing w:line="276" w:lineRule="auto"/>
        <w:ind/>
        <w:rPr>
          <w:lang w:val="pt-BR"/>
        </w:rPr>
      </w:pPr>
      <w:r>
        <w:rPr>
          <w:b/>
          <w:bCs/>
          <w:iCs/>
          <w:highlight w:val="none"/>
          <w:lang w:val="pt-BR"/>
        </w:rPr>
        <w:br w:type="page" w:clear="all"/>
      </w:r>
      <w:r>
        <mc:AlternateContent>
          <mc:Choice Requires="wpg">
            <w:drawing>
              <wp:inline xmlns:wp="http://schemas.openxmlformats.org/drawingml/2006/wordprocessingDrawing" distT="0" distB="0" distL="0" distR="0">
                <wp:extent cx="6048375" cy="693722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52324" name=""/>
                        <pic:cNvPicPr>
                          <a:picLocks noChangeAspect="1"/>
                        </pic:cNvPicPr>
                        <pic:nvPr/>
                      </pic:nvPicPr>
                      <pic:blipFill>
                        <a:blip r:embed="rId38"/>
                        <a:stretch/>
                      </pic:blipFill>
                      <pic:spPr bwMode="auto">
                        <a:xfrm>
                          <a:off x="0" y="0"/>
                          <a:ext cx="6048374" cy="6937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546.24pt;mso-wrap-distance-left:0.00pt;mso-wrap-distance-top:0.00pt;mso-wrap-distance-right:0.00pt;mso-wrap-distance-bottom:0.00pt;z-index:1;" stroked="false">
                <v:imagedata r:id="rId38" o:title=""/>
                <o:lock v:ext="edit" rotation="t"/>
              </v:shape>
            </w:pict>
          </mc:Fallback>
        </mc:AlternateContent>
      </w:r>
      <w:r>
        <w:rPr>
          <w:lang w:val="pt-BR"/>
        </w:rPr>
      </w:r>
      <w:r>
        <w:rPr>
          <w:lang w:val="pt-BR"/>
        </w:rPr>
      </w:r>
    </w:p>
    <w:p>
      <w:pPr>
        <w:suppressLineNumbers w:val="false"/>
        <w:pBdr/>
        <w:shd w:val="nil" w:color="auto"/>
        <w:spacing w:line="276" w:lineRule="auto"/>
        <w:ind/>
        <w:rPr>
          <w:b/>
          <w:bCs/>
          <w:color w:val="000000"/>
          <w:sz w:val="22"/>
          <w:szCs w:val="22"/>
        </w:rPr>
      </w:pPr>
      <w:r>
        <w:rPr>
          <w:color w:val="000000"/>
          <w:sz w:val="22"/>
          <w:szCs w:val="22"/>
          <w:highlight w:val="none"/>
        </w:rPr>
        <w:br w:type="page" w:clear="all"/>
      </w:r>
      <w:r>
        <w:rPr>
          <w:color w:val="000000"/>
          <w:sz w:val="22"/>
          <w:szCs w:val="22"/>
          <w:highlight w:val="none"/>
        </w:rPr>
      </w:r>
      <w:r>
        <w:rPr>
          <w:b/>
          <w:bCs/>
          <w:color w:val="000000"/>
          <w:sz w:val="22"/>
          <w:szCs w:val="22"/>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rPr>
          <w:color w:val="000000"/>
          <w:sz w:val="22"/>
          <w:szCs w:val="22"/>
          <w:highlight w:val="none"/>
        </w:rPr>
      </w:pPr>
      <w:r>
        <w:rPr>
          <w:color w:val="000000"/>
          <w:sz w:val="22"/>
          <w:szCs w:val="22"/>
        </w:rPr>
        <w:t xml:space="preserve">Hình ảnh đăng bán:</w:t>
      </w:r>
      <w:r>
        <w:rPr>
          <w:b/>
          <w:bCs/>
          <w:color w:val="000000"/>
          <w:sz w:val="22"/>
          <w:szCs w:val="22"/>
        </w:rPr>
      </w:r>
      <w:r>
        <w:rPr>
          <w:color w:val="000000"/>
          <w:sz w:val="22"/>
          <w:szCs w:val="22"/>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75296" cy="2820493"/>
                <wp:effectExtent l="0" t="0" r="0" b="0"/>
                <wp:docPr id="25" name=""/>
                <wp:cNvGraphicFramePr/>
                <a:graphic xmlns:a="http://schemas.openxmlformats.org/drawingml/2006/main">
                  <a:graphicData uri="http://schemas.openxmlformats.org/drawingml/2006/picture">
                    <pic:pic xmlns:pic="http://schemas.openxmlformats.org/drawingml/2006/picture">
                      <pic:nvPicPr>
                        <pic:cNvPr id="283830129" name="" descr=""/>
                        <pic:cNvPicPr/>
                        <pic:nvPr/>
                      </pic:nvPicPr>
                      <pic:blipFill>
                        <a:blip r:embed="rId39"/>
                        <a:stretch/>
                      </pic:blipFill>
                      <pic:spPr bwMode="auto">
                        <a:xfrm flipH="0" flipV="0">
                          <a:off x="0" y="0"/>
                          <a:ext cx="2675296" cy="28204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0.65pt;height:222.09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67672" cy="2820493"/>
                <wp:effectExtent l="0" t="0" r="0" b="0"/>
                <wp:docPr id="26" name=""/>
                <wp:cNvGraphicFramePr/>
                <a:graphic xmlns:a="http://schemas.openxmlformats.org/drawingml/2006/main">
                  <a:graphicData uri="http://schemas.openxmlformats.org/drawingml/2006/picture">
                    <pic:pic xmlns:pic="http://schemas.openxmlformats.org/drawingml/2006/picture">
                      <pic:nvPicPr>
                        <pic:cNvPr id="1869883322" name="" descr=""/>
                        <pic:cNvPicPr/>
                        <pic:nvPr/>
                      </pic:nvPicPr>
                      <pic:blipFill>
                        <a:blip r:embed="rId40"/>
                        <a:stretch/>
                      </pic:blipFill>
                      <pic:spPr bwMode="auto">
                        <a:xfrm rot="0" flipH="0" flipV="0">
                          <a:off x="0" y="0"/>
                          <a:ext cx="3067671" cy="28204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41.55pt;height:222.09pt;mso-wrap-distance-left:0.00pt;mso-wrap-distance-top:0.00pt;mso-wrap-distance-right:0.00pt;mso-wrap-distance-bottom:0.00pt;rotation:0;z-index:1;" stroked="false">
                <v:imagedata r:id="rId40" o:title=""/>
                <o:lock v:ext="edit" rotation="t"/>
              </v:shape>
            </w:pict>
          </mc:Fallback>
        </mc:AlternateContent>
      </w:r>
      <w:r>
        <w:rPr>
          <w:color w:val="000000"/>
          <w:sz w:val="22"/>
          <w:szCs w:val="22"/>
        </w:rPr>
      </w:r>
      <w:r>
        <w:rPr>
          <w:color w:val="000000"/>
          <w:sz w:val="22"/>
          <w:szCs w:val="22"/>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5938"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094737798" name="" descr=""/>
                        <pic:cNvPicPr/>
                        <pic:nvPr/>
                      </pic:nvPicPr>
                      <pic:blipFill>
                        <a:blip r:embed="rId41"/>
                        <a:stretch/>
                      </pic:blipFill>
                      <pic:spPr bwMode="auto">
                        <a:xfrm>
                          <a:off x="0" y="0"/>
                          <a:ext cx="178593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40.63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661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604723288" name="" descr=""/>
                        <pic:cNvPicPr/>
                        <pic:nvPr/>
                      </pic:nvPicPr>
                      <pic:blipFill>
                        <a:blip r:embed="rId42"/>
                        <a:stretch/>
                      </pic:blipFill>
                      <pic:spPr bwMode="auto">
                        <a:xfrm>
                          <a:off x="0" y="0"/>
                          <a:ext cx="178660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40.68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3F0B96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3A1D785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jpg"/><Relationship Id="rId16" Type="http://schemas.openxmlformats.org/officeDocument/2006/relationships/image" Target="media/image4.png"/><Relationship Id="rId17" Type="http://schemas.openxmlformats.org/officeDocument/2006/relationships/hyperlink" Target="https://beta.meeymap.com/tra-cuu-quy-hoach" TargetMode="External"/><Relationship Id="rId18" Type="http://schemas.openxmlformats.org/officeDocument/2006/relationships/hyperlink" Target="https://batdongsan.com.vn/ban-dat-duong-quoc-lo-21a-quoc-lo-21-xa-co-dong/ban-mat-21-a-luc-quan-108-m2-gia-4-5-ty-pr44447127" TargetMode="External"/><Relationship Id="rId19" Type="http://schemas.openxmlformats.org/officeDocument/2006/relationships/hyperlink" Target="https://www.facebook.com/photo/?fbid=3223157767837525&amp;set=pcb.2409779819450488" TargetMode="External"/><Relationship Id="rId20" Type="http://schemas.openxmlformats.org/officeDocument/2006/relationships/hyperlink" Target="https://beta.meeymap.com/tra-cuu-quy-hoach" TargetMode="External"/><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jpg"/><Relationship Id="rId27" Type="http://schemas.openxmlformats.org/officeDocument/2006/relationships/image" Target="media/image11.jpg"/><Relationship Id="rId28" Type="http://schemas.openxmlformats.org/officeDocument/2006/relationships/image" Target="media/image12.jpg"/><Relationship Id="rId29" Type="http://schemas.openxmlformats.org/officeDocument/2006/relationships/image" Target="media/image13.jpg"/><Relationship Id="rId30" Type="http://schemas.openxmlformats.org/officeDocument/2006/relationships/image" Target="media/image14.png"/><Relationship Id="rId31" Type="http://schemas.openxmlformats.org/officeDocument/2006/relationships/image" Target="media/image15.jpg"/><Relationship Id="rId32" Type="http://schemas.openxmlformats.org/officeDocument/2006/relationships/image" Target="media/image16.jpg"/><Relationship Id="rId33" Type="http://schemas.openxmlformats.org/officeDocument/2006/relationships/image" Target="media/image17.jpg"/><Relationship Id="rId34" Type="http://schemas.openxmlformats.org/officeDocument/2006/relationships/image" Target="media/image18.jp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jp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271</cp:revision>
  <dcterms:created xsi:type="dcterms:W3CDTF">2025-09-15T09:58:00Z</dcterms:created>
  <dcterms:modified xsi:type="dcterms:W3CDTF">2025-12-06T07:47:52Z</dcterms:modified>
</cp:coreProperties>
</file>