
<file path=[Content_Types].xml><?xml version="1.0" encoding="utf-8"?>
<Types xmlns="http://schemas.openxmlformats.org/package/2006/content-types">
  <Default Extension="gif" ContentType="image/gif"/>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suppressLineNumbers w:val="false"/>
        <w:pBdr/>
        <w:spacing w:line="235" w:lineRule="auto"/>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96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969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275/2025/1702/VFI-CT.48.A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DƯƠNG QUANG THÀNH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Căn hộ chung cư số 1612, Tòa nhà CT2, Tổ hợp thương mại dịch vụ và căn hộ - THE PRIDE, Khu đô thị mới An Hưng, phường La Khê, quận Hà Đông, thành phố Hà Nội (nay là phường Hà Đ</w:t>
                            </w:r>
                            <w:r>
                              <w:rPr>
                                <w:color w:val="000000"/>
                              </w:rPr>
                              <w:t xml:space="preserve">ông, thành phố Hà Nội) theo Giấy chứng nhận quyền sử dụng đất quyền sở hữu nhà ở và tài sản khác gắn liền với đất số: DM 824365, số vào sổ cấp GCN: VP00558 do Văn phòng đăng ký đất đai Hà Nội cấp ngày 30/11/2023 cho Ông Dương Quang Thành và Bà Tạ Thị Lệ Hà</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1.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275/2025/1702/VFI-CT.48.A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DƯƠNG QUANG THÀNH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Căn hộ chung cư số 1612, Tòa nhà CT2, Tổ hợp thương mại dịch vụ và căn hộ - THE PRIDE, Khu đô thị mới An Hưng, phường La Khê, quận Hà Đông, thành phố Hà Nội (nay là phường Hà Đ</w:t>
                      </w:r>
                      <w:r>
                        <w:rPr>
                          <w:color w:val="000000"/>
                        </w:rPr>
                        <w:t xml:space="preserve">ông, thành phố Hà Nội) theo Giấy chứng nhận quyền sử dụng đất quyền sở hữu nhà ở và tài sản khác gắn liền với đất số: DM 824365, số vào sổ cấp GCN: VP00558 do Văn phòng đăng ký đất đai Hà Nội cấp ngày 30/11/2023 cho Ông Dương Quang Thành và Bà Tạ Thị Lệ Hà</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Style w:val="1025"/>
                <w:rFonts w:ascii="Times New Roman" w:hAnsi="Times New Roman"/>
                <w:color w:val="000000" w:themeColor="text1"/>
                <w:lang w:val="pt-BR"/>
              </w:rPr>
              <w:t xml:space="preserve">275/2025/1702/VFI-CT.48.A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pPr>
              <w:pStyle w:val="1026"/>
              <w:pBdr/>
              <w:spacing w:after="60" w:before="200"/>
              <w:ind w:right="-56"/>
              <w:jc w:val="right"/>
              <w:rPr>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ngày 01 tháng 12 năm 2025   </w:t>
            </w:r>
            <w:r>
              <w:rPr>
                <w:rStyle w:val="1025"/>
                <w:rFonts w:ascii="Times New Roman" w:hAnsi="Times New Roman"/>
                <w:i/>
                <w:color w:val="auto"/>
                <w:lang w:val="vi-VN"/>
              </w:rPr>
              <w:t xml:space="preserve">  </w:t>
            </w:r>
            <w:r>
              <w:rPr>
                <w:sz w:val="24"/>
                <w:szCs w:val="24"/>
                <w:lang w:val="vi-VN"/>
              </w:rPr>
            </w:r>
            <w:r>
              <w:rPr>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DƯƠNG QUANG THÀNH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275/2025/1702/VFI-HĐTĐ.48.A</w:t>
      </w:r>
      <w:r>
        <w:rPr>
          <w:spacing w:val="-4"/>
          <w:lang w:val="vi-VN"/>
        </w:rPr>
        <w:t xml:space="preserve"> ký ngày </w:t>
      </w:r>
      <w:r>
        <w:rPr>
          <w:color w:val="000000" w:themeColor="text1"/>
          <w:spacing w:val="-4"/>
        </w:rPr>
        <w:t xml:space="preserve">28/11/2025</w:t>
      </w:r>
      <w:r>
        <w:rPr>
          <w:spacing w:val="-4"/>
          <w:lang w:val="vi-VN"/>
        </w:rPr>
        <w:t xml:space="preserve"> </w:t>
      </w:r>
      <w:r>
        <w:rPr>
          <w:spacing w:val="-4"/>
          <w:lang w:val="vi-VN"/>
        </w:rPr>
        <w:t xml:space="preserve">giữa </w:t>
      </w:r>
      <w:r>
        <w:rPr>
          <w:bCs/>
        </w:rPr>
        <w:t xml:space="preserve">Ông Dương Quang Thành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275/2025/1702/VFI-BC.48.A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01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BT5-23 Khu đô Thị mới Văn Phú, Phường Kiến Hưng, Thành phố Hà Nội, Việt Nam</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Nguyễn Trọng Điệp</w:t>
            </w:r>
            <w:r>
              <w:rPr>
                <w:b/>
                <w:bCs/>
                <w:lang w:val="vi-VN"/>
              </w:rPr>
              <w:tab/>
            </w:r>
            <w:r>
              <w:rPr>
                <w:b/>
                <w:bCs/>
              </w:rPr>
              <w:t xml:space="preserve">        </w:t>
            </w:r>
            <w:r>
              <w:rPr>
                <w:b/>
                <w:bCs/>
                <w:lang w:val="vi-VN"/>
              </w:rPr>
              <w:t xml:space="preserve">Chức vụ: </w:t>
            </w:r>
            <w:r>
              <w:rPr>
                <w:b/>
                <w:bCs/>
              </w:rPr>
              <w:t xml:space="preserve">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Căn hộ chung cư số 1612, Tòa nhà CT2, Tổ hợp thương mại dịch vụ và căn hộ - THE PRIDE, Khu đô thị mới An Hưng, phường La Khê, quận Hà Đông, thành phố Hà Nội (nay là phường Hà Đ</w:t>
      </w:r>
      <w:r>
        <w:rPr>
          <w:color w:val="000000" w:themeColor="text1"/>
        </w:rPr>
        <w:t xml:space="preserve">ông, thành phố Hà Nội) theo Giấy chứng nhận quyền sử dụng đất quyền sở hữu nhà ở và tài sản khác gắn liền với đất số: DM 824365, số vào sổ cấp GCN: VP00558 do Văn phòng đăng ký đất đai Hà Nội cấp ngày 30/11/2023 cho Ông Dương Quang Thành và Bà Tạ Thị Lệ Hà</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Căn hộ chung cư số 1612, Tòa nhà CT2, Tổ hợp thương mại dịch vụ và căn hộ - THE PRIDE, Khu đô thị mới An Hưng, phường La Khê, quận Hà Đông, thành phố Hà Nội (nay là phường Hà Đ</w:t>
            </w:r>
            <w:r>
              <w:rPr>
                <w:color w:val="000000"/>
              </w:rPr>
              <w:t xml:space="preserve">ông, thành phố Hà Nội) theo Giấy chứng nhận quyền sử dụng đất quyền sở hữu nhà ở và tài sản khác gắn liền với đất số: DM 824365, số vào sổ cấp GCN: VP00558 do Văn phòng đăng ký đất đai Hà Nội cấp ngày 30/11/2023 cho Ông Dương Quang Thành và Bà Tạ Thị Lệ Hà</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81,4</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68.000.000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5.535.200.000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5.535.200.000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năm trăm ba mươi lăm triệu hai trăm nghìn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Trọng Điệp</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X15.1272</w:t>
            </w:r>
            <w:r>
              <w:rPr>
                <w:rFonts w:eastAsia="Calibri"/>
                <w:b/>
                <w:lang w:val="pt-BR"/>
              </w:rPr>
            </w:r>
            <w:r>
              <w:rPr>
                <w:rFonts w:eastAsia="Calibri"/>
                <w:b/>
                <w:lang w:val="pt-BR"/>
              </w:rPr>
            </w:r>
          </w:p>
        </w:tc>
      </w:tr>
    </w:tbl>
    <w:p>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pPr>
              <w:pStyle w:val="102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275/2025/1702/VFI-BC.48.A</w:t>
            </w:r>
            <w:r>
              <w:rPr>
                <w:sz w:val="24"/>
                <w:szCs w:val="24"/>
              </w:rPr>
            </w:r>
            <w:r>
              <w:rPr>
                <w:sz w:val="24"/>
                <w:szCs w:val="24"/>
              </w:rPr>
            </w:r>
          </w:p>
        </w:tc>
        <w:tc>
          <w:tcPr>
            <w:tcBorders/>
            <w:tcW w:w="4781" w:type="dxa"/>
            <w:textDirection w:val="lrTb"/>
            <w:noWrap w:val="false"/>
          </w:tcPr>
          <w:p>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t xml:space="preserve">TP</w:t>
            </w:r>
            <w:r>
              <w:rPr>
                <w:rStyle w:val="1025"/>
                <w:rFonts w:ascii="Times New Roman" w:hAnsi="Times New Roman"/>
                <w:color w:val="auto"/>
              </w:rPr>
              <w:t xml:space="preserve">.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i/>
                <w:iCs/>
                <w:color w:val="000000" w:themeColor="text1"/>
                <w:sz w:val="24"/>
                <w:szCs w:val="24"/>
                <w:lang w:val="pt-BR"/>
              </w:rPr>
              <w:t xml:space="preserve">01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275/2025/1702/VFI-CT.48.A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01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BT5-23 Khu đô thị mới Văn Phú, Phường Kiến Hưng, Thành phố Hà Nội, Việt Nam</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Nguyễn Trọng Điệp </w:t>
            </w:r>
            <w:r>
              <w:rPr>
                <w:b/>
                <w:bCs/>
                <w:lang w:val="vi-VN"/>
              </w:rPr>
              <w:tab/>
              <w:t xml:space="preserve">Chức vụ: </w:t>
            </w:r>
            <w:r>
              <w:rPr>
                <w:b/>
                <w:bCs/>
              </w:rPr>
              <w:t xml:space="preserve">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Căn hộ chung cư số 1612, Tòa nhà CT2, Tổ hợp thương mại dịch vụ và căn hộ - THE PRIDE, Khu đô thị mới An Hưng, phường La Khê, quận Hà Đông, thành phố Hà Nội (nay là phường Hà Đ</w:t>
            </w:r>
            <w:r>
              <w:rPr>
                <w:bCs/>
                <w:color w:val="000000" w:themeColor="text1"/>
                <w:lang w:val="pt-BR"/>
              </w:rPr>
              <w:t xml:space="preserve">ông, thành phố Hà Nội) theo Giấy chứng nhận quyền sử dụng đất quyền sở hữu nhà ở và tài sản khác gắn liền với đất số: DM 824365, số vào sổ cấp GCN: VP00558 do Văn phòng đăng ký đất đai Hà Nội cấp ngày 30/11/2023 cho Ông Dương Quang Thành và Bà Tạ Thị Lệ Hà</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La Khê, Quận Hà Đông,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20.9717023, 105.75746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6"/>
        </w:rPr>
        <w:t xml:space="preserve">Giấy chứng nhận quyền sử dụng đất quyền sở hữu nhà ở</w:t>
      </w:r>
      <w:r>
        <w:rPr>
          <w:rFonts w:ascii="Times New Roman" w:hAnsi="Times New Roman" w:eastAsia="Times New Roman" w:cs="Times New Roman"/>
          <w:color w:val="000000"/>
          <w:sz w:val="26"/>
        </w:rPr>
        <w:t xml:space="preserve"> và tài sản khác gắn liền với đất số: DM 824365, số vào sổ cấp GCN: VP00558 do Văn phòng đăng ký đất đai Hà Nội cấp ngày 30/11/2023 cho Ông Dương Quang Thành và Bà Tạ Thị Lệ Hà</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color w:val="000000" w:themeColor="text1"/>
          <w:sz w:val="24"/>
          <w:szCs w:val="24"/>
          <w:lang w:val="pt-BR"/>
        </w:rPr>
        <w:t xml:space="preserve">Hợp đồng số</w:t>
      </w:r>
      <w:r>
        <w:rPr>
          <w:rFonts w:ascii="Times New Roman" w:hAnsi="Times New Roman" w:eastAsia="Times New Roman" w:cs="Times New Roman"/>
          <w:color w:val="081b3a"/>
          <w:spacing w:val="3"/>
          <w:sz w:val="24"/>
          <w:szCs w:val="24"/>
          <w:highlight w:val="none"/>
        </w:rPr>
        <w:t xml:space="preserve"> </w:t>
      </w:r>
      <w:r>
        <w:rPr>
          <w:rFonts w:ascii="Times New Roman" w:hAnsi="Times New Roman" w:eastAsia="Times New Roman" w:cs="Times New Roman"/>
          <w:color w:val="081b3a"/>
          <w:spacing w:val="3"/>
          <w:sz w:val="24"/>
          <w:szCs w:val="24"/>
          <w:highlight w:val="white"/>
        </w:rPr>
        <w:t xml:space="preserve">275/2025/1702/VFI-HĐTĐ.48.A</w:t>
      </w:r>
      <w:r>
        <w:rPr>
          <w:rFonts w:ascii="Times New Roman" w:hAnsi="Times New Roman" w:eastAsia="Times New Roman" w:cs="Times New Roman"/>
          <w:color w:val="000000" w:themeColor="text1"/>
          <w:sz w:val="24"/>
          <w:szCs w:val="24"/>
          <w:lang w:val="pt-BR"/>
        </w:rPr>
        <w:t xml:space="preserve"> ngày 28/11/2025 giữa với Công ty Cổ phần Thẩm định và Đầu tư Tài chính Hoa Sen.</w:t>
      </w:r>
      <w:r>
        <w:rPr>
          <w:rFonts w:ascii="Times New Roman" w:hAnsi="Times New Roman" w:cs="Times New Roman"/>
          <w:b/>
          <w:sz w:val="24"/>
          <w:szCs w:val="24"/>
        </w:rPr>
      </w:r>
      <w:r>
        <w:rPr>
          <w:rFonts w:ascii="Times New Roman" w:hAnsi="Times New Roman" w:cs="Times New Roman"/>
          <w:b/>
          <w:sz w:val="24"/>
          <w:szCs w:val="24"/>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lang w:val="pt-BR"/>
        </w:rPr>
        <w:tab/>
      </w:r>
      <w:r>
        <w:rPr>
          <w:rFonts w:ascii="Times New Roman" w:hAnsi="Times New Roman" w:eastAsia="Times New Roman" w:cs="Times New Roman"/>
          <w:color w:val="000000"/>
          <w:sz w:val="24"/>
        </w:rPr>
        <w:t xml:space="preserve">Quận Hà Đông cũ không chỉ nổi bật với sự phát triển cơ sở hạ tầng đồng bộ mà còn có tiềm năng tăng giá bất động sản trong tương lai. Điều này tạo ra cơ hội hấp dẫn cho những ai có nhu cầu mua bán nhà Hà Nội tại khu vực này. Bài viết này sẽ cung cấp cho bạn</w:t>
      </w:r>
      <w:r>
        <w:rPr>
          <w:rFonts w:ascii="Times New Roman" w:hAnsi="Times New Roman" w:eastAsia="Times New Roman" w:cs="Times New Roman"/>
          <w:color w:val="000000"/>
          <w:sz w:val="24"/>
        </w:rPr>
        <w:t xml:space="preserve"> thông tin chi tiết về cách bán nhà quận Hà Đông nhanh chóng, giúp giao dịch diễn ra thuận lợi và đạt được giá trị tốt nhất.</w:t>
      </w: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Đặc biệt, khu vực phía Tây Hà Nội, là vị trí của quận Hà Đông, đang trở thành tâm điểm của làn sóng di cư, thu hút nhiều người từ trung tâm thành phố. Nhu cầu nhà ở cho người lao động, sinh viên gia tăng đáng kể, tạo động lực cho thị trường bất động sản tă</w:t>
      </w:r>
      <w:r>
        <w:rPr>
          <w:rFonts w:ascii="Times New Roman" w:hAnsi="Times New Roman" w:eastAsia="Times New Roman" w:cs="Times New Roman"/>
          <w:color w:val="000000"/>
          <w:sz w:val="24"/>
        </w:rPr>
        <w:t xml:space="preserve">ng trưởng.</w:t>
      </w: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Số lượng nhà đất giao dịch thành công tại quận Hà Đông đang ngày càng gia tăng, đặc biệt là trong các phân khúc nhà ở thấp tầng và đất nền. Mặc dù giá cả có sự điều chỉnh nhẹ, nhưng không ảnh hưởng đến sức hút của thị trường. Các chính sách hỗ trợ từ Nhà n</w:t>
      </w:r>
      <w:r>
        <w:rPr>
          <w:rFonts w:ascii="Times New Roman" w:hAnsi="Times New Roman" w:eastAsia="Times New Roman" w:cs="Times New Roman"/>
          <w:color w:val="000000"/>
          <w:sz w:val="24"/>
        </w:rPr>
        <w:t xml:space="preserve">ước và ngân hàng cũng góp phần thúc đẩy giao dịch, tạo điều kiện cho các nhà đầu tư thực hiện các giao dịch mua bán một cách hiệu 2quả.</w:t>
      </w: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Giá căn hộ chung cư quận Hà Động đang dao động từ 19,86 triệu - 380 triệu đồng/m2, với một số dự án nổi bật như:</w:t>
      </w:r>
      <w:r/>
    </w:p>
    <w:p>
      <w:pPr>
        <w:numPr>
          <w:ilvl w:val="0"/>
          <w:numId w:val="39"/>
        </w:numPr>
        <w:pBdr>
          <w:top w:val="none" w:color="000000" w:sz="4" w:space="0"/>
          <w:left w:val="none" w:color="000000" w:sz="4" w:space="0"/>
          <w:bottom w:val="none" w:color="000000" w:sz="4" w:space="0"/>
          <w:right w:val="none" w:color="000000" w:sz="4" w:space="0"/>
        </w:pBdr>
        <w:tabs>
          <w:tab w:val="left" w:leader="none" w:pos="720"/>
        </w:tabs>
        <w:spacing w:after="60" w:before="60" w:line="276" w:lineRule="auto"/>
        <w:ind/>
        <w:jc w:val="both"/>
        <w:rPr/>
      </w:pPr>
      <w:r>
        <w:rPr>
          <w:rFonts w:ascii="Times New Roman" w:hAnsi="Times New Roman" w:eastAsia="Times New Roman" w:cs="Times New Roman"/>
          <w:color w:val="000000"/>
          <w:sz w:val="24"/>
        </w:rPr>
        <w:t xml:space="preserve">Chung cư Thanh Hà</w:t>
      </w:r>
      <w:r/>
    </w:p>
    <w:p>
      <w:pPr>
        <w:numPr>
          <w:ilvl w:val="0"/>
          <w:numId w:val="39"/>
        </w:numPr>
        <w:pBdr>
          <w:top w:val="none" w:color="000000" w:sz="4" w:space="0"/>
          <w:left w:val="none" w:color="000000" w:sz="4" w:space="0"/>
          <w:bottom w:val="none" w:color="000000" w:sz="4" w:space="0"/>
          <w:right w:val="none" w:color="000000" w:sz="4" w:space="0"/>
        </w:pBdr>
        <w:tabs>
          <w:tab w:val="left" w:leader="none" w:pos="720"/>
        </w:tabs>
        <w:spacing w:after="60" w:before="60" w:line="276" w:lineRule="auto"/>
        <w:ind/>
        <w:jc w:val="both"/>
        <w:rPr/>
      </w:pPr>
      <w:r>
        <w:rPr>
          <w:rFonts w:ascii="Times New Roman" w:hAnsi="Times New Roman" w:eastAsia="Times New Roman" w:cs="Times New Roman"/>
          <w:color w:val="000000"/>
          <w:sz w:val="24"/>
        </w:rPr>
        <w:t xml:space="preserve">Chung cư BID Residence Tố Hữu</w:t>
      </w:r>
      <w:r/>
    </w:p>
    <w:p>
      <w:pPr>
        <w:numPr>
          <w:ilvl w:val="0"/>
          <w:numId w:val="39"/>
        </w:numPr>
        <w:pBdr>
          <w:top w:val="none" w:color="000000" w:sz="4" w:space="0"/>
          <w:left w:val="none" w:color="000000" w:sz="4" w:space="0"/>
          <w:bottom w:val="none" w:color="000000" w:sz="4" w:space="0"/>
          <w:right w:val="none" w:color="000000" w:sz="4" w:space="0"/>
        </w:pBdr>
        <w:tabs>
          <w:tab w:val="left" w:leader="none" w:pos="720"/>
        </w:tabs>
        <w:spacing w:after="60" w:before="60" w:line="276" w:lineRule="auto"/>
        <w:ind/>
        <w:jc w:val="both"/>
        <w:rPr/>
      </w:pPr>
      <w:r>
        <w:rPr>
          <w:rFonts w:ascii="Times New Roman" w:hAnsi="Times New Roman" w:eastAsia="Times New Roman" w:cs="Times New Roman"/>
          <w:color w:val="000000"/>
          <w:sz w:val="24"/>
        </w:rPr>
        <w:t xml:space="preserve">Chung cư Park Kiara</w:t>
      </w:r>
      <w:r/>
    </w:p>
    <w:p>
      <w:pPr>
        <w:numPr>
          <w:ilvl w:val="0"/>
          <w:numId w:val="39"/>
        </w:numPr>
        <w:pBdr>
          <w:top w:val="none" w:color="000000" w:sz="4" w:space="0"/>
          <w:left w:val="none" w:color="000000" w:sz="4" w:space="0"/>
          <w:bottom w:val="none" w:color="000000" w:sz="4" w:space="0"/>
          <w:right w:val="none" w:color="000000" w:sz="4" w:space="0"/>
        </w:pBdr>
        <w:tabs>
          <w:tab w:val="left" w:leader="none" w:pos="720"/>
        </w:tabs>
        <w:spacing w:after="60" w:before="60" w:line="276" w:lineRule="auto"/>
        <w:ind/>
        <w:jc w:val="both"/>
        <w:rPr/>
      </w:pPr>
      <w:r>
        <w:rPr>
          <w:rFonts w:ascii="Times New Roman" w:hAnsi="Times New Roman" w:eastAsia="Times New Roman" w:cs="Times New Roman"/>
          <w:color w:val="000000"/>
          <w:sz w:val="24"/>
        </w:rPr>
        <w:t xml:space="preserve">Chung cư tại KĐT Văn Khê</w:t>
      </w: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So với các khu vực lân cận như Thanh Xuân hay Nam Từ Liêm, giá bất động sản tại Hà Đông vẫn có phần cạnh tranh hơn, đặc biệt trong bối cảnh quỹ đất tại các khu vực trung tâm đã bắt đầu trở nên khan hiếm.</w:t>
      </w: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Thị trường bất động sản quận Hà Đông dự kiến sẽ tiếp tục phát triển mạnh mẽ trong thời gian tới nhờ vào sự hoàn thiện của cơ sở hạ tầng và nhu cầu nhà ở ngày càng tăng. Các dự án giao thông lớn như tuyến đường Vành đai 3.5, đường sắt Cát Linh - Hà Đông đan</w:t>
      </w:r>
      <w:r>
        <w:rPr>
          <w:rFonts w:ascii="Times New Roman" w:hAnsi="Times New Roman" w:eastAsia="Times New Roman" w:cs="Times New Roman"/>
          <w:color w:val="000000"/>
          <w:sz w:val="24"/>
        </w:rPr>
        <w:t xml:space="preserve">g dần đi vào hoạt động sẽ cải thiện kết nối khu vực, thu hút thêm nhiều cư dân và nhà đầu tư.</w:t>
      </w: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Đặc biệt, sự phát triển của các khu đô thị mới và căn hộ chung cư hiện đại tại quận Hà Đông sẽ đáp ứng nhu cầu an cư cho người dân. Dự báo, giá trị bất động sản tại đây sẽ có xu hướng tăng, tạo cơ hội cho các nhà đầu tư tìm kiếm lợi nhuận.</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https://onehousing.vn/blog/thong-tin-ban-nha-quan-ha-dong-ha-noi-nhanh-chong-gia-tot-nhat-n17t)</w:t>
      </w:r>
      <w:r>
        <w:rPr>
          <w:bCs/>
          <w:i/>
          <w:lang w:val="pt-BR"/>
        </w:rPr>
      </w:r>
      <w:r>
        <w:rPr>
          <w:bCs/>
          <w:i/>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905"/>
        <w:gridCol w:w="1905"/>
        <w:gridCol w:w="1905"/>
        <w:gridCol w:w="1905"/>
        <w:gridCol w:w="1905"/>
      </w:tblGrid>
      <w:tr>
        <w:trPr>
          <w:trHeight w:val="1697"/>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Căn hộ chung cư số 1612, Tòa nhà CT2, Tổ hợp thương mại dịch vụ và căn hộ - THE PRIDE, Khu đô thị mới An Hưng, phường La Khê, quận Hà Đông, thành phố Hà Nội (nay là phường Hà Đông, thành phố Hà Nội) theo Giấy chứng nhận quyền sử dụng đất quyền sở hữu nhà ở</w:t>
            </w:r>
            <w:r>
              <w:rPr>
                <w:rFonts w:ascii="Times New Roman" w:hAnsi="Times New Roman" w:eastAsia="Times New Roman" w:cs="Times New Roman"/>
                <w:b/>
                <w:color w:val="000000"/>
                <w:sz w:val="24"/>
              </w:rPr>
              <w:t xml:space="preserve"> và tài sản khác gắn liền với đất số: DM 824365, số vào sổ cấp GCN: VP00558 do Văn phòng đăng ký đất đai Hà Nội cấp ngày 30/11/2023 cho Ông Dương Quang Thành và Bà Tạ Thị Lệ Hà.</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r>
      <w:tr>
        <w:trPr>
          <w:trHeight w:val="328"/>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Tòa nhà CT2, Tổ hợp thương mại dịch vụ và căn hộ - THE PRIDE, Khu đô thị mới An Hưng, phường La Khê, quận Hà Đông, thành phố Hà Nội (nay là phường Hà Đông, thành phố Hà Nội)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28984,0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chung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tài sản thẩm định trên bản đồ vệ tinh: 20.972537440048825, 105.75820463183295</w:t>
            </w:r>
            <w:r/>
          </w:p>
        </w:tc>
      </w:tr>
      <w:tr>
        <w:trPr>
          <w:trHeight w:val="4383"/>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5524500" cy="25431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00723" name=""/>
                              <pic:cNvPicPr>
                                <a:picLocks noChangeAspect="1"/>
                              </pic:cNvPicPr>
                              <pic:nvPr/>
                            </pic:nvPicPr>
                            <pic:blipFill>
                              <a:blip r:embed="rId15"/>
                              <a:stretch/>
                            </pic:blipFill>
                            <pic:spPr bwMode="auto">
                              <a:xfrm>
                                <a:off x="0" y="0"/>
                                <a:ext cx="5524499"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5.00pt;height:200.25pt;mso-wrap-distance-left:0.00pt;mso-wrap-distance-top:0.00pt;mso-wrap-distance-right:0.00pt;mso-wrap-distance-bottom:0.00pt;z-index:1;" stroked="false">
                      <v:imagedata r:id="rId15"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Tòa nhà CT2, Tổ hợp thương mại dịch vụ và căn hộ - THE PRIDE, Khu đô thị mới An Hưng, phường La Khê, quận Hà Đông, thành phố Hà Nội (nay là phường Hà Đông, thành phố Hà Nội)</w:t>
            </w:r>
            <w:r/>
          </w:p>
        </w:tc>
      </w:tr>
      <w:tr>
        <w:trPr>
          <w:trHeight w:val="1833"/>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Tiếp giáp đường Nguyễn Thanh Bình</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là căn hộ chung cư số 1612, tầng 16, Toà nhà CT2. Toà nhà tiếp giáp đường Nguyễn Thanh Bình.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căn hộ</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Căn hộ chung cư số 1612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căn hộ (m²)</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 xây dựng căn hộ (m²):</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81,4m</w:t>
            </w:r>
            <w:r>
              <w:rPr>
                <w:rFonts w:ascii="Times New Roman" w:hAnsi="Times New Roman" w:eastAsia="Times New Roman" w:cs="Times New Roman"/>
                <w:color w:val="000000"/>
                <w:sz w:val="20"/>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429"/>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Tòa nhà:</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Toà nhà CT2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Tầng 16/35 tầng – 1 tầng hầm</w:t>
            </w:r>
            <w:r/>
          </w:p>
        </w:tc>
      </w:tr>
      <w:tr>
        <w:trPr>
          <w:trHeight w:val="704"/>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cửa:</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Bắc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Đông Nam</w:t>
            </w:r>
            <w:r/>
          </w:p>
        </w:tc>
      </w:tr>
      <w:tr>
        <w:trPr>
          <w:trHeight w:val="98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Cấu trúc: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 phòng ngủ, 2 vệ sinh, phòng khách, phòng bếp</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Nội thất:</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ở</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khảo sát, căn hộ chung cư đang cho thuê.</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2189"/>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20" w:firstRow="1" w:lastRow="0" w:firstColumn="0" w:lastColumn="0" w:noHBand="0" w:noVBand="1"/>
      </w:tblPr>
      <w:tblGrid>
        <w:gridCol w:w="432"/>
        <w:gridCol w:w="1635"/>
        <w:gridCol w:w="1864"/>
        <w:gridCol w:w="1864"/>
        <w:gridCol w:w="1864"/>
        <w:gridCol w:w="1864"/>
      </w:tblGrid>
      <w:tr>
        <w:trPr>
          <w:trHeight w:val="0"/>
          <w:tblHeade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432"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635" w:type="dxa"/>
            <w:vAlign w:val="top"/>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ĐẶC ĐIỂM BĐS</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864"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TSTĐ</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864"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864"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A</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top"/>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Thông tin về tài sản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Địa chỉ</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Toà nhà CT2 chung cư The Pride, phường La Khê, Quận Hà Đông,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Toà nhà CT4 chung cư The Pride, phường La Khê, Quận Hà Đông,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Toà nhà CT3 chung cư The Pride, phường La Khê, Quận Hà Đông,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Toà nhà CT1 chung cư The Pride, phường La Khê, Quận Hà Đông,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Nguồn tham khảo</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cMar>
              <w:left w:w="15" w:type="dxa"/>
              <w:top w:w="15" w:type="dxa"/>
              <w:right w:w="15" w:type="dxa"/>
              <w:bottom w:w="0" w:type="dxa"/>
            </w:tcMar>
            <w:tcW w:w="1864" w:type="dxa"/>
            <w:vAlign w:val="bottom"/>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https://batdongsan.com.vn/ban-can-ho-chung-cu-duong-to-huu-phuong-la-khe-prj-the-pride/-2pn-ha-dong-ha-noi-gia-cuc-chat-5-8-ty-81m2-pr44514736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left w:val="single" w:color="000000" w:sz="6" w:space="0"/>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hyperlink r:id="rId16" w:tooltip="https://batdongsan.com.vn/ban-can-ho-chung-cu-phuong-la-khe-prj-khu-do-thi-van-khe/ban-gap-goc-dep-nhat-ct2-full-noi-that-dt-khung-145m2-3-ngu-nhinh-7-ty-pr44016141" w:history="1">
              <w:r>
                <w:rPr>
                  <w:rStyle w:val="1017"/>
                  <w:rFonts w:ascii="Times New Roman" w:hAnsi="Times New Roman" w:eastAsia="Times New Roman" w:cs="Times New Roman"/>
                  <w:color w:val="000000" w:themeColor="text1"/>
                  <w:sz w:val="22"/>
                  <w:szCs w:val="22"/>
                  <w:u w:val="single"/>
                </w:rPr>
                <w:t xml:space="preserve">Liên hệ trực tiếp</w:t>
              </w:r>
            </w:hyperlink>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hyperlink r:id="rId17" w:tooltip="https://batdongsan.com.vn/ban-can-ho-chung-cu-phuong-la-khe-prj-khu-do-thi-van-khe/ban-gap-goc-dep-nhat-ct2-full-noi-that-dt-khung-145m2-3-ngu-nhinh-7-ty-pr44016141" w:history="1">
              <w:r>
                <w:rPr>
                  <w:rStyle w:val="1017"/>
                  <w:rFonts w:ascii="Times New Roman" w:hAnsi="Times New Roman" w:eastAsia="Times New Roman" w:cs="Times New Roman"/>
                  <w:color w:val="000000" w:themeColor="text1"/>
                  <w:sz w:val="22"/>
                  <w:szCs w:val="22"/>
                  <w:u w:val="single"/>
                </w:rPr>
                <w:t xml:space="preserve">Liên hệ trực tiếp</w:t>
              </w:r>
            </w:hyperlink>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Thông tin liên lạc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SĐT: 0981333109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SĐT: 0567681888</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SĐT: 0968595797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Tình trạng giao dịch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Đang giao dịch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Đang giao dịch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Đang giao dịch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Thời điểm thu thập thông tin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Tháng 12/2025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Tháng 12/2025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Tháng 12/2025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Tính chất giao dịch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khác gắn liền với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khác gắn liền với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khác gắn liền với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khác gắn liền với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Loại hình tài sản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là căn hộ tại toà nhà CT2 chung cư The Pride, phường La Khê, Quận Hà Đông,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là căn hộ tại toà nhà CT4 chung cư The Pride, phường La Khê, Quận Hà Đông,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là căn hộ tại toà nhà CT3 chung cư The Pride, phường La Khê, Quận Hà Đông,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là căn hộ tại toà nhà CT1 chung cư The Pride, phường La Khê, Quận Hà Đông,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Diện tích sàn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81,4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72,0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75,0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Mặt tiếp giáp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góc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trung (16/35)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cao (31/35)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trung (14/35)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cao (28/35)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01 Ban công hướng Đông Nam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01 Ban công hướng Tây Nam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Ban công hướng Đông Nam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Ban công hướng Tây Nam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Cấu trúc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vệ sinh, phòng khách +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vệ sinh, phòng khách +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vệ sinh, phòng khách +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vệ sinh, phòng khách +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 cơ bản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Nội thất cơ bản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Nội thất cơ bản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Nội thất cơ bản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Điều kiện cơ sở hạ tầng kỹ thuật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Hệ thống cấp điện, cấp thoát nước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Hệ thống cấp điện, cấp thoát nước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Hệ thống cấp điện, cấp thoát nước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Hệ thống cấp điện, cấp thoát nước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Điều kiện môi trường an ninh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rao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5.750.000.000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5.950.000.000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5.750.000.000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thương lượng/bán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5.175.000.000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5.057.500.000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5.175.000.000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Đơn giá QSD căn hộ (đồng/m2)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63.888.889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70.243.056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69.000.000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B</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NHẬN XÉT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Tính chất giao dịch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Diện tích sàn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Mặt tiếp giáp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Cấu trúc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Điều kiện cơ sở hạ tầng kỹ thuật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blHeader/>
        </w:trPr>
        <w:tc>
          <w:tcPr>
            <w:tcBorders>
              <w:left w:val="single" w:color="000000" w:sz="6" w:space="0"/>
              <w:bottom w:val="single" w:color="000000" w:sz="6" w:space="0"/>
              <w:right w:val="single" w:color="000000" w:sz="6" w:space="0"/>
            </w:tcBorders>
            <w:tcMar>
              <w:left w:w="15" w:type="dxa"/>
              <w:top w:w="15" w:type="dxa"/>
              <w:right w:w="15" w:type="dxa"/>
              <w:bottom w:w="0" w:type="dxa"/>
            </w:tcMar>
            <w:tcW w:w="43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635" w:type="dxa"/>
            <w:vAlign w:val="center"/>
            <w:textDirection w:val="lrTb"/>
            <w:noWrap w:val="false"/>
          </w:tcPr>
          <w:p>
            <w:pPr>
              <w:pBdr/>
              <w:spacing w:after="0" w:before="0" w:line="240" w:lineRule="auto"/>
              <w:ind/>
              <w:jc w:val="lef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Điều kiện môi trường an ninh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6" w:space="0"/>
              <w:right w:val="single" w:color="000000" w:sz="6" w:space="0"/>
            </w:tcBorders>
            <w:tcMar>
              <w:left w:w="15" w:type="dxa"/>
              <w:top w:w="15" w:type="dxa"/>
              <w:right w:w="15" w:type="dxa"/>
              <w:bottom w:w="0" w:type="dxa"/>
            </w:tcMar>
            <w:tcW w:w="1864"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520" w:firstRow="1" w:lastRow="0" w:firstColumn="0" w:lastColumn="1" w:noHBand="0" w:noVBand="1"/>
      </w:tblPr>
      <w:tblGrid>
        <w:gridCol w:w="719"/>
        <w:gridCol w:w="1879"/>
        <w:gridCol w:w="932"/>
        <w:gridCol w:w="2145"/>
        <w:gridCol w:w="2178"/>
        <w:gridCol w:w="2178"/>
        <w:gridCol w:w="2179"/>
      </w:tblGrid>
      <w:tr>
        <w:trPr>
          <w:trHeight w:val="0"/>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5.175.000.000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5.057.500.000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5.175.000.000</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63.888.889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70.243.056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69.000.000</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63.888.889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70.243.056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63.888.889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70.243.056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là căn hộ tại toà nhà CT2 chung cư The Pride, phường La Khê, Quận Hà Đông,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là căn hộ tại toà nhà CT4 chung cư The Pride, phường La Khê, Quận Hà Đông,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là căn hộ tại toà nhà CT3 chung cư The Pride, phường La Khê, Quận Hà Đông,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là căn hộ tại toà nhà CT1 chung cư The Pride, phường La Khê, Quận Hà Đông, Thành phố Hà Nội</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63.888.889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70.243.056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sàn (m²)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81,4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72,0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75,0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-2.107.292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-1.380.000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63.888.889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67.620.000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tiếp giáp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góc</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-2.070.000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63.888.889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65.550.000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trung (16/35)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cao (31/35)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trung (14/35)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cao (28/35)</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3.194.444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3.450.000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67.083.333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Ban công hướng Đông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Ban công hướng Tây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Ban công hướng Đông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Ban công hướng Tây Nam</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67.083.333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Cấu trúc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67.083.333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67.083.333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67.083.333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19"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67.083.333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69.000.000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67.083.333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68.135.764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69.000.000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653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68.000.000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top w:val="single" w:color="000000" w:sz="6" w:space="0"/>
              <w:bottom w:val="single" w:color="000000" w:sz="6" w:space="0"/>
              <w:right w:val="single" w:color="000000" w:sz="4" w:space="0"/>
            </w:tcBorders>
            <w:tcMar>
              <w:left w:w="15" w:type="dxa"/>
              <w:top w:w="15" w:type="dxa"/>
              <w:right w:w="15" w:type="dxa"/>
              <w:bottom w:w="0" w:type="dxa"/>
            </w:tcMar>
            <w:tcW w:w="11491"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3.194.444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2.107.292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6.900.000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2-5%</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3.194.444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2.107.292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17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0,2% đến</w:t>
      </w:r>
      <w:r>
        <w:t xml:space="preserve"> 1,5%,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68.000.000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Căn hộ chung cư số 1612, Tòa nhà CT2, Tổ hợp thương mại dịch vụ và căn hộ - THE PRIDE, Khu đô thị mới An Hưng, phường La Khê, quận Hà Đông, thành phố Hà Nội (nay là phường Hà Đ</w:t>
            </w:r>
            <w:r>
              <w:rPr>
                <w:color w:val="000000"/>
              </w:rPr>
              <w:t xml:space="preserve">ông, thành phố Hà Nội) theo Giấy chứng nhận quyền sử dụng đất quyền sở hữu nhà ở và tài sản khác gắn liền với đất số: DM 824365, số vào sổ cấp GCN: VP00558 do Văn phòng đăng ký đất đai Hà Nội cấp ngày 30/11/2023 cho Ông Dương Quang Thành và Bà Tạ Thị Lệ Hà</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981" w:type="pct"/>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81.4</w:t>
            </w:r>
            <w:r>
              <w:rPr>
                <w:b w:val="0"/>
                <w:bCs w:val="0"/>
                <w:color w:val="000000"/>
              </w:rPr>
            </w:r>
            <w:r>
              <w:rPr>
                <w:b w:val="0"/>
                <w:bCs w:val="0"/>
                <w:color w:val="000000"/>
              </w:rPr>
            </w:r>
          </w:p>
        </w:tc>
        <w:tc>
          <w:tcPr>
            <w:shd w:val="clear" w:color="000000" w:fill="ffffff"/>
            <w:tcBorders/>
            <w:tcW w:w="1389"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68.000.000</w:t>
            </w:r>
            <w:r>
              <w:rPr>
                <w:b w:val="0"/>
                <w:bCs w:val="0"/>
              </w:rPr>
            </w:r>
            <w:r>
              <w:rPr>
                <w:b w:val="0"/>
                <w:bCs w:val="0"/>
              </w:rPr>
            </w:r>
          </w:p>
        </w:tc>
        <w:tc>
          <w:tcPr>
            <w:shd w:val="clear" w:color="000000" w:fill="ffffff"/>
            <w:tcBorders/>
            <w:tcW w:w="1170"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5.535.200.000</w:t>
            </w:r>
            <w:r>
              <w:rPr>
                <w:b w:val="0"/>
                <w:bCs w:val="0"/>
              </w:rPr>
            </w:r>
            <w:r>
              <w:rPr>
                <w:b w:val="0"/>
                <w:bCs w:val="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5.535.200.000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năm trăm ba mươi lăm triệu hai trăm nghìn</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275/2025/1702/VFI-CT.48.A</w:t>
      </w:r>
      <w:r>
        <w:rPr>
          <w:color w:val="ff0000"/>
          <w:lang w:val="vi-VN"/>
        </w:rPr>
        <w:t xml:space="preserve"> </w:t>
      </w:r>
      <w:r>
        <w:rPr>
          <w:color w:val="000000" w:themeColor="text1"/>
        </w:rPr>
        <w:t xml:space="preserve">01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Trọng Điệp</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X15.1272</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 - Chủ tịch</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275/2025/1702/VFI-BC.48.A</w:t>
      </w:r>
      <w:r>
        <w:rPr>
          <w:i/>
          <w:lang w:val="pt-BR"/>
        </w:rPr>
        <w:t xml:space="preserve"> </w:t>
      </w:r>
      <w:r>
        <w:rPr>
          <w:i/>
          <w:lang w:val="pt-BR"/>
        </w:rPr>
        <w:t xml:space="preserve">01 tháng 12 năm 2025</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8"/>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94pt;height:150.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9"/>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94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734244" cy="2644807"/>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0"/>
                              <a:stretch/>
                            </pic:blipFill>
                            <pic:spPr bwMode="auto">
                              <a:xfrm flipH="0" flipV="0">
                                <a:off x="0" y="0"/>
                                <a:ext cx="2734244" cy="26448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5.29pt;height:208.2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392953" cy="319060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34250" name=""/>
                              <pic:cNvPicPr>
                                <a:picLocks noChangeAspect="1"/>
                              </pic:cNvPicPr>
                              <pic:nvPr/>
                            </pic:nvPicPr>
                            <pic:blipFill>
                              <a:blip r:embed="rId21"/>
                              <a:stretch/>
                            </pic:blipFill>
                            <pic:spPr bwMode="auto">
                              <a:xfrm flipH="0" flipV="0">
                                <a:off x="0" y="0"/>
                                <a:ext cx="2392953" cy="31906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8.42pt;height:251.2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2"/>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94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3"/>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12.94pt;height:150.0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275/2025/1702/VFI-BC.48.A</w:t>
      </w:r>
      <w:r>
        <w:rPr>
          <w:i/>
          <w:lang w:val="pt-BR"/>
        </w:rPr>
        <w:t xml:space="preserve"> </w:t>
      </w:r>
      <w:r>
        <w:rPr>
          <w:i/>
          <w:lang w:val="pt-BR"/>
        </w:rPr>
        <w:t xml:space="preserve">01 tháng 12 năm 2025</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20"/>
        <w:gridCol w:w="3140"/>
        <w:gridCol w:w="6880"/>
      </w:tblGrid>
      <w:tr>
        <w:trPr>
          <w:trHeight w:val="2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20"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0" w:type="dxa"/>
              <w:top w:w="0" w:type="dxa"/>
              <w:right w:w="0" w:type="dxa"/>
              <w:bottom w:w="0" w:type="dxa"/>
            </w:tcMar>
            <w:tcW w:w="3140"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6880"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84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https://batdongsan.com.vn/ban-can-ho-chung-cu-duong-to-huu-phuong-la-khe-prj-the-pride/-2pn-ha-dong-ha-noi-gia-cuc-chat-5-8-ty-81m2-pr44514736 - SĐT: 0981333109</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5.750.000.000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5.175.000.000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hộ tại toà nhà CT4 chung cư The Pride, phường La Khê, Quận Hà Đông, Thành phố Hà Nội</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81</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cao (31/35)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Ban công hướng Tây Nam</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6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314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3230"/>
        </w:trPr>
        <w:tc>
          <w:tcPr>
            <w:gridSpan w:val="3"/>
            <w:tcBorders>
              <w:right w:val="single" w:color="000000" w:sz="4" w:space="0"/>
            </w:tcBorders>
            <w:tcMar>
              <w:left w:w="0" w:type="dxa"/>
              <w:top w:w="0" w:type="dxa"/>
              <w:right w:w="0" w:type="dxa"/>
              <w:bottom w:w="0" w:type="dxa"/>
            </w:tcMar>
            <w:tcW w:w="10640" w:type="dxa"/>
            <w:vAlign w:val="bottom"/>
            <w:textDirection w:val="lrTb"/>
            <w:noWrap/>
          </w:tcPr>
          <w:p>
            <w:pPr>
              <w:pBdr/>
              <w:spacing w:after="0" w:before="0" w:line="240" w:lineRule="auto"/>
              <w:ind/>
              <w:rPr/>
            </w:pPr>
            <w:r>
              <mc:AlternateContent>
                <mc:Choice Requires="wpg">
                  <w:drawing>
                    <wp:inline xmlns:wp="http://schemas.openxmlformats.org/drawingml/2006/wordprocessingDrawing" distT="0" distB="0" distL="0" distR="0">
                      <wp:extent cx="2729220" cy="161409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91026" name=""/>
                              <pic:cNvPicPr>
                                <a:picLocks noChangeAspect="1"/>
                              </pic:cNvPicPr>
                              <pic:nvPr/>
                            </pic:nvPicPr>
                            <pic:blipFill>
                              <a:blip r:embed="rId24"/>
                              <a:stretch/>
                            </pic:blipFill>
                            <pic:spPr bwMode="auto">
                              <a:xfrm flipH="0" flipV="0">
                                <a:off x="0" y="0"/>
                                <a:ext cx="2729220" cy="16140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4.90pt;height:127.09pt;mso-wrap-distance-left:0.00pt;mso-wrap-distance-top:0.00pt;mso-wrap-distance-right:0.00pt;mso-wrap-distance-bottom:0.00pt;z-index:1;" stroked="false">
                      <v:imagedata r:id="rId24"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15072" behindDoc="0" locked="0" layoutInCell="1" allowOverlap="1">
                      <wp:simplePos x="0" y="0"/>
                      <wp:positionH relativeFrom="column">
                        <wp:posOffset>2929245</wp:posOffset>
                      </wp:positionH>
                      <wp:positionV relativeFrom="paragraph">
                        <wp:posOffset>9525</wp:posOffset>
                      </wp:positionV>
                      <wp:extent cx="2626440" cy="1604566"/>
                      <wp:effectExtent l="0" t="0" r="0" b="0"/>
                      <wp:wrapThrough wrapText="bothSides">
                        <wp:wrapPolygon edited="1">
                          <wp:start x="0" y="0"/>
                          <wp:lineTo x="21600" y="0"/>
                          <wp:lineTo x="21600" y="21600"/>
                          <wp:lineTo x="0" y="21600"/>
                        </wp:wrapPolygon>
                      </wp:wrapThrough>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22789" name=""/>
                              <pic:cNvPicPr>
                                <a:picLocks noChangeAspect="1"/>
                              </pic:cNvPicPr>
                              <pic:nvPr/>
                            </pic:nvPicPr>
                            <pic:blipFill>
                              <a:blip r:embed="rId25"/>
                              <a:stretch/>
                            </pic:blipFill>
                            <pic:spPr bwMode="auto">
                              <a:xfrm flipH="0" flipV="0">
                                <a:off x="0" y="0"/>
                                <a:ext cx="2626439" cy="1604566"/>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position:absolute;z-index:251715072;o:allowoverlap:true;o:allowincell:true;mso-position-horizontal-relative:text;margin-left:230.65pt;mso-position-horizontal:absolute;mso-position-vertical-relative:text;margin-top:0.75pt;mso-position-vertical:absolute;width:206.81pt;height:126.34pt;mso-wrap-distance-left:9.07pt;mso-wrap-distance-top:0.00pt;mso-wrap-distance-right:9.07pt;mso-wrap-distance-bottom:0.00pt;z-index:1;" wrapcoords="0 0 100000 0 100000 100000 0 100000" stroked="false">
                      <w10:wrap type="through"/>
                      <v:imagedata r:id="rId25" o:title=""/>
                      <o:lock v:ext="edit" rotation="t"/>
                    </v:shape>
                  </w:pict>
                </mc:Fallback>
              </mc:AlternateContent>
            </w:r>
            <w:r/>
          </w:p>
          <w:p>
            <w:pPr>
              <w:pBdr/>
              <w:spacing w:after="0" w:before="0" w:line="240" w:lineRule="auto"/>
              <w:ind/>
              <w:rPr/>
            </w:pPr>
            <w:r/>
            <w:r/>
          </w:p>
          <w:p>
            <w:pPr>
              <w:pBdr/>
              <w:spacing/>
              <w:ind/>
              <w:rPr/>
            </w:pPr>
            <w: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iCs/>
          <w:lang w:val="pt-BR"/>
        </w:rPr>
      </w:pPr>
      <w:r>
        <w:rPr>
          <w:b/>
          <w:bCs/>
          <w:iCs/>
          <w:lang w:val="pt-BR"/>
        </w:rPr>
        <w:t xml:space="preserve">TSSS2</w:t>
      </w:r>
      <w:r>
        <w:rPr>
          <w:iCs/>
          <w:lang w:val="pt-BR"/>
        </w:rPr>
      </w:r>
      <w:r>
        <w:rPr>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55"/>
        <w:gridCol w:w="2811"/>
        <w:gridCol w:w="6159"/>
      </w:tblGrid>
      <w:tr>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5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0" w:type="dxa"/>
              <w:top w:w="0" w:type="dxa"/>
              <w:right w:w="0" w:type="dxa"/>
              <w:bottom w:w="0" w:type="dxa"/>
            </w:tcMar>
            <w:tcW w:w="2811"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6159"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SĐT: 0567681888</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5.950.000.000</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5.057.500.000</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hộ tại toà nhà CT3 chung cư The Pride, phường La Khê, Quận Hà Đông, Thành phố Hà Nội</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 (14/35)</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Ban công hướng Đông Nam</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0"/>
        </w:trPr>
        <w:tc>
          <w:tcPr>
            <w:tcBorders>
              <w:left w:val="single" w:color="000000" w:sz="6" w:space="0"/>
              <w:bottom w:val="single" w:color="000000" w:sz="6" w:space="0"/>
              <w:right w:val="single" w:color="000000" w:sz="6" w:space="0"/>
            </w:tcBorders>
            <w:tcMar>
              <w:left w:w="0" w:type="dxa"/>
              <w:top w:w="0" w:type="dxa"/>
              <w:right w:w="0" w:type="dxa"/>
              <w:bottom w:w="0" w:type="dxa"/>
            </w:tcMar>
            <w:tcW w:w="55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2811"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0" w:type="dxa"/>
              <w:top w:w="0" w:type="dxa"/>
              <w:right w:w="0" w:type="dxa"/>
              <w:bottom w:w="0" w:type="dxa"/>
            </w:tcMar>
            <w:tcW w:w="61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bl>
    <w:p>
      <w:pPr>
        <w:pBdr/>
        <w:spacing w:after="200" w:line="276" w:lineRule="auto"/>
        <w:ind/>
        <w:rPr>
          <w:b/>
          <w:bCs/>
          <w:lang w:val="pt-BR"/>
        </w:rPr>
      </w:pPr>
      <w:r>
        <w:rPr>
          <w:b/>
          <w:bCs/>
          <w:iCs/>
          <w:highlight w:val="none"/>
          <w:lang w:val="pt-BR"/>
        </w:rPr>
      </w:r>
      <w:r>
        <w:rPr>
          <w:b/>
          <w:bCs/>
          <w:iCs/>
          <w:highlight w:val="none"/>
          <w:lang w:val="pt-BR"/>
        </w:rPr>
        <mc:AlternateContent>
          <mc:Choice Requires="wpg">
            <w:drawing>
              <wp:anchor xmlns:wp="http://schemas.openxmlformats.org/drawingml/2006/wordprocessingDrawing" xmlns:wp14="http://schemas.microsoft.com/office/word/2010/wordprocessingDrawing" distT="0" distB="0" distL="115200" distR="115200" simplePos="0" relativeHeight="251722240" behindDoc="0" locked="0" layoutInCell="1" allowOverlap="1">
                <wp:simplePos x="0" y="0"/>
                <wp:positionH relativeFrom="column">
                  <wp:posOffset>1649065</wp:posOffset>
                </wp:positionH>
                <wp:positionV relativeFrom="paragraph">
                  <wp:posOffset>47247</wp:posOffset>
                </wp:positionV>
                <wp:extent cx="1532625" cy="3405833"/>
                <wp:effectExtent l="0" t="0" r="0" b="0"/>
                <wp:wrapThrough wrapText="bothSides">
                  <wp:wrapPolygon edited="1">
                    <wp:start x="0" y="0"/>
                    <wp:lineTo x="21600" y="0"/>
                    <wp:lineTo x="21600" y="21600"/>
                    <wp:lineTo x="0" y="21600"/>
                  </wp:wrapPolygon>
                </wp:wrapThrough>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72279" name=""/>
                        <pic:cNvPicPr>
                          <a:picLocks noChangeAspect="1"/>
                        </pic:cNvPicPr>
                        <pic:nvPr/>
                      </pic:nvPicPr>
                      <pic:blipFill>
                        <a:blip r:embed="rId26"/>
                        <a:stretch/>
                      </pic:blipFill>
                      <pic:spPr bwMode="auto">
                        <a:xfrm rot="0" flipH="0" flipV="0">
                          <a:off x="0" y="0"/>
                          <a:ext cx="1532624" cy="3405833"/>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51722240;o:allowoverlap:true;o:allowincell:true;mso-position-horizontal-relative:text;margin-left:129.85pt;mso-position-horizontal:absolute;mso-position-vertical-relative:text;margin-top:3.72pt;mso-position-vertical:absolute;width:120.68pt;height:268.18pt;mso-wrap-distance-left:9.07pt;mso-wrap-distance-top:0.00pt;mso-wrap-distance-right:9.07pt;mso-wrap-distance-bottom:0.00pt;rotation:0;z-index:1;" wrapcoords="0 0 100000 0 100000 100000 0 100000" stroked="false">
                <w10:wrap type="through"/>
                <v:imagedata r:id="rId26" o:title=""/>
                <o:lock v:ext="edit" rotation="t"/>
              </v:shape>
            </w:pict>
          </mc:Fallback>
        </mc:AlternateContent>
      </w:r>
      <w:r>
        <w:rPr>
          <w:b/>
          <w:bCs/>
          <w:iCs/>
          <w:highlight w:val="none"/>
          <w:lang w:val="pt-BR"/>
        </w:rPr>
        <mc:AlternateContent>
          <mc:Choice Requires="wpg">
            <w:drawing>
              <wp:anchor xmlns:wp="http://schemas.openxmlformats.org/drawingml/2006/wordprocessingDrawing" xmlns:wp14="http://schemas.microsoft.com/office/word/2010/wordprocessingDrawing" distT="0" distB="0" distL="115200" distR="115200" simplePos="0" relativeHeight="251723264" behindDoc="0" locked="0" layoutInCell="1" allowOverlap="1">
                <wp:simplePos x="0" y="0"/>
                <wp:positionH relativeFrom="column">
                  <wp:posOffset>0</wp:posOffset>
                </wp:positionH>
                <wp:positionV relativeFrom="paragraph">
                  <wp:posOffset>47247</wp:posOffset>
                </wp:positionV>
                <wp:extent cx="1486014" cy="3302254"/>
                <wp:effectExtent l="0" t="0" r="0" b="0"/>
                <wp:wrapThrough wrapText="bothSides">
                  <wp:wrapPolygon edited="1">
                    <wp:start x="0" y="0"/>
                    <wp:lineTo x="21599" y="0"/>
                    <wp:lineTo x="21599" y="21600"/>
                    <wp:lineTo x="0" y="21600"/>
                  </wp:wrapPolygon>
                </wp:wrapThrough>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44713" name=""/>
                        <pic:cNvPicPr>
                          <a:picLocks noChangeAspect="1"/>
                        </pic:cNvPicPr>
                        <pic:nvPr/>
                      </pic:nvPicPr>
                      <pic:blipFill>
                        <a:blip r:embed="rId27"/>
                        <a:stretch/>
                      </pic:blipFill>
                      <pic:spPr bwMode="auto">
                        <a:xfrm flipH="0" flipV="0">
                          <a:off x="0" y="0"/>
                          <a:ext cx="1486014" cy="330225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723264;o:allowoverlap:true;o:allowincell:true;mso-position-horizontal-relative:text;margin-left:0.00pt;mso-position-horizontal:absolute;mso-position-vertical-relative:text;margin-top:3.72pt;mso-position-vertical:absolute;width:117.01pt;height:260.02pt;mso-wrap-distance-left:9.07pt;mso-wrap-distance-top:0.00pt;mso-wrap-distance-right:9.07pt;mso-wrap-distance-bottom:0.00pt;z-index:1;" wrapcoords="0 0 99995 0 99995 100000 0 100000" stroked="false">
                <w10:wrap type="through"/>
                <v:imagedata r:id="rId27" o:title=""/>
                <o:lock v:ext="edit" rotation="t"/>
              </v:shape>
            </w:pict>
          </mc:Fallback>
        </mc:AlternateContent>
      </w:r>
      <w:r>
        <w:rPr>
          <w:b/>
          <w:bCs/>
          <w:lang w:val="pt-BR"/>
        </w:rPr>
      </w:r>
      <w:r>
        <w:rPr>
          <w:b/>
          <w:bCs/>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iCs/>
          <w:lang w:val="pt-BR"/>
        </w:rPr>
      </w:pPr>
      <w:r>
        <w:rPr>
          <w:b/>
          <w:bCs/>
          <w:iCs/>
          <w:lang w:val="pt-BR"/>
        </w:rPr>
        <w:t xml:space="preserve">                                                                                           Người thu thập thông tin</w:t>
      </w:r>
      <w:r>
        <w:rPr>
          <w:b/>
          <w:bCs/>
          <w:iCs/>
          <w:lang w:val="pt-BR"/>
        </w:rPr>
      </w:r>
      <w:r>
        <w:rPr>
          <w:b/>
          <w:bCs/>
          <w:iCs/>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lang w:val="pt-BR"/>
        </w:rPr>
        <w:t xml:space="preserve">                                                                                                </w:t>
      </w:r>
      <w:r>
        <w:rPr>
          <w:b w:val="0"/>
          <w:bCs w:val="0"/>
          <w:iCs/>
          <w:lang w:val="pt-BR"/>
        </w:rPr>
        <w:t xml:space="preserve">  Phạm Thị Dung</w:t>
      </w:r>
      <w:r>
        <w:rPr>
          <w:iCs/>
          <w:lang w:val="pt-BR"/>
        </w:rPr>
        <w:br w:type="page" w:clear="all"/>
      </w:r>
      <w:r>
        <w:rPr>
          <w:b/>
          <w:bCs/>
          <w:highlight w:val="none"/>
          <w:lang w:val="pt-BR"/>
        </w:rPr>
      </w:r>
      <w:r>
        <w:rPr>
          <w:b/>
          <w:bCs/>
          <w:highlight w:val="none"/>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3"/>
        <w:gridCol w:w="3096"/>
        <w:gridCol w:w="6781"/>
      </w:tblGrid>
      <w:tr>
        <w:trPr>
          <w:trHeight w:val="28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1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3096"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781"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SĐT: 0968595797</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5.750.000.000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5.175.000.000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hộ tại toà nhà CT1 chung cư The Pride, phường La Khê, Quận Hà Đông, Thành phố Hà Nội</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75</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góc</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cao (28/35)</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Ban công hướng Tây Nam</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61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309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7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bl>
    <w:p>
      <w:pPr>
        <w:pBdr/>
        <w:spacing w:after="200" w:line="276" w:lineRule="auto"/>
        <w:ind/>
        <w:jc w:val="center"/>
        <w:rPr>
          <w:lang w:val="pt-BR"/>
        </w:rPr>
      </w:pPr>
      <w:r>
        <w:rPr>
          <w:iCs/>
          <w:highlight w:val="none"/>
          <w:lang w:val="pt-BR"/>
        </w:rPr>
      </w:r>
      <w:r>
        <mc:AlternateContent>
          <mc:Choice Requires="wpg">
            <w:drawing>
              <wp:anchor xmlns:wp="http://schemas.openxmlformats.org/drawingml/2006/wordprocessingDrawing" xmlns:wp14="http://schemas.microsoft.com/office/word/2010/wordprocessingDrawing" distT="0" distB="0" distL="115200" distR="115200" simplePos="0" relativeHeight="251743744" behindDoc="0" locked="0" layoutInCell="1" allowOverlap="1">
                <wp:simplePos x="0" y="0"/>
                <wp:positionH relativeFrom="column">
                  <wp:posOffset>1652245</wp:posOffset>
                </wp:positionH>
                <wp:positionV relativeFrom="paragraph">
                  <wp:posOffset>166607</wp:posOffset>
                </wp:positionV>
                <wp:extent cx="1784422" cy="1865269"/>
                <wp:effectExtent l="0" t="0" r="0" b="0"/>
                <wp:wrapThrough wrapText="bothSides">
                  <wp:wrapPolygon edited="1">
                    <wp:start x="0" y="0"/>
                    <wp:lineTo x="21600" y="0"/>
                    <wp:lineTo x="21600" y="21600"/>
                    <wp:lineTo x="0" y="21600"/>
                  </wp:wrapPolygon>
                </wp:wrapThrough>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79676" name=""/>
                        <pic:cNvPicPr>
                          <a:picLocks noChangeAspect="1"/>
                        </pic:cNvPicPr>
                        <pic:nvPr/>
                      </pic:nvPicPr>
                      <pic:blipFill>
                        <a:blip r:embed="rId28"/>
                        <a:stretch/>
                      </pic:blipFill>
                      <pic:spPr bwMode="auto">
                        <a:xfrm flipH="0" flipV="0">
                          <a:off x="0" y="0"/>
                          <a:ext cx="1784422" cy="1865269"/>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position:absolute;z-index:251743744;o:allowoverlap:true;o:allowincell:true;mso-position-horizontal-relative:text;margin-left:130.10pt;mso-position-horizontal:absolute;mso-position-vertical-relative:text;margin-top:13.12pt;mso-position-vertical:absolute;width:140.51pt;height:146.87pt;mso-wrap-distance-left:9.07pt;mso-wrap-distance-top:0.00pt;mso-wrap-distance-right:9.07pt;mso-wrap-distance-bottom:0.00pt;z-index:1;" wrapcoords="0 0 100000 0 100000 100000 0 100000" stroked="false">
                <w10:wrap type="through"/>
                <v:imagedata r:id="rId28"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40672" behindDoc="0" locked="0" layoutInCell="1" allowOverlap="1">
                <wp:simplePos x="0" y="0"/>
                <wp:positionH relativeFrom="column">
                  <wp:posOffset>0</wp:posOffset>
                </wp:positionH>
                <wp:positionV relativeFrom="paragraph">
                  <wp:posOffset>56827</wp:posOffset>
                </wp:positionV>
                <wp:extent cx="1268487" cy="2818860"/>
                <wp:effectExtent l="0" t="0" r="0" b="0"/>
                <wp:wrapThrough wrapText="bothSides">
                  <wp:wrapPolygon edited="1">
                    <wp:start x="0" y="0"/>
                    <wp:lineTo x="21600" y="0"/>
                    <wp:lineTo x="21600" y="21600"/>
                    <wp:lineTo x="0" y="21600"/>
                  </wp:wrapPolygon>
                </wp:wrapThrough>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99096" name=""/>
                        <pic:cNvPicPr>
                          <a:picLocks noChangeAspect="1"/>
                        </pic:cNvPicPr>
                        <pic:nvPr/>
                      </pic:nvPicPr>
                      <pic:blipFill>
                        <a:blip r:embed="rId29"/>
                        <a:stretch/>
                      </pic:blipFill>
                      <pic:spPr bwMode="auto">
                        <a:xfrm flipH="0" flipV="0">
                          <a:off x="0" y="0"/>
                          <a:ext cx="1268486" cy="2818859"/>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z-index:251740672;o:allowoverlap:true;o:allowincell:true;mso-position-horizontal-relative:text;margin-left:0.00pt;mso-position-horizontal:absolute;mso-position-vertical-relative:text;margin-top:4.47pt;mso-position-vertical:absolute;width:99.88pt;height:221.96pt;mso-wrap-distance-left:9.07pt;mso-wrap-distance-top:0.00pt;mso-wrap-distance-right:9.07pt;mso-wrap-distance-bottom:0.00pt;z-index:1;" wrapcoords="0 0 100000 0 100000 100000 0 100000" stroked="false">
                <w10:wrap type="through"/>
                <v:imagedata r:id="rId29" o:title=""/>
                <o:lock v:ext="edit" rotation="t"/>
              </v:shape>
            </w:pict>
          </mc:Fallback>
        </mc:AlternateContent>
      </w:r>
      <w:r>
        <w:rPr>
          <w:lang w:val="pt-BR"/>
        </w:rPr>
      </w:r>
      <w:r>
        <w:rPr>
          <w:lang w:val="pt-BR"/>
        </w:rPr>
      </w:r>
    </w:p>
    <w:p>
      <w:pPr>
        <w:pBdr/>
        <w:spacing w:after="200" w:line="276" w:lineRule="auto"/>
        <w:ind/>
        <w:jc w:val="center"/>
        <w:rPr>
          <w:highlight w:val="none"/>
          <w:lang w:val="pt-BR"/>
        </w:rPr>
      </w:pPr>
      <w:r>
        <w:rPr>
          <w:iCs/>
          <w:highlight w:val="none"/>
          <w:lang w:val="pt-BR"/>
        </w:rPr>
      </w:r>
      <w:r>
        <w:rPr>
          <w:highlight w:val="none"/>
          <w:lang w:val="pt-BR"/>
        </w:rPr>
      </w:r>
      <w:r>
        <w:rPr>
          <w:highlight w:val="none"/>
          <w:lang w:val="pt-BR"/>
        </w:rPr>
      </w:r>
    </w:p>
    <w:p>
      <w:pPr>
        <w:pBdr/>
        <w:spacing w:after="200" w:line="276" w:lineRule="auto"/>
        <w:ind/>
        <w:jc w:val="center"/>
        <w:rPr>
          <w:highlight w:val="none"/>
          <w:lang w:val="pt-BR"/>
        </w:rPr>
      </w:pPr>
      <w:r>
        <w:rPr>
          <w:iCs/>
          <w:highlight w:val="none"/>
          <w:lang w:val="pt-BR"/>
        </w:rPr>
      </w:r>
      <w:r>
        <w:rPr>
          <w:highlight w:val="none"/>
          <w:lang w:val="pt-BR"/>
        </w:rPr>
      </w:r>
      <w:r>
        <w:rPr>
          <w:highlight w:val="none"/>
          <w:lang w:val="pt-BR"/>
        </w:rPr>
      </w:r>
    </w:p>
    <w:p>
      <w:pPr>
        <w:pBdr/>
        <w:spacing w:after="200" w:line="276" w:lineRule="auto"/>
        <w:ind/>
        <w:jc w:val="center"/>
        <w:rPr>
          <w:highlight w:val="none"/>
          <w:lang w:val="pt-BR"/>
        </w:rPr>
      </w:pPr>
      <w:r>
        <w:rPr>
          <w:iCs/>
          <w:highlight w:val="none"/>
          <w:lang w:val="pt-BR"/>
        </w:rPr>
      </w:r>
      <w:r>
        <w:rPr>
          <w:highlight w:val="none"/>
          <w:lang w:val="pt-BR"/>
        </w:rPr>
      </w:r>
      <w:r>
        <w:rPr>
          <w:highlight w:val="none"/>
          <w:lang w:val="pt-BR"/>
        </w:rPr>
      </w:r>
    </w:p>
    <w:p>
      <w:pPr>
        <w:pBdr/>
        <w:spacing w:after="200" w:line="276" w:lineRule="auto"/>
        <w:ind/>
        <w:jc w:val="left"/>
        <w:rPr>
          <w:highlight w:val="none"/>
          <w:lang w:val="pt-BR"/>
        </w:rPr>
      </w:pPr>
      <w:r>
        <w:rPr>
          <w:iCs/>
          <w:highlight w:val="none"/>
          <w:lang w:val="pt-BR"/>
        </w:rPr>
      </w:r>
      <w:r>
        <w:rPr>
          <w:highlight w:val="none"/>
          <w:lang w:val="pt-BR"/>
        </w:rPr>
      </w:r>
      <w:r>
        <w:rPr>
          <w:highlight w:val="none"/>
          <w:lang w:val="pt-BR"/>
        </w:rPr>
      </w:r>
    </w:p>
    <w:p>
      <w:pPr>
        <w:pBdr/>
        <w:spacing w:after="200" w:line="276" w:lineRule="auto"/>
        <w:ind/>
        <w:jc w:val="left"/>
        <w:rPr>
          <w:highlight w:val="none"/>
          <w:lang w:val="pt-BR"/>
        </w:rPr>
      </w:pPr>
      <w:r>
        <w:rPr>
          <w:iCs/>
          <w:highlight w:val="none"/>
          <w:lang w:val="pt-BR"/>
        </w:rPr>
      </w:r>
      <w:r>
        <w:rPr>
          <w:highlight w:val="none"/>
          <w:lang w:val="pt-BR"/>
        </w:rPr>
      </w:r>
      <w:r>
        <w:rPr>
          <w:highlight w:val="none"/>
          <w:lang w:val="pt-BR"/>
        </w:rPr>
      </w:r>
    </w:p>
    <w:p>
      <w:pPr>
        <w:pBdr/>
        <w:spacing w:after="200" w:line="276" w:lineRule="auto"/>
        <w:ind/>
        <w:jc w:val="left"/>
        <w:rPr>
          <w:highlight w:val="none"/>
          <w:lang w:val="pt-BR"/>
        </w:rPr>
      </w:pPr>
      <w:r>
        <w:rPr>
          <w:iCs/>
          <w:highlight w:val="none"/>
          <w:lang w:val="pt-BR"/>
        </w:rPr>
      </w:r>
      <w:r>
        <w:rPr>
          <w:highlight w:val="none"/>
          <w:lang w:val="pt-BR"/>
        </w:rPr>
      </w:r>
      <w:r>
        <w:rPr>
          <w:highlight w:val="none"/>
          <w:lang w:val="pt-BR"/>
        </w:rPr>
      </w:r>
    </w:p>
    <w:p>
      <w:pPr>
        <w:pBdr/>
        <w:spacing w:after="200" w:line="276" w:lineRule="auto"/>
        <w:ind/>
        <w:jc w:val="left"/>
        <w:rPr>
          <w:highlight w:val="none"/>
          <w:lang w:val="pt-BR"/>
        </w:rPr>
      </w:pPr>
      <w:r>
        <w:rPr>
          <w:iCs/>
          <w:highlight w:val="none"/>
          <w:lang w:val="pt-BR"/>
        </w:rPr>
      </w:r>
      <w:r>
        <w:rPr>
          <w:highlight w:val="none"/>
          <w:lang w:val="pt-BR"/>
        </w:rPr>
      </w:r>
      <w:r>
        <w:rPr>
          <w:highlight w:val="none"/>
          <w:lang w:val="pt-BR"/>
        </w:rPr>
      </w:r>
    </w:p>
    <w:p>
      <w:pPr>
        <w:pBdr/>
        <w:spacing w:after="200" w:line="276" w:lineRule="auto"/>
        <w:ind/>
        <w:jc w:val="left"/>
        <w:rPr>
          <w:iCs/>
          <w:highlight w:val="none"/>
          <w:lang w:val="pt-BR"/>
        </w:rPr>
      </w:pPr>
      <w:r>
        <w:rPr>
          <w:iCs/>
          <w:lang w:val="pt-BR"/>
        </w:rPr>
      </w:r>
      <w:r>
        <w:rPr>
          <w:iCs/>
          <w:highlight w:val="none"/>
          <w:lang w:val="pt-BR"/>
        </w:rPr>
      </w:r>
      <w:r>
        <w:rPr>
          <w:iCs/>
          <w:highlight w:val="non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0"/>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Phạm Thị Dung</w:t>
            </w:r>
            <w:r>
              <w:rPr>
                <w:highlight w:val="none"/>
              </w:rPr>
            </w:r>
            <w:r>
              <w:rPr>
                <w:highlight w:val="none"/>
              </w:rPr>
            </w:r>
          </w:p>
          <w:p>
            <w:pPr>
              <w:pBdr/>
              <w:spacing/>
              <w:ind/>
              <w:jc w:val="left"/>
              <w:rPr/>
            </w:pPr>
            <w:r/>
            <w:r/>
          </w:p>
        </w:tc>
      </w:tr>
    </w:tbl>
    <w:p>
      <w:pPr>
        <w:pBdr/>
        <w:spacing/>
        <w:ind/>
        <w:rPr/>
      </w:p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3CB7FE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
      <w:numFmt w:val="bullet"/>
      <w:pPr>
        <w:pBdr/>
        <w:spacing/>
        <w:ind w:hanging="360" w:left="1440"/>
      </w:pPr>
      <w:rPr>
        <w:rFonts w:hint="default" w:ascii="Symbol" w:hAnsi="Symbol" w:eastAsia="Symbol" w:cs="Symbol"/>
      </w:rPr>
      <w:start w:val="1"/>
      <w:suff w:val="tab"/>
    </w:lvl>
    <w:lvl w:ilvl="2">
      <w:isLgl w:val="false"/>
      <w:lvlJc w:val="left"/>
      <w:lvlText w:val=""/>
      <w:numFmt w:val="bullet"/>
      <w:pPr>
        <w:pBdr/>
        <w:spacing/>
        <w:ind w:hanging="360" w:left="2160"/>
      </w:pPr>
      <w:rPr>
        <w:rFonts w:hint="default" w:ascii="Symbol" w:hAnsi="Symbol" w:eastAsia="Symbol" w:cs="Symbol"/>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
      <w:numFmt w:val="bullet"/>
      <w:pPr>
        <w:pBdr/>
        <w:spacing/>
        <w:ind w:hanging="360" w:left="3600"/>
      </w:pPr>
      <w:rPr>
        <w:rFonts w:hint="default" w:ascii="Symbol" w:hAnsi="Symbol" w:eastAsia="Symbol" w:cs="Symbol"/>
      </w:rPr>
      <w:start w:val="1"/>
      <w:suff w:val="tab"/>
    </w:lvl>
    <w:lvl w:ilvl="5">
      <w:isLgl w:val="false"/>
      <w:lvlJc w:val="left"/>
      <w:lvlText w:val=""/>
      <w:numFmt w:val="bullet"/>
      <w:pPr>
        <w:pBdr/>
        <w:spacing/>
        <w:ind w:hanging="360" w:left="4320"/>
      </w:pPr>
      <w:rPr>
        <w:rFonts w:hint="default" w:ascii="Symbol" w:hAnsi="Symbol" w:eastAsia="Symbol" w:cs="Symbol"/>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
      <w:numFmt w:val="bullet"/>
      <w:pPr>
        <w:pBdr/>
        <w:spacing/>
        <w:ind w:hanging="360" w:left="5760"/>
      </w:pPr>
      <w:rPr>
        <w:rFonts w:hint="default" w:ascii="Symbol" w:hAnsi="Symbol" w:eastAsia="Symbol" w:cs="Symbol"/>
      </w:rPr>
      <w:start w:val="1"/>
      <w:suff w:val="tab"/>
    </w:lvl>
    <w:lvl w:ilvl="8">
      <w:isLgl w:val="false"/>
      <w:lvlJc w:val="left"/>
      <w:lvlText w:val=""/>
      <w:numFmt w:val="bullet"/>
      <w:pPr>
        <w:pBdr/>
        <w:spacing/>
        <w:ind w:hanging="360" w:left="6480"/>
      </w:pPr>
      <w:rPr>
        <w:rFonts w:hint="default" w:ascii="Symbol" w:hAnsi="Symbol" w:eastAsia="Symbol" w:cs="Symbol"/>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gif"/><Relationship Id="rId16" Type="http://schemas.openxmlformats.org/officeDocument/2006/relationships/hyperlink" Target="https://batdongsan.com.vn/ban-can-ho-chung-cu-phuong-la-khe-prj-khu-do-thi-van-khe/ban-gap-goc-dep-nhat-ct2-full-noi-that-dt-khung-145m2-3-ngu-nhinh-7-ty-pr44016141" TargetMode="External"/><Relationship Id="rId17" Type="http://schemas.openxmlformats.org/officeDocument/2006/relationships/hyperlink" Target="https://batdongsan.com.vn/ban-can-ho-chung-cu-phuong-la-khe-prj-khu-do-thi-van-khe/ban-gap-goc-dep-nhat-ct2-full-noi-that-dt-khung-145m2-3-ngu-nhinh-7-ty-pr44016141" TargetMode="External"/><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276</cp:revision>
  <dcterms:created xsi:type="dcterms:W3CDTF">2025-09-15T09:58:00Z</dcterms:created>
  <dcterms:modified xsi:type="dcterms:W3CDTF">2025-12-02T04:45:58Z</dcterms:modified>
</cp:coreProperties>
</file>