
<file path=[Content_Types].xml><?xml version="1.0" encoding="utf-8"?>
<Types xmlns="http://schemas.openxmlformats.org/package/2006/content-types">
  <Default Extension="gif" ContentType="image/gif"/>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suppressLineNumbers w:val="false"/>
        <w:pBdr/>
        <w:spacing w:line="235" w:lineRule="auto"/>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6969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6969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275/2025/1702/VFI-CT.48.A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DƯƠNG QUANG THÀNH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Căn hộ chung cư số 1612, Tòa nhà CT2, Tổ hợp thương mại dịch vụ và căn hộ - THE PRIDE, Khu đô thị mới An Hưng, phường La Khê, quận Hà Đông, thành phố Hà Nội (nay là phường Hà Đ</w:t>
                            </w:r>
                            <w:r>
                              <w:rPr>
                                <w:color w:val="000000"/>
                              </w:rPr>
                              <w:t xml:space="preserve">ông, thành phố Hà Nội) theo Giấy chứng nhận quyền sử dụng đất quyền sở hữu nhà ở và tài sản khác gắn liền với đất số: DM 824365, số vào sổ cấp GCN: VP00558 do Văn phòng đăng ký đất đai Hà Nội cấp ngày 30/11/2023 cho Ông Dương Quang Thành và Bà Tạ Thị Lệ Hà</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91.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275/2025/1702/VFI-CT.48.A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DƯƠNG QUANG THÀNH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Căn hộ chung cư số 1612, Tòa nhà CT2, Tổ hợp thương mại dịch vụ và căn hộ - THE PRIDE, Khu đô thị mới An Hưng, phường La Khê, quận Hà Đông, thành phố Hà Nội (nay là phường Hà Đ</w:t>
                      </w:r>
                      <w:r>
                        <w:rPr>
                          <w:color w:val="000000"/>
                        </w:rPr>
                        <w:t xml:space="preserve">ông, thành phố Hà Nội) theo Giấy chứng nhận quyền sử dụng đất quyền sở hữu nhà ở và tài sản khác gắn liền với đất số: DM 824365, số vào sổ cấp GCN: VP00558 do Văn phòng đăng ký đất đai Hà Nội cấp ngày 30/11/2023 cho Ông Dương Quang Thành và Bà Tạ Thị Lệ Hà</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pPr>
              <w:pStyle w:val="1026"/>
              <w:pBdr/>
              <w:spacing w:after="60" w:before="200"/>
              <w:ind/>
              <w:rPr>
                <w:rStyle w:val="1025"/>
                <w:rFonts w:ascii="Times New Roman" w:hAnsi="Times New Roman"/>
                <w:color w:val="auto"/>
                <w:lang w:val="pt-BR"/>
              </w:rPr>
            </w:pPr>
            <w:r>
              <w:rPr>
                <w:rFonts w:ascii="Times New Roman" w:hAnsi="Times New Roman"/>
                <w:color w:val="auto"/>
                <w:lang w:val="pt-BR"/>
              </w:rPr>
            </w:r>
            <w:r>
              <w:rPr>
                <w:rStyle w:val="1025"/>
                <w:rFonts w:ascii="Times New Roman" w:hAnsi="Times New Roman"/>
                <w:color w:val="auto"/>
                <w:lang w:val="pt-BR"/>
              </w:rPr>
            </w:r>
            <w:r>
              <w:rPr>
                <w:rStyle w:val="1025"/>
                <w:rFonts w:ascii="Times New Roman" w:hAnsi="Times New Roman"/>
                <w:color w:val="auto"/>
                <w:lang w:val="pt-BR"/>
              </w:rPr>
            </w:r>
          </w:p>
          <w:p>
            <w:pPr>
              <w:pStyle w:val="1026"/>
              <w:pBdr/>
              <w:spacing w:after="60" w:before="200"/>
              <w:ind/>
              <w:rPr>
                <w:sz w:val="24"/>
                <w:szCs w:val="24"/>
              </w:rPr>
            </w:pPr>
            <w:r>
              <w:rPr>
                <w:rStyle w:val="1025"/>
                <w:rFonts w:ascii="Times New Roman" w:hAnsi="Times New Roman"/>
                <w:color w:val="auto"/>
                <w:lang w:val="pt-BR"/>
              </w:rPr>
              <w:t xml:space="preserve">Số:</w:t>
            </w:r>
            <w:r>
              <w:rPr>
                <w:rStyle w:val="1025"/>
                <w:rFonts w:ascii="Times New Roman" w:hAnsi="Times New Roman"/>
                <w:color w:val="auto"/>
                <w:lang w:val="pt-BR"/>
              </w:rPr>
              <w:t xml:space="preserve"> </w:t>
            </w:r>
            <w:r>
              <w:rPr>
                <w:rStyle w:val="1025"/>
                <w:rFonts w:ascii="Times New Roman" w:hAnsi="Times New Roman"/>
                <w:color w:val="000000" w:themeColor="text1"/>
                <w:lang w:val="pt-BR"/>
              </w:rPr>
              <w:t xml:space="preserve">275/2025/1702/VFI-CT.48.A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pPr>
              <w:pStyle w:val="1026"/>
              <w:pBdr/>
              <w:spacing w:after="60" w:before="200"/>
              <w:ind w:right="-56"/>
              <w:rPr>
                <w:rStyle w:val="1025"/>
                <w:rFonts w:ascii="Times New Roman" w:hAnsi="Times New Roman"/>
                <w:i/>
                <w:color w:val="auto"/>
              </w:rPr>
            </w:pPr>
            <w:r>
              <w:rPr>
                <w:rFonts w:ascii="Times New Roman" w:hAnsi="Times New Roman"/>
                <w:i/>
                <w:color w:val="auto"/>
              </w:rPr>
            </w:r>
            <w:r>
              <w:rPr>
                <w:rStyle w:val="1025"/>
                <w:rFonts w:ascii="Times New Roman" w:hAnsi="Times New Roman"/>
                <w:i/>
                <w:color w:val="auto"/>
              </w:rPr>
            </w:r>
            <w:r>
              <w:rPr>
                <w:rStyle w:val="1025"/>
                <w:rFonts w:ascii="Times New Roman" w:hAnsi="Times New Roman"/>
                <w:i/>
                <w:color w:val="auto"/>
              </w:rPr>
            </w:r>
          </w:p>
          <w:p>
            <w:pPr>
              <w:pStyle w:val="1026"/>
              <w:pBdr/>
              <w:spacing w:after="60" w:before="200"/>
              <w:ind w:right="-56"/>
              <w:jc w:val="right"/>
              <w:rPr>
                <w:sz w:val="24"/>
                <w:szCs w:val="24"/>
                <w:lang w:val="vi-VN"/>
              </w:rPr>
            </w:pPr>
            <w:r>
              <w:rPr>
                <w:rStyle w:val="1025"/>
                <w:rFonts w:ascii="Times New Roman" w:hAnsi="Times New Roman"/>
                <w:i/>
                <w:color w:val="auto"/>
              </w:rPr>
              <w:t xml:space="preserve">TP. </w:t>
            </w:r>
            <w:r>
              <w:rPr>
                <w:rStyle w:val="1025"/>
                <w:rFonts w:ascii="Times New Roman" w:hAnsi="Times New Roman"/>
                <w:i/>
                <w:color w:val="auto"/>
              </w:rPr>
              <w:t xml:space="preserve">Hà Nội</w:t>
            </w:r>
            <w:r>
              <w:rPr>
                <w:rStyle w:val="1025"/>
                <w:rFonts w:ascii="Times New Roman" w:hAnsi="Times New Roman"/>
                <w:i/>
                <w:color w:val="auto"/>
                <w:lang w:val="vi-VN"/>
              </w:rPr>
              <w:t xml:space="preserve">, </w:t>
            </w:r>
            <w:r>
              <w:rPr>
                <w:rStyle w:val="1025"/>
                <w:rFonts w:ascii="Times New Roman" w:hAnsi="Times New Roman"/>
                <w:i/>
                <w:color w:val="auto"/>
                <w:lang w:val="vi-VN"/>
              </w:rPr>
              <w:t xml:space="preserve">ngày 01 tháng 12 năm 2025   </w:t>
            </w:r>
            <w:r>
              <w:rPr>
                <w:rStyle w:val="1025"/>
                <w:rFonts w:ascii="Times New Roman" w:hAnsi="Times New Roman"/>
                <w:i/>
                <w:color w:val="auto"/>
                <w:lang w:val="vi-VN"/>
              </w:rPr>
              <w:t xml:space="preserve">  </w:t>
            </w:r>
            <w:r>
              <w:rPr>
                <w:sz w:val="24"/>
                <w:szCs w:val="24"/>
                <w:lang w:val="vi-VN"/>
              </w:rPr>
            </w:r>
            <w:r>
              <w:rPr>
                <w:sz w:val="24"/>
                <w:szCs w:val="24"/>
                <w:lang w:val="vi-VN"/>
              </w:rPr>
            </w:r>
          </w:p>
        </w:tc>
      </w:tr>
    </w:tbl>
    <w:p>
      <w:pPr>
        <w:pStyle w:val="1026"/>
        <w:pBdr/>
        <w:spacing w:after="120" w:before="200" w:line="288" w:lineRule="auto"/>
        <w:ind/>
        <w:jc w:val="center"/>
        <w:rPr>
          <w:rStyle w:val="1025"/>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DƯƠNG QUANG THÀNH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275/2025/1702/VFI-HĐTĐ.48.A</w:t>
      </w:r>
      <w:r>
        <w:rPr>
          <w:spacing w:val="-4"/>
          <w:lang w:val="vi-VN"/>
        </w:rPr>
        <w:t xml:space="preserve"> ký ngày </w:t>
      </w:r>
      <w:r>
        <w:rPr>
          <w:color w:val="000000" w:themeColor="text1"/>
          <w:spacing w:val="-4"/>
        </w:rPr>
        <w:t xml:space="preserve">28/11/2025</w:t>
      </w:r>
      <w:r>
        <w:rPr>
          <w:spacing w:val="-4"/>
          <w:lang w:val="vi-VN"/>
        </w:rPr>
        <w:t xml:space="preserve"> </w:t>
      </w:r>
      <w:r>
        <w:rPr>
          <w:spacing w:val="-4"/>
          <w:lang w:val="vi-VN"/>
        </w:rPr>
        <w:t xml:space="preserve">giữa </w:t>
      </w:r>
      <w:r>
        <w:rPr>
          <w:bCs/>
        </w:rPr>
        <w:t xml:space="preserve">Ông Dương Quang Thành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275/2025/1702/VFI-BC.48.A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01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BT5-23 Khu đô Thị mới Văn Phú, Phường Kiến Hưng, Thành phố Hà Nội, Việt Nam</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Nguyễn Trọng Điệp</w:t>
            </w:r>
            <w:r>
              <w:rPr>
                <w:b/>
                <w:bCs/>
                <w:lang w:val="vi-VN"/>
              </w:rPr>
              <w:tab/>
            </w:r>
            <w:r>
              <w:rPr>
                <w:b/>
                <w:bCs/>
              </w:rPr>
              <w:t xml:space="preserve">        </w:t>
            </w:r>
            <w:r>
              <w:rPr>
                <w:b/>
                <w:bCs/>
                <w:lang w:val="vi-VN"/>
              </w:rPr>
              <w:t xml:space="preserve">Chức vụ: </w:t>
            </w:r>
            <w:r>
              <w:rPr>
                <w:b/>
                <w:bCs/>
              </w:rPr>
              <w:t xml:space="preserve">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Căn hộ chung cư số 1612, Tòa nhà CT2, Tổ hợp thương mại dịch vụ và căn hộ - THE PRIDE, Khu đô thị mới An Hưng, phường La Khê, quận Hà Đông, thành phố Hà Nội (nay là phường Hà Đ</w:t>
      </w:r>
      <w:r>
        <w:rPr>
          <w:color w:val="000000" w:themeColor="text1"/>
        </w:rPr>
        <w:t xml:space="preserve">ông, thành phố Hà Nội) theo Giấy chứng nhận quyền sử dụng đất quyền sở hữu nhà ở và tài sản khác gắn liền với đất số: DM 824365, số vào sổ cấp GCN: VP00558 do Văn phòng đăng ký đất đai Hà Nội cấp ngày 30/11/2023 cho Ông Dương Quang Thành và Bà Tạ Thị Lệ Hà</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Căn hộ chung cư số 1612, Tòa nhà CT2, Tổ hợp thương mại dịch vụ và căn hộ - THE PRIDE, Khu đô thị mới An Hưng, phường La Khê, quận Hà Đông, thành phố Hà Nội (nay là phường Hà Đ</w:t>
            </w:r>
            <w:r>
              <w:rPr>
                <w:color w:val="000000"/>
              </w:rPr>
              <w:t xml:space="preserve">ông, thành phố Hà Nội) theo Giấy chứng nhận quyền sử dụng đất quyền sở hữu nhà ở và tài sản khác gắn liền với đất số: DM 824365, số vào sổ cấp GCN: VP00558 do Văn phòng đăng ký đất đai Hà Nội cấp ngày 30/11/2023 cho Ông Dương Quang Thành và Bà Tạ Thị Lệ Hà</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Căn hộ chung cư</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81,4</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68.000.000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5.535.200.000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5.535.200.000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Năm tỷ năm trăm ba mươi lăm triệu hai trăm nghìn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XII.20112025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Trọng Điệp</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X15.1272</w:t>
            </w:r>
            <w:r>
              <w:rPr>
                <w:rFonts w:eastAsia="Calibri"/>
                <w:b/>
                <w:lang w:val="pt-BR"/>
              </w:rPr>
            </w:r>
            <w:r>
              <w:rPr>
                <w:rFonts w:eastAsia="Calibri"/>
                <w:b/>
                <w:lang w:val="pt-BR"/>
              </w:rPr>
            </w:r>
          </w:p>
        </w:tc>
      </w:tr>
    </w:tbl>
    <w:p>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pPr>
              <w:pStyle w:val="1026"/>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pPr>
              <w:pStyle w:val="1026"/>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275/2025/1702/VFI-BC.48.A</w:t>
            </w:r>
            <w:r>
              <w:rPr>
                <w:sz w:val="24"/>
                <w:szCs w:val="24"/>
              </w:rPr>
            </w:r>
            <w:r>
              <w:rPr>
                <w:sz w:val="24"/>
                <w:szCs w:val="24"/>
              </w:rPr>
            </w:r>
          </w:p>
        </w:tc>
        <w:tc>
          <w:tcPr>
            <w:tcBorders/>
            <w:tcW w:w="4781" w:type="dxa"/>
            <w:textDirection w:val="lrTb"/>
            <w:noWrap w:val="false"/>
          </w:tcPr>
          <w:p>
            <w:pPr>
              <w:pStyle w:val="1026"/>
              <w:pBdr/>
              <w:tabs>
                <w:tab w:val="left" w:leader="none" w:pos="5103"/>
              </w:tabs>
              <w:spacing w:before="100" w:line="360" w:lineRule="auto"/>
              <w:ind/>
              <w:jc w:val="right"/>
              <w:rPr>
                <w:rStyle w:val="1025"/>
                <w:rFonts w:ascii="Times New Roman" w:hAnsi="Times New Roman"/>
                <w:i/>
                <w:color w:val="auto"/>
              </w:rPr>
            </w:pPr>
            <w:r>
              <w:rPr>
                <w:rFonts w:ascii="Times New Roman" w:hAnsi="Times New Roman"/>
                <w:i/>
                <w:color w:val="auto"/>
              </w:rPr>
            </w:r>
            <w:r>
              <w:rPr>
                <w:rStyle w:val="1025"/>
                <w:rFonts w:ascii="Times New Roman" w:hAnsi="Times New Roman"/>
                <w:i/>
                <w:color w:val="auto"/>
              </w:rPr>
            </w:r>
            <w:r>
              <w:rPr>
                <w:rStyle w:val="1025"/>
                <w:rFonts w:ascii="Times New Roman" w:hAnsi="Times New Roman"/>
                <w:i/>
                <w:color w:val="auto"/>
              </w:rPr>
            </w:r>
          </w:p>
          <w:p>
            <w:pPr>
              <w:pStyle w:val="1026"/>
              <w:pBdr/>
              <w:tabs>
                <w:tab w:val="left" w:leader="none" w:pos="5103"/>
              </w:tabs>
              <w:spacing w:before="100" w:line="360" w:lineRule="auto"/>
              <w:ind/>
              <w:jc w:val="right"/>
              <w:rPr>
                <w:i/>
                <w:iCs/>
                <w:sz w:val="24"/>
                <w:szCs w:val="24"/>
              </w:rPr>
            </w:pPr>
            <w:r>
              <w:rPr>
                <w:rStyle w:val="1025"/>
                <w:rFonts w:ascii="Times New Roman" w:hAnsi="Times New Roman"/>
                <w:i/>
                <w:color w:val="auto"/>
              </w:rPr>
              <w:t xml:space="preserve">TP</w:t>
            </w:r>
            <w:r>
              <w:rPr>
                <w:rStyle w:val="1025"/>
                <w:rFonts w:ascii="Times New Roman" w:hAnsi="Times New Roman"/>
                <w:color w:val="auto"/>
              </w:rPr>
              <w:t xml:space="preserve">. </w:t>
            </w:r>
            <w:r>
              <w:rPr>
                <w:rStyle w:val="1025"/>
                <w:rFonts w:ascii="Times New Roman" w:hAnsi="Times New Roman"/>
                <w:i/>
                <w:color w:val="auto"/>
              </w:rPr>
              <w:t xml:space="preserve">Hà Nội</w:t>
            </w:r>
            <w:r>
              <w:rPr>
                <w:rStyle w:val="1025"/>
                <w:rFonts w:ascii="Times New Roman" w:hAnsi="Times New Roman"/>
                <w:i/>
                <w:color w:val="auto"/>
                <w:lang w:val="vi-VN"/>
              </w:rPr>
              <w:t xml:space="preserve">, </w:t>
            </w:r>
            <w:r>
              <w:rPr>
                <w:i/>
                <w:iCs/>
                <w:color w:val="000000" w:themeColor="text1"/>
                <w:sz w:val="24"/>
                <w:szCs w:val="24"/>
                <w:lang w:val="pt-BR"/>
              </w:rPr>
              <w:t xml:space="preserve">01 tháng 12 năm 2025</w:t>
            </w:r>
            <w:r>
              <w:rPr>
                <w:rStyle w:val="1025"/>
                <w:rFonts w:ascii="Times New Roman" w:hAnsi="Times New Roman"/>
                <w:i/>
                <w:color w:val="auto"/>
                <w:lang w:val="vi-VN"/>
              </w:rPr>
              <w:t xml:space="preserve">   </w:t>
            </w:r>
            <w:r>
              <w:rPr>
                <w:rStyle w:val="1025"/>
                <w:rFonts w:ascii="Times New Roman" w:hAnsi="Times New Roman"/>
                <w:i/>
                <w:color w:val="auto"/>
                <w:lang w:val="vi-VN"/>
              </w:rPr>
              <w:t xml:space="preserve">  </w:t>
            </w:r>
            <w:r>
              <w:rPr>
                <w:i/>
                <w:iCs/>
                <w:sz w:val="24"/>
                <w:szCs w:val="24"/>
              </w:rPr>
            </w:r>
            <w:r>
              <w:rPr>
                <w:i/>
                <w:iCs/>
                <w:sz w:val="24"/>
                <w:szCs w:val="24"/>
              </w:rPr>
            </w:r>
          </w:p>
        </w:tc>
      </w:tr>
    </w:tbl>
    <w:p>
      <w:pPr>
        <w:pStyle w:val="1026"/>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275/2025/1702/VFI-CT.48.A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01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BT5-23 Khu đô thị mới Văn Phú, Phường Kiến Hưng, Thành phố Hà Nội, Việt Nam</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Nguyễn Trọng Điệp </w:t>
            </w:r>
            <w:r>
              <w:rPr>
                <w:b/>
                <w:bCs/>
                <w:lang w:val="vi-VN"/>
              </w:rPr>
              <w:tab/>
              <w:t xml:space="preserve">Chức vụ: </w:t>
            </w:r>
            <w:r>
              <w:rPr>
                <w:b/>
                <w:bCs/>
              </w:rPr>
              <w:t xml:space="preserve">Tổng Giám Đốc</w:t>
            </w:r>
            <w:r>
              <w:rPr>
                <w:b/>
                <w:bCs/>
                <w:lang w:val="vi-VN"/>
              </w:rPr>
            </w:r>
            <w:r>
              <w:rPr>
                <w:b/>
                <w:bCs/>
                <w:lang w:val="vi-VN"/>
              </w:rPr>
            </w:r>
          </w:p>
        </w:tc>
      </w:tr>
    </w:tbl>
    <w:p>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Căn hộ chung cư số 1612, Tòa nhà CT2, Tổ hợp thương mại dịch vụ và căn hộ - THE PRIDE, Khu đô thị mới An Hưng, phường La Khê, quận Hà Đông, thành phố Hà Nội (nay là phường Hà Đ</w:t>
            </w:r>
            <w:r>
              <w:rPr>
                <w:bCs/>
                <w:color w:val="000000" w:themeColor="text1"/>
                <w:lang w:val="pt-BR"/>
              </w:rPr>
              <w:t xml:space="preserve">ông, thành phố Hà Nội) theo Giấy chứng nhận quyền sử dụng đất quyền sở hữu nhà ở và tài sản khác gắn liền với đất số: DM 824365, số vào sổ cấp GCN: VP00558 do Văn phòng đăng ký đất đai Hà Nội cấp ngày 30/11/2023 cho Ông Dương Quang Thành và Bà Tạ Thị Lệ Hà</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La Khê, Quận Hà Đông,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20.9717023, 105.75746</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7"/>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7"/>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color w:val="000000"/>
          <w:sz w:val="26"/>
        </w:rPr>
        <w:t xml:space="preserve">Giấy chứng nhận quyền sử dụng đất quyền sở hữu nhà ở</w:t>
      </w:r>
      <w:r>
        <w:rPr>
          <w:rFonts w:ascii="Times New Roman" w:hAnsi="Times New Roman" w:eastAsia="Times New Roman" w:cs="Times New Roman"/>
          <w:color w:val="000000"/>
          <w:sz w:val="26"/>
        </w:rPr>
        <w:t xml:space="preserve"> và tài sản khác gắn liền với đất số: DM 824365, số vào sổ cấp GCN: VP00558 do Văn phòng đăng ký đất đai Hà Nội cấp ngày 30/11/2023 cho Ông Dương Quang Thành và Bà Tạ Thị Lệ Hà</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7"/>
        <w:numPr>
          <w:ilvl w:val="0"/>
          <w:numId w:val="2"/>
        </w:numPr>
        <w:pBdr/>
        <w:tabs>
          <w:tab w:val="left" w:leader="none" w:pos="993"/>
        </w:tabs>
        <w:spacing w:after="120" w:before="120" w:line="276" w:lineRule="auto"/>
        <w:ind/>
        <w:jc w:val="both"/>
        <w:rPr>
          <w:rFonts w:ascii="Times New Roman" w:hAnsi="Times New Roman" w:cs="Times New Roman"/>
          <w:b/>
          <w:sz w:val="24"/>
          <w:szCs w:val="24"/>
        </w:rPr>
      </w:pPr>
      <w:r>
        <w:rPr>
          <w:rFonts w:ascii="Times New Roman" w:hAnsi="Times New Roman" w:eastAsia="Times New Roman" w:cs="Times New Roman"/>
          <w:color w:val="000000" w:themeColor="text1"/>
          <w:sz w:val="24"/>
          <w:szCs w:val="24"/>
          <w:lang w:val="pt-BR"/>
        </w:rPr>
        <w:t xml:space="preserve">Hợp đồng số</w:t>
      </w:r>
      <w:r>
        <w:rPr>
          <w:rFonts w:ascii="Times New Roman" w:hAnsi="Times New Roman" w:eastAsia="Times New Roman" w:cs="Times New Roman"/>
          <w:color w:val="081b3a"/>
          <w:spacing w:val="3"/>
          <w:sz w:val="24"/>
          <w:szCs w:val="24"/>
          <w:highlight w:val="none"/>
        </w:rPr>
        <w:t xml:space="preserve"> </w:t>
      </w:r>
      <w:r>
        <w:rPr>
          <w:rFonts w:ascii="Times New Roman" w:hAnsi="Times New Roman" w:eastAsia="Times New Roman" w:cs="Times New Roman"/>
          <w:color w:val="081b3a"/>
          <w:spacing w:val="3"/>
          <w:sz w:val="24"/>
          <w:szCs w:val="24"/>
          <w:highlight w:val="white"/>
        </w:rPr>
        <w:t xml:space="preserve">275/2025/1702/VFI-HĐTĐ.48.A</w:t>
      </w:r>
      <w:r>
        <w:rPr>
          <w:rFonts w:ascii="Times New Roman" w:hAnsi="Times New Roman" w:eastAsia="Times New Roman" w:cs="Times New Roman"/>
          <w:color w:val="000000" w:themeColor="text1"/>
          <w:sz w:val="24"/>
          <w:szCs w:val="24"/>
          <w:lang w:val="pt-BR"/>
        </w:rPr>
        <w:t xml:space="preserve"> ngày 28/11/2025 giữa với Công ty Cổ phần Thẩm định và Đầu tư Tài chính Hoa Sen.</w:t>
      </w:r>
      <w:r>
        <w:rPr>
          <w:rFonts w:ascii="Times New Roman" w:hAnsi="Times New Roman" w:cs="Times New Roman"/>
          <w:b/>
          <w:sz w:val="24"/>
          <w:szCs w:val="24"/>
        </w:rPr>
      </w:r>
      <w:r>
        <w:rPr>
          <w:rFonts w:ascii="Times New Roman" w:hAnsi="Times New Roman" w:cs="Times New Roman"/>
          <w:b/>
          <w:sz w:val="24"/>
          <w:szCs w:val="24"/>
        </w:rPr>
      </w:r>
    </w:p>
    <w:p>
      <w:pPr>
        <w:pStyle w:val="102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pacing w:after="60" w:before="60" w:line="276" w:lineRule="auto"/>
        <w:ind w:right="0" w:firstLine="284" w:left="0"/>
        <w:jc w:val="both"/>
        <w:rPr/>
      </w:pPr>
      <w:r>
        <w:rPr>
          <w:lang w:val="pt-BR"/>
        </w:rPr>
        <w:tab/>
      </w:r>
      <w:r>
        <w:rPr>
          <w:rFonts w:ascii="Times New Roman" w:hAnsi="Times New Roman" w:eastAsia="Times New Roman" w:cs="Times New Roman"/>
          <w:color w:val="000000"/>
          <w:sz w:val="24"/>
        </w:rPr>
        <w:t xml:space="preserve">Quận Hà Đông cũ không chỉ nổi bật với sự phát triển cơ sở hạ tầng đồng bộ mà còn có tiềm năng tăng giá bất động sản trong tương lai. Điều này tạo ra cơ hội hấp dẫn cho những ai có nhu cầu mua bán nhà Hà Nội tại khu vực này. Bài viết này sẽ cung cấp cho bạn</w:t>
      </w:r>
      <w:r>
        <w:rPr>
          <w:rFonts w:ascii="Times New Roman" w:hAnsi="Times New Roman" w:eastAsia="Times New Roman" w:cs="Times New Roman"/>
          <w:color w:val="000000"/>
          <w:sz w:val="24"/>
        </w:rPr>
        <w:t xml:space="preserve"> thông tin chi tiết về cách bán nhà quận Hà Đông nhanh chóng, giúp giao dịch diễn ra thuận lợi và đạt được giá trị tốt nhất.</w:t>
      </w:r>
      <w:r/>
    </w:p>
    <w:p>
      <w:pPr>
        <w:pBdr>
          <w:top w:val="none" w:color="000000" w:sz="4" w:space="0"/>
          <w:left w:val="none" w:color="000000" w:sz="4" w:space="0"/>
          <w:bottom w:val="none" w:color="000000" w:sz="4" w:space="0"/>
          <w:right w:val="none" w:color="000000" w:sz="4" w:space="0"/>
        </w:pBdr>
        <w:spacing w:after="60" w:before="60" w:line="276" w:lineRule="auto"/>
        <w:ind w:right="0" w:firstLine="284" w:left="0"/>
        <w:jc w:val="both"/>
        <w:rPr/>
      </w:pPr>
      <w:r>
        <w:rPr>
          <w:rFonts w:ascii="Times New Roman" w:hAnsi="Times New Roman" w:eastAsia="Times New Roman" w:cs="Times New Roman"/>
          <w:color w:val="000000"/>
          <w:sz w:val="24"/>
        </w:rPr>
        <w:t xml:space="preserve">Đặc biệt, khu vực phía Tây Hà Nội, là vị trí của quận Hà Đông, đang trở thành tâm điểm của làn sóng di cư, thu hút nhiều người từ trung tâm thành phố. Nhu cầu nhà ở cho người lao động, sinh viên gia tăng đáng kể, tạo động lực cho thị trường bất động sản tă</w:t>
      </w:r>
      <w:r>
        <w:rPr>
          <w:rFonts w:ascii="Times New Roman" w:hAnsi="Times New Roman" w:eastAsia="Times New Roman" w:cs="Times New Roman"/>
          <w:color w:val="000000"/>
          <w:sz w:val="24"/>
        </w:rPr>
        <w:t xml:space="preserve">ng trưởng.</w:t>
      </w:r>
      <w:r/>
    </w:p>
    <w:p>
      <w:pPr>
        <w:pBdr>
          <w:top w:val="none" w:color="000000" w:sz="4" w:space="0"/>
          <w:left w:val="none" w:color="000000" w:sz="4" w:space="0"/>
          <w:bottom w:val="none" w:color="000000" w:sz="4" w:space="0"/>
          <w:right w:val="none" w:color="000000" w:sz="4" w:space="0"/>
        </w:pBdr>
        <w:spacing w:after="60" w:before="60" w:line="276" w:lineRule="auto"/>
        <w:ind w:right="0" w:firstLine="284" w:left="0"/>
        <w:jc w:val="both"/>
        <w:rPr/>
      </w:pPr>
      <w:r>
        <w:rPr>
          <w:rFonts w:ascii="Times New Roman" w:hAnsi="Times New Roman" w:eastAsia="Times New Roman" w:cs="Times New Roman"/>
          <w:color w:val="000000"/>
          <w:sz w:val="24"/>
        </w:rPr>
        <w:t xml:space="preserve">Số lượng nhà đất giao dịch thành công tại quận Hà Đông đang ngày càng gia tăng, đặc biệt là trong các phân khúc nhà ở thấp tầng và đất nền. Mặc dù giá cả có sự điều chỉnh nhẹ, nhưng không ảnh hưởng đến sức hút của thị trường. Các chính sách hỗ trợ từ Nhà n</w:t>
      </w:r>
      <w:r>
        <w:rPr>
          <w:rFonts w:ascii="Times New Roman" w:hAnsi="Times New Roman" w:eastAsia="Times New Roman" w:cs="Times New Roman"/>
          <w:color w:val="000000"/>
          <w:sz w:val="24"/>
        </w:rPr>
        <w:t xml:space="preserve">ước và ngân hàng cũng góp phần thúc đẩy giao dịch, tạo điều kiện cho các nhà đầu tư thực hiện các giao dịch mua bán một cách hiệu 2quả.</w:t>
      </w:r>
      <w:r/>
    </w:p>
    <w:p>
      <w:pPr>
        <w:pBdr>
          <w:top w:val="none" w:color="000000" w:sz="4" w:space="0"/>
          <w:left w:val="none" w:color="000000" w:sz="4" w:space="0"/>
          <w:bottom w:val="none" w:color="000000" w:sz="4" w:space="0"/>
          <w:right w:val="none" w:color="000000" w:sz="4" w:space="0"/>
        </w:pBdr>
        <w:spacing w:after="60" w:before="60" w:line="276" w:lineRule="auto"/>
        <w:ind w:right="0" w:firstLine="284" w:left="0"/>
        <w:jc w:val="both"/>
        <w:rPr/>
      </w:pPr>
      <w:r>
        <w:rPr>
          <w:rFonts w:ascii="Times New Roman" w:hAnsi="Times New Roman" w:eastAsia="Times New Roman" w:cs="Times New Roman"/>
          <w:color w:val="000000"/>
          <w:sz w:val="24"/>
        </w:rPr>
        <w:t xml:space="preserve">Giá căn hộ chung cư quận Hà Động đang dao động từ 19,86 triệu - 380 triệu đồng/m2, với một số dự án nổi bật như:</w:t>
      </w:r>
      <w:r/>
    </w:p>
    <w:p>
      <w:pPr>
        <w:numPr>
          <w:ilvl w:val="0"/>
          <w:numId w:val="39"/>
        </w:numPr>
        <w:pBdr>
          <w:top w:val="none" w:color="000000" w:sz="4" w:space="0"/>
          <w:left w:val="none" w:color="000000" w:sz="4" w:space="0"/>
          <w:bottom w:val="none" w:color="000000" w:sz="4" w:space="0"/>
          <w:right w:val="none" w:color="000000" w:sz="4" w:space="0"/>
        </w:pBdr>
        <w:tabs>
          <w:tab w:val="left" w:leader="none" w:pos="720"/>
        </w:tabs>
        <w:spacing w:after="60" w:before="60" w:line="276" w:lineRule="auto"/>
        <w:ind/>
        <w:jc w:val="both"/>
        <w:rPr/>
      </w:pPr>
      <w:r>
        <w:rPr>
          <w:rFonts w:ascii="Times New Roman" w:hAnsi="Times New Roman" w:eastAsia="Times New Roman" w:cs="Times New Roman"/>
          <w:color w:val="000000"/>
          <w:sz w:val="24"/>
        </w:rPr>
        <w:t xml:space="preserve">Chung cư Thanh Hà</w:t>
      </w:r>
      <w:r/>
    </w:p>
    <w:p>
      <w:pPr>
        <w:numPr>
          <w:ilvl w:val="0"/>
          <w:numId w:val="39"/>
        </w:numPr>
        <w:pBdr>
          <w:top w:val="none" w:color="000000" w:sz="4" w:space="0"/>
          <w:left w:val="none" w:color="000000" w:sz="4" w:space="0"/>
          <w:bottom w:val="none" w:color="000000" w:sz="4" w:space="0"/>
          <w:right w:val="none" w:color="000000" w:sz="4" w:space="0"/>
        </w:pBdr>
        <w:tabs>
          <w:tab w:val="left" w:leader="none" w:pos="720"/>
        </w:tabs>
        <w:spacing w:after="60" w:before="60" w:line="276" w:lineRule="auto"/>
        <w:ind/>
        <w:jc w:val="both"/>
        <w:rPr/>
      </w:pPr>
      <w:r>
        <w:rPr>
          <w:rFonts w:ascii="Times New Roman" w:hAnsi="Times New Roman" w:eastAsia="Times New Roman" w:cs="Times New Roman"/>
          <w:color w:val="000000"/>
          <w:sz w:val="24"/>
        </w:rPr>
        <w:t xml:space="preserve">Chung cư BID Residence Tố Hữu</w:t>
      </w:r>
      <w:r/>
    </w:p>
    <w:p>
      <w:pPr>
        <w:numPr>
          <w:ilvl w:val="0"/>
          <w:numId w:val="39"/>
        </w:numPr>
        <w:pBdr>
          <w:top w:val="none" w:color="000000" w:sz="4" w:space="0"/>
          <w:left w:val="none" w:color="000000" w:sz="4" w:space="0"/>
          <w:bottom w:val="none" w:color="000000" w:sz="4" w:space="0"/>
          <w:right w:val="none" w:color="000000" w:sz="4" w:space="0"/>
        </w:pBdr>
        <w:tabs>
          <w:tab w:val="left" w:leader="none" w:pos="720"/>
        </w:tabs>
        <w:spacing w:after="60" w:before="60" w:line="276" w:lineRule="auto"/>
        <w:ind/>
        <w:jc w:val="both"/>
        <w:rPr/>
      </w:pPr>
      <w:r>
        <w:rPr>
          <w:rFonts w:ascii="Times New Roman" w:hAnsi="Times New Roman" w:eastAsia="Times New Roman" w:cs="Times New Roman"/>
          <w:color w:val="000000"/>
          <w:sz w:val="24"/>
        </w:rPr>
        <w:t xml:space="preserve">Chung cư Park Kiara</w:t>
      </w:r>
      <w:r/>
    </w:p>
    <w:p>
      <w:pPr>
        <w:numPr>
          <w:ilvl w:val="0"/>
          <w:numId w:val="39"/>
        </w:numPr>
        <w:pBdr>
          <w:top w:val="none" w:color="000000" w:sz="4" w:space="0"/>
          <w:left w:val="none" w:color="000000" w:sz="4" w:space="0"/>
          <w:bottom w:val="none" w:color="000000" w:sz="4" w:space="0"/>
          <w:right w:val="none" w:color="000000" w:sz="4" w:space="0"/>
        </w:pBdr>
        <w:tabs>
          <w:tab w:val="left" w:leader="none" w:pos="720"/>
        </w:tabs>
        <w:spacing w:after="60" w:before="60" w:line="276" w:lineRule="auto"/>
        <w:ind/>
        <w:jc w:val="both"/>
        <w:rPr/>
      </w:pPr>
      <w:r>
        <w:rPr>
          <w:rFonts w:ascii="Times New Roman" w:hAnsi="Times New Roman" w:eastAsia="Times New Roman" w:cs="Times New Roman"/>
          <w:color w:val="000000"/>
          <w:sz w:val="24"/>
        </w:rPr>
        <w:t xml:space="preserve">Chung cư tại KĐT Văn Khê</w:t>
      </w:r>
      <w:r/>
    </w:p>
    <w:p>
      <w:pPr>
        <w:pBdr>
          <w:top w:val="none" w:color="000000" w:sz="4" w:space="0"/>
          <w:left w:val="none" w:color="000000" w:sz="4" w:space="0"/>
          <w:bottom w:val="none" w:color="000000" w:sz="4" w:space="0"/>
          <w:right w:val="none" w:color="000000" w:sz="4" w:space="0"/>
        </w:pBdr>
        <w:spacing w:after="60" w:before="60" w:line="276" w:lineRule="auto"/>
        <w:ind w:right="0" w:firstLine="284" w:left="0"/>
        <w:jc w:val="both"/>
        <w:rPr/>
      </w:pPr>
      <w:r>
        <w:rPr>
          <w:rFonts w:ascii="Times New Roman" w:hAnsi="Times New Roman" w:eastAsia="Times New Roman" w:cs="Times New Roman"/>
          <w:color w:val="000000"/>
          <w:sz w:val="24"/>
        </w:rPr>
        <w:t xml:space="preserve">So với các khu vực lân cận như Thanh Xuân hay Nam Từ Liêm, giá bất động sản tại Hà Đông vẫn có phần cạnh tranh hơn, đặc biệt trong bối cảnh quỹ đất tại các khu vực trung tâm đã bắt đầu trở nên khan hiếm.</w:t>
      </w:r>
      <w:r/>
    </w:p>
    <w:p>
      <w:pPr>
        <w:pBdr>
          <w:top w:val="none" w:color="000000" w:sz="4" w:space="0"/>
          <w:left w:val="none" w:color="000000" w:sz="4" w:space="0"/>
          <w:bottom w:val="none" w:color="000000" w:sz="4" w:space="0"/>
          <w:right w:val="none" w:color="000000" w:sz="4" w:space="0"/>
        </w:pBdr>
        <w:spacing w:after="60" w:before="60" w:line="276" w:lineRule="auto"/>
        <w:ind w:right="0" w:firstLine="284" w:left="0"/>
        <w:jc w:val="both"/>
        <w:rPr/>
      </w:pPr>
      <w:r>
        <w:rPr>
          <w:rFonts w:ascii="Times New Roman" w:hAnsi="Times New Roman" w:eastAsia="Times New Roman" w:cs="Times New Roman"/>
          <w:color w:val="000000"/>
          <w:sz w:val="24"/>
        </w:rPr>
        <w:t xml:space="preserve">Thị trường bất động sản quận Hà Đông dự kiến sẽ tiếp tục phát triển mạnh mẽ trong thời gian tới nhờ vào sự hoàn thiện của cơ sở hạ tầng và nhu cầu nhà ở ngày càng tăng. Các dự án giao thông lớn như tuyến đường Vành đai 3.5, đường sắt Cát Linh - Hà Đông đan</w:t>
      </w:r>
      <w:r>
        <w:rPr>
          <w:rFonts w:ascii="Times New Roman" w:hAnsi="Times New Roman" w:eastAsia="Times New Roman" w:cs="Times New Roman"/>
          <w:color w:val="000000"/>
          <w:sz w:val="24"/>
        </w:rPr>
        <w:t xml:space="preserve">g dần đi vào hoạt động sẽ cải thiện kết nối khu vực, thu hút thêm nhiều cư dân và nhà đầu tư.</w:t>
      </w:r>
      <w:r/>
    </w:p>
    <w:p>
      <w:pPr>
        <w:pBdr>
          <w:top w:val="none" w:color="000000" w:sz="4" w:space="0"/>
          <w:left w:val="none" w:color="000000" w:sz="4" w:space="0"/>
          <w:bottom w:val="none" w:color="000000" w:sz="4" w:space="0"/>
          <w:right w:val="none" w:color="000000" w:sz="4" w:space="0"/>
        </w:pBdr>
        <w:spacing w:after="60" w:before="60" w:line="276" w:lineRule="auto"/>
        <w:ind w:right="0" w:firstLine="284" w:left="0"/>
        <w:jc w:val="both"/>
        <w:rPr/>
      </w:pPr>
      <w:r>
        <w:rPr>
          <w:rFonts w:ascii="Times New Roman" w:hAnsi="Times New Roman" w:eastAsia="Times New Roman" w:cs="Times New Roman"/>
          <w:color w:val="000000"/>
          <w:sz w:val="24"/>
        </w:rPr>
        <w:t xml:space="preserve">Đặc biệt, sự phát triển của các khu đô thị mới và căn hộ chung cư hiện đại tại quận Hà Đông sẽ đáp ứng nhu cầu an cư cho người dân. Dự báo, giá trị bất động sản tại đây sẽ có xu hướng tăng, tạo cơ hội cho các nhà đầu tư tìm kiếm lợi nhuận.</w:t>
      </w:r>
      <w:r/>
    </w:p>
    <w:p>
      <w:pPr>
        <w:pBdr/>
        <w:tabs>
          <w:tab w:val="left" w:leader="none" w:pos="426"/>
        </w:tabs>
        <w:spacing w:after="120" w:before="120" w:line="276" w:lineRule="auto"/>
        <w:ind/>
        <w:jc w:val="center"/>
        <w:rPr>
          <w:bCs/>
          <w:i/>
          <w:lang w:val="pt-BR"/>
        </w:rPr>
      </w:pPr>
      <w:r>
        <w:rPr>
          <w:rFonts w:ascii="Times New Roman" w:hAnsi="Times New Roman" w:eastAsia="Times New Roman" w:cs="Times New Roman"/>
          <w:i/>
          <w:color w:val="000000"/>
          <w:sz w:val="24"/>
        </w:rPr>
        <w:t xml:space="preserve">(Nguồn:</w:t>
      </w:r>
      <w:r>
        <w:rPr>
          <w:rFonts w:ascii="Times New Roman" w:hAnsi="Times New Roman" w:eastAsia="Times New Roman" w:cs="Times New Roman"/>
          <w:color w:val="000000"/>
          <w:sz w:val="24"/>
        </w:rPr>
        <w:t xml:space="preserve"> </w:t>
      </w:r>
      <w:r>
        <w:rPr>
          <w:rFonts w:ascii="Times New Roman" w:hAnsi="Times New Roman" w:eastAsia="Times New Roman" w:cs="Times New Roman"/>
          <w:i/>
          <w:color w:val="000000"/>
          <w:sz w:val="24"/>
        </w:rPr>
        <w:t xml:space="preserve">https://onehousing.vn/blog/thong-tin-ban-nha-quan-ha-dong-ha-noi-nhanh-chong-gia-tot-nhat-n17t)</w:t>
      </w:r>
      <w:r>
        <w:rPr>
          <w:bCs/>
          <w:i/>
          <w:lang w:val="pt-BR"/>
        </w:rPr>
      </w:r>
      <w:r>
        <w:rPr>
          <w:bCs/>
          <w:i/>
          <w:lang w:val="pt-BR"/>
        </w:rPr>
      </w:r>
    </w:p>
    <w:p>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1"/>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1905"/>
        <w:gridCol w:w="1905"/>
        <w:gridCol w:w="1905"/>
        <w:gridCol w:w="1905"/>
        <w:gridCol w:w="1905"/>
      </w:tblGrid>
      <w:tr>
        <w:trPr>
          <w:trHeight w:val="1697"/>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762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Căn hộ chung cư số 1612, Tòa nhà CT2, Tổ hợp thương mại dịch vụ và căn hộ - THE PRIDE, Khu đô thị mới An Hưng, phường La Khê, quận Hà Đông, thành phố Hà Nội (nay là phường Hà Đông, thành phố Hà Nội) theo Giấy chứng nhận quyền sử dụng đất quyền sở hữu nhà ở</w:t>
            </w:r>
            <w:r>
              <w:rPr>
                <w:rFonts w:ascii="Times New Roman" w:hAnsi="Times New Roman" w:eastAsia="Times New Roman" w:cs="Times New Roman"/>
                <w:b/>
                <w:color w:val="000000"/>
                <w:sz w:val="24"/>
              </w:rPr>
              <w:t xml:space="preserve"> và tài sản khác gắn liền với đất số: DM 824365, số vào sổ cấp GCN: VP00558 do Văn phòng đăng ký đất đai Hà Nội cấp ngày 30/11/2023 cho Ông Dương Quang Thành và Bà Tạ Thị Lệ Hà.</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762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9</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Tờ bản đồ số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17</w:t>
            </w:r>
            <w:r/>
          </w:p>
        </w:tc>
      </w:tr>
      <w:tr>
        <w:trPr>
          <w:trHeight w:val="328"/>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57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Tòa nhà CT2, Tổ hợp thương mại dịch vụ và căn hộ - THE PRIDE, Khu đô thị mới An Hưng, phường La Khê, quận Hà Đông, thành phố Hà Nội (nay là phường Hà Đông, thành phố Hà Nội)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28984,0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Sử dụng chung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Nguồn gốc sử dụng:</w:t>
            </w:r>
            <w:r/>
          </w:p>
        </w:tc>
        <w:tc>
          <w:tcPr>
            <w:gridSpan w:val="3"/>
            <w:tcBorders>
              <w:bottom w:val="single" w:color="000000" w:sz="8" w:space="0"/>
              <w:right w:val="single" w:color="000000" w:sz="8" w:space="0"/>
            </w:tcBorders>
            <w:tcMar>
              <w:left w:w="108" w:type="dxa"/>
              <w:top w:w="0" w:type="dxa"/>
              <w:right w:w="108" w:type="dxa"/>
              <w:bottom w:w="0" w:type="dxa"/>
            </w:tcMar>
            <w:tcW w:w="571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Nhà nước giao đất có thu tiền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762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Vị trí tài sản thẩm định trên bản đồ vệ tinh: 20.972537440048825, 105.75820463183295</w:t>
            </w:r>
            <w:r/>
          </w:p>
        </w:tc>
      </w:tr>
      <w:tr>
        <w:trPr>
          <w:trHeight w:val="4383"/>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762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mc:AlternateContent>
                <mc:Choice Requires="wpg">
                  <w:drawing>
                    <wp:inline xmlns:wp="http://schemas.openxmlformats.org/drawingml/2006/wordprocessingDrawing" distT="0" distB="0" distL="0" distR="0">
                      <wp:extent cx="5524500" cy="254317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700723" name=""/>
                              <pic:cNvPicPr>
                                <a:picLocks noChangeAspect="1"/>
                              </pic:cNvPicPr>
                              <pic:nvPr/>
                            </pic:nvPicPr>
                            <pic:blipFill>
                              <a:blip r:embed="rId15"/>
                              <a:stretch/>
                            </pic:blipFill>
                            <pic:spPr bwMode="auto">
                              <a:xfrm>
                                <a:off x="0" y="0"/>
                                <a:ext cx="5524499" cy="25431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5.00pt;height:200.25pt;mso-wrap-distance-left:0.00pt;mso-wrap-distance-top:0.00pt;mso-wrap-distance-right:0.00pt;mso-wrap-distance-bottom:0.00pt;z-index:1;" stroked="false">
                      <v:imagedata r:id="rId15" o:title=""/>
                      <o:lock v:ext="edit" rotation="t"/>
                    </v:shape>
                  </w:pict>
                </mc:Fallback>
              </mc:AlternateConten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Địa chỉ thực tế:</w:t>
            </w:r>
            <w:r/>
          </w:p>
        </w:tc>
        <w:tc>
          <w:tcPr>
            <w:gridSpan w:val="3"/>
            <w:tcBorders>
              <w:bottom w:val="single" w:color="000000" w:sz="8" w:space="0"/>
              <w:right w:val="single" w:color="000000" w:sz="8" w:space="0"/>
            </w:tcBorders>
            <w:tcMar>
              <w:left w:w="108" w:type="dxa"/>
              <w:top w:w="0" w:type="dxa"/>
              <w:right w:w="108" w:type="dxa"/>
              <w:bottom w:w="0" w:type="dxa"/>
            </w:tcMar>
            <w:tcW w:w="57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Tòa nhà CT2, Tổ hợp thương mại dịch vụ và căn hộ - THE PRIDE, Khu đô thị mới An Hưng, phường La Khê, quận Hà Đông, thành phố Hà Nội (nay là phường Hà Đông, thành phố Hà Nội)</w:t>
            </w:r>
            <w:r/>
          </w:p>
        </w:tc>
      </w:tr>
      <w:tr>
        <w:trPr>
          <w:trHeight w:val="1833"/>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Đường tiếp giáp:</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Tiếp giáp đường Nguyễn Thanh Bình</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Khoảng cách đến trục đường chính:</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là căn hộ chung cư số 1612, tầng 16, Toà nhà CT2. Toà nhà tiếp giáp đường Nguyễn Thanh Bình.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762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Thông tin về căn hộ</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Loại nhà ở:</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Căn hộ chung cư số 1612</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sử dụng căn hộ (m²)</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sàn xây dựng căn hộ (m²):</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81,4m</w:t>
            </w:r>
            <w:r>
              <w:rPr>
                <w:rFonts w:ascii="Times New Roman" w:hAnsi="Times New Roman" w:eastAsia="Times New Roman" w:cs="Times New Roman"/>
                <w:color w:val="000000"/>
                <w:sz w:val="20"/>
                <w:vertAlign w:val="superscript"/>
              </w:rPr>
              <w:t xml:space="preserve">2</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Hình thức sở hữu: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Sở hữu riêng</w:t>
            </w:r>
            <w:r/>
          </w:p>
        </w:tc>
      </w:tr>
      <w:tr>
        <w:trPr>
          <w:trHeight w:val="429"/>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Tòa nhà:</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Toà nhà CT2</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Vị trí tầng:</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Tầng 16/35 tầng – 1 tầng hầm</w:t>
            </w:r>
            <w:r/>
          </w:p>
        </w:tc>
      </w:tr>
      <w:tr>
        <w:trPr>
          <w:trHeight w:val="704"/>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Hướng cửa:</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Tây Bắc</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Hướng ban công:</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 Đông Nam</w:t>
            </w:r>
            <w:r/>
          </w:p>
        </w:tc>
      </w:tr>
      <w:tr>
        <w:trPr>
          <w:trHeight w:val="982"/>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Cấu trúc:</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2 phòng ngủ, 2 vệ sinh, phòng khách, phòng bếp</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Nội thất:</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Nội thất cơ bản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762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571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Cấp điện, cấp nước sạch, mạng internet,… hoàn thiện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571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Thích hợp để ở</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4</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Hiện trạng:</w:t>
            </w:r>
            <w:r/>
          </w:p>
        </w:tc>
        <w:tc>
          <w:tcPr>
            <w:gridSpan w:val="3"/>
            <w:tcBorders>
              <w:bottom w:val="single" w:color="000000" w:sz="8" w:space="0"/>
              <w:right w:val="single" w:color="000000" w:sz="8" w:space="0"/>
            </w:tcBorders>
            <w:tcMar>
              <w:left w:w="108" w:type="dxa"/>
              <w:top w:w="0" w:type="dxa"/>
              <w:right w:w="108" w:type="dxa"/>
              <w:bottom w:w="0" w:type="dxa"/>
            </w:tcMar>
            <w:tcW w:w="571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khảo sát, căn hộ chung cư đang cho thuê.</w:t>
            </w: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2189"/>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0"/>
        <w:jc w:val="both"/>
        <w:rPr>
          <w:u w:val="single"/>
        </w:rPr>
      </w:pPr>
      <w:r>
        <w:rPr>
          <w:u w:val="single"/>
        </w:rPr>
      </w:r>
      <w:r>
        <w:rPr>
          <w:u w:val="single"/>
        </w:rPr>
      </w:r>
      <w:r>
        <w:rPr>
          <w:u w:val="single"/>
        </w:rPr>
      </w:r>
    </w:p>
    <w:p>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7"/>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27"/>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2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7"/>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20" w:firstRow="1" w:lastRow="0" w:firstColumn="0" w:lastColumn="0" w:noHBand="0" w:noVBand="1"/>
      </w:tblPr>
      <w:tblGrid>
        <w:gridCol w:w="432"/>
        <w:gridCol w:w="1635"/>
        <w:gridCol w:w="1864"/>
        <w:gridCol w:w="1864"/>
        <w:gridCol w:w="1864"/>
        <w:gridCol w:w="1864"/>
      </w:tblGrid>
      <w:tr>
        <w:trPr>
          <w:trHeight w:val="0"/>
          <w:tblHeader/>
        </w:trPr>
        <w:tc>
          <w:tcPr>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432" w:type="dxa"/>
            <w:vAlign w:val="top"/>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TT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6" w:space="0"/>
              <w:bottom w:val="single" w:color="000000" w:sz="6" w:space="0"/>
              <w:right w:val="single" w:color="000000" w:sz="6" w:space="0"/>
            </w:tcBorders>
            <w:tcMar>
              <w:left w:w="15" w:type="dxa"/>
              <w:top w:w="15" w:type="dxa"/>
              <w:right w:w="15" w:type="dxa"/>
              <w:bottom w:w="0" w:type="dxa"/>
            </w:tcMar>
            <w:tcW w:w="1635" w:type="dxa"/>
            <w:vAlign w:val="top"/>
            <w:textDirection w:val="lrTb"/>
            <w:noWrap w:val="false"/>
          </w:tcPr>
          <w:p>
            <w:pPr>
              <w:pBdr/>
              <w:spacing w:after="0" w:before="0" w:line="240" w:lineRule="auto"/>
              <w:ind/>
              <w:jc w:val="left"/>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ĐẶC ĐIỂM BĐS</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6" w:space="0"/>
              <w:bottom w:val="single" w:color="000000" w:sz="6" w:space="0"/>
              <w:right w:val="single" w:color="000000" w:sz="6" w:space="0"/>
            </w:tcBorders>
            <w:tcMar>
              <w:left w:w="15" w:type="dxa"/>
              <w:top w:w="15" w:type="dxa"/>
              <w:right w:w="15" w:type="dxa"/>
              <w:bottom w:w="0" w:type="dxa"/>
            </w:tcMar>
            <w:tcW w:w="1864" w:type="dxa"/>
            <w:vAlign w:val="top"/>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TSTĐ</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6" w:space="0"/>
              <w:bottom w:val="single" w:color="000000" w:sz="6" w:space="0"/>
              <w:right w:val="single" w:color="000000" w:sz="6" w:space="0"/>
            </w:tcBorders>
            <w:tcMar>
              <w:left w:w="15" w:type="dxa"/>
              <w:top w:w="15" w:type="dxa"/>
              <w:right w:w="15" w:type="dxa"/>
              <w:bottom w:w="0" w:type="dxa"/>
            </w:tcMar>
            <w:tcW w:w="1864" w:type="dxa"/>
            <w:vAlign w:val="top"/>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TSSS1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6" w:space="0"/>
              <w:bottom w:val="single" w:color="000000" w:sz="6" w:space="0"/>
              <w:right w:val="single" w:color="000000" w:sz="6" w:space="0"/>
            </w:tcBorders>
            <w:tcMar>
              <w:left w:w="15" w:type="dxa"/>
              <w:top w:w="15" w:type="dxa"/>
              <w:right w:w="15" w:type="dxa"/>
              <w:bottom w:w="0" w:type="dxa"/>
            </w:tcMar>
            <w:tcW w:w="1864" w:type="dxa"/>
            <w:vAlign w:val="top"/>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TSSS2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6" w:space="0"/>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TSSS3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blHeader/>
        </w:trPr>
        <w:tc>
          <w:tcPr>
            <w:tcBorders>
              <w:left w:val="single" w:color="000000" w:sz="6" w:space="0"/>
              <w:bottom w:val="single" w:color="000000" w:sz="6" w:space="0"/>
              <w:right w:val="single" w:color="000000" w:sz="6" w:space="0"/>
            </w:tcBorders>
            <w:tcMar>
              <w:left w:w="15" w:type="dxa"/>
              <w:top w:w="15" w:type="dxa"/>
              <w:right w:w="15" w:type="dxa"/>
              <w:bottom w:w="0" w:type="dxa"/>
            </w:tcMar>
            <w:tcW w:w="432" w:type="dxa"/>
            <w:vAlign w:val="top"/>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A</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635" w:type="dxa"/>
            <w:vAlign w:val="top"/>
            <w:textDirection w:val="lrTb"/>
            <w:noWrap w:val="false"/>
          </w:tcPr>
          <w:p>
            <w:pPr>
              <w:pBdr/>
              <w:spacing w:after="0" w:before="0" w:line="240" w:lineRule="auto"/>
              <w:ind/>
              <w:jc w:val="left"/>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Thông tin về tài sản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top"/>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top"/>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top"/>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blHeader/>
        </w:trPr>
        <w:tc>
          <w:tcPr>
            <w:tcBorders>
              <w:left w:val="single" w:color="000000" w:sz="6" w:space="0"/>
              <w:bottom w:val="single" w:color="000000" w:sz="6" w:space="0"/>
              <w:right w:val="single" w:color="000000" w:sz="6" w:space="0"/>
            </w:tcBorders>
            <w:tcMar>
              <w:left w:w="15" w:type="dxa"/>
              <w:top w:w="15" w:type="dxa"/>
              <w:right w:w="15" w:type="dxa"/>
              <w:bottom w:w="0" w:type="dxa"/>
            </w:tcMar>
            <w:tcW w:w="432"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635" w:type="dxa"/>
            <w:vAlign w:val="center"/>
            <w:textDirection w:val="lrTb"/>
            <w:noWrap w:val="false"/>
          </w:tcPr>
          <w:p>
            <w:pPr>
              <w:pBdr/>
              <w:spacing w:after="0" w:before="0" w:line="240" w:lineRule="auto"/>
              <w:ind/>
              <w:jc w:val="left"/>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Địa chỉ</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Toà nhà CT2 chung cư The Pride, phường La Khê, Quận Hà Đông, Thành phố Hà Nội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Toà nhà CT4 chung cư The Pride, phường La Khê, Quận Hà Đông, Thành phố Hà Nội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Toà nhà CT3 chung cư The Pride, phường La Khê, Quận Hà Đông, Thành phố Hà Nội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Toà nhà CT1 chung cư The Pride, phường La Khê, Quận Hà Đông, Thành phố Hà Nội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blHeader/>
        </w:trPr>
        <w:tc>
          <w:tcPr>
            <w:tcBorders>
              <w:left w:val="single" w:color="000000" w:sz="6" w:space="0"/>
              <w:bottom w:val="single" w:color="000000" w:sz="6" w:space="0"/>
              <w:right w:val="single" w:color="000000" w:sz="6" w:space="0"/>
            </w:tcBorders>
            <w:tcMar>
              <w:left w:w="15" w:type="dxa"/>
              <w:top w:w="15" w:type="dxa"/>
              <w:right w:w="15" w:type="dxa"/>
              <w:bottom w:w="0" w:type="dxa"/>
            </w:tcMar>
            <w:tcW w:w="432"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635" w:type="dxa"/>
            <w:vAlign w:val="center"/>
            <w:textDirection w:val="lrTb"/>
            <w:noWrap w:val="false"/>
          </w:tcPr>
          <w:p>
            <w:pPr>
              <w:pBdr/>
              <w:spacing w:after="0" w:before="0" w:line="240" w:lineRule="auto"/>
              <w:ind/>
              <w:jc w:val="left"/>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Nguồn tham khảo</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cMar>
              <w:left w:w="15" w:type="dxa"/>
              <w:top w:w="15" w:type="dxa"/>
              <w:right w:w="15" w:type="dxa"/>
              <w:bottom w:w="0" w:type="dxa"/>
            </w:tcMar>
            <w:tcW w:w="1864" w:type="dxa"/>
            <w:vAlign w:val="bottom"/>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https://batdongsan.com.vn/ban-can-ho-chung-cu-duong-to-huu-phuong-la-khe-prj-the-pride/-2pn-ha-dong-ha-noi-gia-cuc-chat-5-8-ty-81m2-pr44514736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left w:val="single" w:color="000000" w:sz="6" w:space="0"/>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hyperlink r:id="rId16" w:tooltip="https://batdongsan.com.vn/ban-can-ho-chung-cu-phuong-la-khe-prj-khu-do-thi-van-khe/ban-gap-goc-dep-nhat-ct2-full-noi-that-dt-khung-145m2-3-ngu-nhinh-7-ty-pr44016141" w:history="1">
              <w:r>
                <w:rPr>
                  <w:rStyle w:val="1017"/>
                  <w:rFonts w:ascii="Times New Roman" w:hAnsi="Times New Roman" w:eastAsia="Times New Roman" w:cs="Times New Roman"/>
                  <w:color w:val="000000" w:themeColor="text1"/>
                  <w:sz w:val="22"/>
                  <w:szCs w:val="22"/>
                  <w:u w:val="single"/>
                </w:rPr>
                <w:t xml:space="preserve">Liên hệ trực tiếp</w:t>
              </w:r>
            </w:hyperlink>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hyperlink r:id="rId17" w:tooltip="https://batdongsan.com.vn/ban-can-ho-chung-cu-phuong-la-khe-prj-khu-do-thi-van-khe/ban-gap-goc-dep-nhat-ct2-full-noi-that-dt-khung-145m2-3-ngu-nhinh-7-ty-pr44016141" w:history="1">
              <w:r>
                <w:rPr>
                  <w:rStyle w:val="1017"/>
                  <w:rFonts w:ascii="Times New Roman" w:hAnsi="Times New Roman" w:eastAsia="Times New Roman" w:cs="Times New Roman"/>
                  <w:color w:val="000000" w:themeColor="text1"/>
                  <w:sz w:val="22"/>
                  <w:szCs w:val="22"/>
                  <w:u w:val="single"/>
                </w:rPr>
                <w:t xml:space="preserve">Liên hệ trực tiếp</w:t>
              </w:r>
            </w:hyperlink>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blHeader/>
        </w:trPr>
        <w:tc>
          <w:tcPr>
            <w:tcBorders>
              <w:left w:val="single" w:color="000000" w:sz="6" w:space="0"/>
              <w:bottom w:val="single" w:color="000000" w:sz="6" w:space="0"/>
              <w:right w:val="single" w:color="000000" w:sz="6" w:space="0"/>
            </w:tcBorders>
            <w:tcMar>
              <w:left w:w="15" w:type="dxa"/>
              <w:top w:w="15" w:type="dxa"/>
              <w:right w:w="15" w:type="dxa"/>
              <w:bottom w:w="0" w:type="dxa"/>
            </w:tcMar>
            <w:tcW w:w="432"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635" w:type="dxa"/>
            <w:vAlign w:val="center"/>
            <w:textDirection w:val="lrTb"/>
            <w:noWrap w:val="false"/>
          </w:tcPr>
          <w:p>
            <w:pPr>
              <w:pBdr/>
              <w:spacing w:after="0" w:before="0" w:line="240" w:lineRule="auto"/>
              <w:ind/>
              <w:jc w:val="left"/>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Thông tin liên lạc</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6" w:space="0"/>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SĐT: 0981333109</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Cs w:val="22"/>
              </w:rPr>
            </w:pPr>
            <w:r>
              <w:rPr>
                <w:rFonts w:ascii="Times New Roman" w:hAnsi="Times New Roman" w:eastAsia="Times New Roman" w:cs="Times New Roman"/>
                <w:color w:val="000000" w:themeColor="text1"/>
                <w:sz w:val="22"/>
                <w:szCs w:val="22"/>
              </w:rPr>
              <w:t xml:space="preserve">SĐT: 0567681888</w:t>
            </w:r>
            <w:r>
              <w:rPr>
                <w:rFonts w:ascii="Times New Roman" w:hAnsi="Times New Roman" w:cs="Times New Roman"/>
                <w:color w:val="000000" w:themeColor="text1"/>
                <w:szCs w:val="22"/>
              </w:rPr>
            </w:r>
            <w:r>
              <w:rPr>
                <w:rFonts w:ascii="Times New Roman" w:hAnsi="Times New Roman" w:cs="Times New Roman"/>
                <w:color w:val="000000" w:themeColor="text1"/>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SĐT: 0968595797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blHeader/>
        </w:trPr>
        <w:tc>
          <w:tcPr>
            <w:tcBorders>
              <w:left w:val="single" w:color="000000" w:sz="6" w:space="0"/>
              <w:bottom w:val="single" w:color="000000" w:sz="6" w:space="0"/>
              <w:right w:val="single" w:color="000000" w:sz="6" w:space="0"/>
            </w:tcBorders>
            <w:tcMar>
              <w:left w:w="15" w:type="dxa"/>
              <w:top w:w="15" w:type="dxa"/>
              <w:right w:w="15" w:type="dxa"/>
              <w:bottom w:w="0" w:type="dxa"/>
            </w:tcMar>
            <w:tcW w:w="432"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635" w:type="dxa"/>
            <w:vAlign w:val="center"/>
            <w:textDirection w:val="lrTb"/>
            <w:noWrap w:val="false"/>
          </w:tcPr>
          <w:p>
            <w:pPr>
              <w:pBdr/>
              <w:spacing w:after="0" w:before="0" w:line="240" w:lineRule="auto"/>
              <w:ind/>
              <w:jc w:val="left"/>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Tình trạng giao dịch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Đang giao dịch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szCs w:val="22"/>
              </w:rPr>
            </w:pPr>
            <w:r>
              <w:rPr>
                <w:rFonts w:ascii="Times New Roman" w:hAnsi="Times New Roman" w:eastAsia="Times New Roman" w:cs="Times New Roman"/>
                <w:color w:val="000000" w:themeColor="text1"/>
                <w:sz w:val="22"/>
                <w:szCs w:val="22"/>
              </w:rPr>
              <w:t xml:space="preserve"> Đang giao dịch  </w:t>
            </w:r>
            <w:r>
              <w:rPr>
                <w:rFonts w:ascii="Times New Roman" w:hAnsi="Times New Roman" w:cs="Times New Roman"/>
                <w:color w:val="000000" w:themeColor="text1"/>
                <w:szCs w:val="22"/>
              </w:rPr>
            </w:r>
            <w:r>
              <w:rPr>
                <w:rFonts w:ascii="Times New Roman" w:hAnsi="Times New Roman" w:cs="Times New Roman"/>
                <w:color w:val="000000" w:themeColor="text1"/>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Đang giao dịch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blHeader/>
        </w:trPr>
        <w:tc>
          <w:tcPr>
            <w:tcBorders>
              <w:left w:val="single" w:color="000000" w:sz="6" w:space="0"/>
              <w:bottom w:val="single" w:color="000000" w:sz="6" w:space="0"/>
              <w:right w:val="single" w:color="000000" w:sz="6" w:space="0"/>
            </w:tcBorders>
            <w:tcMar>
              <w:left w:w="15" w:type="dxa"/>
              <w:top w:w="15" w:type="dxa"/>
              <w:right w:w="15" w:type="dxa"/>
              <w:bottom w:w="0" w:type="dxa"/>
            </w:tcMar>
            <w:tcW w:w="432"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635" w:type="dxa"/>
            <w:vAlign w:val="center"/>
            <w:textDirection w:val="lrTb"/>
            <w:noWrap w:val="false"/>
          </w:tcPr>
          <w:p>
            <w:pPr>
              <w:pBdr/>
              <w:spacing w:after="0" w:before="0" w:line="240" w:lineRule="auto"/>
              <w:ind/>
              <w:jc w:val="left"/>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Thời điểm thu thập thông tin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Tháng 12/2025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Tháng 12/2025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Tháng 12/2025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blHeader/>
        </w:trPr>
        <w:tc>
          <w:tcPr>
            <w:tcBorders>
              <w:left w:val="single" w:color="000000" w:sz="6" w:space="0"/>
              <w:bottom w:val="single" w:color="000000" w:sz="6" w:space="0"/>
              <w:right w:val="single" w:color="000000" w:sz="6" w:space="0"/>
            </w:tcBorders>
            <w:tcMar>
              <w:left w:w="15" w:type="dxa"/>
              <w:top w:w="15" w:type="dxa"/>
              <w:right w:w="15" w:type="dxa"/>
              <w:bottom w:w="0" w:type="dxa"/>
            </w:tcMar>
            <w:tcW w:w="432"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635" w:type="dxa"/>
            <w:vAlign w:val="center"/>
            <w:textDirection w:val="lrTb"/>
            <w:noWrap w:val="false"/>
          </w:tcPr>
          <w:p>
            <w:pPr>
              <w:pBdr/>
              <w:spacing w:after="0" w:before="0" w:line="240" w:lineRule="auto"/>
              <w:ind/>
              <w:jc w:val="left"/>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Tính chất giao dịch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Giao dịch bình thường trên thị trường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Giao dịch bình thường trên thị trường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Giao dịch bình thường trên thị trường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Giao dịch bình thường trên thị trường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blHeader/>
        </w:trPr>
        <w:tc>
          <w:tcPr>
            <w:tcBorders>
              <w:left w:val="single" w:color="000000" w:sz="6" w:space="0"/>
              <w:bottom w:val="single" w:color="000000" w:sz="6" w:space="0"/>
              <w:right w:val="single" w:color="000000" w:sz="6" w:space="0"/>
            </w:tcBorders>
            <w:tcMar>
              <w:left w:w="15" w:type="dxa"/>
              <w:top w:w="15" w:type="dxa"/>
              <w:right w:w="15" w:type="dxa"/>
              <w:bottom w:w="0" w:type="dxa"/>
            </w:tcMar>
            <w:tcW w:w="432"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635" w:type="dxa"/>
            <w:vAlign w:val="center"/>
            <w:textDirection w:val="lrTb"/>
            <w:noWrap w:val="false"/>
          </w:tcPr>
          <w:p>
            <w:pPr>
              <w:pBdr/>
              <w:spacing w:after="0" w:before="0" w:line="240" w:lineRule="auto"/>
              <w:ind/>
              <w:jc w:val="left"/>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Pháp lý</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Giấy chứng nhận Quyền sử dụng đất quyền sở hữu nhà ở và tài sản khác gắn liền với đất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Giấy chứng nhận Quyền sử dụng đất quyền sở hữu nhà ở và tài sản khác gắn liền với đất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Giấy chứng nhận Quyền sử dụng đất quyền sở hữu nhà ở và tài sản khác gắn liền với đất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Giấy chứng nhận Quyền sử dụng đất quyền sở hữu nhà ở và tài sản khác gắn liền với đất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blHeader/>
        </w:trPr>
        <w:tc>
          <w:tcPr>
            <w:tcBorders>
              <w:left w:val="single" w:color="000000" w:sz="6" w:space="0"/>
              <w:bottom w:val="single" w:color="000000" w:sz="6" w:space="0"/>
              <w:right w:val="single" w:color="000000" w:sz="6" w:space="0"/>
            </w:tcBorders>
            <w:tcMar>
              <w:left w:w="15" w:type="dxa"/>
              <w:top w:w="15" w:type="dxa"/>
              <w:right w:w="15" w:type="dxa"/>
              <w:bottom w:w="0" w:type="dxa"/>
            </w:tcMar>
            <w:tcW w:w="432"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635" w:type="dxa"/>
            <w:vAlign w:val="center"/>
            <w:textDirection w:val="lrTb"/>
            <w:noWrap w:val="false"/>
          </w:tcPr>
          <w:p>
            <w:pPr>
              <w:pBdr/>
              <w:spacing w:after="0" w:before="0" w:line="240" w:lineRule="auto"/>
              <w:ind/>
              <w:jc w:val="left"/>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Loại hình tài sản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Căn hộ chung cư</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Căn hộ chung cư</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Căn hộ chung cư</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Căn hộ chung cư</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blHeader/>
        </w:trPr>
        <w:tc>
          <w:tcPr>
            <w:tcBorders>
              <w:left w:val="single" w:color="000000" w:sz="6" w:space="0"/>
              <w:bottom w:val="single" w:color="000000" w:sz="6" w:space="0"/>
              <w:right w:val="single" w:color="000000" w:sz="6" w:space="0"/>
            </w:tcBorders>
            <w:tcMar>
              <w:left w:w="15" w:type="dxa"/>
              <w:top w:w="15" w:type="dxa"/>
              <w:right w:w="15" w:type="dxa"/>
              <w:bottom w:w="0" w:type="dxa"/>
            </w:tcMar>
            <w:tcW w:w="432"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635" w:type="dxa"/>
            <w:vAlign w:val="center"/>
            <w:textDirection w:val="lrTb"/>
            <w:noWrap w:val="false"/>
          </w:tcPr>
          <w:p>
            <w:pPr>
              <w:pBdr/>
              <w:spacing w:after="0" w:before="0" w:line="240" w:lineRule="auto"/>
              <w:ind/>
              <w:jc w:val="left"/>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Vị trí</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 sản là căn hộ tại toà nhà CT2 chung cư The Pride, phường La Khê, Quận Hà Đông, Thành phố Hà Nội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 sản là căn hộ tại toà nhà CT4 chung cư The Pride, phường La Khê, Quận Hà Đông, Thành phố Hà Nội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 sản là căn hộ tại toà nhà CT3 chung cư The Pride, phường La Khê, Quận Hà Đông, Thành phố Hà Nội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 sản là căn hộ tại toà nhà CT1 chung cư The Pride, phường La Khê, Quận Hà Đông, Thành phố Hà Nội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blHeader/>
        </w:trPr>
        <w:tc>
          <w:tcPr>
            <w:tcBorders>
              <w:left w:val="single" w:color="000000" w:sz="6" w:space="0"/>
              <w:bottom w:val="single" w:color="000000" w:sz="6" w:space="0"/>
              <w:right w:val="single" w:color="000000" w:sz="6" w:space="0"/>
            </w:tcBorders>
            <w:tcMar>
              <w:left w:w="15" w:type="dxa"/>
              <w:top w:w="15" w:type="dxa"/>
              <w:right w:w="15" w:type="dxa"/>
              <w:bottom w:w="0" w:type="dxa"/>
            </w:tcMar>
            <w:tcW w:w="432"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9</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635" w:type="dxa"/>
            <w:vAlign w:val="center"/>
            <w:textDirection w:val="lrTb"/>
            <w:noWrap/>
          </w:tcPr>
          <w:p>
            <w:pPr>
              <w:pBdr/>
              <w:spacing w:after="0" w:before="0" w:line="240" w:lineRule="auto"/>
              <w:ind/>
              <w:jc w:val="left"/>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Diện tích sàn (m²)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81,4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81,0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72,0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75,0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blHeader/>
        </w:trPr>
        <w:tc>
          <w:tcPr>
            <w:tcBorders>
              <w:left w:val="single" w:color="000000" w:sz="6" w:space="0"/>
              <w:bottom w:val="single" w:color="000000" w:sz="6" w:space="0"/>
              <w:right w:val="single" w:color="000000" w:sz="6" w:space="0"/>
            </w:tcBorders>
            <w:tcMar>
              <w:left w:w="15" w:type="dxa"/>
              <w:top w:w="15" w:type="dxa"/>
              <w:right w:w="15" w:type="dxa"/>
              <w:bottom w:w="0" w:type="dxa"/>
            </w:tcMar>
            <w:tcW w:w="432"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635" w:type="dxa"/>
            <w:vAlign w:val="center"/>
            <w:textDirection w:val="lrTb"/>
            <w:noWrap/>
          </w:tcPr>
          <w:p>
            <w:pPr>
              <w:pBdr/>
              <w:spacing w:after="0" w:before="0" w:line="240" w:lineRule="auto"/>
              <w:ind/>
              <w:jc w:val="left"/>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Mặt tiếp giáp</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Căn thường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Căn thường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Căn thường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Căn góc</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blHeader/>
        </w:trPr>
        <w:tc>
          <w:tcPr>
            <w:tcBorders>
              <w:left w:val="single" w:color="000000" w:sz="6" w:space="0"/>
              <w:bottom w:val="single" w:color="000000" w:sz="6" w:space="0"/>
              <w:right w:val="single" w:color="000000" w:sz="6" w:space="0"/>
            </w:tcBorders>
            <w:tcMar>
              <w:left w:w="15" w:type="dxa"/>
              <w:top w:w="15" w:type="dxa"/>
              <w:right w:w="15" w:type="dxa"/>
              <w:bottom w:w="0" w:type="dxa"/>
            </w:tcMar>
            <w:tcW w:w="432"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635" w:type="dxa"/>
            <w:vAlign w:val="center"/>
            <w:textDirection w:val="lrTb"/>
            <w:noWrap/>
          </w:tcPr>
          <w:p>
            <w:pPr>
              <w:pBdr/>
              <w:spacing w:after="0" w:before="0" w:line="240" w:lineRule="auto"/>
              <w:ind/>
              <w:jc w:val="left"/>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Tầng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Tầng trung (16/35)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Tầng cao (31/35)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Tầng trung (14/35)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Tầng cao (28/35)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blHeader/>
        </w:trPr>
        <w:tc>
          <w:tcPr>
            <w:tcBorders>
              <w:left w:val="single" w:color="000000" w:sz="6" w:space="0"/>
              <w:bottom w:val="single" w:color="000000" w:sz="6" w:space="0"/>
              <w:right w:val="single" w:color="000000" w:sz="6" w:space="0"/>
            </w:tcBorders>
            <w:tcMar>
              <w:left w:w="15" w:type="dxa"/>
              <w:top w:w="15" w:type="dxa"/>
              <w:right w:w="15" w:type="dxa"/>
              <w:bottom w:w="0" w:type="dxa"/>
            </w:tcMar>
            <w:tcW w:w="432"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635" w:type="dxa"/>
            <w:vAlign w:val="center"/>
            <w:textDirection w:val="lrTb"/>
            <w:noWrap/>
          </w:tcPr>
          <w:p>
            <w:pPr>
              <w:pBdr/>
              <w:spacing w:after="0" w:before="0" w:line="240" w:lineRule="auto"/>
              <w:ind/>
              <w:jc w:val="left"/>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Hướng ban công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01 Ban công hướng Đông Nam</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01 Ban công hướng Tây Nam</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 Ban công hướng Đông Nam</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 Ban công hướng Tây Nam</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blHeader/>
        </w:trPr>
        <w:tc>
          <w:tcPr>
            <w:tcBorders>
              <w:left w:val="single" w:color="000000" w:sz="6" w:space="0"/>
              <w:bottom w:val="single" w:color="000000" w:sz="6" w:space="0"/>
              <w:right w:val="single" w:color="000000" w:sz="6" w:space="0"/>
            </w:tcBorders>
            <w:tcMar>
              <w:left w:w="15" w:type="dxa"/>
              <w:top w:w="15" w:type="dxa"/>
              <w:right w:w="15" w:type="dxa"/>
              <w:bottom w:w="0" w:type="dxa"/>
            </w:tcMar>
            <w:tcW w:w="432"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635" w:type="dxa"/>
            <w:vAlign w:val="center"/>
            <w:textDirection w:val="lrTb"/>
            <w:noWrap/>
          </w:tcPr>
          <w:p>
            <w:pPr>
              <w:pBdr/>
              <w:spacing w:after="0" w:before="0" w:line="240" w:lineRule="auto"/>
              <w:ind/>
              <w:jc w:val="left"/>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Cấu trúc</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 phòng ngủ, 2 vệ sinh, phòng khách + bếp</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 phòng ngủ, 2 vệ sinh, phòng khách + bếp</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 phòng ngủ, 2 vệ sinh, phòng khách + bếp</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 phòng ngủ, 2 vệ sinh, phòng khách + bếp</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blHeader/>
        </w:trPr>
        <w:tc>
          <w:tcPr>
            <w:tcBorders>
              <w:left w:val="single" w:color="000000" w:sz="6" w:space="0"/>
              <w:bottom w:val="single" w:color="000000" w:sz="6" w:space="0"/>
              <w:right w:val="single" w:color="000000" w:sz="6" w:space="0"/>
            </w:tcBorders>
            <w:tcMar>
              <w:left w:w="15" w:type="dxa"/>
              <w:top w:w="15" w:type="dxa"/>
              <w:right w:w="15" w:type="dxa"/>
              <w:bottom w:w="0" w:type="dxa"/>
            </w:tcMar>
            <w:tcW w:w="432"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635" w:type="dxa"/>
            <w:vAlign w:val="center"/>
            <w:textDirection w:val="lrTb"/>
            <w:noWrap/>
          </w:tcPr>
          <w:p>
            <w:pPr>
              <w:pBdr/>
              <w:spacing w:after="0" w:before="0" w:line="240" w:lineRule="auto"/>
              <w:ind/>
              <w:jc w:val="left"/>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Nội thất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Nội thất cơ bản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Nội thất cơ bản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Nội thất cơ bản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Nội thất cơ bản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blHeader/>
        </w:trPr>
        <w:tc>
          <w:tcPr>
            <w:tcBorders>
              <w:left w:val="single" w:color="000000" w:sz="6" w:space="0"/>
              <w:bottom w:val="single" w:color="000000" w:sz="6" w:space="0"/>
              <w:right w:val="single" w:color="000000" w:sz="6" w:space="0"/>
            </w:tcBorders>
            <w:tcMar>
              <w:left w:w="15" w:type="dxa"/>
              <w:top w:w="15" w:type="dxa"/>
              <w:right w:w="15" w:type="dxa"/>
              <w:bottom w:w="0" w:type="dxa"/>
            </w:tcMar>
            <w:tcW w:w="432"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635" w:type="dxa"/>
            <w:vAlign w:val="center"/>
            <w:textDirection w:val="lrTb"/>
            <w:noWrap w:val="false"/>
          </w:tcPr>
          <w:p>
            <w:pPr>
              <w:pBdr/>
              <w:spacing w:after="0" w:before="0" w:line="240" w:lineRule="auto"/>
              <w:ind/>
              <w:jc w:val="left"/>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Điều kiện cơ sở hạ tầng kỹ thuật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Hệ thống cấp điện, cấp thoát nước đầy đủ</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Hệ thống cấp điện, cấp thoát nước đầy đủ</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Hệ thống cấp điện, cấp thoát nước đầy đủ</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Hệ thống cấp điện, cấp thoát nước đầy đủ</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blHeader/>
        </w:trPr>
        <w:tc>
          <w:tcPr>
            <w:tcBorders>
              <w:left w:val="single" w:color="000000" w:sz="6" w:space="0"/>
              <w:bottom w:val="single" w:color="000000" w:sz="6" w:space="0"/>
              <w:right w:val="single" w:color="000000" w:sz="6" w:space="0"/>
            </w:tcBorders>
            <w:tcMar>
              <w:left w:w="15" w:type="dxa"/>
              <w:top w:w="15" w:type="dxa"/>
              <w:right w:w="15" w:type="dxa"/>
              <w:bottom w:w="0" w:type="dxa"/>
            </w:tcMar>
            <w:tcW w:w="432"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635" w:type="dxa"/>
            <w:vAlign w:val="center"/>
            <w:textDirection w:val="lrTb"/>
            <w:noWrap w:val="false"/>
          </w:tcPr>
          <w:p>
            <w:pPr>
              <w:pBdr/>
              <w:spacing w:after="0" w:before="0" w:line="240" w:lineRule="auto"/>
              <w:ind/>
              <w:jc w:val="left"/>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Điều kiện môi trường an ninh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Tốt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Tốt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Tốt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Tốt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blHeader/>
        </w:trPr>
        <w:tc>
          <w:tcPr>
            <w:tcBorders>
              <w:left w:val="single" w:color="000000" w:sz="6" w:space="0"/>
              <w:bottom w:val="single" w:color="000000" w:sz="6" w:space="0"/>
              <w:right w:val="single" w:color="000000" w:sz="6" w:space="0"/>
            </w:tcBorders>
            <w:tcMar>
              <w:left w:w="15" w:type="dxa"/>
              <w:top w:w="15" w:type="dxa"/>
              <w:right w:w="15" w:type="dxa"/>
              <w:bottom w:w="0" w:type="dxa"/>
            </w:tcMar>
            <w:tcW w:w="432"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635" w:type="dxa"/>
            <w:vAlign w:val="center"/>
            <w:textDirection w:val="lrTb"/>
            <w:noWrap/>
          </w:tcPr>
          <w:p>
            <w:pPr>
              <w:pBdr/>
              <w:spacing w:after="0" w:before="0" w:line="240" w:lineRule="auto"/>
              <w:ind/>
              <w:jc w:val="left"/>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rao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5.750.000.000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5.950.000.000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5.750.000.000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blHeader/>
        </w:trPr>
        <w:tc>
          <w:tcPr>
            <w:tcBorders>
              <w:left w:val="single" w:color="000000" w:sz="6" w:space="0"/>
              <w:bottom w:val="single" w:color="000000" w:sz="6" w:space="0"/>
              <w:right w:val="single" w:color="000000" w:sz="6" w:space="0"/>
            </w:tcBorders>
            <w:tcMar>
              <w:left w:w="15" w:type="dxa"/>
              <w:top w:w="15" w:type="dxa"/>
              <w:right w:w="15" w:type="dxa"/>
              <w:bottom w:w="0" w:type="dxa"/>
            </w:tcMar>
            <w:tcW w:w="432"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635" w:type="dxa"/>
            <w:vAlign w:val="center"/>
            <w:textDirection w:val="lrTb"/>
            <w:noWrap w:val="false"/>
          </w:tcPr>
          <w:p>
            <w:pPr>
              <w:pBdr/>
              <w:spacing w:after="0" w:before="0" w:line="240" w:lineRule="auto"/>
              <w:ind/>
              <w:jc w:val="left"/>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thương lượng/bán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5.175.000.000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5.057.500.000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5.175.000.000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blHeader/>
        </w:trPr>
        <w:tc>
          <w:tcPr>
            <w:tcBorders>
              <w:left w:val="single" w:color="000000" w:sz="6" w:space="0"/>
              <w:bottom w:val="single" w:color="000000" w:sz="6" w:space="0"/>
              <w:right w:val="single" w:color="000000" w:sz="6" w:space="0"/>
            </w:tcBorders>
            <w:tcMar>
              <w:left w:w="15" w:type="dxa"/>
              <w:top w:w="15" w:type="dxa"/>
              <w:right w:w="15" w:type="dxa"/>
              <w:bottom w:w="0" w:type="dxa"/>
            </w:tcMar>
            <w:tcW w:w="432"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19</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635" w:type="dxa"/>
            <w:vAlign w:val="center"/>
            <w:textDirection w:val="lrTb"/>
            <w:noWrap w:val="false"/>
          </w:tcPr>
          <w:p>
            <w:pPr>
              <w:pBdr/>
              <w:spacing w:after="0" w:before="0" w:line="240" w:lineRule="auto"/>
              <w:ind/>
              <w:jc w:val="left"/>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Đơn giá QSD căn hộ (đồng/m2)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63.888.889</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70.243.056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69.000.000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blHeader/>
        </w:trPr>
        <w:tc>
          <w:tcPr>
            <w:tcBorders>
              <w:left w:val="single" w:color="000000" w:sz="6" w:space="0"/>
              <w:bottom w:val="single" w:color="000000" w:sz="6" w:space="0"/>
              <w:right w:val="single" w:color="000000" w:sz="6" w:space="0"/>
            </w:tcBorders>
            <w:tcMar>
              <w:left w:w="15" w:type="dxa"/>
              <w:top w:w="15" w:type="dxa"/>
              <w:right w:w="15" w:type="dxa"/>
              <w:bottom w:w="0" w:type="dxa"/>
            </w:tcMar>
            <w:tcW w:w="432"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B</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635" w:type="dxa"/>
            <w:vAlign w:val="center"/>
            <w:textDirection w:val="lrTb"/>
            <w:noWrap w:val="false"/>
          </w:tcPr>
          <w:p>
            <w:pPr>
              <w:pBdr/>
              <w:spacing w:after="0" w:before="0" w:line="240" w:lineRule="auto"/>
              <w:ind/>
              <w:jc w:val="left"/>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NHẬN XÉT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blHeader/>
        </w:trPr>
        <w:tc>
          <w:tcPr>
            <w:tcBorders>
              <w:left w:val="single" w:color="000000" w:sz="6" w:space="0"/>
              <w:bottom w:val="single" w:color="000000" w:sz="6" w:space="0"/>
              <w:right w:val="single" w:color="000000" w:sz="6" w:space="0"/>
            </w:tcBorders>
            <w:tcMar>
              <w:left w:w="15" w:type="dxa"/>
              <w:top w:w="15" w:type="dxa"/>
              <w:right w:w="15" w:type="dxa"/>
              <w:bottom w:w="0" w:type="dxa"/>
            </w:tcMar>
            <w:tcW w:w="432"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635" w:type="dxa"/>
            <w:vAlign w:val="center"/>
            <w:textDirection w:val="lrTb"/>
            <w:noWrap w:val="false"/>
          </w:tcPr>
          <w:p>
            <w:pPr>
              <w:pBdr/>
              <w:spacing w:after="0" w:before="0" w:line="240" w:lineRule="auto"/>
              <w:ind/>
              <w:jc w:val="left"/>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Tính chất giao dịch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blHeader/>
        </w:trPr>
        <w:tc>
          <w:tcPr>
            <w:tcBorders>
              <w:left w:val="single" w:color="000000" w:sz="6" w:space="0"/>
              <w:bottom w:val="single" w:color="000000" w:sz="6" w:space="0"/>
              <w:right w:val="single" w:color="000000" w:sz="6" w:space="0"/>
            </w:tcBorders>
            <w:tcMar>
              <w:left w:w="15" w:type="dxa"/>
              <w:top w:w="15" w:type="dxa"/>
              <w:right w:w="15" w:type="dxa"/>
              <w:bottom w:w="0" w:type="dxa"/>
            </w:tcMar>
            <w:tcW w:w="432"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635" w:type="dxa"/>
            <w:vAlign w:val="center"/>
            <w:textDirection w:val="lrTb"/>
            <w:noWrap w:val="false"/>
          </w:tcPr>
          <w:p>
            <w:pPr>
              <w:pBdr/>
              <w:spacing w:after="0" w:before="0" w:line="240" w:lineRule="auto"/>
              <w:ind/>
              <w:jc w:val="left"/>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Pháp lý</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blHeader/>
        </w:trPr>
        <w:tc>
          <w:tcPr>
            <w:tcBorders>
              <w:left w:val="single" w:color="000000" w:sz="6" w:space="0"/>
              <w:bottom w:val="single" w:color="000000" w:sz="6" w:space="0"/>
              <w:right w:val="single" w:color="000000" w:sz="6" w:space="0"/>
            </w:tcBorders>
            <w:tcMar>
              <w:left w:w="15" w:type="dxa"/>
              <w:top w:w="15" w:type="dxa"/>
              <w:right w:w="15" w:type="dxa"/>
              <w:bottom w:w="0" w:type="dxa"/>
            </w:tcMar>
            <w:tcW w:w="432"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635" w:type="dxa"/>
            <w:vAlign w:val="center"/>
            <w:textDirection w:val="lrTb"/>
            <w:noWrap w:val="false"/>
          </w:tcPr>
          <w:p>
            <w:pPr>
              <w:pBdr/>
              <w:spacing w:after="0" w:before="0" w:line="240" w:lineRule="auto"/>
              <w:ind/>
              <w:jc w:val="left"/>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Vị trí</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blHeader/>
        </w:trPr>
        <w:tc>
          <w:tcPr>
            <w:tcBorders>
              <w:left w:val="single" w:color="000000" w:sz="6" w:space="0"/>
              <w:bottom w:val="single" w:color="000000" w:sz="6" w:space="0"/>
              <w:right w:val="single" w:color="000000" w:sz="6" w:space="0"/>
            </w:tcBorders>
            <w:tcMar>
              <w:left w:w="15" w:type="dxa"/>
              <w:top w:w="15" w:type="dxa"/>
              <w:right w:w="15" w:type="dxa"/>
              <w:bottom w:w="0" w:type="dxa"/>
            </w:tcMar>
            <w:tcW w:w="432"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635" w:type="dxa"/>
            <w:vAlign w:val="center"/>
            <w:textDirection w:val="lrTb"/>
            <w:noWrap w:val="false"/>
          </w:tcPr>
          <w:p>
            <w:pPr>
              <w:pBdr/>
              <w:spacing w:after="0" w:before="0" w:line="240" w:lineRule="auto"/>
              <w:ind/>
              <w:jc w:val="left"/>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Diện tích sàn (m²)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blHeader/>
        </w:trPr>
        <w:tc>
          <w:tcPr>
            <w:tcBorders>
              <w:left w:val="single" w:color="000000" w:sz="6" w:space="0"/>
              <w:bottom w:val="single" w:color="000000" w:sz="6" w:space="0"/>
              <w:right w:val="single" w:color="000000" w:sz="6" w:space="0"/>
            </w:tcBorders>
            <w:tcMar>
              <w:left w:w="15" w:type="dxa"/>
              <w:top w:w="15" w:type="dxa"/>
              <w:right w:w="15" w:type="dxa"/>
              <w:bottom w:w="0" w:type="dxa"/>
            </w:tcMar>
            <w:tcW w:w="432"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635" w:type="dxa"/>
            <w:vAlign w:val="center"/>
            <w:textDirection w:val="lrTb"/>
            <w:noWrap w:val="false"/>
          </w:tcPr>
          <w:p>
            <w:pPr>
              <w:pBdr/>
              <w:spacing w:after="0" w:before="0" w:line="240" w:lineRule="auto"/>
              <w:ind/>
              <w:jc w:val="left"/>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Mặt tiếp giáp</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blHeader/>
        </w:trPr>
        <w:tc>
          <w:tcPr>
            <w:tcBorders>
              <w:left w:val="single" w:color="000000" w:sz="6" w:space="0"/>
              <w:bottom w:val="single" w:color="000000" w:sz="6" w:space="0"/>
              <w:right w:val="single" w:color="000000" w:sz="6" w:space="0"/>
            </w:tcBorders>
            <w:tcMar>
              <w:left w:w="15" w:type="dxa"/>
              <w:top w:w="15" w:type="dxa"/>
              <w:right w:w="15" w:type="dxa"/>
              <w:bottom w:w="0" w:type="dxa"/>
            </w:tcMar>
            <w:tcW w:w="432"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635" w:type="dxa"/>
            <w:vAlign w:val="center"/>
            <w:textDirection w:val="lrTb"/>
            <w:noWrap w:val="false"/>
          </w:tcPr>
          <w:p>
            <w:pPr>
              <w:pBdr/>
              <w:spacing w:after="0" w:before="0" w:line="240" w:lineRule="auto"/>
              <w:ind/>
              <w:jc w:val="left"/>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Tầng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Kém 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Kém 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blHeader/>
        </w:trPr>
        <w:tc>
          <w:tcPr>
            <w:tcBorders>
              <w:left w:val="single" w:color="000000" w:sz="6" w:space="0"/>
              <w:bottom w:val="single" w:color="000000" w:sz="6" w:space="0"/>
              <w:right w:val="single" w:color="000000" w:sz="6" w:space="0"/>
            </w:tcBorders>
            <w:tcMar>
              <w:left w:w="15" w:type="dxa"/>
              <w:top w:w="15" w:type="dxa"/>
              <w:right w:w="15" w:type="dxa"/>
              <w:bottom w:w="0" w:type="dxa"/>
            </w:tcMar>
            <w:tcW w:w="432"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635" w:type="dxa"/>
            <w:vAlign w:val="center"/>
            <w:textDirection w:val="lrTb"/>
            <w:noWrap w:val="false"/>
          </w:tcPr>
          <w:p>
            <w:pPr>
              <w:pBdr/>
              <w:spacing w:after="0" w:before="0" w:line="240" w:lineRule="auto"/>
              <w:ind/>
              <w:jc w:val="left"/>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Hướng ban công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blHeader/>
        </w:trPr>
        <w:tc>
          <w:tcPr>
            <w:tcBorders>
              <w:left w:val="single" w:color="000000" w:sz="6" w:space="0"/>
              <w:bottom w:val="single" w:color="000000" w:sz="6" w:space="0"/>
              <w:right w:val="single" w:color="000000" w:sz="6" w:space="0"/>
            </w:tcBorders>
            <w:tcMar>
              <w:left w:w="15" w:type="dxa"/>
              <w:top w:w="15" w:type="dxa"/>
              <w:right w:w="15" w:type="dxa"/>
              <w:bottom w:w="0" w:type="dxa"/>
            </w:tcMar>
            <w:tcW w:w="432"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635" w:type="dxa"/>
            <w:vAlign w:val="center"/>
            <w:textDirection w:val="lrTb"/>
            <w:noWrap w:val="false"/>
          </w:tcPr>
          <w:p>
            <w:pPr>
              <w:pBdr/>
              <w:spacing w:after="0" w:before="0" w:line="240" w:lineRule="auto"/>
              <w:ind/>
              <w:jc w:val="left"/>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Cấu trúc</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blHeader/>
        </w:trPr>
        <w:tc>
          <w:tcPr>
            <w:tcBorders>
              <w:left w:val="single" w:color="000000" w:sz="6" w:space="0"/>
              <w:bottom w:val="single" w:color="000000" w:sz="6" w:space="0"/>
              <w:right w:val="single" w:color="000000" w:sz="6" w:space="0"/>
            </w:tcBorders>
            <w:tcMar>
              <w:left w:w="15" w:type="dxa"/>
              <w:top w:w="15" w:type="dxa"/>
              <w:right w:w="15" w:type="dxa"/>
              <w:bottom w:w="0" w:type="dxa"/>
            </w:tcMar>
            <w:tcW w:w="432"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9</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635" w:type="dxa"/>
            <w:vAlign w:val="center"/>
            <w:textDirection w:val="lrTb"/>
            <w:noWrap w:val="false"/>
          </w:tcPr>
          <w:p>
            <w:pPr>
              <w:pBdr/>
              <w:spacing w:after="0" w:before="0" w:line="240" w:lineRule="auto"/>
              <w:ind/>
              <w:jc w:val="left"/>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Nội thất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blHeader/>
        </w:trPr>
        <w:tc>
          <w:tcPr>
            <w:tcBorders>
              <w:left w:val="single" w:color="000000" w:sz="6" w:space="0"/>
              <w:bottom w:val="single" w:color="000000" w:sz="6" w:space="0"/>
              <w:right w:val="single" w:color="000000" w:sz="6" w:space="0"/>
            </w:tcBorders>
            <w:tcMar>
              <w:left w:w="15" w:type="dxa"/>
              <w:top w:w="15" w:type="dxa"/>
              <w:right w:w="15" w:type="dxa"/>
              <w:bottom w:w="0" w:type="dxa"/>
            </w:tcMar>
            <w:tcW w:w="432"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635" w:type="dxa"/>
            <w:vAlign w:val="center"/>
            <w:textDirection w:val="lrTb"/>
            <w:noWrap w:val="false"/>
          </w:tcPr>
          <w:p>
            <w:pPr>
              <w:pBdr/>
              <w:spacing w:after="0" w:before="0" w:line="240" w:lineRule="auto"/>
              <w:ind/>
              <w:jc w:val="left"/>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Điều kiện cơ sở hạ tầng kỹ thuật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blHeader/>
        </w:trPr>
        <w:tc>
          <w:tcPr>
            <w:tcBorders>
              <w:left w:val="single" w:color="000000" w:sz="6" w:space="0"/>
              <w:bottom w:val="single" w:color="000000" w:sz="6" w:space="0"/>
              <w:right w:val="single" w:color="000000" w:sz="6" w:space="0"/>
            </w:tcBorders>
            <w:tcMar>
              <w:left w:w="15" w:type="dxa"/>
              <w:top w:w="15" w:type="dxa"/>
              <w:right w:w="15" w:type="dxa"/>
              <w:bottom w:w="0" w:type="dxa"/>
            </w:tcMar>
            <w:tcW w:w="432"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635" w:type="dxa"/>
            <w:vAlign w:val="center"/>
            <w:textDirection w:val="lrTb"/>
            <w:noWrap w:val="false"/>
          </w:tcPr>
          <w:p>
            <w:pPr>
              <w:pBdr/>
              <w:spacing w:after="0" w:before="0" w:line="240" w:lineRule="auto"/>
              <w:ind/>
              <w:jc w:val="left"/>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Điều kiện môi trường an ninh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6" w:space="0"/>
              <w:right w:val="single" w:color="000000" w:sz="6" w:space="0"/>
            </w:tcBorders>
            <w:tcMar>
              <w:left w:w="15" w:type="dxa"/>
              <w:top w:w="15" w:type="dxa"/>
              <w:right w:w="15" w:type="dxa"/>
              <w:bottom w:w="0" w:type="dxa"/>
            </w:tcMar>
            <w:tcW w:w="186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520" w:firstRow="1" w:lastRow="0" w:firstColumn="0" w:lastColumn="1" w:noHBand="0" w:noVBand="1"/>
      </w:tblPr>
      <w:tblGrid>
        <w:gridCol w:w="719"/>
        <w:gridCol w:w="1879"/>
        <w:gridCol w:w="932"/>
        <w:gridCol w:w="2145"/>
        <w:gridCol w:w="2178"/>
        <w:gridCol w:w="2178"/>
        <w:gridCol w:w="2179"/>
      </w:tblGrid>
      <w:tr>
        <w:trPr>
          <w:trHeight w:val="0"/>
        </w:trPr>
        <w:tc>
          <w:tcPr>
            <w:shd w:val="clear" w:color="ffffff" w:fill="ffffff"/>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71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8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9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214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21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71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BĐS thị trường (Ước tính trước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5.175.000.000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5.057.500.000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5.175.000.000</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71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QSD căn hộ ước tính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63.888.889</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70.243.056</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69.000.000</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71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9"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719"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Tính chất giao dịch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Giao dịch bình thường trên thị trường</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63.888.889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70.243.056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69.000.000 </w:t>
            </w: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719"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Giấy chứng nhận Quyền sử dụng đất quyền sở hữu nhà ở và tài sản khác gắn liền với đất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Giấy chứng nhận Quyền sử dụng đất quyền sở hữu nhà ở và tài sản khác gắn liền với đất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Giấy chứng nhận Quyền sử dụng đất quyền sở hữu nhà ở và tài sản khác gắn liền với đất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Giấy chứng nhận Quyền sử dụng đất quyền sở hữu nhà ở và tài sản khác gắn liền với đất</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63.888.889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70.243.056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69.000.000 </w:t>
            </w: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719"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là căn hộ tại toà nhà CT2 chung cư The Pride, phường La Khê, Quận Hà Đông, Thành phố Hà Nội</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là căn hộ tại toà nhà CT4 chung cư The Pride, phường La Khê, Quận Hà Đông, Thành phố Hà Nội</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là căn hộ tại toà nhà CT3 chung cư The Pride, phường La Khê, Quận Hà Đông, Thành phố Hà Nội</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là căn hộ tại toà nhà CT1 chung cư The Pride, phường La Khê, Quận Hà Đông, Thành phố Hà Nội</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63.888.889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70.243.056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69.000.000 </w:t>
            </w: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719"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Diện tích sàn (m²)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81,4</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81,0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72,0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75,0</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-2,00%</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-2.107.292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-1.380.000 </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63.888.889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68.135.764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67.620.000 </w:t>
            </w: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719"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Mặt tiếp giáp</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thường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thường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thường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góc</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-3,00%</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-2.070.000 </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63.888.889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68.135.764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65.550.000 </w:t>
            </w: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719"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Tầng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Tầng trung (16/35)</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Tầng cao (31/35)</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Tầng trung (14/35)</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Tầng cao (28/35)</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3.194.444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3.450.000 </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67.083.333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68.135.764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69.000.000 </w:t>
            </w: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719"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Hướng ban công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Ban công hướng Đông Nam</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Ban công hướng Tây Nam</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 Ban công hướng Đông Nam</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 Ban công hướng Tây Nam</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67.083.333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68.135.764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69.000.000 </w:t>
            </w: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719"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Cấu trúc</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 phòng ngủ, 2 vệ sinh, phòng khách + bếp</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 phòng ngủ, 2 vệ sinh, phòng khách + bếp</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 phòng ngủ, 2 vệ sinh, phòng khách + bếp</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 phòng ngủ, 2 vệ sinh, phòng khách + bếp</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67.083.333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68.135.764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69.000.000 </w:t>
            </w: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719"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Nội thất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Nội thất cơ bản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Nội thất cơ bản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Nội thất cơ bản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Nội thất cơ bản</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67.083.333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68.135.764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69.000.000 </w:t>
            </w: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719"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Điều kiện cơ sở hạ tầng kỹ thuật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Hệ thống cấp điện, cấp thoát nước đầy đủ</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Hệ thống cấp điện, cấp thoát nước đầy đủ</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Hệ thống cấp điện, cấp thoát nước đầy đủ</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Hệ thống cấp điện, cấp thoát nước đầy đủ</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67.083.333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68.135.764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69.000.000 </w:t>
            </w: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719"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C11</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Điều kiện môi trường an ninh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Tốt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Tốt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Tốt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Tốt</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67.083.333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68.135.764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69.000.000 </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719"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67.083.333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68.135.764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69.000.000 </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7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653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68.000.000 </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7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0,2%</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719"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E</w:t>
            </w:r>
            <w:r/>
          </w:p>
        </w:tc>
        <w:tc>
          <w:tcPr>
            <w:gridSpan w:val="6"/>
            <w:shd w:val="clear" w:color="ffffff" w:fill="ffffff"/>
            <w:tcBorders>
              <w:top w:val="single" w:color="000000" w:sz="6" w:space="0"/>
              <w:bottom w:val="single" w:color="000000" w:sz="6" w:space="0"/>
              <w:right w:val="single" w:color="000000" w:sz="4" w:space="0"/>
            </w:tcBorders>
            <w:tcMar>
              <w:left w:w="15" w:type="dxa"/>
              <w:top w:w="15" w:type="dxa"/>
              <w:right w:w="15" w:type="dxa"/>
              <w:bottom w:w="0" w:type="dxa"/>
            </w:tcMar>
            <w:tcW w:w="1149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Tổng hợp các số liệu điều chỉnh tại mục C</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7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3.194.444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2.107.292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6.900.000 </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7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7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0-5%</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0-3%</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2-5%</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71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7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9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4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3.194.444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2.107.292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0,2% đến</w:t>
      </w:r>
      <w:r>
        <w:t xml:space="preserve"> 1,5%,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68.000.000</w:t>
      </w:r>
      <w:r>
        <w:rPr>
          <w:b/>
          <w:bCs/>
          <w:color w:val="000000" w:themeColor="text1"/>
        </w:rPr>
        <w:t xml:space="preserve"> </w:t>
      </w:r>
      <w:r>
        <w:rPr>
          <w:b/>
          <w:bCs/>
        </w:rPr>
        <w:t xml:space="preserve">đồng/m².</w:t>
      </w:r>
      <w:r>
        <w:rPr>
          <w:b/>
          <w:bCs/>
        </w:rPr>
      </w:r>
      <w:r>
        <w:rPr>
          <w:b/>
          <w:bCs/>
        </w:rPr>
      </w:r>
    </w:p>
    <w:p>
      <w:pPr>
        <w:pStyle w:val="102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7"/>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Căn hộ chung cư số 1612, Tòa nhà CT2, Tổ hợp thương mại dịch vụ và căn hộ - THE PRIDE, Khu đô thị mới An Hưng, phường La Khê, quận Hà Đông, thành phố Hà Nội (nay là phường Hà Đ</w:t>
            </w:r>
            <w:r>
              <w:rPr>
                <w:color w:val="000000"/>
              </w:rPr>
              <w:t xml:space="preserve">ông, thành phố Hà Nội) theo Giấy chứng nhận quyền sử dụng đất quyền sở hữu nhà ở và tài sản khác gắn liền với đất số: DM 824365, số vào sổ cấp GCN: VP00558 do Văn phòng đăng ký đất đai Hà Nội cấp ngày 30/11/2023 cho Ông Dương Quang Thành và Bà Tạ Thị Lệ Hà</w:t>
            </w:r>
            <w:r>
              <w:rPr>
                <w:b/>
                <w:b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Căn hộ chung cư</w:t>
            </w:r>
            <w:r>
              <w:rPr>
                <w:b w:val="0"/>
                <w:bCs w:val="0"/>
              </w:rPr>
            </w:r>
            <w:r>
              <w:rPr>
                <w:b w:val="0"/>
                <w:bCs w:val="0"/>
              </w:rPr>
            </w:r>
          </w:p>
        </w:tc>
        <w:tc>
          <w:tcPr>
            <w:tcBorders/>
            <w:tcW w:w="981" w:type="pct"/>
            <w:vAlign w:val="center"/>
            <w:textDirection w:val="lrTb"/>
            <w:noWrap/>
          </w:tcPr>
          <w:p>
            <w:pPr>
              <w:pBdr/>
              <w:spacing w:after="40" w:before="40" w:line="288" w:lineRule="auto"/>
              <w:ind/>
              <w:jc w:val="center"/>
              <w:rPr>
                <w:b w:val="0"/>
                <w:bCs w:val="0"/>
                <w:color w:val="000000"/>
              </w:rPr>
            </w:pPr>
            <w:r>
              <w:rPr>
                <w:b w:val="0"/>
                <w:bCs w:val="0"/>
                <w:color w:val="000000" w:themeColor="text1"/>
              </w:rPr>
              <w:t xml:space="preserve">81.4</w:t>
            </w:r>
            <w:r>
              <w:rPr>
                <w:b w:val="0"/>
                <w:bCs w:val="0"/>
                <w:color w:val="000000"/>
              </w:rPr>
            </w:r>
            <w:r>
              <w:rPr>
                <w:b w:val="0"/>
                <w:bCs w:val="0"/>
                <w:color w:val="000000"/>
              </w:rPr>
            </w:r>
          </w:p>
        </w:tc>
        <w:tc>
          <w:tcPr>
            <w:shd w:val="clear" w:color="000000" w:fill="ffffff"/>
            <w:tcBorders/>
            <w:tcW w:w="1389" w:type="pct"/>
            <w:vAlign w:val="center"/>
            <w:textDirection w:val="lrTb"/>
            <w:noWrap w:val="false"/>
          </w:tcPr>
          <w:p>
            <w:pPr>
              <w:pBdr/>
              <w:spacing w:after="40" w:before="40" w:line="288" w:lineRule="auto"/>
              <w:ind/>
              <w:jc w:val="center"/>
              <w:rPr>
                <w:b w:val="0"/>
                <w:bCs w:val="0"/>
              </w:rPr>
            </w:pPr>
            <w:r>
              <w:rPr>
                <w:b w:val="0"/>
                <w:bCs w:val="0"/>
                <w:color w:val="000000" w:themeColor="text1"/>
              </w:rPr>
              <w:t xml:space="preserve">68.000.000</w:t>
            </w:r>
            <w:r>
              <w:rPr>
                <w:b w:val="0"/>
                <w:bCs w:val="0"/>
              </w:rPr>
            </w:r>
            <w:r>
              <w:rPr>
                <w:b w:val="0"/>
                <w:bCs w:val="0"/>
              </w:rPr>
            </w:r>
          </w:p>
        </w:tc>
        <w:tc>
          <w:tcPr>
            <w:shd w:val="clear" w:color="000000" w:fill="ffffff"/>
            <w:tcBorders/>
            <w:tcW w:w="1170" w:type="pct"/>
            <w:vAlign w:val="center"/>
            <w:textDirection w:val="lrTb"/>
            <w:noWrap w:val="false"/>
          </w:tcPr>
          <w:p>
            <w:pPr>
              <w:pBdr/>
              <w:spacing w:after="40" w:before="40" w:line="288" w:lineRule="auto"/>
              <w:ind/>
              <w:jc w:val="center"/>
              <w:rPr>
                <w:b w:val="0"/>
                <w:bCs w:val="0"/>
              </w:rPr>
            </w:pPr>
            <w:r>
              <w:rPr>
                <w:b w:val="0"/>
                <w:bCs w:val="0"/>
                <w:color w:val="000000" w:themeColor="text1"/>
              </w:rPr>
              <w:t xml:space="preserve">5.535.200.000</w:t>
            </w:r>
            <w:r>
              <w:rPr>
                <w:b w:val="0"/>
                <w:bCs w:val="0"/>
              </w:rPr>
            </w:r>
            <w:r>
              <w:rPr>
                <w:b w:val="0"/>
                <w:bCs w:val="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5.535.200.000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Năm tỷ năm trăm ba mươi lăm triệu hai trăm nghìn</w:t>
            </w:r>
            <w:r>
              <w:rPr>
                <w:b/>
                <w:bCs/>
                <w:i/>
                <w:iCs/>
                <w:color w:val="000000"/>
              </w:rPr>
              <w:t xml:space="preserve">./.)</w:t>
            </w:r>
            <w:r>
              <w:rPr>
                <w:b/>
                <w:bCs/>
                <w:i/>
                <w:iCs/>
                <w:color w:val="000000"/>
              </w:rPr>
            </w:r>
            <w:r>
              <w:rPr>
                <w:b/>
                <w:bCs/>
                <w:i/>
                <w:iCs/>
                <w:color w:val="000000"/>
              </w:rPr>
            </w:r>
          </w:p>
        </w:tc>
      </w:tr>
    </w:tbl>
    <w:p>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7"/>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7"/>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7"/>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7"/>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7"/>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7"/>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275/2025/1702/VFI-CT.48.A</w:t>
      </w:r>
      <w:r>
        <w:rPr>
          <w:color w:val="ff0000"/>
          <w:lang w:val="vi-VN"/>
        </w:rPr>
        <w:t xml:space="preserve"> </w:t>
      </w:r>
      <w:r>
        <w:rPr>
          <w:color w:val="000000" w:themeColor="text1"/>
        </w:rPr>
        <w:t xml:space="preserve">01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XII.20112025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Trọng Điệp</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X15.1272</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 - Chủ tịch</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275/2025/1702/VFI-BC.48.A</w:t>
      </w:r>
      <w:r>
        <w:rPr>
          <w:i/>
          <w:lang w:val="pt-BR"/>
        </w:rPr>
        <w:t xml:space="preserve"> </w:t>
      </w:r>
      <w:r>
        <w:rPr>
          <w:i/>
          <w:lang w:val="pt-BR"/>
        </w:rPr>
        <w:t xml:space="preserve">01 tháng 12 năm 2025</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34353"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18"/>
                              <a:stretch/>
                            </pic:blipFill>
                            <pic:spPr bwMode="auto">
                              <a:xfrm>
                                <a:off x="0" y="0"/>
                                <a:ext cx="1434353"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94pt;height:150.0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34353"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19"/>
                              <a:stretch/>
                            </pic:blipFill>
                            <pic:spPr bwMode="auto">
                              <a:xfrm>
                                <a:off x="0" y="0"/>
                                <a:ext cx="1434353"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2.94pt;height:150.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734244" cy="2644807"/>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0"/>
                              <a:stretch/>
                            </pic:blipFill>
                            <pic:spPr bwMode="auto">
                              <a:xfrm flipH="0" flipV="0">
                                <a:off x="0" y="0"/>
                                <a:ext cx="2734244" cy="264480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5.29pt;height:208.25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392953" cy="319060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134250" name=""/>
                              <pic:cNvPicPr>
                                <a:picLocks noChangeAspect="1"/>
                              </pic:cNvPicPr>
                              <pic:nvPr/>
                            </pic:nvPicPr>
                            <pic:blipFill>
                              <a:blip r:embed="rId21"/>
                              <a:stretch/>
                            </pic:blipFill>
                            <pic:spPr bwMode="auto">
                              <a:xfrm flipH="0" flipV="0">
                                <a:off x="0" y="0"/>
                                <a:ext cx="2392953" cy="31906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88.42pt;height:251.23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34353"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2"/>
                              <a:stretch/>
                            </pic:blipFill>
                            <pic:spPr bwMode="auto">
                              <a:xfrm>
                                <a:off x="0" y="0"/>
                                <a:ext cx="1434353"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12.94pt;height:150.0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1434353" cy="190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3"/>
                              <a:stretch/>
                            </pic:blipFill>
                            <pic:spPr bwMode="auto">
                              <a:xfrm>
                                <a:off x="0" y="0"/>
                                <a:ext cx="1434353"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12.94pt;height:150.00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275/2025/1702/VFI-BC.48.A</w:t>
      </w:r>
      <w:r>
        <w:rPr>
          <w:i/>
          <w:lang w:val="pt-BR"/>
        </w:rPr>
        <w:t xml:space="preserve"> </w:t>
      </w:r>
      <w:r>
        <w:rPr>
          <w:i/>
          <w:lang w:val="pt-BR"/>
        </w:rPr>
        <w:t xml:space="preserve">01 tháng 12 năm 2025</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20"/>
        <w:gridCol w:w="3140"/>
        <w:gridCol w:w="6880"/>
      </w:tblGrid>
      <w:tr>
        <w:trPr>
          <w:trHeight w:val="28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20"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6" w:space="0"/>
              <w:bottom w:val="single" w:color="000000" w:sz="6" w:space="0"/>
              <w:right w:val="single" w:color="000000" w:sz="6" w:space="0"/>
            </w:tcBorders>
            <w:tcMar>
              <w:left w:w="0" w:type="dxa"/>
              <w:top w:w="0" w:type="dxa"/>
              <w:right w:w="0" w:type="dxa"/>
              <w:bottom w:w="0" w:type="dxa"/>
            </w:tcMar>
            <w:tcW w:w="3140"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6" w:space="0"/>
              <w:bottom w:val="single" w:color="000000" w:sz="6" w:space="0"/>
              <w:right w:val="single" w:color="000000" w:sz="6" w:space="0"/>
            </w:tcBorders>
            <w:tcMar>
              <w:left w:w="0" w:type="dxa"/>
              <w:top w:w="0" w:type="dxa"/>
              <w:right w:w="0" w:type="dxa"/>
              <w:bottom w:w="0" w:type="dxa"/>
            </w:tcMar>
            <w:tcW w:w="6880"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840"/>
        </w:trPr>
        <w:tc>
          <w:tcPr>
            <w:tcBorders>
              <w:left w:val="single" w:color="000000" w:sz="6" w:space="0"/>
              <w:bottom w:val="single" w:color="000000" w:sz="6" w:space="0"/>
              <w:right w:val="single" w:color="000000" w:sz="6" w:space="0"/>
            </w:tcBorders>
            <w:tcMar>
              <w:left w:w="0" w:type="dxa"/>
              <w:top w:w="0" w:type="dxa"/>
              <w:right w:w="0" w:type="dxa"/>
              <w:bottom w:w="0" w:type="dxa"/>
            </w:tcMar>
            <w:tcW w:w="6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31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0" w:type="dxa"/>
              <w:top w:w="0" w:type="dxa"/>
              <w:right w:w="0" w:type="dxa"/>
              <w:bottom w:w="0" w:type="dxa"/>
            </w:tcMar>
            <w:tcW w:w="68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https://batdongsan.com.vn/ban-can-ho-chung-cu-duong-to-huu-phuong-la-khe-prj-the-pride/-2pn-ha-dong-ha-noi-gia-cuc-chat-5-8-ty-81m2-pr44514736 - SĐT: 0981333109</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31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0" w:type="dxa"/>
              <w:top w:w="0" w:type="dxa"/>
              <w:right w:w="0" w:type="dxa"/>
              <w:bottom w:w="0" w:type="dxa"/>
            </w:tcMar>
            <w:tcW w:w="68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5.750.000.000</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31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tcBorders>
              <w:bottom w:val="single" w:color="000000" w:sz="6" w:space="0"/>
              <w:right w:val="single" w:color="000000" w:sz="6" w:space="0"/>
            </w:tcBorders>
            <w:tcMar>
              <w:left w:w="0" w:type="dxa"/>
              <w:top w:w="0" w:type="dxa"/>
              <w:right w:w="0" w:type="dxa"/>
              <w:bottom w:w="0" w:type="dxa"/>
            </w:tcMar>
            <w:tcW w:w="68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5.175.000.000</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31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0" w:type="dxa"/>
              <w:top w:w="0" w:type="dxa"/>
              <w:right w:w="0" w:type="dxa"/>
              <w:bottom w:w="0" w:type="dxa"/>
            </w:tcMar>
            <w:tcW w:w="68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31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0" w:type="dxa"/>
              <w:top w:w="0" w:type="dxa"/>
              <w:right w:w="0" w:type="dxa"/>
              <w:bottom w:w="0" w:type="dxa"/>
            </w:tcMar>
            <w:tcW w:w="68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Tháng 12/2025</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31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0" w:type="dxa"/>
              <w:top w:w="0" w:type="dxa"/>
              <w:right w:w="0" w:type="dxa"/>
              <w:bottom w:w="0" w:type="dxa"/>
            </w:tcMar>
            <w:tcW w:w="68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6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31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68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Giấy chứng nhận Quyền sử dụng đất quyền sở hữu nhà ở và tài sản khác gắn liền với đất</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31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tcBorders>
              <w:bottom w:val="single" w:color="000000" w:sz="6" w:space="0"/>
              <w:right w:val="single" w:color="000000" w:sz="6" w:space="0"/>
            </w:tcBorders>
            <w:tcMar>
              <w:left w:w="0" w:type="dxa"/>
              <w:top w:w="0" w:type="dxa"/>
              <w:right w:w="0" w:type="dxa"/>
              <w:bottom w:w="0" w:type="dxa"/>
            </w:tcMar>
            <w:tcW w:w="68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31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68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là căn hộ tại toà nhà CT4 chung cư The Pride, phường La Khê, Quận Hà Đông, Thành phố Hà Nội</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0" w:type="dxa"/>
              <w:top w:w="0" w:type="dxa"/>
              <w:right w:w="0" w:type="dxa"/>
              <w:bottom w:w="0" w:type="dxa"/>
            </w:tcMar>
            <w:tcW w:w="31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6" w:space="0"/>
              <w:right w:val="single" w:color="000000" w:sz="6" w:space="0"/>
            </w:tcBorders>
            <w:tcMar>
              <w:left w:w="0" w:type="dxa"/>
              <w:top w:w="0" w:type="dxa"/>
              <w:right w:w="0" w:type="dxa"/>
              <w:bottom w:w="0" w:type="dxa"/>
            </w:tcMar>
            <w:tcW w:w="68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81</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0" w:type="dxa"/>
              <w:top w:w="0" w:type="dxa"/>
              <w:right w:w="0" w:type="dxa"/>
              <w:bottom w:w="0" w:type="dxa"/>
            </w:tcMar>
            <w:tcW w:w="31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tiếp giáp</w:t>
            </w:r>
            <w:r/>
          </w:p>
        </w:tc>
        <w:tc>
          <w:tcPr>
            <w:tcBorders>
              <w:bottom w:val="single" w:color="000000" w:sz="6" w:space="0"/>
              <w:right w:val="single" w:color="000000" w:sz="6" w:space="0"/>
            </w:tcBorders>
            <w:tcMar>
              <w:left w:w="0" w:type="dxa"/>
              <w:top w:w="0" w:type="dxa"/>
              <w:right w:w="0" w:type="dxa"/>
              <w:bottom w:w="0" w:type="dxa"/>
            </w:tcMar>
            <w:tcW w:w="68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0" w:type="dxa"/>
              <w:top w:w="0" w:type="dxa"/>
              <w:right w:w="0" w:type="dxa"/>
              <w:bottom w:w="0" w:type="dxa"/>
            </w:tcMar>
            <w:tcW w:w="31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Tầng</w:t>
            </w:r>
            <w:r/>
          </w:p>
        </w:tc>
        <w:tc>
          <w:tcPr>
            <w:tcBorders>
              <w:bottom w:val="single" w:color="000000" w:sz="6" w:space="0"/>
              <w:right w:val="single" w:color="000000" w:sz="6" w:space="0"/>
            </w:tcBorders>
            <w:tcMar>
              <w:left w:w="0" w:type="dxa"/>
              <w:top w:w="0" w:type="dxa"/>
              <w:right w:w="0" w:type="dxa"/>
              <w:bottom w:w="0" w:type="dxa"/>
            </w:tcMar>
            <w:tcW w:w="68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cao (31/35)</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0" w:type="dxa"/>
              <w:top w:w="0" w:type="dxa"/>
              <w:right w:w="0" w:type="dxa"/>
              <w:bottom w:w="0" w:type="dxa"/>
            </w:tcMar>
            <w:tcW w:w="31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Hướng ban công</w:t>
            </w:r>
            <w:r/>
          </w:p>
        </w:tc>
        <w:tc>
          <w:tcPr>
            <w:tcBorders>
              <w:bottom w:val="single" w:color="000000" w:sz="6" w:space="0"/>
              <w:right w:val="single" w:color="000000" w:sz="6" w:space="0"/>
            </w:tcBorders>
            <w:tcMar>
              <w:left w:w="0" w:type="dxa"/>
              <w:top w:w="0" w:type="dxa"/>
              <w:right w:w="0" w:type="dxa"/>
              <w:bottom w:w="0" w:type="dxa"/>
            </w:tcMar>
            <w:tcW w:w="68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Ban công hướng Tây Nam</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0" w:type="dxa"/>
              <w:top w:w="0" w:type="dxa"/>
              <w:right w:w="0" w:type="dxa"/>
              <w:bottom w:w="0" w:type="dxa"/>
            </w:tcMar>
            <w:tcW w:w="31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Cấu trúc</w:t>
            </w:r>
            <w:r/>
          </w:p>
        </w:tc>
        <w:tc>
          <w:tcPr>
            <w:tcBorders>
              <w:bottom w:val="single" w:color="000000" w:sz="6" w:space="0"/>
              <w:right w:val="single" w:color="000000" w:sz="6" w:space="0"/>
            </w:tcBorders>
            <w:tcMar>
              <w:left w:w="0" w:type="dxa"/>
              <w:top w:w="0" w:type="dxa"/>
              <w:right w:w="0" w:type="dxa"/>
              <w:bottom w:w="0" w:type="dxa"/>
            </w:tcMar>
            <w:tcW w:w="68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 phòng ngủ, 2 vệ sinh, phòng khách + bếp</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0" w:type="dxa"/>
              <w:top w:w="0" w:type="dxa"/>
              <w:right w:w="0" w:type="dxa"/>
              <w:bottom w:w="0" w:type="dxa"/>
            </w:tcMar>
            <w:tcW w:w="31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Nội thất</w:t>
            </w:r>
            <w:r/>
          </w:p>
        </w:tc>
        <w:tc>
          <w:tcPr>
            <w:tcBorders>
              <w:bottom w:val="single" w:color="000000" w:sz="6" w:space="0"/>
              <w:right w:val="single" w:color="000000" w:sz="6" w:space="0"/>
            </w:tcBorders>
            <w:tcMar>
              <w:left w:w="0" w:type="dxa"/>
              <w:top w:w="0" w:type="dxa"/>
              <w:right w:w="0" w:type="dxa"/>
              <w:bottom w:w="0" w:type="dxa"/>
            </w:tcMar>
            <w:tcW w:w="68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Nội thất cơ bản</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0" w:type="dxa"/>
              <w:top w:w="0" w:type="dxa"/>
              <w:right w:w="0" w:type="dxa"/>
              <w:bottom w:w="0" w:type="dxa"/>
            </w:tcMar>
            <w:tcW w:w="31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68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6" w:space="0"/>
              <w:right w:val="single" w:color="000000" w:sz="6" w:space="0"/>
            </w:tcBorders>
            <w:tcMar>
              <w:left w:w="0" w:type="dxa"/>
              <w:top w:w="0" w:type="dxa"/>
              <w:right w:w="0" w:type="dxa"/>
              <w:bottom w:w="0" w:type="dxa"/>
            </w:tcMar>
            <w:tcW w:w="31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68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2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0" w:type="dxa"/>
              <w:top w:w="0" w:type="dxa"/>
              <w:right w:w="0" w:type="dxa"/>
              <w:bottom w:w="0" w:type="dxa"/>
            </w:tcMar>
            <w:tcW w:w="314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Bằng chứng thu thập</w:t>
            </w:r>
            <w:r/>
          </w:p>
        </w:tc>
        <w:tc>
          <w:tcPr>
            <w:tcBorders>
              <w:bottom w:val="single" w:color="000000" w:sz="6" w:space="0"/>
              <w:right w:val="single" w:color="000000" w:sz="6" w:space="0"/>
            </w:tcBorders>
            <w:tcMar>
              <w:left w:w="0" w:type="dxa"/>
              <w:top w:w="0" w:type="dxa"/>
              <w:right w:w="0" w:type="dxa"/>
              <w:bottom w:w="0" w:type="dxa"/>
            </w:tcMar>
            <w:tcW w:w="68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3230"/>
        </w:trPr>
        <w:tc>
          <w:tcPr>
            <w:gridSpan w:val="3"/>
            <w:tcBorders>
              <w:right w:val="single" w:color="000000" w:sz="4" w:space="0"/>
            </w:tcBorders>
            <w:tcMar>
              <w:left w:w="0" w:type="dxa"/>
              <w:top w:w="0" w:type="dxa"/>
              <w:right w:w="0" w:type="dxa"/>
              <w:bottom w:w="0" w:type="dxa"/>
            </w:tcMar>
            <w:tcW w:w="10640" w:type="dxa"/>
            <w:vAlign w:val="bottom"/>
            <w:textDirection w:val="lrTb"/>
            <w:noWrap/>
          </w:tcPr>
          <w:p>
            <w:pPr>
              <w:pBdr/>
              <w:spacing w:after="0" w:before="0" w:line="240" w:lineRule="auto"/>
              <w:ind/>
              <w:rPr/>
            </w:pPr>
            <w:r>
              <mc:AlternateContent>
                <mc:Choice Requires="wpg">
                  <w:drawing>
                    <wp:inline xmlns:wp="http://schemas.openxmlformats.org/drawingml/2006/wordprocessingDrawing" distT="0" distB="0" distL="0" distR="0">
                      <wp:extent cx="2729220" cy="1614091"/>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491026" name=""/>
                              <pic:cNvPicPr>
                                <a:picLocks noChangeAspect="1"/>
                              </pic:cNvPicPr>
                              <pic:nvPr/>
                            </pic:nvPicPr>
                            <pic:blipFill>
                              <a:blip r:embed="rId24"/>
                              <a:stretch/>
                            </pic:blipFill>
                            <pic:spPr bwMode="auto">
                              <a:xfrm flipH="0" flipV="0">
                                <a:off x="0" y="0"/>
                                <a:ext cx="2729220" cy="16140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4.90pt;height:127.09pt;mso-wrap-distance-left:0.00pt;mso-wrap-distance-top:0.00pt;mso-wrap-distance-right:0.00pt;mso-wrap-distance-bottom:0.00pt;z-index:1;" stroked="false">
                      <v:imagedata r:id="rId24" o:title=""/>
                      <o:lock v:ext="edit" rotation="t"/>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251715072" behindDoc="0" locked="0" layoutInCell="1" allowOverlap="1">
                      <wp:simplePos x="0" y="0"/>
                      <wp:positionH relativeFrom="column">
                        <wp:posOffset>2929245</wp:posOffset>
                      </wp:positionH>
                      <wp:positionV relativeFrom="paragraph">
                        <wp:posOffset>9525</wp:posOffset>
                      </wp:positionV>
                      <wp:extent cx="2626440" cy="1604566"/>
                      <wp:effectExtent l="0" t="0" r="0" b="0"/>
                      <wp:wrapThrough wrapText="bothSides">
                        <wp:wrapPolygon edited="1">
                          <wp:start x="0" y="0"/>
                          <wp:lineTo x="21600" y="0"/>
                          <wp:lineTo x="21600" y="21600"/>
                          <wp:lineTo x="0" y="21600"/>
                        </wp:wrapPolygon>
                      </wp:wrapThrough>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822789" name=""/>
                              <pic:cNvPicPr>
                                <a:picLocks noChangeAspect="1"/>
                              </pic:cNvPicPr>
                              <pic:nvPr/>
                            </pic:nvPicPr>
                            <pic:blipFill>
                              <a:blip r:embed="rId25"/>
                              <a:stretch/>
                            </pic:blipFill>
                            <pic:spPr bwMode="auto">
                              <a:xfrm flipH="0" flipV="0">
                                <a:off x="0" y="0"/>
                                <a:ext cx="2626439" cy="1604566"/>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position:absolute;z-index:251715072;o:allowoverlap:true;o:allowincell:true;mso-position-horizontal-relative:text;margin-left:230.65pt;mso-position-horizontal:absolute;mso-position-vertical-relative:text;margin-top:0.75pt;mso-position-vertical:absolute;width:206.81pt;height:126.34pt;mso-wrap-distance-left:9.07pt;mso-wrap-distance-top:0.00pt;mso-wrap-distance-right:9.07pt;mso-wrap-distance-bottom:0.00pt;z-index:1;" wrapcoords="0 0 100000 0 100000 100000 0 100000" stroked="false">
                      <w10:wrap type="through"/>
                      <v:imagedata r:id="rId25" o:title=""/>
                      <o:lock v:ext="edit" rotation="t"/>
                    </v:shape>
                  </w:pict>
                </mc:Fallback>
              </mc:AlternateContent>
            </w:r>
            <w:r/>
          </w:p>
          <w:p>
            <w:pPr>
              <w:pBdr/>
              <w:spacing w:after="0" w:before="0" w:line="240" w:lineRule="auto"/>
              <w:ind/>
              <w:rPr/>
            </w:pPr>
            <w:r/>
            <w:r/>
          </w:p>
          <w:p>
            <w:pPr>
              <w:pBdr/>
              <w:spacing/>
              <w:ind/>
              <w:rPr/>
            </w:pPr>
            <w: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Phạm Thị Dung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iCs/>
          <w:lang w:val="pt-BR"/>
        </w:rPr>
      </w:pPr>
      <w:r>
        <w:rPr>
          <w:b/>
          <w:bCs/>
          <w:iCs/>
          <w:lang w:val="pt-BR"/>
        </w:rPr>
        <w:t xml:space="preserve">TSSS2</w:t>
      </w:r>
      <w:r>
        <w:rPr>
          <w:iCs/>
          <w:lang w:val="pt-BR"/>
        </w:rPr>
      </w:r>
      <w:r>
        <w:rPr>
          <w:iCs/>
          <w:lang w:val="pt-BR"/>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55"/>
        <w:gridCol w:w="2811"/>
        <w:gridCol w:w="6159"/>
      </w:tblGrid>
      <w:tr>
        <w:trPr>
          <w:trHeight w:val="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55"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6" w:space="0"/>
              <w:bottom w:val="single" w:color="000000" w:sz="6" w:space="0"/>
              <w:right w:val="single" w:color="000000" w:sz="6" w:space="0"/>
            </w:tcBorders>
            <w:tcMar>
              <w:left w:w="0" w:type="dxa"/>
              <w:top w:w="0" w:type="dxa"/>
              <w:right w:w="0" w:type="dxa"/>
              <w:bottom w:w="0" w:type="dxa"/>
            </w:tcMar>
            <w:tcW w:w="2811"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6" w:space="0"/>
              <w:bottom w:val="single" w:color="000000" w:sz="6" w:space="0"/>
              <w:right w:val="single" w:color="000000" w:sz="6" w:space="0"/>
            </w:tcBorders>
            <w:tcMar>
              <w:left w:w="0" w:type="dxa"/>
              <w:top w:w="0" w:type="dxa"/>
              <w:right w:w="0" w:type="dxa"/>
              <w:bottom w:w="0" w:type="dxa"/>
            </w:tcMar>
            <w:tcW w:w="6159"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55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281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0" w:type="dxa"/>
              <w:top w:w="0" w:type="dxa"/>
              <w:right w:w="0" w:type="dxa"/>
              <w:bottom w:w="0" w:type="dxa"/>
            </w:tcMar>
            <w:tcW w:w="61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 - SĐT: 0567681888</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55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281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0" w:type="dxa"/>
              <w:top w:w="0" w:type="dxa"/>
              <w:right w:w="0" w:type="dxa"/>
              <w:bottom w:w="0" w:type="dxa"/>
            </w:tcMar>
            <w:tcW w:w="61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5.950.000.000</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55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281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tcBorders>
              <w:bottom w:val="single" w:color="000000" w:sz="6" w:space="0"/>
              <w:right w:val="single" w:color="000000" w:sz="6" w:space="0"/>
            </w:tcBorders>
            <w:tcMar>
              <w:left w:w="0" w:type="dxa"/>
              <w:top w:w="0" w:type="dxa"/>
              <w:right w:w="0" w:type="dxa"/>
              <w:bottom w:w="0" w:type="dxa"/>
            </w:tcMar>
            <w:tcW w:w="61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5.057.500.000</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55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281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0" w:type="dxa"/>
              <w:top w:w="0" w:type="dxa"/>
              <w:right w:w="0" w:type="dxa"/>
              <w:bottom w:w="0" w:type="dxa"/>
            </w:tcMar>
            <w:tcW w:w="61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55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281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0" w:type="dxa"/>
              <w:top w:w="0" w:type="dxa"/>
              <w:right w:w="0" w:type="dxa"/>
              <w:bottom w:w="0" w:type="dxa"/>
            </w:tcMar>
            <w:tcW w:w="61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Tháng 12/2025</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55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281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0" w:type="dxa"/>
              <w:top w:w="0" w:type="dxa"/>
              <w:right w:w="0" w:type="dxa"/>
              <w:bottom w:w="0" w:type="dxa"/>
            </w:tcMar>
            <w:tcW w:w="61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55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281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61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Giấy chứng nhận Quyền sử dụng đất quyền sở hữu nhà ở và tài sản khác gắn liền với đất</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55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281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tcBorders>
              <w:bottom w:val="single" w:color="000000" w:sz="6" w:space="0"/>
              <w:right w:val="single" w:color="000000" w:sz="6" w:space="0"/>
            </w:tcBorders>
            <w:tcMar>
              <w:left w:w="0" w:type="dxa"/>
              <w:top w:w="0" w:type="dxa"/>
              <w:right w:w="0" w:type="dxa"/>
              <w:bottom w:w="0" w:type="dxa"/>
            </w:tcMar>
            <w:tcW w:w="61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55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281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61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là căn hộ tại toà nhà CT3 chung cư The Pride, phường La Khê, Quận Hà Đông, Thành phố Hà Nội</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55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0" w:type="dxa"/>
              <w:top w:w="0" w:type="dxa"/>
              <w:right w:w="0" w:type="dxa"/>
              <w:bottom w:w="0" w:type="dxa"/>
            </w:tcMar>
            <w:tcW w:w="281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sàn (m²)</w:t>
            </w:r>
            <w:r/>
          </w:p>
        </w:tc>
        <w:tc>
          <w:tcPr>
            <w:tcBorders>
              <w:bottom w:val="single" w:color="000000" w:sz="6" w:space="0"/>
              <w:right w:val="single" w:color="000000" w:sz="6" w:space="0"/>
            </w:tcBorders>
            <w:tcMar>
              <w:left w:w="0" w:type="dxa"/>
              <w:top w:w="0" w:type="dxa"/>
              <w:right w:w="0" w:type="dxa"/>
              <w:bottom w:w="0" w:type="dxa"/>
            </w:tcMar>
            <w:tcW w:w="61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72</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55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0" w:type="dxa"/>
              <w:top w:w="0" w:type="dxa"/>
              <w:right w:w="0" w:type="dxa"/>
              <w:bottom w:w="0" w:type="dxa"/>
            </w:tcMar>
            <w:tcW w:w="281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tiếp giáp</w:t>
            </w:r>
            <w:r/>
          </w:p>
        </w:tc>
        <w:tc>
          <w:tcPr>
            <w:tcBorders>
              <w:bottom w:val="single" w:color="000000" w:sz="6" w:space="0"/>
              <w:right w:val="single" w:color="000000" w:sz="6" w:space="0"/>
            </w:tcBorders>
            <w:tcMar>
              <w:left w:w="0" w:type="dxa"/>
              <w:top w:w="0" w:type="dxa"/>
              <w:right w:w="0" w:type="dxa"/>
              <w:bottom w:w="0" w:type="dxa"/>
            </w:tcMar>
            <w:tcW w:w="61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55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0" w:type="dxa"/>
              <w:top w:w="0" w:type="dxa"/>
              <w:right w:w="0" w:type="dxa"/>
              <w:bottom w:w="0" w:type="dxa"/>
            </w:tcMar>
            <w:tcW w:w="281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Tầng</w:t>
            </w:r>
            <w:r/>
          </w:p>
        </w:tc>
        <w:tc>
          <w:tcPr>
            <w:tcBorders>
              <w:bottom w:val="single" w:color="000000" w:sz="6" w:space="0"/>
              <w:right w:val="single" w:color="000000" w:sz="6" w:space="0"/>
            </w:tcBorders>
            <w:tcMar>
              <w:left w:w="0" w:type="dxa"/>
              <w:top w:w="0" w:type="dxa"/>
              <w:right w:w="0" w:type="dxa"/>
              <w:bottom w:w="0" w:type="dxa"/>
            </w:tcMar>
            <w:tcW w:w="61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trung (14/35)</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55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0" w:type="dxa"/>
              <w:top w:w="0" w:type="dxa"/>
              <w:right w:w="0" w:type="dxa"/>
              <w:bottom w:w="0" w:type="dxa"/>
            </w:tcMar>
            <w:tcW w:w="281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Hướng ban công</w:t>
            </w:r>
            <w:r/>
          </w:p>
        </w:tc>
        <w:tc>
          <w:tcPr>
            <w:tcBorders>
              <w:bottom w:val="single" w:color="000000" w:sz="6" w:space="0"/>
              <w:right w:val="single" w:color="000000" w:sz="6" w:space="0"/>
            </w:tcBorders>
            <w:tcMar>
              <w:left w:w="0" w:type="dxa"/>
              <w:top w:w="0" w:type="dxa"/>
              <w:right w:w="0" w:type="dxa"/>
              <w:bottom w:w="0" w:type="dxa"/>
            </w:tcMar>
            <w:tcW w:w="61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 Ban công hướng Đông Nam</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55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0" w:type="dxa"/>
              <w:top w:w="0" w:type="dxa"/>
              <w:right w:w="0" w:type="dxa"/>
              <w:bottom w:w="0" w:type="dxa"/>
            </w:tcMar>
            <w:tcW w:w="281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Cấu trúc</w:t>
            </w:r>
            <w:r/>
          </w:p>
        </w:tc>
        <w:tc>
          <w:tcPr>
            <w:tcBorders>
              <w:bottom w:val="single" w:color="000000" w:sz="6" w:space="0"/>
              <w:right w:val="single" w:color="000000" w:sz="6" w:space="0"/>
            </w:tcBorders>
            <w:tcMar>
              <w:left w:w="0" w:type="dxa"/>
              <w:top w:w="0" w:type="dxa"/>
              <w:right w:w="0" w:type="dxa"/>
              <w:bottom w:w="0" w:type="dxa"/>
            </w:tcMar>
            <w:tcW w:w="61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 phòng ngủ, 2 vệ sinh, phòng khách + bếp</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55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0" w:type="dxa"/>
              <w:top w:w="0" w:type="dxa"/>
              <w:right w:w="0" w:type="dxa"/>
              <w:bottom w:w="0" w:type="dxa"/>
            </w:tcMar>
            <w:tcW w:w="281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Nội thất</w:t>
            </w:r>
            <w:r/>
          </w:p>
        </w:tc>
        <w:tc>
          <w:tcPr>
            <w:tcBorders>
              <w:bottom w:val="single" w:color="000000" w:sz="6" w:space="0"/>
              <w:right w:val="single" w:color="000000" w:sz="6" w:space="0"/>
            </w:tcBorders>
            <w:tcMar>
              <w:left w:w="0" w:type="dxa"/>
              <w:top w:w="0" w:type="dxa"/>
              <w:right w:w="0" w:type="dxa"/>
              <w:bottom w:w="0" w:type="dxa"/>
            </w:tcMar>
            <w:tcW w:w="61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Nội thất cơ bản</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55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0" w:type="dxa"/>
              <w:top w:w="0" w:type="dxa"/>
              <w:right w:w="0" w:type="dxa"/>
              <w:bottom w:w="0" w:type="dxa"/>
            </w:tcMar>
            <w:tcW w:w="281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61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55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6" w:space="0"/>
              <w:right w:val="single" w:color="000000" w:sz="6" w:space="0"/>
            </w:tcBorders>
            <w:tcMar>
              <w:left w:w="0" w:type="dxa"/>
              <w:top w:w="0" w:type="dxa"/>
              <w:right w:w="0" w:type="dxa"/>
              <w:bottom w:w="0" w:type="dxa"/>
            </w:tcMar>
            <w:tcW w:w="281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61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55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0" w:type="dxa"/>
              <w:top w:w="0" w:type="dxa"/>
              <w:right w:w="0" w:type="dxa"/>
              <w:bottom w:w="0" w:type="dxa"/>
            </w:tcMar>
            <w:tcW w:w="281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Bằng chứng thu thập</w:t>
            </w:r>
            <w:r/>
          </w:p>
        </w:tc>
        <w:tc>
          <w:tcPr>
            <w:tcBorders>
              <w:bottom w:val="single" w:color="000000" w:sz="6" w:space="0"/>
              <w:right w:val="single" w:color="000000" w:sz="6" w:space="0"/>
            </w:tcBorders>
            <w:tcMar>
              <w:left w:w="0" w:type="dxa"/>
              <w:top w:w="0" w:type="dxa"/>
              <w:right w:w="0" w:type="dxa"/>
              <w:bottom w:w="0" w:type="dxa"/>
            </w:tcMar>
            <w:tcW w:w="61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bl>
    <w:p>
      <w:pPr>
        <w:pBdr/>
        <w:spacing w:after="200" w:line="276" w:lineRule="auto"/>
        <w:ind/>
        <w:rPr>
          <w:b/>
          <w:bCs/>
          <w:lang w:val="pt-BR"/>
        </w:rPr>
      </w:pPr>
      <w:r>
        <w:rPr>
          <w:b/>
          <w:bCs/>
          <w:iCs/>
          <w:highlight w:val="none"/>
          <w:lang w:val="pt-BR"/>
        </w:rPr>
      </w:r>
      <w:r>
        <w:rPr>
          <w:b/>
          <w:bCs/>
          <w:iCs/>
          <w:highlight w:val="none"/>
          <w:lang w:val="pt-BR"/>
        </w:rPr>
        <mc:AlternateContent>
          <mc:Choice Requires="wpg">
            <w:drawing>
              <wp:anchor xmlns:wp="http://schemas.openxmlformats.org/drawingml/2006/wordprocessingDrawing" xmlns:wp14="http://schemas.microsoft.com/office/word/2010/wordprocessingDrawing" distT="0" distB="0" distL="115200" distR="115200" simplePos="0" relativeHeight="251722240" behindDoc="0" locked="0" layoutInCell="1" allowOverlap="1">
                <wp:simplePos x="0" y="0"/>
                <wp:positionH relativeFrom="column">
                  <wp:posOffset>1649065</wp:posOffset>
                </wp:positionH>
                <wp:positionV relativeFrom="paragraph">
                  <wp:posOffset>47247</wp:posOffset>
                </wp:positionV>
                <wp:extent cx="1532625" cy="3405833"/>
                <wp:effectExtent l="0" t="0" r="0" b="0"/>
                <wp:wrapThrough wrapText="bothSides">
                  <wp:wrapPolygon edited="1">
                    <wp:start x="0" y="0"/>
                    <wp:lineTo x="21600" y="0"/>
                    <wp:lineTo x="21600" y="21600"/>
                    <wp:lineTo x="0" y="21600"/>
                  </wp:wrapPolygon>
                </wp:wrapThrough>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472279" name=""/>
                        <pic:cNvPicPr>
                          <a:picLocks noChangeAspect="1"/>
                        </pic:cNvPicPr>
                        <pic:nvPr/>
                      </pic:nvPicPr>
                      <pic:blipFill>
                        <a:blip r:embed="rId26"/>
                        <a:stretch/>
                      </pic:blipFill>
                      <pic:spPr bwMode="auto">
                        <a:xfrm rot="0" flipH="0" flipV="0">
                          <a:off x="0" y="0"/>
                          <a:ext cx="1532624" cy="3405833"/>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position:absolute;z-index:251722240;o:allowoverlap:true;o:allowincell:true;mso-position-horizontal-relative:text;margin-left:129.85pt;mso-position-horizontal:absolute;mso-position-vertical-relative:text;margin-top:3.72pt;mso-position-vertical:absolute;width:120.68pt;height:268.18pt;mso-wrap-distance-left:9.07pt;mso-wrap-distance-top:0.00pt;mso-wrap-distance-right:9.07pt;mso-wrap-distance-bottom:0.00pt;rotation:0;z-index:1;" wrapcoords="0 0 100000 0 100000 100000 0 100000" stroked="false">
                <w10:wrap type="through"/>
                <v:imagedata r:id="rId26" o:title=""/>
                <o:lock v:ext="edit" rotation="t"/>
              </v:shape>
            </w:pict>
          </mc:Fallback>
        </mc:AlternateContent>
      </w:r>
      <w:r>
        <w:rPr>
          <w:b/>
          <w:bCs/>
          <w:iCs/>
          <w:highlight w:val="none"/>
          <w:lang w:val="pt-BR"/>
        </w:rPr>
        <mc:AlternateContent>
          <mc:Choice Requires="wpg">
            <w:drawing>
              <wp:anchor xmlns:wp="http://schemas.openxmlformats.org/drawingml/2006/wordprocessingDrawing" xmlns:wp14="http://schemas.microsoft.com/office/word/2010/wordprocessingDrawing" distT="0" distB="0" distL="115200" distR="115200" simplePos="0" relativeHeight="251723264" behindDoc="0" locked="0" layoutInCell="1" allowOverlap="1">
                <wp:simplePos x="0" y="0"/>
                <wp:positionH relativeFrom="column">
                  <wp:posOffset>0</wp:posOffset>
                </wp:positionH>
                <wp:positionV relativeFrom="paragraph">
                  <wp:posOffset>47247</wp:posOffset>
                </wp:positionV>
                <wp:extent cx="1486014" cy="3302254"/>
                <wp:effectExtent l="0" t="0" r="0" b="0"/>
                <wp:wrapThrough wrapText="bothSides">
                  <wp:wrapPolygon edited="1">
                    <wp:start x="0" y="0"/>
                    <wp:lineTo x="21599" y="0"/>
                    <wp:lineTo x="21599" y="21600"/>
                    <wp:lineTo x="0" y="21600"/>
                  </wp:wrapPolygon>
                </wp:wrapThrough>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44713" name=""/>
                        <pic:cNvPicPr>
                          <a:picLocks noChangeAspect="1"/>
                        </pic:cNvPicPr>
                        <pic:nvPr/>
                      </pic:nvPicPr>
                      <pic:blipFill>
                        <a:blip r:embed="rId27"/>
                        <a:stretch/>
                      </pic:blipFill>
                      <pic:spPr bwMode="auto">
                        <a:xfrm flipH="0" flipV="0">
                          <a:off x="0" y="0"/>
                          <a:ext cx="1486014" cy="3302254"/>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position:absolute;z-index:251723264;o:allowoverlap:true;o:allowincell:true;mso-position-horizontal-relative:text;margin-left:0.00pt;mso-position-horizontal:absolute;mso-position-vertical-relative:text;margin-top:3.72pt;mso-position-vertical:absolute;width:117.01pt;height:260.02pt;mso-wrap-distance-left:9.07pt;mso-wrap-distance-top:0.00pt;mso-wrap-distance-right:9.07pt;mso-wrap-distance-bottom:0.00pt;z-index:1;" wrapcoords="0 0 99995 0 99995 100000 0 100000" stroked="false">
                <w10:wrap type="through"/>
                <v:imagedata r:id="rId27" o:title=""/>
                <o:lock v:ext="edit" rotation="t"/>
              </v:shape>
            </w:pict>
          </mc:Fallback>
        </mc:AlternateContent>
      </w:r>
      <w:r>
        <w:rPr>
          <w:b/>
          <w:bCs/>
          <w:lang w:val="pt-BR"/>
        </w:rPr>
      </w:r>
      <w:r>
        <w:rPr>
          <w:b/>
          <w:bCs/>
          <w:lang w:val="pt-BR"/>
        </w:rPr>
      </w:r>
    </w:p>
    <w:p>
      <w:pPr>
        <w:pBdr/>
        <w:spacing w:after="200" w:line="276" w:lineRule="auto"/>
        <w:ind/>
        <w:rPr>
          <w:b/>
          <w:bCs/>
          <w:highlight w:val="none"/>
          <w:lang w:val="pt-BR"/>
        </w:rPr>
      </w:pPr>
      <w:r>
        <w:rPr>
          <w:b/>
          <w:bCs/>
          <w:iCs/>
          <w:highlight w:val="none"/>
          <w:lang w:val="pt-BR"/>
        </w:rPr>
      </w:r>
      <w:r>
        <w:rPr>
          <w:b/>
          <w:bCs/>
          <w:highlight w:val="none"/>
          <w:lang w:val="pt-BR"/>
        </w:rPr>
      </w:r>
      <w:r>
        <w:rPr>
          <w:b/>
          <w:bCs/>
          <w:highlight w:val="none"/>
          <w:lang w:val="pt-BR"/>
        </w:rPr>
      </w:r>
    </w:p>
    <w:p>
      <w:pPr>
        <w:pBdr/>
        <w:spacing w:after="200" w:line="276" w:lineRule="auto"/>
        <w:ind/>
        <w:rPr>
          <w:b/>
          <w:bCs/>
          <w:highlight w:val="none"/>
          <w:lang w:val="pt-BR"/>
        </w:rPr>
      </w:pPr>
      <w:r>
        <w:rPr>
          <w:b/>
          <w:bCs/>
          <w:iCs/>
          <w:highlight w:val="none"/>
          <w:lang w:val="pt-BR"/>
        </w:rPr>
      </w:r>
      <w:r>
        <w:rPr>
          <w:b/>
          <w:bCs/>
          <w:highlight w:val="none"/>
          <w:lang w:val="pt-BR"/>
        </w:rPr>
      </w:r>
      <w:r>
        <w:rPr>
          <w:b/>
          <w:bCs/>
          <w:highlight w:val="none"/>
          <w:lang w:val="pt-BR"/>
        </w:rPr>
      </w:r>
    </w:p>
    <w:p>
      <w:pPr>
        <w:pBdr/>
        <w:spacing w:after="200" w:line="276" w:lineRule="auto"/>
        <w:ind/>
        <w:rPr>
          <w:b/>
          <w:bCs/>
          <w:highlight w:val="none"/>
          <w:lang w:val="pt-BR"/>
        </w:rPr>
      </w:pPr>
      <w:r>
        <w:rPr>
          <w:b/>
          <w:bCs/>
          <w:iCs/>
          <w:highlight w:val="none"/>
          <w:lang w:val="pt-BR"/>
        </w:rPr>
      </w:r>
      <w:r>
        <w:rPr>
          <w:b/>
          <w:bCs/>
          <w:highlight w:val="none"/>
          <w:lang w:val="pt-BR"/>
        </w:rPr>
      </w:r>
      <w:r>
        <w:rPr>
          <w:b/>
          <w:bCs/>
          <w:highlight w:val="none"/>
          <w:lang w:val="pt-BR"/>
        </w:rPr>
      </w:r>
    </w:p>
    <w:p>
      <w:pPr>
        <w:pBdr/>
        <w:spacing w:after="200" w:line="276" w:lineRule="auto"/>
        <w:ind/>
        <w:rPr>
          <w:b/>
          <w:bCs/>
          <w:highlight w:val="none"/>
          <w:lang w:val="pt-BR"/>
        </w:rPr>
      </w:pPr>
      <w:r>
        <w:rPr>
          <w:b/>
          <w:bCs/>
          <w:iCs/>
          <w:highlight w:val="none"/>
          <w:lang w:val="pt-BR"/>
        </w:rPr>
      </w:r>
      <w:r>
        <w:rPr>
          <w:b/>
          <w:bCs/>
          <w:highlight w:val="none"/>
          <w:lang w:val="pt-BR"/>
        </w:rPr>
      </w:r>
      <w:r>
        <w:rPr>
          <w:b/>
          <w:bCs/>
          <w:highlight w:val="none"/>
          <w:lang w:val="pt-BR"/>
        </w:rPr>
      </w:r>
    </w:p>
    <w:p>
      <w:pPr>
        <w:pBdr/>
        <w:spacing w:after="200" w:line="276" w:lineRule="auto"/>
        <w:ind/>
        <w:rPr>
          <w:b/>
          <w:bCs/>
          <w:highlight w:val="none"/>
          <w:lang w:val="pt-BR"/>
        </w:rPr>
      </w:pPr>
      <w:r>
        <w:rPr>
          <w:b/>
          <w:bCs/>
          <w:iCs/>
          <w:highlight w:val="none"/>
          <w:lang w:val="pt-BR"/>
        </w:rPr>
      </w:r>
      <w:r>
        <w:rPr>
          <w:b/>
          <w:bCs/>
          <w:highlight w:val="none"/>
          <w:lang w:val="pt-BR"/>
        </w:rPr>
      </w:r>
      <w:r>
        <w:rPr>
          <w:b/>
          <w:bCs/>
          <w:highlight w:val="none"/>
          <w:lang w:val="pt-BR"/>
        </w:rPr>
      </w:r>
    </w:p>
    <w:p>
      <w:pPr>
        <w:pBdr/>
        <w:spacing w:after="200" w:line="276" w:lineRule="auto"/>
        <w:ind/>
        <w:rPr>
          <w:b/>
          <w:bCs/>
          <w:highlight w:val="none"/>
          <w:lang w:val="pt-BR"/>
        </w:rPr>
      </w:pPr>
      <w:r>
        <w:rPr>
          <w:b/>
          <w:bCs/>
          <w:iCs/>
          <w:highlight w:val="none"/>
          <w:lang w:val="pt-BR"/>
        </w:rPr>
      </w:r>
      <w:r>
        <w:rPr>
          <w:b/>
          <w:bCs/>
          <w:highlight w:val="none"/>
          <w:lang w:val="pt-BR"/>
        </w:rPr>
      </w:r>
      <w:r>
        <w:rPr>
          <w:b/>
          <w:bCs/>
          <w:highlight w:val="none"/>
          <w:lang w:val="pt-BR"/>
        </w:rPr>
      </w:r>
    </w:p>
    <w:p>
      <w:pPr>
        <w:pBdr/>
        <w:spacing w:after="200" w:line="276" w:lineRule="auto"/>
        <w:ind/>
        <w:rPr>
          <w:b/>
          <w:bCs/>
          <w:highlight w:val="none"/>
          <w:lang w:val="pt-BR"/>
        </w:rPr>
      </w:pPr>
      <w:r>
        <w:rPr>
          <w:b/>
          <w:bCs/>
          <w:iCs/>
          <w:highlight w:val="none"/>
          <w:lang w:val="pt-BR"/>
        </w:rPr>
      </w:r>
      <w:r>
        <w:rPr>
          <w:b/>
          <w:bCs/>
          <w:highlight w:val="none"/>
          <w:lang w:val="pt-BR"/>
        </w:rPr>
      </w:r>
      <w:r>
        <w:rPr>
          <w:b/>
          <w:bCs/>
          <w:highlight w:val="none"/>
          <w:lang w:val="pt-BR"/>
        </w:rPr>
      </w:r>
    </w:p>
    <w:p>
      <w:pPr>
        <w:pBdr/>
        <w:spacing w:after="200" w:line="276" w:lineRule="auto"/>
        <w:ind/>
        <w:rPr>
          <w:b/>
          <w:bCs/>
          <w:highlight w:val="none"/>
          <w:lang w:val="pt-BR"/>
        </w:rPr>
      </w:pPr>
      <w:r>
        <w:rPr>
          <w:b/>
          <w:bCs/>
          <w:iCs/>
          <w:highlight w:val="none"/>
          <w:lang w:val="pt-BR"/>
        </w:rPr>
      </w:r>
      <w:r>
        <w:rPr>
          <w:b/>
          <w:bCs/>
          <w:highlight w:val="none"/>
          <w:lang w:val="pt-BR"/>
        </w:rPr>
      </w:r>
      <w:r>
        <w:rPr>
          <w:b/>
          <w:bCs/>
          <w:highlight w:val="none"/>
          <w:lang w:val="pt-BR"/>
        </w:rPr>
      </w:r>
    </w:p>
    <w:p>
      <w:pPr>
        <w:pBdr/>
        <w:spacing w:after="200" w:line="276" w:lineRule="auto"/>
        <w:ind/>
        <w:rPr>
          <w:b/>
          <w:bCs/>
          <w:highlight w:val="none"/>
          <w:lang w:val="pt-BR"/>
        </w:rPr>
      </w:pPr>
      <w:r>
        <w:rPr>
          <w:b/>
          <w:bCs/>
          <w:iCs/>
          <w:highlight w:val="none"/>
          <w:lang w:val="pt-BR"/>
        </w:rPr>
      </w:r>
      <w:r>
        <w:rPr>
          <w:b/>
          <w:bCs/>
          <w:highlight w:val="none"/>
          <w:lang w:val="pt-BR"/>
        </w:rPr>
      </w:r>
      <w:r>
        <w:rPr>
          <w:b/>
          <w:bCs/>
          <w:highlight w:val="none"/>
          <w:lang w:val="pt-BR"/>
        </w:rPr>
      </w:r>
    </w:p>
    <w:p>
      <w:pPr>
        <w:pBdr/>
        <w:spacing w:after="200" w:line="276" w:lineRule="auto"/>
        <w:ind/>
        <w:rPr>
          <w:b/>
          <w:bCs/>
          <w:highlight w:val="none"/>
          <w:lang w:val="pt-BR"/>
        </w:rPr>
      </w:pPr>
      <w:r>
        <w:rPr>
          <w:b/>
          <w:bCs/>
          <w:iCs/>
          <w:highlight w:val="none"/>
          <w:lang w:val="pt-BR"/>
        </w:rPr>
      </w:r>
      <w:r>
        <w:rPr>
          <w:b/>
          <w:bCs/>
          <w:highlight w:val="none"/>
          <w:lang w:val="pt-BR"/>
        </w:rPr>
      </w:r>
      <w:r>
        <w:rPr>
          <w:b/>
          <w:bCs/>
          <w:highlight w:val="none"/>
          <w:lang w:val="pt-BR"/>
        </w:rPr>
      </w:r>
    </w:p>
    <w:p>
      <w:pPr>
        <w:pBdr/>
        <w:spacing w:after="200" w:line="276" w:lineRule="auto"/>
        <w:ind/>
        <w:rPr>
          <w:b/>
          <w:bCs/>
          <w:iCs/>
          <w:lang w:val="pt-BR"/>
        </w:rPr>
      </w:pPr>
      <w:r>
        <w:rPr>
          <w:b/>
          <w:bCs/>
          <w:iCs/>
          <w:lang w:val="pt-BR"/>
        </w:rPr>
        <w:t xml:space="preserve">                                                                                           Người thu thập thông tin</w:t>
      </w:r>
      <w:r>
        <w:rPr>
          <w:b/>
          <w:bCs/>
          <w:iCs/>
          <w:lang w:val="pt-BR"/>
        </w:rPr>
      </w:r>
      <w:r>
        <w:rPr>
          <w:b/>
          <w:bCs/>
          <w:iCs/>
          <w:lang w:val="pt-BR"/>
        </w:rPr>
      </w:r>
    </w:p>
    <w:p>
      <w:pPr>
        <w:pBdr/>
        <w:spacing w:after="200" w:line="276" w:lineRule="auto"/>
        <w:ind/>
        <w:rPr>
          <w:b/>
          <w:bCs/>
          <w:highlight w:val="none"/>
          <w:lang w:val="pt-BR"/>
        </w:rPr>
      </w:pPr>
      <w:r>
        <w:rPr>
          <w:b/>
          <w:bCs/>
          <w:iCs/>
          <w:highlight w:val="none"/>
          <w:lang w:val="pt-BR"/>
        </w:rPr>
      </w:r>
      <w:r>
        <w:rPr>
          <w:b/>
          <w:bCs/>
          <w:highlight w:val="none"/>
          <w:lang w:val="pt-BR"/>
        </w:rPr>
      </w:r>
      <w:r>
        <w:rPr>
          <w:b/>
          <w:bCs/>
          <w:highlight w:val="none"/>
          <w:lang w:val="pt-BR"/>
        </w:rPr>
      </w:r>
    </w:p>
    <w:p>
      <w:pPr>
        <w:pBdr/>
        <w:spacing w:after="200" w:line="276" w:lineRule="auto"/>
        <w:ind/>
        <w:rPr>
          <w:b/>
          <w:bCs/>
          <w:highlight w:val="none"/>
          <w:lang w:val="pt-BR"/>
        </w:rPr>
      </w:pPr>
      <w:r>
        <w:rPr>
          <w:b/>
          <w:bCs/>
          <w:iCs/>
          <w:highlight w:val="none"/>
          <w:lang w:val="pt-BR"/>
        </w:rPr>
      </w:r>
      <w:r>
        <w:rPr>
          <w:b/>
          <w:bCs/>
          <w:highlight w:val="none"/>
          <w:lang w:val="pt-BR"/>
        </w:rPr>
      </w:r>
      <w:r>
        <w:rPr>
          <w:b/>
          <w:bCs/>
          <w:highlight w:val="none"/>
          <w:lang w:val="pt-BR"/>
        </w:rPr>
      </w:r>
    </w:p>
    <w:p>
      <w:pPr>
        <w:pBdr/>
        <w:spacing w:after="200" w:line="276" w:lineRule="auto"/>
        <w:ind/>
        <w:rPr>
          <w:b/>
          <w:bCs/>
          <w:highlight w:val="none"/>
          <w:lang w:val="pt-BR"/>
        </w:rPr>
      </w:pPr>
      <w:r>
        <w:rPr>
          <w:b/>
          <w:bCs/>
          <w:iCs/>
          <w:lang w:val="pt-BR"/>
        </w:rPr>
        <w:t xml:space="preserve">                                                                                                </w:t>
      </w:r>
      <w:r>
        <w:rPr>
          <w:b w:val="0"/>
          <w:bCs w:val="0"/>
          <w:iCs/>
          <w:lang w:val="pt-BR"/>
        </w:rPr>
        <w:t xml:space="preserve">  Phạm Thị Dung</w:t>
      </w:r>
      <w:r>
        <w:rPr>
          <w:iCs/>
          <w:lang w:val="pt-BR"/>
        </w:rPr>
        <w:br w:type="page" w:clear="all"/>
      </w:r>
      <w:r>
        <w:rPr>
          <w:b/>
          <w:bCs/>
          <w:highlight w:val="none"/>
          <w:lang w:val="pt-BR"/>
        </w:rPr>
      </w:r>
      <w:r>
        <w:rPr>
          <w:b/>
          <w:bCs/>
          <w:highlight w:val="none"/>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13"/>
        <w:gridCol w:w="3096"/>
        <w:gridCol w:w="6781"/>
      </w:tblGrid>
      <w:tr>
        <w:trPr>
          <w:trHeight w:val="280"/>
        </w:trPr>
        <w:tc>
          <w:tcPr>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61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3096"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6781"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560"/>
        </w:trPr>
        <w:tc>
          <w:tcPr>
            <w:tcBorders>
              <w:left w:val="single" w:color="000000" w:sz="6" w:space="0"/>
              <w:bottom w:val="single" w:color="000000" w:sz="6" w:space="0"/>
              <w:right w:val="single" w:color="000000" w:sz="6" w:space="0"/>
            </w:tcBorders>
            <w:tcMar>
              <w:left w:w="15" w:type="dxa"/>
              <w:top w:w="15" w:type="dxa"/>
              <w:right w:w="15" w:type="dxa"/>
              <w:bottom w:w="0" w:type="dxa"/>
            </w:tcMar>
            <w:tcW w:w="6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15" w:type="dxa"/>
              <w:top w:w="15" w:type="dxa"/>
              <w:right w:w="15" w:type="dxa"/>
              <w:bottom w:w="0" w:type="dxa"/>
            </w:tcMar>
            <w:tcW w:w="309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15" w:type="dxa"/>
              <w:top w:w="15" w:type="dxa"/>
              <w:right w:w="15" w:type="dxa"/>
              <w:bottom w:w="0" w:type="dxa"/>
            </w:tcMar>
            <w:tcW w:w="67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 - SĐT: 0968595797</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6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15" w:type="dxa"/>
              <w:top w:w="15" w:type="dxa"/>
              <w:right w:w="15" w:type="dxa"/>
              <w:bottom w:w="0" w:type="dxa"/>
            </w:tcMar>
            <w:tcW w:w="309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15" w:type="dxa"/>
              <w:top w:w="15" w:type="dxa"/>
              <w:right w:w="15" w:type="dxa"/>
              <w:bottom w:w="0" w:type="dxa"/>
            </w:tcMar>
            <w:tcW w:w="67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5.750.000.000</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6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15" w:type="dxa"/>
              <w:top w:w="15" w:type="dxa"/>
              <w:right w:w="15" w:type="dxa"/>
              <w:bottom w:w="0" w:type="dxa"/>
            </w:tcMar>
            <w:tcW w:w="309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tcBorders>
              <w:bottom w:val="single" w:color="000000" w:sz="6" w:space="0"/>
              <w:right w:val="single" w:color="000000" w:sz="6" w:space="0"/>
            </w:tcBorders>
            <w:tcMar>
              <w:left w:w="15" w:type="dxa"/>
              <w:top w:w="15" w:type="dxa"/>
              <w:right w:w="15" w:type="dxa"/>
              <w:bottom w:w="0" w:type="dxa"/>
            </w:tcMar>
            <w:tcW w:w="67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5.175.000.000</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6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15" w:type="dxa"/>
              <w:top w:w="15" w:type="dxa"/>
              <w:right w:w="15" w:type="dxa"/>
              <w:bottom w:w="0" w:type="dxa"/>
            </w:tcMar>
            <w:tcW w:w="309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15" w:type="dxa"/>
              <w:top w:w="15" w:type="dxa"/>
              <w:right w:w="15" w:type="dxa"/>
              <w:bottom w:w="0" w:type="dxa"/>
            </w:tcMar>
            <w:tcW w:w="67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6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15" w:type="dxa"/>
              <w:top w:w="15" w:type="dxa"/>
              <w:right w:w="15" w:type="dxa"/>
              <w:bottom w:w="0" w:type="dxa"/>
            </w:tcMar>
            <w:tcW w:w="309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15" w:type="dxa"/>
              <w:top w:w="15" w:type="dxa"/>
              <w:right w:w="15" w:type="dxa"/>
              <w:bottom w:w="0" w:type="dxa"/>
            </w:tcMar>
            <w:tcW w:w="67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Tháng 12/2025</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6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15" w:type="dxa"/>
              <w:top w:w="15" w:type="dxa"/>
              <w:right w:w="15" w:type="dxa"/>
              <w:bottom w:w="0" w:type="dxa"/>
            </w:tcMar>
            <w:tcW w:w="309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15" w:type="dxa"/>
              <w:top w:w="15" w:type="dxa"/>
              <w:right w:w="15" w:type="dxa"/>
              <w:bottom w:w="0" w:type="dxa"/>
            </w:tcMar>
            <w:tcW w:w="67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560"/>
        </w:trPr>
        <w:tc>
          <w:tcPr>
            <w:tcBorders>
              <w:left w:val="single" w:color="000000" w:sz="6" w:space="0"/>
              <w:bottom w:val="single" w:color="000000" w:sz="6" w:space="0"/>
              <w:right w:val="single" w:color="000000" w:sz="6" w:space="0"/>
            </w:tcBorders>
            <w:tcMar>
              <w:left w:w="15" w:type="dxa"/>
              <w:top w:w="15" w:type="dxa"/>
              <w:right w:w="15" w:type="dxa"/>
              <w:bottom w:w="0" w:type="dxa"/>
            </w:tcMar>
            <w:tcW w:w="6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15" w:type="dxa"/>
              <w:top w:w="15" w:type="dxa"/>
              <w:right w:w="15" w:type="dxa"/>
              <w:bottom w:w="0" w:type="dxa"/>
            </w:tcMar>
            <w:tcW w:w="309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15" w:type="dxa"/>
              <w:top w:w="15" w:type="dxa"/>
              <w:right w:w="15" w:type="dxa"/>
              <w:bottom w:w="0" w:type="dxa"/>
            </w:tcMar>
            <w:tcW w:w="67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Giấy chứng nhận Quyền sử dụng đất quyền sở hữu nhà ở và tài sản khác gắn liền với đất</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6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15" w:type="dxa"/>
              <w:top w:w="15" w:type="dxa"/>
              <w:right w:w="15" w:type="dxa"/>
              <w:bottom w:w="0" w:type="dxa"/>
            </w:tcMar>
            <w:tcW w:w="309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tcBorders>
              <w:bottom w:val="single" w:color="000000" w:sz="6" w:space="0"/>
              <w:right w:val="single" w:color="000000" w:sz="6" w:space="0"/>
            </w:tcBorders>
            <w:tcMar>
              <w:left w:w="15" w:type="dxa"/>
              <w:top w:w="15" w:type="dxa"/>
              <w:right w:w="15" w:type="dxa"/>
              <w:bottom w:w="0" w:type="dxa"/>
            </w:tcMar>
            <w:tcW w:w="67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6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15" w:type="dxa"/>
              <w:top w:w="15" w:type="dxa"/>
              <w:right w:w="15" w:type="dxa"/>
              <w:bottom w:w="0" w:type="dxa"/>
            </w:tcMar>
            <w:tcW w:w="309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15" w:type="dxa"/>
              <w:top w:w="15" w:type="dxa"/>
              <w:right w:w="15" w:type="dxa"/>
              <w:bottom w:w="0" w:type="dxa"/>
            </w:tcMar>
            <w:tcW w:w="67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là căn hộ tại toà nhà CT1 chung cư The Pride, phường La Khê, Quận Hà Đông, Thành phố Hà Nội</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6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15" w:type="dxa"/>
              <w:top w:w="15" w:type="dxa"/>
              <w:right w:w="15" w:type="dxa"/>
              <w:bottom w:w="0" w:type="dxa"/>
            </w:tcMar>
            <w:tcW w:w="309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sàn (m²)</w:t>
            </w:r>
            <w:r/>
          </w:p>
        </w:tc>
        <w:tc>
          <w:tcPr>
            <w:tcBorders>
              <w:bottom w:val="single" w:color="000000" w:sz="6" w:space="0"/>
              <w:right w:val="single" w:color="000000" w:sz="6" w:space="0"/>
            </w:tcBorders>
            <w:tcMar>
              <w:left w:w="15" w:type="dxa"/>
              <w:top w:w="15" w:type="dxa"/>
              <w:right w:w="15" w:type="dxa"/>
              <w:bottom w:w="0" w:type="dxa"/>
            </w:tcMar>
            <w:tcW w:w="67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75</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6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15" w:type="dxa"/>
              <w:top w:w="15" w:type="dxa"/>
              <w:right w:w="15" w:type="dxa"/>
              <w:bottom w:w="0" w:type="dxa"/>
            </w:tcMar>
            <w:tcW w:w="309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tiếp giáp</w:t>
            </w:r>
            <w:r/>
          </w:p>
        </w:tc>
        <w:tc>
          <w:tcPr>
            <w:tcBorders>
              <w:bottom w:val="single" w:color="000000" w:sz="6" w:space="0"/>
              <w:right w:val="single" w:color="000000" w:sz="6" w:space="0"/>
            </w:tcBorders>
            <w:tcMar>
              <w:left w:w="15" w:type="dxa"/>
              <w:top w:w="15" w:type="dxa"/>
              <w:right w:w="15" w:type="dxa"/>
              <w:bottom w:w="0" w:type="dxa"/>
            </w:tcMar>
            <w:tcW w:w="67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góc</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6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15" w:type="dxa"/>
              <w:top w:w="15" w:type="dxa"/>
              <w:right w:w="15" w:type="dxa"/>
              <w:bottom w:w="0" w:type="dxa"/>
            </w:tcMar>
            <w:tcW w:w="309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Tầng</w:t>
            </w:r>
            <w:r/>
          </w:p>
        </w:tc>
        <w:tc>
          <w:tcPr>
            <w:tcBorders>
              <w:bottom w:val="single" w:color="000000" w:sz="6" w:space="0"/>
              <w:right w:val="single" w:color="000000" w:sz="6" w:space="0"/>
            </w:tcBorders>
            <w:tcMar>
              <w:left w:w="15" w:type="dxa"/>
              <w:top w:w="15" w:type="dxa"/>
              <w:right w:w="15" w:type="dxa"/>
              <w:bottom w:w="0" w:type="dxa"/>
            </w:tcMar>
            <w:tcW w:w="67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cao (28/35)</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6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15" w:type="dxa"/>
              <w:top w:w="15" w:type="dxa"/>
              <w:right w:w="15" w:type="dxa"/>
              <w:bottom w:w="0" w:type="dxa"/>
            </w:tcMar>
            <w:tcW w:w="309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Hướng ban công</w:t>
            </w:r>
            <w:r/>
          </w:p>
        </w:tc>
        <w:tc>
          <w:tcPr>
            <w:tcBorders>
              <w:bottom w:val="single" w:color="000000" w:sz="6" w:space="0"/>
              <w:right w:val="single" w:color="000000" w:sz="6" w:space="0"/>
            </w:tcBorders>
            <w:tcMar>
              <w:left w:w="15" w:type="dxa"/>
              <w:top w:w="15" w:type="dxa"/>
              <w:right w:w="15" w:type="dxa"/>
              <w:bottom w:w="0" w:type="dxa"/>
            </w:tcMar>
            <w:tcW w:w="67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 Ban công hướng Tây Nam</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6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15" w:type="dxa"/>
              <w:top w:w="15" w:type="dxa"/>
              <w:right w:w="15" w:type="dxa"/>
              <w:bottom w:w="0" w:type="dxa"/>
            </w:tcMar>
            <w:tcW w:w="309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Cấu trúc</w:t>
            </w:r>
            <w:r/>
          </w:p>
        </w:tc>
        <w:tc>
          <w:tcPr>
            <w:tcBorders>
              <w:bottom w:val="single" w:color="000000" w:sz="6" w:space="0"/>
              <w:right w:val="single" w:color="000000" w:sz="6" w:space="0"/>
            </w:tcBorders>
            <w:tcMar>
              <w:left w:w="15" w:type="dxa"/>
              <w:top w:w="15" w:type="dxa"/>
              <w:right w:w="15" w:type="dxa"/>
              <w:bottom w:w="0" w:type="dxa"/>
            </w:tcMar>
            <w:tcW w:w="67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 phòng ngủ, 2 vệ sinh, phòng khách + bếp</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6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15" w:type="dxa"/>
              <w:top w:w="15" w:type="dxa"/>
              <w:right w:w="15" w:type="dxa"/>
              <w:bottom w:w="0" w:type="dxa"/>
            </w:tcMar>
            <w:tcW w:w="309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Nội thất</w:t>
            </w:r>
            <w:r/>
          </w:p>
        </w:tc>
        <w:tc>
          <w:tcPr>
            <w:tcBorders>
              <w:bottom w:val="single" w:color="000000" w:sz="6" w:space="0"/>
              <w:right w:val="single" w:color="000000" w:sz="6" w:space="0"/>
            </w:tcBorders>
            <w:tcMar>
              <w:left w:w="15" w:type="dxa"/>
              <w:top w:w="15" w:type="dxa"/>
              <w:right w:w="15" w:type="dxa"/>
              <w:bottom w:w="0" w:type="dxa"/>
            </w:tcMar>
            <w:tcW w:w="67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Nội thất cơ bản</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6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15" w:type="dxa"/>
              <w:top w:w="15" w:type="dxa"/>
              <w:right w:w="15" w:type="dxa"/>
              <w:bottom w:w="0" w:type="dxa"/>
            </w:tcMar>
            <w:tcW w:w="309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15" w:type="dxa"/>
              <w:top w:w="15" w:type="dxa"/>
              <w:right w:w="15" w:type="dxa"/>
              <w:bottom w:w="0" w:type="dxa"/>
            </w:tcMar>
            <w:tcW w:w="67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6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6" w:space="0"/>
              <w:right w:val="single" w:color="000000" w:sz="6" w:space="0"/>
            </w:tcBorders>
            <w:tcMar>
              <w:left w:w="15" w:type="dxa"/>
              <w:top w:w="15" w:type="dxa"/>
              <w:right w:w="15" w:type="dxa"/>
              <w:bottom w:w="0" w:type="dxa"/>
            </w:tcMar>
            <w:tcW w:w="309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6" w:space="0"/>
              <w:right w:val="single" w:color="000000" w:sz="6" w:space="0"/>
            </w:tcBorders>
            <w:tcMar>
              <w:left w:w="15" w:type="dxa"/>
              <w:top w:w="15" w:type="dxa"/>
              <w:right w:w="15" w:type="dxa"/>
              <w:bottom w:w="0" w:type="dxa"/>
            </w:tcMar>
            <w:tcW w:w="67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61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15" w:type="dxa"/>
              <w:top w:w="15" w:type="dxa"/>
              <w:right w:w="15" w:type="dxa"/>
              <w:bottom w:w="0" w:type="dxa"/>
            </w:tcMar>
            <w:tcW w:w="3096"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Bằng chứng thu thập</w:t>
            </w:r>
            <w:r/>
          </w:p>
        </w:tc>
        <w:tc>
          <w:tcPr>
            <w:tcBorders>
              <w:bottom w:val="single" w:color="000000" w:sz="6" w:space="0"/>
              <w:right w:val="single" w:color="000000" w:sz="6" w:space="0"/>
            </w:tcBorders>
            <w:tcMar>
              <w:left w:w="15" w:type="dxa"/>
              <w:top w:w="15" w:type="dxa"/>
              <w:right w:w="15" w:type="dxa"/>
              <w:bottom w:w="0" w:type="dxa"/>
            </w:tcMar>
            <w:tcW w:w="67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bl>
    <w:p>
      <w:pPr>
        <w:pBdr/>
        <w:spacing w:after="200" w:line="276" w:lineRule="auto"/>
        <w:ind/>
        <w:jc w:val="center"/>
        <w:rPr>
          <w:lang w:val="pt-BR"/>
        </w:rPr>
      </w:pPr>
      <w:r>
        <w:rPr>
          <w:iCs/>
          <w:highlight w:val="none"/>
          <w:lang w:val="pt-BR"/>
        </w:rPr>
      </w:r>
      <w:r>
        <mc:AlternateContent>
          <mc:Choice Requires="wpg">
            <w:drawing>
              <wp:anchor xmlns:wp="http://schemas.openxmlformats.org/drawingml/2006/wordprocessingDrawing" xmlns:wp14="http://schemas.microsoft.com/office/word/2010/wordprocessingDrawing" distT="0" distB="0" distL="115200" distR="115200" simplePos="0" relativeHeight="251743744" behindDoc="0" locked="0" layoutInCell="1" allowOverlap="1">
                <wp:simplePos x="0" y="0"/>
                <wp:positionH relativeFrom="column">
                  <wp:posOffset>1652245</wp:posOffset>
                </wp:positionH>
                <wp:positionV relativeFrom="paragraph">
                  <wp:posOffset>166607</wp:posOffset>
                </wp:positionV>
                <wp:extent cx="1784422" cy="1865269"/>
                <wp:effectExtent l="0" t="0" r="0" b="0"/>
                <wp:wrapThrough wrapText="bothSides">
                  <wp:wrapPolygon edited="1">
                    <wp:start x="0" y="0"/>
                    <wp:lineTo x="21600" y="0"/>
                    <wp:lineTo x="21600" y="21600"/>
                    <wp:lineTo x="0" y="21600"/>
                  </wp:wrapPolygon>
                </wp:wrapThrough>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179676" name=""/>
                        <pic:cNvPicPr>
                          <a:picLocks noChangeAspect="1"/>
                        </pic:cNvPicPr>
                        <pic:nvPr/>
                      </pic:nvPicPr>
                      <pic:blipFill>
                        <a:blip r:embed="rId28"/>
                        <a:stretch/>
                      </pic:blipFill>
                      <pic:spPr bwMode="auto">
                        <a:xfrm flipH="0" flipV="0">
                          <a:off x="0" y="0"/>
                          <a:ext cx="1784422" cy="1865269"/>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position:absolute;z-index:251743744;o:allowoverlap:true;o:allowincell:true;mso-position-horizontal-relative:text;margin-left:130.10pt;mso-position-horizontal:absolute;mso-position-vertical-relative:text;margin-top:13.12pt;mso-position-vertical:absolute;width:140.51pt;height:146.87pt;mso-wrap-distance-left:9.07pt;mso-wrap-distance-top:0.00pt;mso-wrap-distance-right:9.07pt;mso-wrap-distance-bottom:0.00pt;z-index:1;" wrapcoords="0 0 100000 0 100000 100000 0 100000" stroked="false">
                <w10:wrap type="through"/>
                <v:imagedata r:id="rId28" o:title=""/>
                <o:lock v:ext="edit" rotation="t"/>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251740672" behindDoc="0" locked="0" layoutInCell="1" allowOverlap="1">
                <wp:simplePos x="0" y="0"/>
                <wp:positionH relativeFrom="column">
                  <wp:posOffset>0</wp:posOffset>
                </wp:positionH>
                <wp:positionV relativeFrom="paragraph">
                  <wp:posOffset>56827</wp:posOffset>
                </wp:positionV>
                <wp:extent cx="1268487" cy="2818860"/>
                <wp:effectExtent l="0" t="0" r="0" b="0"/>
                <wp:wrapThrough wrapText="bothSides">
                  <wp:wrapPolygon edited="1">
                    <wp:start x="0" y="0"/>
                    <wp:lineTo x="21600" y="0"/>
                    <wp:lineTo x="21600" y="21600"/>
                    <wp:lineTo x="0" y="21600"/>
                  </wp:wrapPolygon>
                </wp:wrapThrough>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699096" name=""/>
                        <pic:cNvPicPr>
                          <a:picLocks noChangeAspect="1"/>
                        </pic:cNvPicPr>
                        <pic:nvPr/>
                      </pic:nvPicPr>
                      <pic:blipFill>
                        <a:blip r:embed="rId29"/>
                        <a:stretch/>
                      </pic:blipFill>
                      <pic:spPr bwMode="auto">
                        <a:xfrm flipH="0" flipV="0">
                          <a:off x="0" y="0"/>
                          <a:ext cx="1268486" cy="2818859"/>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position:absolute;z-index:251740672;o:allowoverlap:true;o:allowincell:true;mso-position-horizontal-relative:text;margin-left:0.00pt;mso-position-horizontal:absolute;mso-position-vertical-relative:text;margin-top:4.47pt;mso-position-vertical:absolute;width:99.88pt;height:221.96pt;mso-wrap-distance-left:9.07pt;mso-wrap-distance-top:0.00pt;mso-wrap-distance-right:9.07pt;mso-wrap-distance-bottom:0.00pt;z-index:1;" wrapcoords="0 0 100000 0 100000 100000 0 100000" stroked="false">
                <w10:wrap type="through"/>
                <v:imagedata r:id="rId29" o:title=""/>
                <o:lock v:ext="edit" rotation="t"/>
              </v:shape>
            </w:pict>
          </mc:Fallback>
        </mc:AlternateContent>
      </w:r>
      <w:r>
        <w:rPr>
          <w:lang w:val="pt-BR"/>
        </w:rPr>
      </w:r>
      <w:r>
        <w:rPr>
          <w:lang w:val="pt-BR"/>
        </w:rPr>
      </w:r>
    </w:p>
    <w:p>
      <w:pPr>
        <w:pBdr/>
        <w:spacing w:after="200" w:line="276" w:lineRule="auto"/>
        <w:ind/>
        <w:jc w:val="center"/>
        <w:rPr>
          <w:highlight w:val="none"/>
          <w:lang w:val="pt-BR"/>
        </w:rPr>
      </w:pPr>
      <w:r>
        <w:rPr>
          <w:iCs/>
          <w:highlight w:val="none"/>
          <w:lang w:val="pt-BR"/>
        </w:rPr>
      </w:r>
      <w:r>
        <w:rPr>
          <w:highlight w:val="none"/>
          <w:lang w:val="pt-BR"/>
        </w:rPr>
      </w:r>
      <w:r>
        <w:rPr>
          <w:highlight w:val="none"/>
          <w:lang w:val="pt-BR"/>
        </w:rPr>
      </w:r>
    </w:p>
    <w:p>
      <w:pPr>
        <w:pBdr/>
        <w:spacing w:after="200" w:line="276" w:lineRule="auto"/>
        <w:ind/>
        <w:jc w:val="center"/>
        <w:rPr>
          <w:highlight w:val="none"/>
          <w:lang w:val="pt-BR"/>
        </w:rPr>
      </w:pPr>
      <w:r>
        <w:rPr>
          <w:iCs/>
          <w:highlight w:val="none"/>
          <w:lang w:val="pt-BR"/>
        </w:rPr>
      </w:r>
      <w:r>
        <w:rPr>
          <w:highlight w:val="none"/>
          <w:lang w:val="pt-BR"/>
        </w:rPr>
      </w:r>
      <w:r>
        <w:rPr>
          <w:highlight w:val="none"/>
          <w:lang w:val="pt-BR"/>
        </w:rPr>
      </w:r>
    </w:p>
    <w:p>
      <w:pPr>
        <w:pBdr/>
        <w:spacing w:after="200" w:line="276" w:lineRule="auto"/>
        <w:ind/>
        <w:jc w:val="center"/>
        <w:rPr>
          <w:highlight w:val="none"/>
          <w:lang w:val="pt-BR"/>
        </w:rPr>
      </w:pPr>
      <w:r>
        <w:rPr>
          <w:iCs/>
          <w:highlight w:val="none"/>
          <w:lang w:val="pt-BR"/>
        </w:rPr>
      </w:r>
      <w:r>
        <w:rPr>
          <w:highlight w:val="none"/>
          <w:lang w:val="pt-BR"/>
        </w:rPr>
      </w:r>
      <w:r>
        <w:rPr>
          <w:highlight w:val="none"/>
          <w:lang w:val="pt-BR"/>
        </w:rPr>
      </w:r>
    </w:p>
    <w:p>
      <w:pPr>
        <w:pBdr/>
        <w:spacing w:after="200" w:line="276" w:lineRule="auto"/>
        <w:ind/>
        <w:jc w:val="left"/>
        <w:rPr>
          <w:highlight w:val="none"/>
          <w:lang w:val="pt-BR"/>
        </w:rPr>
      </w:pPr>
      <w:r>
        <w:rPr>
          <w:iCs/>
          <w:highlight w:val="none"/>
          <w:lang w:val="pt-BR"/>
        </w:rPr>
      </w:r>
      <w:r>
        <w:rPr>
          <w:highlight w:val="none"/>
          <w:lang w:val="pt-BR"/>
        </w:rPr>
      </w:r>
      <w:r>
        <w:rPr>
          <w:highlight w:val="none"/>
          <w:lang w:val="pt-BR"/>
        </w:rPr>
      </w:r>
    </w:p>
    <w:p>
      <w:pPr>
        <w:pBdr/>
        <w:spacing w:after="200" w:line="276" w:lineRule="auto"/>
        <w:ind/>
        <w:jc w:val="left"/>
        <w:rPr>
          <w:highlight w:val="none"/>
          <w:lang w:val="pt-BR"/>
        </w:rPr>
      </w:pPr>
      <w:r>
        <w:rPr>
          <w:iCs/>
          <w:highlight w:val="none"/>
          <w:lang w:val="pt-BR"/>
        </w:rPr>
      </w:r>
      <w:r>
        <w:rPr>
          <w:highlight w:val="none"/>
          <w:lang w:val="pt-BR"/>
        </w:rPr>
      </w:r>
      <w:r>
        <w:rPr>
          <w:highlight w:val="none"/>
          <w:lang w:val="pt-BR"/>
        </w:rPr>
      </w:r>
    </w:p>
    <w:p>
      <w:pPr>
        <w:pBdr/>
        <w:spacing w:after="200" w:line="276" w:lineRule="auto"/>
        <w:ind/>
        <w:jc w:val="left"/>
        <w:rPr>
          <w:highlight w:val="none"/>
          <w:lang w:val="pt-BR"/>
        </w:rPr>
      </w:pPr>
      <w:r>
        <w:rPr>
          <w:iCs/>
          <w:highlight w:val="none"/>
          <w:lang w:val="pt-BR"/>
        </w:rPr>
      </w:r>
      <w:r>
        <w:rPr>
          <w:highlight w:val="none"/>
          <w:lang w:val="pt-BR"/>
        </w:rPr>
      </w:r>
      <w:r>
        <w:rPr>
          <w:highlight w:val="none"/>
          <w:lang w:val="pt-BR"/>
        </w:rPr>
      </w:r>
    </w:p>
    <w:p>
      <w:pPr>
        <w:pBdr/>
        <w:spacing w:after="200" w:line="276" w:lineRule="auto"/>
        <w:ind/>
        <w:jc w:val="left"/>
        <w:rPr>
          <w:highlight w:val="none"/>
          <w:lang w:val="pt-BR"/>
        </w:rPr>
      </w:pPr>
      <w:r>
        <w:rPr>
          <w:iCs/>
          <w:highlight w:val="none"/>
          <w:lang w:val="pt-BR"/>
        </w:rPr>
      </w:r>
      <w:r>
        <w:rPr>
          <w:highlight w:val="none"/>
          <w:lang w:val="pt-BR"/>
        </w:rPr>
      </w:r>
      <w:r>
        <w:rPr>
          <w:highlight w:val="none"/>
          <w:lang w:val="pt-BR"/>
        </w:rPr>
      </w:r>
    </w:p>
    <w:p>
      <w:pPr>
        <w:pBdr/>
        <w:spacing w:after="200" w:line="276" w:lineRule="auto"/>
        <w:ind/>
        <w:jc w:val="left"/>
        <w:rPr>
          <w:iCs/>
          <w:highlight w:val="none"/>
          <w:lang w:val="pt-BR"/>
        </w:rPr>
      </w:pPr>
      <w:r>
        <w:rPr>
          <w:iCs/>
          <w:lang w:val="pt-BR"/>
        </w:rPr>
      </w:r>
      <w:r>
        <w:rPr>
          <w:iCs/>
          <w:highlight w:val="none"/>
          <w:lang w:val="pt-BR"/>
        </w:rPr>
      </w:r>
      <w:r>
        <w:rPr>
          <w:iCs/>
          <w:highlight w:val="none"/>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0"/>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Phạm Thị Dung</w:t>
            </w:r>
            <w:r>
              <w:rPr>
                <w:highlight w:val="none"/>
              </w:rPr>
            </w:r>
            <w:r>
              <w:rPr>
                <w:highlight w:val="none"/>
              </w:rPr>
            </w:r>
          </w:p>
          <w:p>
            <w:pPr>
              <w:pBdr/>
              <w:spacing/>
              <w:ind/>
              <w:jc w:val="left"/>
              <w:rPr/>
            </w:pPr>
            <w:r/>
            <w:r/>
          </w:p>
        </w:tc>
      </w:tr>
    </w:tbl>
    <w:p>
      <w:pPr>
        <w:pBdr/>
        <w:spacing/>
        <w:ind/>
        <w:rPr/>
      </w:pPr>
      <w: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13CB7FE5"/>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
      <w:numFmt w:val="bullet"/>
      <w:pPr>
        <w:pBdr/>
        <w:spacing/>
        <w:ind w:hanging="360" w:left="1440"/>
      </w:pPr>
      <w:rPr>
        <w:rFonts w:hint="default" w:ascii="Symbol" w:hAnsi="Symbol" w:eastAsia="Symbol" w:cs="Symbol"/>
      </w:rPr>
      <w:start w:val="1"/>
      <w:suff w:val="tab"/>
    </w:lvl>
    <w:lvl w:ilvl="2">
      <w:isLgl w:val="false"/>
      <w:lvlJc w:val="left"/>
      <w:lvlText w:val=""/>
      <w:numFmt w:val="bullet"/>
      <w:pPr>
        <w:pBdr/>
        <w:spacing/>
        <w:ind w:hanging="360" w:left="2160"/>
      </w:pPr>
      <w:rPr>
        <w:rFonts w:hint="default" w:ascii="Symbol" w:hAnsi="Symbol" w:eastAsia="Symbol" w:cs="Symbol"/>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
      <w:numFmt w:val="bullet"/>
      <w:pPr>
        <w:pBdr/>
        <w:spacing/>
        <w:ind w:hanging="360" w:left="3600"/>
      </w:pPr>
      <w:rPr>
        <w:rFonts w:hint="default" w:ascii="Symbol" w:hAnsi="Symbol" w:eastAsia="Symbol" w:cs="Symbol"/>
      </w:rPr>
      <w:start w:val="1"/>
      <w:suff w:val="tab"/>
    </w:lvl>
    <w:lvl w:ilvl="5">
      <w:isLgl w:val="false"/>
      <w:lvlJc w:val="left"/>
      <w:lvlText w:val=""/>
      <w:numFmt w:val="bullet"/>
      <w:pPr>
        <w:pBdr/>
        <w:spacing/>
        <w:ind w:hanging="360" w:left="4320"/>
      </w:pPr>
      <w:rPr>
        <w:rFonts w:hint="default" w:ascii="Symbol" w:hAnsi="Symbol" w:eastAsia="Symbol" w:cs="Symbol"/>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
      <w:numFmt w:val="bullet"/>
      <w:pPr>
        <w:pBdr/>
        <w:spacing/>
        <w:ind w:hanging="360" w:left="5760"/>
      </w:pPr>
      <w:rPr>
        <w:rFonts w:hint="default" w:ascii="Symbol" w:hAnsi="Symbol" w:eastAsia="Symbol" w:cs="Symbol"/>
      </w:rPr>
      <w:start w:val="1"/>
      <w:suff w:val="tab"/>
    </w:lvl>
    <w:lvl w:ilvl="8">
      <w:isLgl w:val="false"/>
      <w:lvlJc w:val="left"/>
      <w:lvlText w:val=""/>
      <w:numFmt w:val="bullet"/>
      <w:pPr>
        <w:pBdr/>
        <w:spacing/>
        <w:ind w:hanging="360" w:left="6480"/>
      </w:pPr>
      <w:rPr>
        <w:rFonts w:hint="default" w:ascii="Symbol" w:hAnsi="Symbol" w:eastAsia="Symbol" w:cs="Symbol"/>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a38" w:themeColor="accent2" w:themeTint="97" w:themeShade="95"/>
      </w:rPr>
      <w:pPr>
        <w:pBdr/>
        <w:spacing/>
        <w:ind/>
      </w:pPr>
      <w:tblPr>
        <w:tblBorders/>
      </w:tblPr>
      <w:tcPr>
        <w:tcBorders/>
      </w:tcPr>
    </w:tblStylePr>
    <w:tblStylePr w:type="firstRow">
      <w:rPr>
        <w:b/>
        <w:color w:val="9f3a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a38" w:themeColor="accent2" w:themeTint="97" w:themeShade="95"/>
      </w:rPr>
      <w:pPr>
        <w:pBdr/>
        <w:spacing/>
        <w:ind/>
      </w:pPr>
      <w:tblPr>
        <w:tblBorders/>
      </w:tblPr>
      <w:tcPr>
        <w:tcBorders/>
      </w:tcPr>
    </w:tblStylePr>
    <w:tblStylePr w:type="lastRow">
      <w:rPr>
        <w:b/>
        <w:color w:val="9f3a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32f" w:themeColor="accent3" w:themeTint="FE" w:themeShade="95"/>
      </w:rPr>
      <w:pPr>
        <w:pBdr/>
        <w:spacing/>
        <w:ind/>
      </w:pPr>
      <w:tblPr>
        <w:tblBorders/>
      </w:tblPr>
      <w:tcPr>
        <w:tcBorders/>
      </w:tcPr>
    </w:tblStylePr>
    <w:tblStylePr w:type="firstRow">
      <w:rPr>
        <w:b/>
        <w:color w:val="5c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32f" w:themeColor="accent3" w:themeTint="FE" w:themeShade="95"/>
      </w:rPr>
      <w:pPr>
        <w:pBdr/>
        <w:spacing/>
        <w:ind/>
      </w:pPr>
      <w:tblPr>
        <w:tblBorders/>
      </w:tblPr>
      <w:tcPr>
        <w:tcBorders/>
      </w:tcPr>
    </w:tblStylePr>
    <w:tblStylePr w:type="lastRow">
      <w:rPr>
        <w:b/>
        <w:color w:val="5c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4" w:themeColor="accent4" w:themeTint="9A" w:themeShade="95"/>
      </w:rPr>
      <w:pPr>
        <w:pBdr/>
        <w:spacing/>
        <w:ind/>
      </w:pPr>
      <w:tblPr>
        <w:tblBorders/>
      </w:tblPr>
      <w:tcPr>
        <w:tcBorders/>
      </w:tcPr>
    </w:tblStylePr>
    <w:tblStylePr w:type="firstRow">
      <w:rPr>
        <w:b/>
        <w:color w:val="66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4" w:themeColor="accent4" w:themeTint="9A" w:themeShade="95"/>
      </w:rPr>
      <w:pPr>
        <w:pBdr/>
        <w:spacing/>
        <w:ind/>
      </w:pPr>
      <w:tblPr>
        <w:tblBorders/>
      </w:tblPr>
      <w:tcPr>
        <w:tcBorders/>
      </w:tcPr>
    </w:tblStylePr>
    <w:tblStylePr w:type="lastRow">
      <w:rPr>
        <w:b/>
        <w:color w:val="66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a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a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a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a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a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a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c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a38" w:themeColor="accent2" w:themeTint="97" w:themeShade="95"/>
      </w:rPr>
      <w:pPr>
        <w:pBdr/>
        <w:spacing/>
        <w:ind/>
      </w:pPr>
      <w:tblPr>
        <w:tblBorders/>
      </w:tblPr>
      <w:tcPr>
        <w:tcBorders/>
      </w:tcPr>
    </w:tblStylePr>
    <w:tblStylePr w:type="firstRow">
      <w:rPr>
        <w:b/>
        <w:color w:val="9f3a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a38" w:themeColor="accent2" w:themeTint="97" w:themeShade="95"/>
      </w:rPr>
      <w:pPr>
        <w:pBdr/>
        <w:spacing/>
        <w:ind/>
      </w:pPr>
      <w:tblPr>
        <w:tblBorders/>
      </w:tblPr>
      <w:tcPr>
        <w:tcBorders/>
      </w:tcPr>
    </w:tblStylePr>
    <w:tblStylePr w:type="lastRow">
      <w:rPr>
        <w:b/>
        <w:color w:val="9f3a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93f" w:themeColor="accent3" w:themeTint="98" w:themeShade="95"/>
      </w:rPr>
      <w:pPr>
        <w:pBdr/>
        <w:spacing/>
        <w:ind/>
      </w:pPr>
      <w:tblPr>
        <w:tblBorders/>
      </w:tblPr>
      <w:tcPr>
        <w:tcBorders/>
      </w:tcPr>
    </w:tblStylePr>
    <w:tblStylePr w:type="firstRow">
      <w:rPr>
        <w:b/>
        <w:color w:val="7c99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93f" w:themeColor="accent3" w:themeTint="98" w:themeShade="95"/>
      </w:rPr>
      <w:pPr>
        <w:pBdr/>
        <w:spacing/>
        <w:ind/>
      </w:pPr>
      <w:tblPr>
        <w:tblBorders/>
      </w:tblPr>
      <w:tcPr>
        <w:tcBorders/>
      </w:tcPr>
    </w:tblStylePr>
    <w:tblStylePr w:type="lastRow">
      <w:rPr>
        <w:b/>
        <w:color w:val="7c99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4" w:themeColor="accent4" w:themeTint="9A" w:themeShade="95"/>
      </w:rPr>
      <w:pPr>
        <w:pBdr/>
        <w:spacing/>
        <w:ind/>
      </w:pPr>
      <w:tblPr>
        <w:tblBorders/>
      </w:tblPr>
      <w:tcPr>
        <w:tcBorders/>
      </w:tcPr>
    </w:tblStylePr>
    <w:tblStylePr w:type="firstRow">
      <w:rPr>
        <w:b/>
        <w:color w:val="66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4" w:themeColor="accent4" w:themeTint="9A" w:themeShade="95"/>
      </w:rPr>
      <w:pPr>
        <w:pBdr/>
        <w:spacing/>
        <w:ind/>
      </w:pPr>
      <w:tblPr>
        <w:tblBorders/>
      </w:tblPr>
      <w:tcPr>
        <w:tcBorders/>
      </w:tcPr>
    </w:tblStylePr>
    <w:tblStylePr w:type="lastRow">
      <w:rPr>
        <w:b/>
        <w:color w:val="66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ba3" w:themeColor="accent5" w:themeTint="9A" w:themeShade="95"/>
      </w:rPr>
      <w:pPr>
        <w:pBdr/>
        <w:spacing/>
        <w:ind/>
      </w:pPr>
      <w:tblPr>
        <w:tblBorders/>
      </w:tblPr>
      <w:tcPr>
        <w:tcBorders/>
      </w:tcPr>
    </w:tblStylePr>
    <w:tblStylePr w:type="firstRow">
      <w:rPr>
        <w:b/>
        <w:color w:val="33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38ba3" w:themeColor="accent5" w:themeTint="9A" w:themeShade="95"/>
      </w:rPr>
      <w:pPr>
        <w:pBdr/>
        <w:spacing/>
        <w:ind/>
      </w:pPr>
      <w:tblPr>
        <w:tblBorders/>
      </w:tblPr>
      <w:tcPr>
        <w:tcBorders/>
      </w:tcPr>
    </w:tblStylePr>
    <w:tblStylePr w:type="lastRow">
      <w:rPr>
        <w:b/>
        <w:color w:val="33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80a" w:themeColor="accent6" w:themeTint="98" w:themeShade="95"/>
      </w:rPr>
      <w:pPr>
        <w:pBdr/>
        <w:spacing/>
        <w:ind/>
      </w:pPr>
      <w:tblPr>
        <w:tblBorders/>
      </w:tblPr>
      <w:tcPr>
        <w:tcBorders/>
      </w:tcPr>
    </w:tblStylePr>
    <w:tblStylePr w:type="firstRow">
      <w:rPr>
        <w:b/>
        <w:color w:val="dd68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80a" w:themeColor="accent6" w:themeTint="98" w:themeShade="95"/>
      </w:rPr>
      <w:pPr>
        <w:pBdr/>
        <w:spacing/>
        <w:ind/>
      </w:pPr>
      <w:tblPr>
        <w:tblBorders/>
      </w:tblPr>
      <w:tcPr>
        <w:tcBorders/>
      </w:tcPr>
    </w:tblStylePr>
    <w:tblStylePr w:type="lastRow">
      <w:rPr>
        <w:b/>
        <w:color w:val="dd68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a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a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a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a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a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a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a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9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9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9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9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9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9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9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6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3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8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8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8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8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8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8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8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gif"/><Relationship Id="rId16" Type="http://schemas.openxmlformats.org/officeDocument/2006/relationships/hyperlink" Target="https://batdongsan.com.vn/ban-can-ho-chung-cu-phuong-la-khe-prj-khu-do-thi-van-khe/ban-gap-goc-dep-nhat-ct2-full-noi-that-dt-khung-145m2-3-ngu-nhinh-7-ty-pr44016141" TargetMode="External"/><Relationship Id="rId17" Type="http://schemas.openxmlformats.org/officeDocument/2006/relationships/hyperlink" Target="https://batdongsan.com.vn/ban-can-ho-chung-cu-phuong-la-khe-prj-khu-do-thi-van-khe/ban-gap-goc-dep-nhat-ct2-full-noi-that-dt-khung-145m2-3-ngu-nhinh-7-ty-pr44016141" TargetMode="External"/><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png"/><Relationship Id="rId29" Type="http://schemas.openxmlformats.org/officeDocument/2006/relationships/image" Target="media/image15.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onlyoffice/9.0.4.50</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276</cp:revision>
  <dcterms:created xsi:type="dcterms:W3CDTF">2025-09-15T09:58:00Z</dcterms:created>
  <dcterms:modified xsi:type="dcterms:W3CDTF">2025-12-02T04:45:58Z</dcterms:modified>
</cp:coreProperties>
</file>