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t xml:space="preserve">  </w: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275/2025/1722/VFI-CT.39.A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ĐOÀN NGỌC GIA GIA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w:t>
                            </w:r>
                            <w:r>
                              <w:rPr>
                                <w:b/>
                                <w:bCs/>
                                <w:iCs/>
                              </w:rPr>
                            </w:r>
                            <w:r>
                              <w:rPr>
                                <w:b/>
                                <w:bCs/>
                                <w:iCs/>
                              </w:rPr>
                            </w:r>
                          </w:p>
                          <w:p>
                            <w:pPr>
                              <w:pBdr/>
                              <w:spacing w:after="120" w:before="120" w:line="360" w:lineRule="auto"/>
                              <w:ind/>
                              <w:jc w:val="both"/>
                              <w:rPr>
                                <w:bCs/>
                                <w:i/>
                                <w:highlight w:val="none"/>
                              </w:rPr>
                            </w:pPr>
                            <w:r>
                              <w:rPr>
                                <w:b/>
                                <w:bCs/>
                                <w:color w:val="000000"/>
                              </w:rPr>
                              <w:t xml:space="preserve">Tài sản 1:</w:t>
                            </w:r>
                            <w:r>
                              <w:rPr>
                                <w:color w:val="000000"/>
                              </w:rPr>
                              <w:t xml:space="preserve"> Quyền sử dụng đất tại thửa đất số: 651, tờ bản đồ số 30 có địa chỉ: Khóm Tân An, phường Sa Đéc, tỉnh Đồng Tháp</w:t>
                            </w:r>
                            <w:r>
                              <w:rPr>
                                <w:color w:val="000000"/>
                              </w:rPr>
                              <w:t xml:space="preserve"> theo Giấy chứng nhận quyền sử dụng đất quyền sở hữu nhà ở và tài sản khác gắn liền với đất số: BU 113570, số vào sổ cấp GCN: CH04066 do Ủy ban nhân dân thành phố Sa Đéc cấp ngày 29/07/2014; Chủ sử dụng đất là Ông Phan Văn Lĩnh</w:t>
                            </w:r>
                            <w:r>
                              <w:rPr>
                                <w:bCs/>
                                <w:i/>
                                <w:iCs/>
                              </w:rPr>
                              <w:t xml:space="preserve">.</w:t>
                            </w:r>
                            <w:r>
                              <w:rPr>
                                <w:bCs/>
                                <w:i/>
                                <w:highlight w:val="none"/>
                              </w:rPr>
                            </w:r>
                            <w:r>
                              <w:rPr>
                                <w:bCs/>
                                <w:i/>
                                <w:highlight w:val="none"/>
                              </w:rPr>
                            </w:r>
                          </w:p>
                          <w:p>
                            <w:pPr>
                              <w:pBdr/>
                              <w:spacing w:after="120" w:before="120" w:line="360" w:lineRule="auto"/>
                              <w:ind/>
                              <w:jc w:val="both"/>
                              <w:rPr>
                                <w:bCs w:val="0"/>
                                <w:i w:val="0"/>
                              </w:rPr>
                            </w:pPr>
                            <w:r>
                              <w:rPr>
                                <w:b/>
                                <w:bCs/>
                                <w:i w:val="0"/>
                                <w:iCs w:val="0"/>
                                <w:highlight w:val="none"/>
                              </w:rPr>
                              <w:t xml:space="preserve">Tài sản 2: </w:t>
                            </w:r>
                            <w:r>
                              <w:rPr>
                                <w:color w:val="000000"/>
                              </w:rPr>
                              <w:t xml:space="preserve">Quyền sử dụng đất tại thửa đất số: 616, tờ bản đồ số 30 có địa chỉ: Khóm Tân An, phường Sa Đéc, tỉnh Đồng Tháp</w:t>
                            </w:r>
                            <w:r>
                              <w:rPr>
                                <w:color w:val="000000"/>
                              </w:rPr>
                              <w:t xml:space="preserve"> theo Giấy chứng nhận quyền sử dụng đất quyền sở hữu nhà ở và tài sản khác gắn liền với đất số: BL 359885, số vào sổ cấp GCN: CH02567 do Ủy ban nhân dân thị xã Sa Đéc cấp ngày 03/10/2012; Chủ sử dụng đất là Ông Phan Văn Lĩnh</w:t>
                            </w:r>
                            <w:r>
                              <w:rPr>
                                <w:bCs/>
                                <w:i/>
                                <w:iCs/>
                              </w:rPr>
                              <w:t xml:space="preserve">.</w:t>
                            </w:r>
                            <w:r>
                              <w:rPr>
                                <w:bCs w:val="0"/>
                                <w:i w:val="0"/>
                              </w:rPr>
                            </w:r>
                            <w:r>
                              <w:rPr>
                                <w:bCs w:val="0"/>
                                <w:i w:val="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275/2025/1722/VFI-CT.39.A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ĐOÀN NGỌC GIA GIA</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
                          <w:bCs/>
                          <w:iCs/>
                        </w:rPr>
                      </w:pPr>
                      <w:r>
                        <w:rPr>
                          <w:b/>
                        </w:rPr>
                        <w:t xml:space="preserve">Tài sản thẩm </w:t>
                      </w:r>
                      <w:r>
                        <w:rPr>
                          <w:b/>
                        </w:rPr>
                        <w:t xml:space="preserve">định:</w:t>
                      </w:r>
                      <w:r>
                        <w:rPr>
                          <w:b/>
                          <w:bCs/>
                          <w:iCs/>
                        </w:rPr>
                      </w:r>
                      <w:r>
                        <w:rPr>
                          <w:b/>
                          <w:bCs/>
                          <w:iCs/>
                        </w:rPr>
                      </w:r>
                    </w:p>
                    <w:p>
                      <w:pPr>
                        <w:pBdr/>
                        <w:spacing w:after="120" w:before="120" w:line="360" w:lineRule="auto"/>
                        <w:ind/>
                        <w:jc w:val="both"/>
                        <w:rPr>
                          <w:bCs/>
                          <w:i/>
                          <w:highlight w:val="none"/>
                        </w:rPr>
                      </w:pPr>
                      <w:r>
                        <w:rPr>
                          <w:b/>
                          <w:bCs/>
                          <w:color w:val="000000"/>
                        </w:rPr>
                        <w:t xml:space="preserve">Tài sản 1:</w:t>
                      </w:r>
                      <w:r>
                        <w:rPr>
                          <w:color w:val="000000"/>
                        </w:rPr>
                        <w:t xml:space="preserve"> Quyền sử dụng đất tại thửa đất số: 651, tờ bản đồ số 30 có địa chỉ: Khóm Tân An, phường Sa Đéc, tỉnh Đồng Tháp</w:t>
                      </w:r>
                      <w:r>
                        <w:rPr>
                          <w:color w:val="000000"/>
                        </w:rPr>
                        <w:t xml:space="preserve"> theo Giấy chứng nhận quyền sử dụng đất quyền sở hữu nhà ở và tài sản khác gắn liền với đất số: BU 113570, số vào sổ cấp GCN: CH04066 do Ủy ban nhân dân thành phố Sa Đéc cấp ngày 29/07/2014; Chủ sử dụng đất là Ông Phan Văn Lĩnh</w:t>
                      </w:r>
                      <w:r>
                        <w:rPr>
                          <w:bCs/>
                          <w:i/>
                          <w:iCs/>
                        </w:rPr>
                        <w:t xml:space="preserve">.</w:t>
                      </w:r>
                      <w:r>
                        <w:rPr>
                          <w:bCs/>
                          <w:i/>
                          <w:highlight w:val="none"/>
                        </w:rPr>
                      </w:r>
                      <w:r>
                        <w:rPr>
                          <w:bCs/>
                          <w:i/>
                          <w:highlight w:val="none"/>
                        </w:rPr>
                      </w:r>
                    </w:p>
                    <w:p>
                      <w:pPr>
                        <w:pBdr/>
                        <w:spacing w:after="120" w:before="120" w:line="360" w:lineRule="auto"/>
                        <w:ind/>
                        <w:jc w:val="both"/>
                        <w:rPr>
                          <w:bCs w:val="0"/>
                          <w:i w:val="0"/>
                        </w:rPr>
                      </w:pPr>
                      <w:r>
                        <w:rPr>
                          <w:b/>
                          <w:bCs/>
                          <w:i w:val="0"/>
                          <w:iCs w:val="0"/>
                          <w:highlight w:val="none"/>
                        </w:rPr>
                        <w:t xml:space="preserve">Tài sản 2: </w:t>
                      </w:r>
                      <w:r>
                        <w:rPr>
                          <w:color w:val="000000"/>
                        </w:rPr>
                        <w:t xml:space="preserve">Quyền sử dụng đất tại thửa đất số: 616, tờ bản đồ số 30 có địa chỉ: Khóm Tân An, phường Sa Đéc, tỉnh Đồng Tháp</w:t>
                      </w:r>
                      <w:r>
                        <w:rPr>
                          <w:color w:val="000000"/>
                        </w:rPr>
                        <w:t xml:space="preserve"> theo Giấy chứng nhận quyền sử dụng đất quyền sở hữu nhà ở và tài sản khác gắn liền với đất số: BL 359885, số vào sổ cấp GCN: CH02567 do Ủy ban nhân dân thị xã Sa Đéc cấp ngày 03/10/2012; Chủ sử dụng đất là Ông Phan Văn Lĩnh</w:t>
                      </w:r>
                      <w:r>
                        <w:rPr>
                          <w:bCs/>
                          <w:i/>
                          <w:iCs/>
                        </w:rPr>
                        <w:t xml:space="preserve">.</w:t>
                      </w:r>
                      <w:r>
                        <w:rPr>
                          <w:bCs w:val="0"/>
                          <w:i w:val="0"/>
                        </w:rPr>
                      </w:r>
                      <w:r>
                        <w:rPr>
                          <w:bCs w:val="0"/>
                          <w:i w:val="0"/>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24-25</w:t>
            </w:r>
            <w:r>
              <w:rPr>
                <w:b/>
                <w:bCs/>
              </w:rPr>
            </w:r>
            <w:r>
              <w:rPr>
                <w:b/>
                <w:bCs/>
              </w:rPr>
            </w:r>
          </w:p>
        </w:tc>
      </w:tr>
      <w:tr>
        <w:trPr/>
        <w:tc>
          <w:tcPr>
            <w:tcBorders/>
            <w:tcMar>
              <w:left w:w="108" w:type="dxa"/>
              <w:right w:w="108" w:type="dxa"/>
            </w:tcMar>
            <w:tcW w:w="7280" w:type="dxa"/>
            <w:vAlign w:val="center"/>
            <w:textDirection w:val="lrTb"/>
            <w:noWrap w:val="false"/>
          </w:tcPr>
          <w:p>
            <w:pPr>
              <w:pStyle w:val="1043"/>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26-31</w:t>
            </w:r>
            <w:r>
              <w:rPr>
                <w:b/>
                <w:bCs/>
              </w:rPr>
            </w:r>
            <w:r>
              <w:rPr>
                <w:b/>
                <w:bCs/>
              </w:rPr>
            </w:r>
          </w:p>
        </w:tc>
      </w:tr>
    </w:tbl>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42"/>
              <w:pBdr/>
              <w:spacing w:after="60" w:before="200"/>
              <w:ind/>
              <w:rPr>
                <w:rStyle w:val="1041"/>
                <w:rFonts w:ascii="Times New Roman" w:hAnsi="Times New Roman"/>
                <w:color w:val="auto"/>
                <w:lang w:val="pt-BR"/>
              </w:rPr>
            </w:pPr>
            <w:r>
              <w:rPr>
                <w:rFonts w:ascii="Times New Roman" w:hAnsi="Times New Roman"/>
                <w:color w:val="auto"/>
                <w:lang w:val="pt-BR"/>
              </w:rPr>
            </w:r>
            <w:r>
              <w:rPr>
                <w:rStyle w:val="1041"/>
                <w:rFonts w:ascii="Times New Roman" w:hAnsi="Times New Roman"/>
                <w:color w:val="auto"/>
                <w:lang w:val="pt-BR"/>
              </w:rPr>
            </w:r>
            <w:r>
              <w:rPr>
                <w:rStyle w:val="1041"/>
                <w:rFonts w:ascii="Times New Roman" w:hAnsi="Times New Roman"/>
                <w:color w:val="auto"/>
                <w:lang w:val="pt-BR"/>
              </w:rPr>
            </w:r>
          </w:p>
          <w:p>
            <w:pPr>
              <w:pStyle w:val="1042"/>
              <w:pBdr/>
              <w:spacing w:after="60" w:before="200"/>
              <w:ind/>
              <w:rPr>
                <w:sz w:val="24"/>
                <w:szCs w:val="24"/>
              </w:rPr>
            </w:pPr>
            <w:r>
              <w:rPr>
                <w:rStyle w:val="1041"/>
                <w:rFonts w:ascii="Times New Roman" w:hAnsi="Times New Roman"/>
                <w:color w:val="auto"/>
                <w:lang w:val="pt-BR"/>
              </w:rPr>
              <w:t xml:space="preserve">Số:</w:t>
            </w:r>
            <w:r>
              <w:rPr>
                <w:rStyle w:val="1041"/>
                <w:rFonts w:ascii="Times New Roman" w:hAnsi="Times New Roman"/>
                <w:color w:val="auto"/>
                <w:lang w:val="pt-BR"/>
              </w:rPr>
              <w:t xml:space="preserve"> </w:t>
            </w:r>
            <w:r>
              <w:rPr>
                <w:rStyle w:val="1041"/>
                <w:rFonts w:ascii="Times New Roman" w:hAnsi="Times New Roman"/>
                <w:color w:val="000000" w:themeColor="text1"/>
                <w:lang w:val="pt-BR"/>
              </w:rPr>
              <w:t xml:space="preserve">275/2025/1722/VFI-CT.39.A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42"/>
              <w:pBdr/>
              <w:spacing w:after="60" w:before="200"/>
              <w:ind w:right="-56"/>
              <w:rPr>
                <w:rStyle w:val="1041"/>
                <w:rFonts w:ascii="Times New Roman" w:hAnsi="Times New Roman"/>
                <w:i/>
                <w:color w:val="auto"/>
              </w:rPr>
            </w:pPr>
            <w:r>
              <w:rPr>
                <w:rFonts w:ascii="Times New Roman" w:hAnsi="Times New Roman"/>
                <w:i/>
                <w:color w:val="auto"/>
              </w:rPr>
            </w:r>
            <w:r>
              <w:rPr>
                <w:rStyle w:val="1041"/>
                <w:rFonts w:ascii="Times New Roman" w:hAnsi="Times New Roman"/>
                <w:i/>
                <w:color w:val="auto"/>
              </w:rPr>
            </w:r>
            <w:r>
              <w:rPr>
                <w:rStyle w:val="1041"/>
                <w:rFonts w:ascii="Times New Roman" w:hAnsi="Times New Roman"/>
                <w:i/>
                <w:color w:val="auto"/>
              </w:rPr>
            </w:r>
          </w:p>
          <w:p>
            <w:pPr>
              <w:pStyle w:val="1042"/>
              <w:pBdr/>
              <w:spacing w:after="60" w:before="200"/>
              <w:ind w:right="-56"/>
              <w:jc w:val="right"/>
              <w:rPr>
                <w:sz w:val="24"/>
                <w:szCs w:val="24"/>
                <w:lang w:val="vi-VN"/>
              </w:rPr>
            </w:pPr>
            <w:r>
              <w:rPr>
                <w:rStyle w:val="1041"/>
                <w:rFonts w:ascii="Times New Roman" w:hAnsi="Times New Roman"/>
                <w:i/>
                <w:color w:val="auto"/>
              </w:rPr>
              <w:t xml:space="preserve">TP. </w:t>
            </w:r>
            <w:r>
              <w:rPr>
                <w:rStyle w:val="1041"/>
                <w:rFonts w:ascii="Times New Roman" w:hAnsi="Times New Roman"/>
                <w:i/>
                <w:color w:val="auto"/>
              </w:rPr>
              <w:t xml:space="preserve">Hà Nội</w:t>
            </w:r>
            <w:r>
              <w:rPr>
                <w:rStyle w:val="1041"/>
                <w:rFonts w:ascii="Times New Roman" w:hAnsi="Times New Roman"/>
                <w:i/>
                <w:color w:val="auto"/>
                <w:lang w:val="vi-VN"/>
              </w:rPr>
              <w:t xml:space="preserve">, </w:t>
            </w:r>
            <w:r>
              <w:rPr>
                <w:rStyle w:val="1041"/>
                <w:rFonts w:ascii="Times New Roman" w:hAnsi="Times New Roman"/>
                <w:i/>
                <w:color w:val="000000" w:themeColor="text1"/>
                <w:lang w:val="vi-VN"/>
              </w:rPr>
              <w:t xml:space="preserve">ngày 4 tháng 12 năm 2025</w:t>
            </w:r>
            <w:r>
              <w:rPr>
                <w:rStyle w:val="1041"/>
                <w:rFonts w:ascii="Times New Roman" w:hAnsi="Times New Roman"/>
                <w:i/>
                <w:color w:val="auto"/>
                <w:lang w:val="vi-VN"/>
              </w:rPr>
              <w:t xml:space="preserve">   </w:t>
            </w:r>
            <w:r>
              <w:rPr>
                <w:rStyle w:val="1041"/>
                <w:rFonts w:ascii="Times New Roman" w:hAnsi="Times New Roman"/>
                <w:i/>
                <w:color w:val="auto"/>
                <w:lang w:val="vi-VN"/>
              </w:rPr>
              <w:t xml:space="preserve">  </w:t>
            </w:r>
            <w:r>
              <w:rPr>
                <w:sz w:val="24"/>
                <w:szCs w:val="24"/>
                <w:lang w:val="vi-VN"/>
              </w:rPr>
            </w:r>
            <w:r>
              <w:rPr>
                <w:sz w:val="24"/>
                <w:szCs w:val="24"/>
                <w:lang w:val="vi-VN"/>
              </w:rPr>
            </w:r>
          </w:p>
        </w:tc>
      </w:tr>
    </w:tbl>
    <w:p>
      <w:pPr>
        <w:pStyle w:val="1042"/>
        <w:pBdr/>
        <w:spacing w:after="120" w:before="200" w:line="288" w:lineRule="auto"/>
        <w:ind/>
        <w:jc w:val="center"/>
        <w:rPr>
          <w:rStyle w:val="1041"/>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41"/>
          <w:rFonts w:ascii="Times New Roman" w:hAnsi="Times New Roman"/>
          <w:b/>
          <w:bCs/>
          <w:color w:val="auto"/>
          <w:sz w:val="30"/>
          <w:szCs w:val="30"/>
          <w:lang w:val="vi-VN"/>
        </w:rPr>
        <w:t xml:space="preserve">CHỨNG THƯ THẨM ĐỊNH GIÁ</w:t>
      </w:r>
      <w:r>
        <w:rPr>
          <w:rStyle w:val="1041"/>
          <w:rFonts w:ascii="Times New Roman" w:hAnsi="Times New Roman"/>
          <w:b/>
          <w:bCs/>
          <w:color w:val="auto"/>
          <w:sz w:val="30"/>
          <w:szCs w:val="30"/>
          <w:lang w:val="vi-VN"/>
        </w:rPr>
      </w:r>
      <w:r>
        <w:rPr>
          <w:rStyle w:val="104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ĐOÀN NGỌC GIA GIA</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275/2025/1722/VFI-HĐTĐ.39.A</w:t>
      </w:r>
      <w:r>
        <w:rPr>
          <w:spacing w:val="-4"/>
          <w:lang w:val="vi-VN"/>
        </w:rPr>
        <w:t xml:space="preserve"> ký ngày </w:t>
      </w:r>
      <w:r>
        <w:rPr>
          <w:color w:val="000000" w:themeColor="text1"/>
          <w:spacing w:val="-4"/>
        </w:rPr>
        <w:t xml:space="preserve">2 tháng 12 năm 2025</w:t>
      </w:r>
      <w:r>
        <w:rPr>
          <w:spacing w:val="-4"/>
          <w:lang w:val="vi-VN"/>
        </w:rPr>
        <w:t xml:space="preserve"> </w:t>
      </w:r>
      <w:r>
        <w:rPr>
          <w:spacing w:val="-4"/>
          <w:lang w:val="vi-VN"/>
        </w:rPr>
        <w:t xml:space="preserve">giữa </w:t>
      </w:r>
      <w:r>
        <w:rPr>
          <w:bCs/>
        </w:rPr>
        <w:t xml:space="preserve">Ông Đoàn Ngọc Gia Gia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top w:val="none" w:color="000000" w:sz="4" w:space="0"/>
          <w:left w:val="none" w:color="000000" w:sz="4" w:space="0"/>
          <w:bottom w:val="none" w:color="000000" w:sz="4" w:space="0"/>
          <w:right w:val="none" w:color="000000" w:sz="4" w:space="0"/>
          <w:between w:val="none" w:color="000000" w:sz="4" w:space="0"/>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275/2025/1722/VFI-BC.39.A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4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top w:val="none" w:color="000000" w:sz="4" w:space="0"/>
          <w:left w:val="none" w:color="000000" w:sz="4" w:space="0"/>
          <w:bottom w:val="none" w:color="000000" w:sz="4" w:space="0"/>
          <w:right w:val="none" w:color="000000" w:sz="4" w:space="0"/>
          <w:between w:val="none" w:color="000000" w:sz="4" w:space="0"/>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op w:val="none" w:color="000000" w:sz="4" w:space="0"/>
          <w:left w:val="none" w:color="000000" w:sz="4" w:space="0"/>
          <w:bottom w:val="none" w:color="000000" w:sz="4" w:space="0"/>
          <w:right w:val="none" w:color="000000" w:sz="4" w:space="0"/>
          <w:between w:val="none" w:color="000000" w:sz="4" w:space="0"/>
        </w:pBdr>
        <w:tabs>
          <w:tab w:val="left" w:leader="none" w:pos="851"/>
        </w:tabs>
        <w:spacing w:after="120" w:before="120" w:line="288" w:lineRule="auto"/>
        <w:ind/>
        <w:jc w:val="both"/>
        <w:rPr>
          <w:b/>
          <w:bCs/>
          <w:highlight w:val="none"/>
          <w:lang w:val="vi-VN"/>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highlight w:val="none"/>
          <w:lang w:val="vi-VN"/>
        </w:rPr>
      </w:r>
      <w:r>
        <w:rPr>
          <w:b/>
          <w:bCs/>
          <w:highlight w:val="none"/>
          <w:lang w:val="vi-VN"/>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7115" w:type="dxa"/>
            <w:vAlign w:val="center"/>
            <w:textDirection w:val="lrTb"/>
            <w:noWrap w:val="false"/>
          </w:tcPr>
          <w:p w14:paraId="671B4A27">
            <w:pPr>
              <w:pBdr/>
              <w:spacing/>
              <w:ind/>
              <w:rPr/>
            </w:pPr>
            <w:r>
              <w:rPr>
                <w:rFonts w:ascii="Times New Roman Bold" w:hAnsi="Times New Roman Bold"/>
                <w:b/>
                <w:color w:val="000000" w:themeColor="text1"/>
                <w:lang w:val="pt-BR"/>
              </w:rPr>
              <w:t xml:space="preserve">ÔNG ĐOÀN NGỌC GIA GIA</w:t>
            </w:r>
            <w:r>
              <w:rPr>
                <w:rFonts w:ascii="Times New Roman Bold" w:hAnsi="Times New Roman Bold"/>
                <w:b/>
                <w:lang w:val="pt-BR"/>
              </w:rPr>
            </w:r>
            <w:r/>
          </w:p>
        </w:tc>
      </w:tr>
      <w:tr>
        <w:trPr>
          <w:trHeight w:val="20"/>
        </w:trPr>
        <w:tc>
          <w:tcPr>
            <w:tcBorders/>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highlight w:val="white"/>
              </w:rPr>
            </w:pPr>
            <w:r>
              <w:rPr>
                <w:rFonts w:ascii="Times New Roman" w:hAnsi="Times New Roman" w:eastAsia="Times New Roman" w:cs="Times New Roman"/>
                <w:color w:val="000000"/>
                <w:sz w:val="24"/>
                <w:highlight w:val="white"/>
              </w:rPr>
              <w:t xml:space="preserve">CCCD</w:t>
            </w:r>
            <w:r>
              <w:rPr>
                <w:highlight w:val="white"/>
              </w:rPr>
            </w:r>
            <w:r>
              <w:rPr>
                <w:highlight w:val="white"/>
              </w:rPr>
            </w:r>
          </w:p>
        </w:tc>
        <w:tc>
          <w:tcPr>
            <w:tcBorders/>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highlight w:val="white"/>
              </w:rPr>
            </w:pPr>
            <w:r>
              <w:rPr>
                <w:rFonts w:ascii="Times New Roman" w:hAnsi="Times New Roman" w:eastAsia="Times New Roman" w:cs="Times New Roman"/>
                <w:color w:val="000000"/>
                <w:sz w:val="24"/>
                <w:highlight w:val="white"/>
              </w:rPr>
              <w:t xml:space="preserve"> 050188000313</w:t>
            </w:r>
            <w:r>
              <w:rPr>
                <w:highlight w:val="white"/>
              </w:rPr>
            </w:r>
            <w:r>
              <w:rPr>
                <w:highlight w:val="white"/>
              </w:rPr>
            </w:r>
          </w:p>
        </w:tc>
      </w:tr>
      <w:tr>
        <w:trPr>
          <w:trHeight w:val="20"/>
        </w:trPr>
        <w:tc>
          <w:tcPr>
            <w:tcBorders/>
            <w:tcW w:w="226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hiện tại</w:t>
            </w:r>
            <w:r/>
          </w:p>
        </w:tc>
        <w:tc>
          <w:tcPr>
            <w:tcBorders/>
            <w:tcW w:w="289"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 Tổ 1 Trưng Trắc, Phường Phúc Yên, tỉnh Phú Thọ</w:t>
            </w:r>
            <w:r>
              <w:rPr>
                <w:rFonts w:ascii="Times New Roman" w:hAnsi="Times New Roman" w:eastAsia="Times New Roman" w:cs="Times New Roman"/>
                <w:color w:val="000000"/>
                <w:sz w:val="24"/>
              </w:rPr>
            </w:r>
            <w:r/>
          </w:p>
        </w:tc>
      </w:tr>
    </w:tbl>
    <w:p>
      <w:pPr>
        <w:pBdr>
          <w:top w:val="none" w:color="000000" w:sz="4" w:space="0"/>
          <w:left w:val="none" w:color="000000" w:sz="4" w:space="0"/>
          <w:bottom w:val="none" w:color="000000" w:sz="4" w:space="0"/>
          <w:right w:val="none" w:color="000000" w:sz="4" w:space="0"/>
          <w:between w:val="none" w:color="000000" w:sz="4" w:space="0"/>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highlight w:val="white"/>
              </w:rPr>
            </w:pPr>
            <w:r>
              <w:rPr>
                <w:color w:val="000000" w:themeColor="text1"/>
                <w:spacing w:val="-2"/>
              </w:rPr>
              <w:t xml:space="preserve">BT5-23 Khu đô thị mới Văn Phú, phường </w:t>
            </w:r>
            <w:r>
              <w:rPr>
                <w:color w:val="000000" w:themeColor="text1"/>
                <w:spacing w:val="-2"/>
                <w:highlight w:val="white"/>
              </w:rPr>
              <w:t xml:space="preserve">Kiến Hưng</w:t>
            </w:r>
            <w:r>
              <w:rPr>
                <w:color w:val="000000" w:themeColor="text1"/>
                <w:spacing w:val="-2"/>
                <w:highlight w:val="white"/>
              </w:rPr>
              <w:t xml:space="preserve">, TP Hà Nội</w:t>
            </w:r>
            <w:r>
              <w:rPr>
                <w:spacing w:val="-6"/>
                <w:highlight w:val="white"/>
              </w:rPr>
            </w:r>
            <w:r>
              <w:rPr>
                <w:spacing w:val="-6"/>
                <w:highlight w:val="white"/>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w:t>
            </w:r>
            <w:r>
              <w:rPr>
                <w:b/>
                <w:bCs/>
                <w:lang w:val="vi-VN"/>
              </w:rPr>
            </w:r>
            <w:r>
              <w:rPr>
                <w:b/>
                <w:bCs/>
                <w:lang w:val="vi-VN"/>
              </w:rPr>
            </w:r>
          </w:p>
        </w:tc>
      </w:tr>
    </w:tbl>
    <w:p>
      <w:pPr>
        <w:pBdr/>
        <w:spacing w:after="120" w:before="120" w:line="360" w:lineRule="auto"/>
        <w:ind/>
        <w:jc w:val="left"/>
        <w:rPr>
          <w:iCs/>
          <w:color w:val="000000" w:themeColor="text1"/>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iCs/>
          <w:color w:val="000000" w:themeColor="text1"/>
        </w:rPr>
      </w:r>
      <w:r>
        <w:rPr>
          <w:iCs/>
          <w:color w:val="000000" w:themeColor="text1"/>
        </w:rPr>
      </w:r>
    </w:p>
    <w:p>
      <w:pPr>
        <w:pBdr/>
        <w:spacing w:after="120" w:before="120" w:line="276" w:lineRule="auto"/>
        <w:ind/>
        <w:jc w:val="both"/>
        <w:rPr>
          <w:bCs/>
          <w:i/>
          <w:highlight w:val="none"/>
        </w:rPr>
      </w:pPr>
      <w:r>
        <w:rPr>
          <w:color w:val="000000" w:themeColor="text1"/>
        </w:rPr>
      </w:r>
      <w:r>
        <w:rPr>
          <w:color w:val="000000"/>
        </w:rPr>
        <w:t xml:space="preserve">Tài sản 1: Quyền sử dụng đất tại thửa đất số: 651, tờ bản đồ số 30 có địa chỉ: Khóm Tân An, phường Sa Đéc, tỉnh Đồng Tháp</w:t>
      </w:r>
      <w:r>
        <w:rPr>
          <w:color w:val="000000"/>
        </w:rPr>
        <w:t xml:space="preserve"> theo Giấy chứng nhận quyền sử dụng đất quyền sở hữu nhà ở và tài sản khác gắn liền với đất số: BU 113570, số vào sổ cấp GCN: CH04066 do Ủy ban nhân dân thành phố Sa Đéc cấp ngày 29/07/2014; Chủ sử dụng đất là Ông Phan Văn Lĩnh</w:t>
      </w:r>
      <w:r>
        <w:rPr>
          <w:bCs/>
          <w:i/>
          <w:iCs/>
        </w:rPr>
        <w:t xml:space="preserve">.</w:t>
      </w:r>
      <w:r>
        <w:rPr>
          <w:bCs/>
          <w:i/>
          <w:highlight w:val="none"/>
        </w:rPr>
      </w:r>
      <w:r>
        <w:rPr>
          <w:bCs/>
          <w:i/>
          <w:highlight w:val="none"/>
        </w:rPr>
      </w:r>
    </w:p>
    <w:p>
      <w:pPr>
        <w:pBdr/>
        <w:spacing w:after="120" w:before="120" w:line="276" w:lineRule="auto"/>
        <w:ind/>
        <w:jc w:val="both"/>
        <w:rPr>
          <w:bCs w:val="0"/>
          <w:i w:val="0"/>
        </w:rPr>
      </w:pPr>
      <w:r>
        <w:rPr>
          <w:bCs/>
          <w:i w:val="0"/>
          <w:iCs w:val="0"/>
          <w:highlight w:val="none"/>
        </w:rPr>
        <w:t xml:space="preserve">Tài sản 2: </w:t>
      </w:r>
      <w:r>
        <w:rPr>
          <w:color w:val="000000"/>
        </w:rPr>
        <w:t xml:space="preserve">Quyền sử dụng đất tại thửa đất số: 616, tờ bản đồ số 30 có địa chỉ: Khóm Tân An, phường Sa Đéc, tỉnh Đồng Tháp</w:t>
      </w:r>
      <w:r>
        <w:rPr>
          <w:color w:val="000000"/>
        </w:rPr>
        <w:t xml:space="preserve"> theo Giấy chứng nhận quyền sử dụng đất quyền sở hữu nhà ở và tài sản khác gắn liền với đất số: BL 359885, số vào sổ cấp GCN: CH02567 do Ủy ban nhân dân thị xã Sa Đéc cấp ngày 03/10/2012; Chủ sử dụng đất là Ông Phan Văn Lĩnh</w:t>
      </w:r>
      <w:r>
        <w:rPr>
          <w:bCs w:val="0"/>
          <w:i w:val="0"/>
        </w:rPr>
      </w:r>
      <w:r>
        <w:rPr>
          <w:bCs w:val="0"/>
          <w:i w:val="0"/>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47"/>
        <w:tblInd w:w="0" w:type="dxa"/>
        <w:tblW w:w="0" w:type="auto"/>
        <w:tblCellMar>
          <w:left w:w="108" w:type="dxa"/>
          <w:top w:w="0" w:type="dxa"/>
          <w:right w:w="108" w:type="dxa"/>
          <w:bottom w:w="0" w:type="dxa"/>
        </w:tblCellMar>
        <w:tblBorders>
          <w:top w:val="single" w:color="000000" w:sz="8" w:space="0"/>
          <w:left w:val="single" w:color="000000" w:sz="8" w:space="0"/>
          <w:bottom w:val="single" w:color="000000" w:sz="5" w:space="0"/>
          <w:right w:val="single" w:color="000000" w:sz="5" w:space="0"/>
          <w:insideH w:val="single" w:color="000000" w:sz="4" w:space="0"/>
          <w:insideV w:val="single" w:color="000000" w:sz="4" w:space="0"/>
        </w:tblBorders>
        <w:tblLayout w:type="fixed"/>
        <w:tblLook w:val="04A0" w:firstRow="1" w:lastRow="0" w:firstColumn="1" w:lastColumn="0" w:noHBand="0" w:noVBand="1"/>
      </w:tblPr>
      <w:tblGrid>
        <w:gridCol w:w="528"/>
        <w:gridCol w:w="3043"/>
        <w:gridCol w:w="1559"/>
        <w:gridCol w:w="2235"/>
        <w:gridCol w:w="198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0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8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b/>
                <w:color w:val="000000"/>
                <w:sz w:val="24"/>
              </w:rPr>
              <w:t xml:space="preserve">Quyền sử dụng đất tại thửa đất số: 651, tờ bản đồ số 30 có địa chỉ: Khóm Tân An, phường Sa Đéc, tỉnh Đồng Tháp theo Giấy chứng nhận quyền sử dụng đất quyền sở hữu nhà ở và tài sản khác gắn liền với đất </w:t>
            </w:r>
            <w:r>
              <w:rPr>
                <w:rFonts w:ascii="Times New Roman" w:hAnsi="Times New Roman" w:eastAsia="Times New Roman" w:cs="Times New Roman"/>
                <w:b/>
                <w:color w:val="000000"/>
                <w:sz w:val="24"/>
              </w:rPr>
              <w:t xml:space="preserve">số: BU 113570, số vào sổ cấp GCN: CH04066 do Ủy ban nhân dân thành phố Sa Đéc cấp ngày 29/07/2014; Chủ sử dụng đất là Ông Phan Văn Lĩnh.</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14:paraId="23DAC8FB">
            <w:pPr>
              <w:pBdr/>
              <w:spacing w:after="0" w:before="0" w:line="240" w:lineRule="auto"/>
              <w:ind/>
              <w:jc w:val="center"/>
              <w:rPr/>
            </w:pPr>
            <w:r>
              <w:rPr>
                <w:rFonts w:ascii="Times New Roman" w:hAnsi="Times New Roman" w:eastAsia="Times New Roman" w:cs="Times New Roman"/>
                <w:b/>
                <w:color w:val="000000"/>
                <w:sz w:val="24"/>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043" w:type="dxa"/>
            <w:vAlign w:val="center"/>
            <w:textDirection w:val="lrTb"/>
            <w:noWrap w:val="false"/>
          </w:tcPr>
          <w:p w14:paraId="0EDA13C0">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750FDE44">
            <w:pPr>
              <w:pBdr/>
              <w:spacing w:after="0" w:before="0" w:line="240" w:lineRule="auto"/>
              <w:ind/>
              <w:jc w:val="center"/>
              <w:rPr/>
            </w:pPr>
            <w:r>
              <w:rPr>
                <w:rFonts w:ascii="Times New Roman" w:hAnsi="Times New Roman" w:eastAsia="Times New Roman" w:cs="Times New Roman"/>
                <w:color w:val="000000"/>
                <w:sz w:val="24"/>
              </w:rPr>
              <w:t xml:space="preserve">791,2</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35" w:type="dxa"/>
            <w:vAlign w:val="center"/>
            <w:textDirection w:val="lrTb"/>
            <w:noWrap w:val="false"/>
          </w:tcPr>
          <w:p w14:paraId="5EFC8EEA">
            <w:pPr>
              <w:pBdr/>
              <w:spacing w:after="0" w:before="0" w:line="240" w:lineRule="auto"/>
              <w:ind/>
              <w:jc w:val="center"/>
              <w:rPr/>
            </w:pPr>
            <w:r>
              <w:rPr>
                <w:rFonts w:ascii="Times New Roman" w:hAnsi="Times New Roman" w:eastAsia="Times New Roman" w:cs="Times New Roman"/>
                <w:color w:val="000000"/>
                <w:sz w:val="24"/>
              </w:rPr>
              <w:t xml:space="preserve">10.800.000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14:paraId="696BDE71">
            <w:pPr>
              <w:pBdr/>
              <w:spacing w:after="0" w:before="0" w:line="240" w:lineRule="auto"/>
              <w:ind/>
              <w:jc w:val="center"/>
              <w:rPr/>
            </w:pPr>
            <w:r>
              <w:rPr>
                <w:rFonts w:ascii="Times New Roman" w:hAnsi="Times New Roman" w:eastAsia="Times New Roman" w:cs="Times New Roman"/>
                <w:color w:val="000000"/>
                <w:sz w:val="24"/>
              </w:rPr>
              <w:t xml:space="preserve">8.544.960.000</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8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b/>
                <w:color w:val="000000"/>
                <w:sz w:val="24"/>
              </w:rPr>
              <w:t xml:space="preserve">Quyền sử dụng đất tại thửa đất số: 616, tờ bản đồ số 30 có địa chỉ: Khóm Tân An, phường Sa Đéc, tỉnh Đồng Tháp theo Giấy chứng nhận quyền sử dụng đất quyền sở hữu nhà ở và tài sản khác gắn liền với đất </w:t>
            </w:r>
            <w:r>
              <w:rPr>
                <w:rFonts w:ascii="Times New Roman" w:hAnsi="Times New Roman" w:eastAsia="Times New Roman" w:cs="Times New Roman"/>
                <w:b/>
                <w:color w:val="000000"/>
                <w:sz w:val="24"/>
              </w:rPr>
              <w:t xml:space="preserve">số: BL 359885, số vào sổ cấp GCN: CH02567 do Ủy ban nhân dân thị xã Sa Đéc cấp ngày 03/10/2012; Chủ sử dụng đất là Ông Phan Văn Lĩnh</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14:paraId="00DBEBD8">
            <w:pPr>
              <w:pBdr/>
              <w:spacing w:after="0" w:before="0" w:line="240" w:lineRule="auto"/>
              <w:ind/>
              <w:jc w:val="center"/>
              <w:rPr/>
            </w:pPr>
            <w:r>
              <w:rPr>
                <w:rFonts w:ascii="Times New Roman" w:hAnsi="Times New Roman" w:eastAsia="Times New Roman" w:cs="Times New Roman"/>
                <w:b/>
                <w:color w:val="000000"/>
                <w:sz w:val="24"/>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043" w:type="dxa"/>
            <w:vAlign w:val="center"/>
            <w:textDirection w:val="lrTb"/>
            <w:noWrap w:val="false"/>
          </w:tcPr>
          <w:p w14:paraId="5A6226CA">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14699CA8">
            <w:pPr>
              <w:pBdr/>
              <w:spacing w:after="0" w:before="0" w:line="240" w:lineRule="auto"/>
              <w:ind/>
              <w:jc w:val="center"/>
              <w:rPr/>
            </w:pPr>
            <w:r>
              <w:rPr>
                <w:rFonts w:ascii="Times New Roman" w:hAnsi="Times New Roman" w:eastAsia="Times New Roman" w:cs="Times New Roman"/>
                <w:color w:val="000000"/>
                <w:sz w:val="24"/>
              </w:rPr>
              <w:t xml:space="preserve">219,8</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35" w:type="dxa"/>
            <w:vAlign w:val="center"/>
            <w:textDirection w:val="lrTb"/>
            <w:noWrap w:val="false"/>
          </w:tcPr>
          <w:p w14:paraId="42074390">
            <w:pPr>
              <w:pBdr/>
              <w:spacing w:after="0" w:before="0" w:line="240" w:lineRule="auto"/>
              <w:ind/>
              <w:jc w:val="center"/>
              <w:rPr/>
            </w:pPr>
            <w:r>
              <w:rPr>
                <w:rFonts w:ascii="Times New Roman" w:hAnsi="Times New Roman" w:eastAsia="Times New Roman" w:cs="Times New Roman"/>
                <w:color w:val="000000"/>
                <w:sz w:val="24"/>
              </w:rPr>
              <w:t xml:space="preserve">7.020.000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14:paraId="1E72EFD9">
            <w:pPr>
              <w:pBdr/>
              <w:spacing w:after="0" w:before="0" w:line="240" w:lineRule="auto"/>
              <w:ind/>
              <w:jc w:val="center"/>
              <w:rPr/>
            </w:pPr>
            <w:r>
              <w:rPr>
                <w:rFonts w:ascii="Times New Roman" w:hAnsi="Times New Roman" w:eastAsia="Times New Roman" w:cs="Times New Roman"/>
                <w:color w:val="000000"/>
                <w:sz w:val="24"/>
              </w:rPr>
              <w:t xml:space="preserve">1.542.996.000</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14:paraId="5E4CB775">
            <w:pPr>
              <w:pBdr/>
              <w:spacing w:after="0" w:before="0" w:line="240" w:lineRule="auto"/>
              <w:ind/>
              <w:jc w:val="center"/>
              <w:rPr/>
            </w:pPr>
            <w:r>
              <w:rPr>
                <w:rFonts w:ascii="Times New Roman" w:hAnsi="Times New Roman" w:eastAsia="Times New Roman" w:cs="Times New Roman"/>
                <w:b/>
                <w:color w:val="000000"/>
                <w:sz w:val="24"/>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043" w:type="dxa"/>
            <w:vAlign w:val="center"/>
            <w:textDirection w:val="lrTb"/>
            <w:noWrap w:val="false"/>
          </w:tcPr>
          <w:p w14:paraId="16B370A4">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1AF93A62">
            <w:pPr>
              <w:pBdr/>
              <w:spacing w:after="0" w:before="0" w:line="240" w:lineRule="auto"/>
              <w:ind/>
              <w:jc w:val="center"/>
              <w:rPr/>
            </w:pPr>
            <w:r>
              <w:rPr>
                <w:rFonts w:ascii="Times New Roman" w:hAnsi="Times New Roman" w:eastAsia="Times New Roman" w:cs="Times New Roman"/>
                <w:color w:val="000000"/>
                <w:sz w:val="24"/>
              </w:rPr>
              <w:t xml:space="preserve">185,4</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35" w:type="dxa"/>
            <w:vAlign w:val="center"/>
            <w:textDirection w:val="lrTb"/>
            <w:noWrap w:val="false"/>
          </w:tcPr>
          <w:p w14:paraId="69819BF0">
            <w:pPr>
              <w:pBdr/>
              <w:spacing w:after="0" w:before="0" w:line="240" w:lineRule="auto"/>
              <w:ind/>
              <w:jc w:val="center"/>
              <w:rPr/>
            </w:pPr>
            <w:r>
              <w:rPr>
                <w:rFonts w:ascii="Times New Roman" w:hAnsi="Times New Roman" w:eastAsia="Times New Roman" w:cs="Times New Roman"/>
                <w:color w:val="000000"/>
                <w:sz w:val="24"/>
              </w:rPr>
              <w:t xml:space="preserve">110.000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14:paraId="2EFDDAB8">
            <w:pPr>
              <w:pBdr/>
              <w:spacing w:after="0" w:before="0" w:line="240" w:lineRule="auto"/>
              <w:ind/>
              <w:jc w:val="center"/>
              <w:rPr/>
            </w:pPr>
            <w:r>
              <w:rPr>
                <w:rFonts w:ascii="Times New Roman" w:hAnsi="Times New Roman" w:eastAsia="Times New Roman" w:cs="Times New Roman"/>
                <w:color w:val="000000"/>
                <w:sz w:val="24"/>
              </w:rPr>
              <w:t xml:space="preserve">20.394.000</w:t>
            </w:r>
            <w:r/>
          </w:p>
        </w:tc>
      </w:tr>
      <w:tr>
        <w:trPr>
          <w:trHeight w:val="20"/>
        </w:trPr>
        <w:tc>
          <w:tcPr>
            <w:gridSpan w:val="4"/>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36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TỔNG CỘNG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14:paraId="5136A653">
            <w:pPr>
              <w:pBdr/>
              <w:spacing w:after="0" w:before="0" w:line="240" w:lineRule="auto"/>
              <w:ind/>
              <w:jc w:val="center"/>
              <w:rPr/>
            </w:pPr>
            <w:r>
              <w:rPr>
                <w:rFonts w:ascii="Times New Roman" w:hAnsi="Times New Roman" w:eastAsia="Times New Roman" w:cs="Times New Roman"/>
                <w:color w:val="000000"/>
                <w:sz w:val="24"/>
              </w:rPr>
              <w:t xml:space="preserve">10.108.350.000</w:t>
            </w:r>
            <w:r/>
          </w:p>
        </w:tc>
      </w:tr>
      <w:tr>
        <w:trPr>
          <w:trHeight w:val="20"/>
        </w:trPr>
        <w:tc>
          <w:tcPr>
            <w:gridSpan w:val="4"/>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36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LÀM TRÒN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14:paraId="63C57066">
            <w:pPr>
              <w:pBdr/>
              <w:spacing w:after="0" w:before="0" w:line="240" w:lineRule="auto"/>
              <w:ind/>
              <w:jc w:val="center"/>
              <w:rPr/>
            </w:pPr>
            <w:r>
              <w:rPr>
                <w:rFonts w:ascii="Times New Roman" w:hAnsi="Times New Roman" w:eastAsia="Times New Roman" w:cs="Times New Roman"/>
                <w:b/>
                <w:color w:val="000000"/>
                <w:sz w:val="24"/>
              </w:rPr>
              <w:t xml:space="preserve">10.108.000.000</w:t>
            </w:r>
            <w:r/>
          </w:p>
        </w:tc>
      </w:tr>
      <w:tr>
        <w:trPr>
          <w:trHeight w:val="20"/>
        </w:trPr>
        <w:tc>
          <w:tcPr>
            <w:gridSpan w:val="5"/>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93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i/>
                <w:color w:val="000000"/>
                <w:sz w:val="24"/>
              </w:rPr>
              <w:t xml:space="preserve">(Bằng chữ: Mười tỷ, một trăm linh tám triệu đồng chẵn ./.)</w:t>
            </w:r>
            <w:r/>
          </w:p>
        </w:tc>
      </w:tr>
    </w:tbl>
    <w:p>
      <w:pPr>
        <w:pBdr>
          <w:top w:val="none" w:color="000000" w:sz="4" w:space="0"/>
          <w:left w:val="none" w:color="000000" w:sz="4" w:space="0"/>
          <w:bottom w:val="none" w:color="000000" w:sz="4" w:space="0"/>
          <w:right w:val="none" w:color="000000" w:sz="4" w:space="0"/>
        </w:pBdr>
        <w:spacing w:before="120" w:line="360" w:lineRule="auto"/>
        <w:ind w:right="0" w:firstLine="0" w:left="0"/>
        <w:jc w:val="both"/>
        <w:rPr/>
      </w:pPr>
      <w:r>
        <w:rPr>
          <w:rFonts w:ascii="Times New Roman" w:hAnsi="Times New Roman" w:eastAsia="Times New Roman" w:cs="Times New Roman"/>
          <w:i/>
          <w:color w:val="000000"/>
          <w:sz w:val="24"/>
          <w:u w:val="single"/>
        </w:rPr>
        <w:t xml:space="preserve"> Ghi chú</w:t>
      </w:r>
      <w:r>
        <w:rPr>
          <w:rFonts w:ascii="Times New Roman" w:hAnsi="Times New Roman" w:eastAsia="Times New Roman" w:cs="Times New Roman"/>
          <w:i/>
          <w:color w:val="000000"/>
          <w:sz w:val="24"/>
        </w:rPr>
        <w:t xml:space="preserve">: Kết quả thẩm định định giá theo phương án xác định giá trị trong điều kiện hợp thửa các thửa đất liền kề và không có ranh giới giữa các thửa đất, đề nghị ngân hàng nhận thế chấp và giải chấp đồng thời các thửa đất.</w:t>
      </w:r>
      <w:r>
        <w:rPr>
          <w:sz w:val="24"/>
        </w:rPr>
      </w:r>
      <w:r/>
    </w:p>
    <w:p>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highlight w:val="none"/>
          <w:lang w:val="vi-VN"/>
        </w:rPr>
      </w:r>
      <w:r>
        <w:rPr>
          <w:b/>
          <w:bCs/>
          <w:highlight w:val="none"/>
          <w:lang w:val="vi-VN"/>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42"/>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pPr>
              <w:pStyle w:val="1042"/>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275/2025/1722/VFI-BC.39.A</w:t>
            </w:r>
            <w:r>
              <w:rPr>
                <w:sz w:val="24"/>
                <w:szCs w:val="24"/>
              </w:rPr>
            </w:r>
            <w:r>
              <w:rPr>
                <w:sz w:val="24"/>
                <w:szCs w:val="24"/>
              </w:rPr>
            </w:r>
          </w:p>
        </w:tc>
        <w:tc>
          <w:tcPr>
            <w:tcBorders/>
            <w:tcW w:w="4781" w:type="dxa"/>
            <w:textDirection w:val="lrTb"/>
            <w:noWrap w:val="false"/>
          </w:tcPr>
          <w:p>
            <w:pPr>
              <w:pStyle w:val="1042"/>
              <w:pBdr/>
              <w:tabs>
                <w:tab w:val="left" w:leader="none" w:pos="5103"/>
              </w:tabs>
              <w:spacing w:before="100" w:line="360" w:lineRule="auto"/>
              <w:ind/>
              <w:jc w:val="right"/>
              <w:rPr>
                <w:rStyle w:val="1041"/>
                <w:rFonts w:ascii="Times New Roman" w:hAnsi="Times New Roman"/>
                <w:i/>
                <w:color w:val="auto"/>
              </w:rPr>
            </w:pPr>
            <w:r>
              <w:rPr>
                <w:rFonts w:ascii="Times New Roman" w:hAnsi="Times New Roman"/>
                <w:i/>
                <w:color w:val="auto"/>
              </w:rPr>
            </w:r>
            <w:r>
              <w:rPr>
                <w:rStyle w:val="1041"/>
                <w:rFonts w:ascii="Times New Roman" w:hAnsi="Times New Roman"/>
                <w:i/>
                <w:color w:val="auto"/>
              </w:rPr>
            </w:r>
            <w:r>
              <w:rPr>
                <w:rStyle w:val="1041"/>
                <w:rFonts w:ascii="Times New Roman" w:hAnsi="Times New Roman"/>
                <w:i/>
                <w:color w:val="auto"/>
              </w:rPr>
            </w:r>
          </w:p>
          <w:p>
            <w:pPr>
              <w:pStyle w:val="1042"/>
              <w:pBdr/>
              <w:tabs>
                <w:tab w:val="left" w:leader="none" w:pos="5103"/>
              </w:tabs>
              <w:spacing w:before="100" w:line="360" w:lineRule="auto"/>
              <w:ind/>
              <w:jc w:val="right"/>
              <w:rPr>
                <w:i/>
                <w:iCs/>
                <w:sz w:val="24"/>
                <w:szCs w:val="24"/>
              </w:rPr>
            </w:pPr>
            <w:r>
              <w:rPr>
                <w:rStyle w:val="1041"/>
                <w:rFonts w:ascii="Times New Roman" w:hAnsi="Times New Roman"/>
                <w:i/>
                <w:color w:val="auto"/>
              </w:rPr>
              <w:t xml:space="preserve">TP</w:t>
            </w:r>
            <w:r>
              <w:rPr>
                <w:rStyle w:val="1041"/>
                <w:rFonts w:ascii="Times New Roman" w:hAnsi="Times New Roman"/>
                <w:color w:val="auto"/>
              </w:rPr>
              <w:t xml:space="preserve">. </w:t>
            </w:r>
            <w:r>
              <w:rPr>
                <w:rStyle w:val="1041"/>
                <w:rFonts w:ascii="Times New Roman" w:hAnsi="Times New Roman"/>
                <w:i/>
                <w:color w:val="auto"/>
              </w:rPr>
              <w:t xml:space="preserve">Hà Nội</w:t>
            </w:r>
            <w:r>
              <w:rPr>
                <w:rStyle w:val="1041"/>
                <w:rFonts w:ascii="Times New Roman" w:hAnsi="Times New Roman"/>
                <w:i/>
                <w:color w:val="auto"/>
                <w:lang w:val="vi-VN"/>
              </w:rPr>
              <w:t xml:space="preserve">, </w:t>
            </w:r>
            <w:r>
              <w:rPr>
                <w:i/>
                <w:iCs/>
                <w:color w:val="000000" w:themeColor="text1"/>
                <w:sz w:val="24"/>
                <w:szCs w:val="24"/>
                <w:lang w:val="pt-BR"/>
              </w:rPr>
              <w:t xml:space="preserve">ngày 4 tháng 12 năm 2025</w:t>
            </w:r>
            <w:r>
              <w:rPr>
                <w:rStyle w:val="1041"/>
                <w:rFonts w:ascii="Times New Roman" w:hAnsi="Times New Roman"/>
                <w:i/>
                <w:color w:val="auto"/>
                <w:lang w:val="vi-VN"/>
              </w:rPr>
              <w:t xml:space="preserve">   </w:t>
            </w:r>
            <w:r>
              <w:rPr>
                <w:rStyle w:val="1041"/>
                <w:rFonts w:ascii="Times New Roman" w:hAnsi="Times New Roman"/>
                <w:i/>
                <w:color w:val="auto"/>
                <w:lang w:val="vi-VN"/>
              </w:rPr>
              <w:t xml:space="preserve">  </w:t>
            </w:r>
            <w:r>
              <w:rPr>
                <w:i/>
                <w:iCs/>
                <w:sz w:val="24"/>
                <w:szCs w:val="24"/>
              </w:rPr>
            </w:r>
            <w:r>
              <w:rPr>
                <w:i/>
                <w:iCs/>
                <w:sz w:val="24"/>
                <w:szCs w:val="24"/>
              </w:rPr>
            </w:r>
          </w:p>
        </w:tc>
      </w:tr>
    </w:tbl>
    <w:p>
      <w:pPr>
        <w:pStyle w:val="1042"/>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2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275/2025/1722/VFI-CT.39.A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4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BT5-23 Khu đô thị mới Văn Phú, phường Kiến Hưng,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pPr>
        <w:pStyle w:val="104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vMerge w:val="restart"/>
            <w:textDirection w:val="lrTb"/>
            <w:noWrap w:val="false"/>
          </w:tcPr>
          <w:p w14:paraId="6BDF6FBB">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vMerge w:val="restart"/>
            <w:textDirection w:val="lrTb"/>
            <w:noWrap w:val="false"/>
          </w:tcPr>
          <w:p w14:paraId="4E214D3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14:paraId="0EDD9A23">
            <w:pPr>
              <w:pBdr/>
              <w:spacing/>
              <w:ind/>
              <w:rPr/>
            </w:pPr>
            <w:r>
              <w:rPr>
                <w:rFonts w:ascii="Times New Roman Bold" w:hAnsi="Times New Roman Bold"/>
                <w:b/>
                <w:color w:val="000000" w:themeColor="text1"/>
                <w:lang w:val="pt-BR"/>
              </w:rPr>
              <w:t xml:space="preserve">ÔNG ĐOÀN NGỌC GIA GIA</w:t>
            </w:r>
            <w:r/>
          </w:p>
        </w:tc>
      </w:tr>
      <w:tr>
        <w:trPr>
          <w:trHeight w:val="20"/>
        </w:trPr>
        <w:tc>
          <w:tcPr>
            <w:tcBorders/>
            <w:tcW w:w="2518" w:type="dxa"/>
            <w:vAlign w:val="center"/>
            <w:vMerge w:val="restart"/>
            <w:textDirection w:val="lrTb"/>
            <w:noWrap w:val="false"/>
          </w:tcPr>
          <w:p w14:paraId="531ED2A2">
            <w:pPr>
              <w:pBdr>
                <w:top w:val="none" w:color="000000" w:sz="4" w:space="0"/>
                <w:left w:val="none" w:color="000000" w:sz="4" w:space="0"/>
                <w:bottom w:val="none" w:color="000000" w:sz="4" w:space="0"/>
                <w:right w:val="none" w:color="000000" w:sz="4" w:space="0"/>
              </w:pBdr>
              <w:spacing w:after="60" w:before="60" w:line="276" w:lineRule="auto"/>
              <w:ind w:right="0" w:firstLine="0" w:left="0"/>
              <w:rPr>
                <w:highlight w:val="white"/>
              </w:rPr>
            </w:pPr>
            <w:r>
              <w:rPr>
                <w:rFonts w:ascii="Times New Roman" w:hAnsi="Times New Roman" w:eastAsia="Times New Roman" w:cs="Times New Roman"/>
                <w:color w:val="000000"/>
                <w:sz w:val="24"/>
                <w:highlight w:val="white"/>
              </w:rPr>
              <w:t xml:space="preserve">CCCD</w:t>
            </w:r>
            <w:r>
              <w:rPr>
                <w:highlight w:val="white"/>
              </w:rPr>
            </w:r>
            <w:r>
              <w:rPr>
                <w:highlight w:val="white"/>
              </w:rPr>
            </w:r>
          </w:p>
        </w:tc>
        <w:tc>
          <w:tcPr>
            <w:tcBorders/>
            <w:tcW w:w="284" w:type="dxa"/>
            <w:vAlign w:val="center"/>
            <w:vMerge w:val="restart"/>
            <w:textDirection w:val="lrTb"/>
            <w:noWrap w:val="false"/>
          </w:tcPr>
          <w:p w14:paraId="62EE781A">
            <w:pPr>
              <w:pBdr>
                <w:top w:val="none" w:color="000000" w:sz="4" w:space="0"/>
                <w:left w:val="none" w:color="000000" w:sz="4" w:space="0"/>
                <w:bottom w:val="none" w:color="000000" w:sz="4" w:space="0"/>
                <w:right w:val="none" w:color="000000" w:sz="4" w:space="0"/>
              </w:pBdr>
              <w:spacing w:after="60" w:before="60" w:line="276" w:lineRule="auto"/>
              <w:ind w:right="0" w:firstLine="0" w:left="0"/>
              <w:rPr>
                <w:highlight w:val="white"/>
              </w:rPr>
            </w:pPr>
            <w:r>
              <w:rPr>
                <w:rFonts w:ascii="Times New Roman" w:hAnsi="Times New Roman" w:eastAsia="Times New Roman" w:cs="Times New Roman"/>
                <w:color w:val="000000"/>
                <w:sz w:val="24"/>
                <w:highlight w:val="white"/>
              </w:rPr>
              <w:t xml:space="preserve">:</w:t>
            </w:r>
            <w:r>
              <w:rPr>
                <w:highlight w:val="white"/>
              </w:rPr>
            </w:r>
            <w:r>
              <w:rPr>
                <w:highlight w:val="white"/>
              </w:rPr>
            </w:r>
          </w:p>
        </w:tc>
        <w:tc>
          <w:tcPr>
            <w:tcBorders/>
            <w:tcW w:w="6945" w:type="dxa"/>
            <w:vAlign w:val="center"/>
            <w:vMerge w:val="restart"/>
            <w:textDirection w:val="lrTb"/>
            <w:noWrap w:val="false"/>
          </w:tcPr>
          <w:p w14:paraId="2E5794A4">
            <w:pPr>
              <w:pBdr>
                <w:top w:val="none" w:color="000000" w:sz="4" w:space="0"/>
                <w:left w:val="none" w:color="000000" w:sz="4" w:space="0"/>
                <w:bottom w:val="none" w:color="000000" w:sz="4" w:space="0"/>
                <w:right w:val="none" w:color="000000" w:sz="4" w:space="0"/>
              </w:pBdr>
              <w:spacing w:line="288" w:lineRule="auto"/>
              <w:ind w:right="0" w:firstLine="0" w:left="0"/>
              <w:rPr>
                <w:highlight w:val="white"/>
              </w:rPr>
            </w:pPr>
            <w:r>
              <w:rPr>
                <w:rFonts w:ascii="Times New Roman" w:hAnsi="Times New Roman" w:eastAsia="Times New Roman" w:cs="Times New Roman"/>
                <w:color w:val="000000"/>
                <w:sz w:val="24"/>
                <w:highlight w:val="white"/>
              </w:rPr>
              <w:t xml:space="preserve"> 050188000313</w:t>
            </w:r>
            <w:r>
              <w:rPr>
                <w:highlight w:val="white"/>
              </w:rPr>
            </w:r>
            <w:r>
              <w:rPr>
                <w:highlight w:val="white"/>
              </w:rPr>
            </w:r>
          </w:p>
        </w:tc>
      </w:tr>
      <w:tr>
        <w:trPr>
          <w:trHeight w:val="20"/>
        </w:trPr>
        <w:tc>
          <w:tcPr>
            <w:tcBorders/>
            <w:tcW w:w="2518" w:type="dxa"/>
            <w:vAlign w:val="center"/>
            <w:vMerge w:val="restart"/>
            <w:textDirection w:val="lrTb"/>
            <w:noWrap w:val="false"/>
          </w:tcPr>
          <w:p w14:paraId="541A7BBF">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Địa chỉ hiện tại</w:t>
            </w:r>
            <w:r/>
          </w:p>
        </w:tc>
        <w:tc>
          <w:tcPr>
            <w:tcBorders/>
            <w:tcW w:w="284" w:type="dxa"/>
            <w:vAlign w:val="center"/>
            <w:vMerge w:val="restart"/>
            <w:textDirection w:val="lrTb"/>
            <w:noWrap w:val="false"/>
          </w:tcPr>
          <w:p w14:paraId="3EEE9634">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w:t>
            </w:r>
            <w:r/>
          </w:p>
        </w:tc>
        <w:tc>
          <w:tcPr>
            <w:tcBorders/>
            <w:tcW w:w="6945" w:type="dxa"/>
            <w:vAlign w:val="center"/>
            <w:vMerge w:val="restart"/>
            <w:textDirection w:val="lrTb"/>
            <w:noWrap w:val="false"/>
          </w:tcPr>
          <w:p w14:paraId="507231BE">
            <w:pPr>
              <w:pBdr>
                <w:top w:val="none" w:color="000000" w:sz="4" w:space="0"/>
                <w:left w:val="none" w:color="000000" w:sz="4" w:space="0"/>
                <w:bottom w:val="none" w:color="000000" w:sz="4" w:space="0"/>
                <w:right w:val="none" w:color="000000" w:sz="4" w:space="0"/>
              </w:pBdr>
              <w:spacing w:line="288" w:lineRule="auto"/>
              <w:ind w:right="0" w:firstLine="0" w:left="0"/>
              <w:rPr/>
            </w:pPr>
            <w:r>
              <w:rPr>
                <w:rFonts w:ascii="Times New Roman" w:hAnsi="Times New Roman" w:eastAsia="Times New Roman" w:cs="Times New Roman"/>
                <w:color w:val="000000"/>
                <w:sz w:val="24"/>
              </w:rPr>
              <w:t xml:space="preserve"> Tổ 1 Trưng Trắc, Phường Phúc Yên, tỉnh Phú Thọ</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120" w:before="120" w:line="360" w:lineRule="auto"/>
              <w:ind/>
              <w:jc w:val="both"/>
              <w:rPr>
                <w:bCs/>
                <w:i/>
                <w:highlight w:val="none"/>
              </w:rPr>
            </w:pPr>
            <w:r>
              <w:rPr>
                <w:color w:val="000000" w:themeColor="text1"/>
              </w:rPr>
            </w:r>
            <w:r>
              <w:rPr>
                <w:color w:val="000000"/>
              </w:rPr>
              <w:t xml:space="preserve">Tài sản 1: Quyền sử dụng đất tại thửa đất số: 651, tờ bản đồ số 30 có địa chỉ: Khóm Tân An, phường Sa Đéc, tỉnh Đồng Tháp</w:t>
            </w:r>
            <w:r>
              <w:rPr>
                <w:color w:val="000000"/>
              </w:rPr>
              <w:t xml:space="preserve"> theo Giấy chứng nhận quyền sử dụng đất quyền sở hữu nhà ở và tài sản khác gắn liền với đất số: BU 113570, số vào sổ cấp GCN: CH04066 do Ủy ban nhân dân thành phố Sa Đéc cấp ngày 29/07/2014; Chủ sử dụng đất là Ông Phan Văn Lĩnh</w:t>
            </w:r>
            <w:r>
              <w:rPr>
                <w:bCs/>
                <w:i/>
                <w:iCs/>
              </w:rPr>
              <w:t xml:space="preserve">.</w:t>
            </w:r>
            <w:r>
              <w:rPr>
                <w:bCs/>
                <w:i/>
                <w:highlight w:val="none"/>
              </w:rPr>
            </w:r>
            <w:r>
              <w:rPr>
                <w:bCs/>
                <w:i/>
                <w:highlight w:val="none"/>
              </w:rPr>
            </w:r>
          </w:p>
          <w:p>
            <w:pPr>
              <w:pBdr/>
              <w:spacing w:after="120" w:before="120" w:line="360" w:lineRule="auto"/>
              <w:ind/>
              <w:jc w:val="both"/>
              <w:rPr>
                <w:bCs w:val="0"/>
                <w:i w:val="0"/>
              </w:rPr>
            </w:pPr>
            <w:r>
              <w:rPr>
                <w:bCs/>
                <w:i w:val="0"/>
                <w:iCs w:val="0"/>
                <w:highlight w:val="none"/>
              </w:rPr>
              <w:t xml:space="preserve">Tài sản 2: </w:t>
            </w:r>
            <w:r>
              <w:rPr>
                <w:color w:val="000000"/>
              </w:rPr>
              <w:t xml:space="preserve">Quyền sử dụng đất tại thửa đất số: 616, tờ bản đồ số 30 có địa chỉ: Khóm Tân An, phường Sa Đéc, tỉnh Đồng Tháp</w:t>
            </w:r>
            <w:r>
              <w:rPr>
                <w:color w:val="000000"/>
              </w:rPr>
              <w:t xml:space="preserve"> theo Giấy chứng nhận quyền sử dụng đất quyền sở hữu nhà ở và tài sản khác gắn liền với đất số: BL 359885, số vào sổ cấp GCN: CH02567 do Ủy ban nhân dân thị xã Sa Đéc cấp ngày 03/10/2012; Chủ sử dụng đất là Ông Phan Văn Lĩnh</w:t>
            </w:r>
            <w:r>
              <w:rPr>
                <w:bCs w:val="0"/>
                <w:i w:val="0"/>
              </w:rPr>
            </w:r>
            <w:r>
              <w:rPr>
                <w:bCs w:val="0"/>
                <w:i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Khóm Tân An, phường Sa Đéc, tỉnh Đồng Tháp</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10.305138888889, 105.74730555556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3"/>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3"/>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3"/>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3"/>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3"/>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3"/>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số 45/2013/TT-BTC ngày 24/5/2013 của Bộ Tài chính về việc hướng dẫn chế độ quản lý, sử dụng và trích khấu hao tài sản cố định;</w:t>
      </w:r>
      <w:r>
        <w:rPr>
          <w:b/>
          <w:highlight w:val="white"/>
        </w:rPr>
      </w:r>
      <w:r>
        <w:rPr>
          <w:b/>
          <w:highlight w:val="white"/>
        </w:rPr>
      </w:r>
    </w:p>
    <w:p>
      <w:pPr>
        <w:pStyle w:val="1043"/>
        <w:numPr>
          <w:ilvl w:val="0"/>
          <w:numId w:val="1"/>
        </w:numPr>
        <w:pBdr/>
        <w:tabs>
          <w:tab w:val="left" w:leader="none" w:pos="993"/>
        </w:tabs>
        <w:spacing w:after="120" w:before="120" w:line="276" w:lineRule="auto"/>
        <w:ind/>
        <w:jc w:val="both"/>
        <w:rPr>
          <w:b/>
          <w:highlight w:val="white"/>
        </w:rPr>
      </w:pPr>
      <w:r>
        <w:rPr>
          <w:highlight w:val="white"/>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highlight w:val="white"/>
        </w:rPr>
      </w:r>
      <w:r>
        <w:rPr>
          <w:b/>
          <w:highlight w:val="white"/>
        </w:rPr>
      </w:r>
    </w:p>
    <w:p>
      <w:pPr>
        <w:pStyle w:val="1043"/>
        <w:numPr>
          <w:ilvl w:val="0"/>
          <w:numId w:val="1"/>
        </w:numPr>
        <w:pBdr/>
        <w:tabs>
          <w:tab w:val="left" w:leader="none" w:pos="993"/>
        </w:tabs>
        <w:spacing w:after="120" w:before="120" w:line="276" w:lineRule="auto"/>
        <w:ind/>
        <w:jc w:val="both"/>
        <w:rPr>
          <w:spacing w:val="-4"/>
          <w:highlight w:val="white"/>
        </w:rPr>
      </w:pPr>
      <w:r>
        <w:rPr>
          <w:spacing w:val="-4"/>
          <w:highlight w:val="white"/>
          <w:lang w:val="pt-BR"/>
        </w:rPr>
        <w:t xml:space="preserve">Thông tư số 28/</w:t>
      </w:r>
      <w:r>
        <w:rPr>
          <w:spacing w:val="-4"/>
          <w:highlight w:val="white"/>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highlight w:val="white"/>
        </w:rPr>
      </w:r>
      <w:r>
        <w:rPr>
          <w:spacing w:val="-4"/>
          <w:highlight w:val="white"/>
        </w:rPr>
      </w:r>
    </w:p>
    <w:p>
      <w:pPr>
        <w:pStyle w:val="1043"/>
        <w:numPr>
          <w:ilvl w:val="0"/>
          <w:numId w:val="1"/>
        </w:numPr>
        <w:pBdr/>
        <w:spacing w:after="120" w:before="120" w:line="276" w:lineRule="auto"/>
        <w:ind/>
        <w:jc w:val="both"/>
        <w:rPr>
          <w:bCs/>
          <w:spacing w:val="-4"/>
          <w:highlight w:val="white"/>
        </w:rPr>
      </w:pPr>
      <w:r>
        <w:rPr>
          <w:bCs/>
          <w:spacing w:val="-4"/>
          <w:highlight w:val="white"/>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highlight w:val="white"/>
        </w:rPr>
      </w:r>
      <w:r>
        <w:rPr>
          <w:bCs/>
          <w:spacing w:val="-4"/>
          <w:highlight w:val="white"/>
        </w:rPr>
      </w:r>
    </w:p>
    <w:p>
      <w:pPr>
        <w:pStyle w:val="1043"/>
        <w:numPr>
          <w:ilvl w:val="0"/>
          <w:numId w:val="1"/>
        </w:numPr>
        <w:pBdr/>
        <w:tabs>
          <w:tab w:val="left" w:leader="none" w:pos="993"/>
        </w:tabs>
        <w:spacing w:after="120" w:before="120" w:line="276" w:lineRule="auto"/>
        <w:ind/>
        <w:jc w:val="both"/>
        <w:rPr>
          <w:b/>
          <w:highlight w:val="white"/>
        </w:rPr>
      </w:pPr>
      <w:r>
        <w:rPr>
          <w:highlight w:val="white"/>
          <w:lang w:val="pt-BR"/>
        </w:rPr>
        <w:t xml:space="preserve">Công văn số 1326/BXD-QLN của Bộ Xây dựng ban hành ngày 08/8/2011 về việc hướng dẫn kiểm kê, đánh giá lại giá trị tài sản cố định là nhà, vật kiến trúc</w:t>
      </w:r>
      <w:r>
        <w:rPr>
          <w:highlight w:val="white"/>
          <w:lang w:val="pt-BR"/>
        </w:rPr>
        <w:t xml:space="preserve">;</w:t>
      </w:r>
      <w:r>
        <w:rPr>
          <w:b/>
          <w:highlight w:val="white"/>
        </w:rPr>
      </w:r>
      <w:r>
        <w:rPr>
          <w:b/>
          <w:highlight w:val="white"/>
        </w:rPr>
      </w:r>
    </w:p>
    <w:p>
      <w:pPr>
        <w:pStyle w:val="1043"/>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3"/>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3"/>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BU 113570, số vào sổ cấp GCN: CH04066 do Ủy ban nhân dân thành phố Sa Đéc cấp ngày 29/07/2014; Chủ sử dụng đất là Ông Phan Văn Lĩnh</w:t>
      </w:r>
      <w:r>
        <w:rPr>
          <w:lang w:val="pt-BR"/>
        </w:rPr>
        <w:t xml:space="preserve">.</w:t>
      </w:r>
      <w:r>
        <w:rPr>
          <w:i/>
          <w:iCs/>
          <w:lang w:val="pt-BR"/>
        </w:rPr>
      </w:r>
      <w:r>
        <w:rPr>
          <w:i/>
          <w:iCs/>
          <w:lang w:val="pt-BR"/>
        </w:rPr>
      </w:r>
    </w:p>
    <w:p>
      <w:pPr>
        <w:pStyle w:val="1043"/>
        <w:numPr>
          <w:ilvl w:val="0"/>
          <w:numId w:val="2"/>
        </w:numPr>
        <w:pBdr/>
        <w:tabs>
          <w:tab w:val="left" w:leader="none" w:pos="993"/>
        </w:tabs>
        <w:spacing w:after="120" w:before="12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Giấy chứng nhận quyền sử dụng đất quyền sở hữu nhà ở và tài sản khác gắn liền với đất số: BL 359885, số vào sổ cấp GCN: CH02567 do Ủy ban nhân dân thị xã Sa Đéc cấp ngày 03/10/2012; Chủ sử dụng đất là Ông Phan Văn Lĩnh</w:t>
      </w:r>
      <w:r>
        <w:rPr>
          <w:color w:val="000000" w:themeColor="text1"/>
          <w:lang w:val="pt-BR" w:bidi="pt-BR"/>
        </w:rPr>
        <w:t xml:space="preserve">.</w:t>
      </w:r>
      <w:r>
        <w:rPr>
          <w:color w:val="000000" w:themeColor="text1"/>
          <w:lang w:val="pt-BR"/>
          <w14:ligatures w14:val="none"/>
        </w:rPr>
      </w:r>
      <w:r>
        <w:rPr>
          <w:color w:val="000000" w:themeColor="text1"/>
          <w:lang w:val="pt-BR"/>
          <w14:ligatures w14:val="none"/>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3"/>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275/2025/1722/VFI-HĐTĐ.39.A ngày 02/12/2025 giữa Ông Đoàn Ngọc Gia Gia với Công ty Cổ phần Thẩm định và Đầu tư Tài chính Hoa Sen.</w:t>
      </w:r>
      <w:r>
        <w:rPr>
          <w:b/>
          <w:lang w:val="pt-BR"/>
        </w:rPr>
      </w:r>
      <w:r>
        <w:rPr>
          <w:b/>
          <w:lang w:val="pt-BR"/>
        </w:rPr>
      </w:r>
    </w:p>
    <w:p>
      <w:pPr>
        <w:pStyle w:val="1043"/>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311" w:before="0" w:line="276" w:lineRule="auto"/>
        <w:ind w:right="0" w:firstLine="0" w:left="0"/>
        <w:jc w:val="both"/>
        <w:rPr>
          <w:rFonts w:ascii="Times New Roman" w:hAnsi="Times New Roman" w:eastAsia="Times New Roman" w:cs="Times New Roman"/>
          <w:b w:val="0"/>
          <w:bCs w:val="0"/>
          <w:color w:val="262626"/>
          <w:sz w:val="24"/>
          <w:szCs w:val="24"/>
        </w:rPr>
      </w:pPr>
      <w:r>
        <w:rPr>
          <w:rFonts w:ascii="Times New Roman" w:hAnsi="Times New Roman" w:eastAsia="Times New Roman" w:cs="Times New Roman"/>
          <w:b w:val="0"/>
          <w:bCs w:val="0"/>
          <w:sz w:val="24"/>
          <w:szCs w:val="24"/>
          <w:lang w:val="pt-BR"/>
        </w:rPr>
        <w:tab/>
      </w:r>
      <w:r>
        <w:rPr>
          <w:rFonts w:ascii="Times New Roman" w:hAnsi="Times New Roman" w:eastAsia="Times New Roman" w:cs="Times New Roman"/>
          <w:b w:val="0"/>
          <w:bCs w:val="0"/>
          <w:color w:val="262626"/>
          <w:sz w:val="24"/>
          <w:szCs w:val="24"/>
        </w:rPr>
        <w:t xml:space="preserve">Thành phố Sa Đéc, tọa lạc bên bờ sông Tiền hiền hòa, không chỉ nổi tiếng với Làng hoa Sa Đéc mà còn là trung tâm kinh tế, văn hóa của tỉnh Đồng Tháp. Sự kết hợp giữa truyền thống và sự đổi mới đã tạo nên một thị trường bất động sản đầy tiềm năng. Nhu cầu</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nhà ở Sa Đéc</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và đất nền đang tăng trưởng mạnh mẽ, phản ánh tốc độ đô thị hóa nhanh chóng cùng với sự gia tăng dân số cơ học. </w:t>
      </w:r>
      <w:r>
        <w:rPr>
          <w:rFonts w:ascii="Times New Roman" w:hAnsi="Times New Roman" w:eastAsia="Times New Roman" w:cs="Times New Roman"/>
          <w:b w:val="0"/>
          <w:bCs w:val="0"/>
          <w:color w:val="262626"/>
          <w:sz w:val="24"/>
          <w:szCs w:val="24"/>
        </w:rPr>
        <w:t xml:space="preserve">Các chuyên gia nhận định, thị trường</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bất động sản Sa Đéc</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đang ở giai đoạn tăng trưởng ổn định, chưa có dấu hiệu của bong bóng. Điều này mang lại cơ hội đầu tư bền vững cho cả nhà đầu tư cá nhân và các tổ chức lớn. Sự minh bạch trong chính sách quy hoạch và thủ tục pháp lý cũng góp phần tạo niềm tin cho người tha</w:t>
      </w:r>
      <w:r>
        <w:rPr>
          <w:rFonts w:ascii="Times New Roman" w:hAnsi="Times New Roman" w:eastAsia="Times New Roman" w:cs="Times New Roman"/>
          <w:b w:val="0"/>
          <w:bCs w:val="0"/>
          <w:color w:val="262626"/>
          <w:sz w:val="24"/>
          <w:szCs w:val="24"/>
        </w:rPr>
        <w:t xml:space="preserve">m gia thị trường.</w:t>
      </w:r>
      <w:r>
        <w:rPr>
          <w:rFonts w:ascii="Times New Roman" w:hAnsi="Times New Roman" w:eastAsia="Times New Roman" w:cs="Times New Roman"/>
          <w:b w:val="0"/>
          <w:bCs w:val="0"/>
          <w:color w:val="262626"/>
          <w:sz w:val="24"/>
          <w:szCs w:val="24"/>
        </w:rPr>
      </w:r>
      <w:r>
        <w:rPr>
          <w:rFonts w:ascii="Times New Roman" w:hAnsi="Times New Roman" w:eastAsia="Times New Roman" w:cs="Times New Roman"/>
          <w:b w:val="0"/>
          <w:bCs w:val="0"/>
          <w:color w:val="262626"/>
          <w:sz w:val="24"/>
          <w:szCs w:val="24"/>
        </w:rPr>
      </w:r>
    </w:p>
    <w:p>
      <w:pPr>
        <w:pBdr>
          <w:top w:val="none" w:color="000000" w:sz="4" w:space="0"/>
          <w:left w:val="none" w:color="000000" w:sz="4" w:space="0"/>
          <w:bottom w:val="none" w:color="000000" w:sz="4" w:space="0"/>
          <w:right w:val="none" w:color="000000" w:sz="4" w:space="0"/>
        </w:pBdr>
        <w:shd w:val="clear" w:color="ffffff" w:fill="ffffff"/>
        <w:spacing w:after="311" w:before="0" w:line="276" w:lineRule="auto"/>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Thành phố Sa Đéc sở hữu vị trí địa lý vô cùng đắc địa, là cửa ngõ giao thương quan trọng của khu vực Tây Nam Bộ. Nằm ở trung tâm của tam giác kinh tế Cần Thơ – Long Xuyên – Cao Lãnh, Sa Đéc dễ dàng kết nối với các tỉnh lân cận và các trung tâm kinh tế lớn.</w:t>
      </w:r>
      <w:r>
        <w:rPr>
          <w:rFonts w:ascii="Times New Roman" w:hAnsi="Times New Roman" w:eastAsia="Times New Roman" w:cs="Times New Roman"/>
          <w:b w:val="0"/>
          <w:bCs w:val="0"/>
          <w:color w:val="262626"/>
          <w:sz w:val="24"/>
          <w:szCs w:val="24"/>
        </w:rPr>
        <w:t xml:space="preserve"> Vị trí này không chỉ thúc đẩy giao thương mà còn tạo điều kiện thuận lợi cho việc di chuyển, sinh sống và làm việc, từ đó kéo theo nhu cầu về</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mua bán nhà đất Thành phố Sa Đéc, Đồng Tháp</w:t>
      </w:r>
      <w:r>
        <w:rPr>
          <w:rFonts w:ascii="Times New Roman" w:hAnsi="Times New Roman" w:eastAsia="Times New Roman" w:cs="Times New Roman"/>
          <w:b w:val="0"/>
          <w:bCs w:val="0"/>
          <w:color w:val="262626"/>
          <w:sz w:val="24"/>
          <w:szCs w:val="24"/>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Bdr>
          <w:top w:val="none" w:color="000000" w:sz="4" w:space="0"/>
          <w:left w:val="none" w:color="000000" w:sz="4" w:space="0"/>
          <w:bottom w:val="none" w:color="000000" w:sz="4" w:space="0"/>
          <w:right w:val="none" w:color="000000" w:sz="4" w:space="0"/>
        </w:pBdr>
        <w:shd w:val="clear" w:color="ffffff" w:fill="ffffff"/>
        <w:spacing w:after="311" w:before="0" w:line="276" w:lineRule="auto"/>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Bên cạnh đó, việc nằm cạnh sông Tiền mang lại lợi thế về giao thông đường thủy, phục vụ cho việc vận chuyển hàng hóa và phát triển du lịch sinh thái. Điều này làm tăng giá trị cho các khu vực đất ven sông, thu hút những nhà đầu tư tìm kiếm tiềm năng phát t</w:t>
      </w:r>
      <w:r>
        <w:rPr>
          <w:rFonts w:ascii="Times New Roman" w:hAnsi="Times New Roman" w:eastAsia="Times New Roman" w:cs="Times New Roman"/>
          <w:b w:val="0"/>
          <w:bCs w:val="0"/>
          <w:color w:val="262626"/>
          <w:sz w:val="24"/>
          <w:szCs w:val="24"/>
        </w:rPr>
        <w:t xml:space="preserve">riển lâu dài.</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Bdr/>
        <w:tabs>
          <w:tab w:val="left" w:leader="none" w:pos="426"/>
        </w:tabs>
        <w:spacing w:after="120" w:before="120" w:line="276" w:lineRule="auto"/>
        <w:ind/>
        <w:jc w:val="both"/>
        <w:rPr>
          <w:rFonts w:ascii="Times New Roman" w:hAnsi="Times New Roman" w:cs="Times New Roman"/>
          <w:b w:val="0"/>
          <w:bCs w:val="0"/>
          <w:sz w:val="24"/>
          <w:szCs w:val="24"/>
          <w:highlight w:val="none"/>
        </w:rPr>
      </w:pPr>
      <w:r>
        <w:rPr>
          <w:rFonts w:ascii="Times New Roman" w:hAnsi="Times New Roman" w:eastAsia="Times New Roman" w:cs="Times New Roman"/>
          <w:b w:val="0"/>
          <w:bCs w:val="0"/>
          <w:sz w:val="24"/>
          <w:szCs w:val="24"/>
          <w:lang w:val="pt-BR"/>
        </w:rPr>
      </w:r>
      <w:r>
        <w:rPr>
          <w:rFonts w:ascii="Times New Roman" w:hAnsi="Times New Roman" w:eastAsia="Times New Roman" w:cs="Times New Roman"/>
          <w:b w:val="0"/>
          <w:bCs w:val="0"/>
          <w:color w:val="262626"/>
          <w:sz w:val="24"/>
          <w:szCs w:val="24"/>
          <w:highlight w:val="white"/>
        </w:rPr>
        <w:t xml:space="preserve">Hệ tầng giao thông tại Sa Đéc đang được đầu tư và hoàn thiện một cách mạnh mẽ. Các tuyến đường huyết mạch như Quốc lộ 80 và Quốc lộ 30 chạy qua thành phố, giúp kết nối Sa Đéc với TP. Hồ Chí Minh, Cần Thơ và các tỉnh khác một cách thuận tiện. Điều này không</w:t>
      </w:r>
      <w:r>
        <w:rPr>
          <w:rFonts w:ascii="Times New Roman" w:hAnsi="Times New Roman" w:eastAsia="Times New Roman" w:cs="Times New Roman"/>
          <w:b w:val="0"/>
          <w:bCs w:val="0"/>
          <w:color w:val="262626"/>
          <w:sz w:val="24"/>
          <w:szCs w:val="24"/>
          <w:highlight w:val="white"/>
        </w:rPr>
        <w:t xml:space="preserve"> chỉ rút ngắn thời gian di chuyển mà còn thúc đẩy giao thương, tạo điều kiện cho các hoạt động sản xuất, kinh doanh phát triển.</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pBdr>
          <w:top w:val="none" w:color="000000" w:sz="4" w:space="0"/>
          <w:left w:val="none" w:color="000000" w:sz="4" w:space="0"/>
          <w:bottom w:val="none" w:color="000000" w:sz="4" w:space="0"/>
          <w:right w:val="none" w:color="000000" w:sz="4" w:space="0"/>
        </w:pBdr>
        <w:shd w:val="clear" w:color="ffffff" w:fill="ffffff"/>
        <w:spacing w:after="311" w:before="0" w:line="276" w:lineRule="auto"/>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Sa Đéc là một trong những trung tâm kinh tế năng động của Đồng Tháp, với các ngành công nghiệp, thương mại, dịch vụ phát triển mạnh. Thành phố tập trung nhiều nhà máy chế biến nông sản, thực phẩm và các cụm công nghiệp nhỏ. Sự phát triển của các khu công n</w:t>
      </w:r>
      <w:r>
        <w:rPr>
          <w:rFonts w:ascii="Times New Roman" w:hAnsi="Times New Roman" w:eastAsia="Times New Roman" w:cs="Times New Roman"/>
          <w:b w:val="0"/>
          <w:bCs w:val="0"/>
          <w:color w:val="262626"/>
          <w:sz w:val="24"/>
          <w:szCs w:val="24"/>
        </w:rPr>
        <w:t xml:space="preserve">ghiệp như Khu công nghiệp Sa Đéc đã thu hút một lượng lớn lao động từ các tỉnh lân cận, tạo ra nhu cầu ổn định về</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nhà ở Sa Đéc</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và các dịch vụ đi kèm.</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Bdr>
          <w:top w:val="none" w:color="000000" w:sz="4" w:space="0"/>
          <w:left w:val="none" w:color="000000" w:sz="4" w:space="0"/>
          <w:bottom w:val="none" w:color="000000" w:sz="4" w:space="0"/>
          <w:right w:val="none" w:color="000000" w:sz="4" w:space="0"/>
        </w:pBdr>
        <w:shd w:val="clear" w:color="ffffff" w:fill="ffffff"/>
        <w:spacing w:after="311" w:before="0" w:line="276" w:lineRule="auto"/>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Chính quyền địa phương cũng tích cực hỗ trợ doanh nghiệp, tạo môi trường đầu tư thuận lợi, thu hút thêm các dự án mới. Điều này không chỉ đóng góp vào sự tăng trưởng kinh tế chung mà còn trực tiếp làm tăng giá trị cho các loại hình</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bất động sản Sa Đéc</w:t>
      </w:r>
      <w:r>
        <w:rPr>
          <w:rFonts w:ascii="Times New Roman" w:hAnsi="Times New Roman" w:eastAsia="Times New Roman" w:cs="Times New Roman"/>
          <w:b w:val="0"/>
          <w:bCs w:val="0"/>
          <w:color w:val="262626"/>
          <w:sz w:val="24"/>
          <w:szCs w:val="24"/>
        </w:rPr>
        <w:t xml:space="preserve">, từ đất công nghiệp đến đất ở đô thị.</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Bdr>
          <w:top w:val="none" w:color="000000" w:sz="4" w:space="0"/>
          <w:left w:val="none" w:color="000000" w:sz="4" w:space="0"/>
          <w:bottom w:val="none" w:color="000000" w:sz="4" w:space="0"/>
          <w:right w:val="none" w:color="000000" w:sz="4" w:space="0"/>
        </w:pBdr>
        <w:shd w:val="clear" w:color="ffffff" w:fill="ffffff"/>
        <w:spacing w:after="311" w:before="0" w:line="276" w:lineRule="auto"/>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So với các thành phố lớn trong khu vực Đồng bằng sông Cửu Long như Cần Thơ hay các đô thị lân cận như Long Xuyên,</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giá đất Sa Đéc</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vẫn còn ở mức tương đối hợp lý và có tiềm năng tăng trưởng mạnh mẽ. Điều này tạo cơ hội vàng cho các nhà đầu tư muốn tối ưu hóa lợi nhuận. Mức giá phải chăng giúp việc tiếp cận thị trường dễ dàng hơn, đặc biệt đối với những nhà đầu tư có nguồn vốn trung bì</w:t>
      </w:r>
      <w:r>
        <w:rPr>
          <w:rFonts w:ascii="Times New Roman" w:hAnsi="Times New Roman" w:eastAsia="Times New Roman" w:cs="Times New Roman"/>
          <w:b w:val="0"/>
          <w:bCs w:val="0"/>
          <w:color w:val="262626"/>
          <w:sz w:val="24"/>
          <w:szCs w:val="24"/>
        </w:rPr>
        <w:t xml:space="preserve">nh.</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Bdr>
          <w:top w:val="none" w:color="000000" w:sz="4" w:space="0"/>
          <w:left w:val="none" w:color="000000" w:sz="4" w:space="0"/>
          <w:bottom w:val="none" w:color="000000" w:sz="4" w:space="0"/>
          <w:right w:val="none" w:color="000000" w:sz="4" w:space="0"/>
        </w:pBdr>
        <w:shd w:val="clear" w:color="ffffff" w:fill="ffffff"/>
        <w:spacing w:after="311" w:before="0" w:line="276" w:lineRule="auto"/>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Các phân khúc như đất nền, nhà phố trong các khu dân cư mới hoặc khu vực đang phát triển hạ tầng có mức tăng trưởng giá đáng kể trong những năm gần đây, trung bình từ 10-15% mỗi năm tùy vị trí. Việc đầu tư vào thời điểm này có thể mang lại lợi nhuận kép từ</w:t>
      </w:r>
      <w:r>
        <w:rPr>
          <w:rFonts w:ascii="Times New Roman" w:hAnsi="Times New Roman" w:eastAsia="Times New Roman" w:cs="Times New Roman"/>
          <w:b w:val="0"/>
          <w:bCs w:val="0"/>
          <w:color w:val="262626"/>
          <w:sz w:val="24"/>
          <w:szCs w:val="24"/>
        </w:rPr>
        <w:t xml:space="preserve"> việc tăng giá trị tài sản và khả năng cho thuê hoặc kinh doanh.</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Bdr>
          <w:top w:val="none" w:color="000000" w:sz="4" w:space="0"/>
          <w:left w:val="none" w:color="000000" w:sz="4" w:space="0"/>
          <w:bottom w:val="none" w:color="000000" w:sz="4" w:space="0"/>
          <w:right w:val="none" w:color="000000" w:sz="4" w:space="0"/>
        </w:pBdr>
        <w:shd w:val="clear" w:color="ffffff" w:fill="ffffff"/>
        <w:spacing w:after="311" w:before="0" w:line="276" w:lineRule="auto"/>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Tốc độ đô thị hóa nhanh chóng cùng với sự dịch chuyển của dân cư từ nông thôn ra thành thị đã tạo ra một nhu cầu lớn về</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nhà ở Sa Đéc</w:t>
      </w:r>
      <w:r>
        <w:rPr>
          <w:rFonts w:ascii="Times New Roman" w:hAnsi="Times New Roman" w:eastAsia="Times New Roman" w:cs="Times New Roman"/>
          <w:b w:val="0"/>
          <w:bCs w:val="0"/>
          <w:color w:val="262626"/>
          <w:sz w:val="24"/>
          <w:szCs w:val="24"/>
        </w:rPr>
        <w:t xml:space="preserve">. Nhu cầu này không chỉ đến từ người dân địa phương mà còn từ các chuyên gia, kỹ sư làm việc tại các khu công nghiệp, cũng như những người tìm kiếm một nơi an cư lý tưởng với chi phí hợp lý.</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Bdr>
          <w:top w:val="none" w:color="000000" w:sz="4" w:space="0"/>
          <w:left w:val="none" w:color="000000" w:sz="4" w:space="0"/>
          <w:bottom w:val="none" w:color="000000" w:sz="4" w:space="0"/>
          <w:right w:val="none" w:color="000000" w:sz="4" w:space="0"/>
        </w:pBdr>
        <w:shd w:val="clear" w:color="ffffff" w:fill="ffffff"/>
        <w:spacing w:after="311" w:before="0" w:line="276" w:lineRule="auto"/>
        <w:ind w:right="0" w:firstLine="0" w:left="0"/>
        <w:jc w:val="both"/>
        <w:rPr>
          <w:rFonts w:ascii="Times New Roman" w:hAnsi="Times New Roman" w:cs="Times New Roman"/>
          <w:b w:val="0"/>
          <w:bCs w:val="0"/>
          <w:sz w:val="24"/>
          <w:szCs w:val="24"/>
        </w:rPr>
      </w:pPr>
      <w:r>
        <w:rPr>
          <w:rFonts w:ascii="Times New Roman" w:hAnsi="Times New Roman" w:eastAsia="Times New Roman" w:cs="Times New Roman"/>
          <w:b w:val="0"/>
          <w:bCs w:val="0"/>
          <w:color w:val="262626"/>
          <w:sz w:val="24"/>
          <w:szCs w:val="24"/>
        </w:rPr>
        <w:t xml:space="preserve">Sự đa dạng về loại hình sản phẩm, từ</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đất nền Sa Đéc</w:t>
      </w:r>
      <w:r>
        <w:rPr>
          <w:rFonts w:ascii="Times New Roman" w:hAnsi="Times New Roman" w:eastAsia="Times New Roman" w:cs="Times New Roman"/>
          <w:b w:val="0"/>
          <w:bCs w:val="0"/>
          <w:color w:val="262626"/>
          <w:sz w:val="24"/>
          <w:szCs w:val="24"/>
        </w:rPr>
        <w:t xml:space="preserve"> </w:t>
      </w:r>
      <w:r>
        <w:rPr>
          <w:rFonts w:ascii="Times New Roman" w:hAnsi="Times New Roman" w:eastAsia="Times New Roman" w:cs="Times New Roman"/>
          <w:b w:val="0"/>
          <w:bCs w:val="0"/>
          <w:color w:val="262626"/>
          <w:sz w:val="24"/>
          <w:szCs w:val="24"/>
        </w:rPr>
        <w:t xml:space="preserve">phục vụ mục đích xây dựng tự do đến các dự án nhà phố thương mại, căn hộ hiện đại, đã đáp ứng linh hoạt nhu cầu của nhiều đối tượng khách hàng. Đặc biệt, phân khúc đất nền sổ đỏ pháp lý rõ ràng luôn được săn đón, cho thấy sự tin tưởng của người mua vào tiề</w:t>
      </w:r>
      <w:r>
        <w:rPr>
          <w:rFonts w:ascii="Times New Roman" w:hAnsi="Times New Roman" w:eastAsia="Times New Roman" w:cs="Times New Roman"/>
          <w:b w:val="0"/>
          <w:bCs w:val="0"/>
          <w:color w:val="262626"/>
          <w:sz w:val="24"/>
          <w:szCs w:val="24"/>
        </w:rPr>
        <w:t xml:space="preserve">m năng phát triển lâu dài của thành phố.</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Bdr/>
        <w:tabs>
          <w:tab w:val="left" w:leader="none" w:pos="426"/>
        </w:tabs>
        <w:spacing w:after="120" w:before="120" w:line="276" w:lineRule="auto"/>
        <w:ind/>
        <w:rPr>
          <w:rFonts w:ascii="Times New Roman" w:hAnsi="Times New Roman" w:eastAsia="Times New Roman" w:cs="Times New Roman"/>
          <w:b w:val="0"/>
          <w:bCs w:val="0"/>
          <w:sz w:val="24"/>
          <w:szCs w:val="24"/>
          <w:highlight w:val="none"/>
          <w:lang w:val="pt-BR"/>
        </w:rPr>
      </w:pPr>
      <w:r>
        <w:rPr>
          <w:rFonts w:ascii="Times New Roman" w:hAnsi="Times New Roman" w:eastAsia="Times New Roman" w:cs="Times New Roman"/>
          <w:b w:val="0"/>
          <w:bCs w:val="0"/>
          <w:sz w:val="24"/>
          <w:szCs w:val="24"/>
          <w:highlight w:val="none"/>
          <w:lang w:val="pt-BR" w:bidi="pt-BR"/>
        </w:rPr>
        <w:t xml:space="preserve">(Nguồn tham khảo: </w:t>
      </w:r>
      <w:r>
        <w:rPr>
          <w:rFonts w:ascii="Times New Roman" w:hAnsi="Times New Roman" w:eastAsia="Times New Roman" w:cs="Times New Roman"/>
          <w:b w:val="0"/>
          <w:bCs w:val="0"/>
          <w:sz w:val="24"/>
          <w:szCs w:val="24"/>
          <w:highlight w:val="none"/>
          <w:lang w:val="pt-BR" w:bidi="pt-BR"/>
        </w:rPr>
      </w:r>
      <w:hyperlink r:id="rId15" w:tooltip="https://summerland.com.vn/thi-truong-mua-ban-nha-dat-thanh-pho-sa-dec-co-hoi-dau-tu)" w:history="1">
        <w:r>
          <w:rPr>
            <w:rStyle w:val="1033"/>
            <w:rFonts w:ascii="Times New Roman" w:hAnsi="Times New Roman" w:eastAsia="Times New Roman" w:cs="Times New Roman"/>
            <w:b w:val="0"/>
            <w:bCs w:val="0"/>
            <w:sz w:val="24"/>
            <w:szCs w:val="24"/>
            <w:highlight w:val="none"/>
            <w:lang w:val="pt-BR" w:bidi="pt-BR"/>
          </w:rPr>
          <w:t xml:space="preserve">https://summerland.com.vn/thi-truong-mua-ban-nha-dat-thanh-pho-sa-dec-co-hoi-dau-tu</w:t>
        </w:r>
        <w:r>
          <w:rPr>
            <w:rStyle w:val="1033"/>
            <w:rFonts w:ascii="Times New Roman" w:hAnsi="Times New Roman" w:eastAsia="Times New Roman" w:cs="Times New Roman"/>
            <w:b w:val="0"/>
            <w:bCs w:val="0"/>
            <w:sz w:val="24"/>
            <w:szCs w:val="24"/>
            <w:highlight w:val="none"/>
            <w:lang w:val="pt-BR" w:bidi="pt-BR"/>
          </w:rPr>
          <w:t xml:space="preserve">)</w:t>
        </w:r>
        <w:r>
          <w:rPr>
            <w:rStyle w:val="1033"/>
            <w:rFonts w:ascii="Times New Roman" w:hAnsi="Times New Roman" w:eastAsia="Times New Roman" w:cs="Times New Roman"/>
            <w:b w:val="0"/>
            <w:bCs w:val="0"/>
            <w:sz w:val="24"/>
            <w:szCs w:val="24"/>
            <w:highlight w:val="none"/>
            <w:lang w:val="pt-BR" w:bidi="pt-BR"/>
          </w:rPr>
        </w:r>
        <w:r>
          <w:rPr>
            <w:rStyle w:val="1033"/>
            <w:rFonts w:ascii="Times New Roman" w:hAnsi="Times New Roman" w:eastAsia="Times New Roman" w:cs="Times New Roman"/>
            <w:b w:val="0"/>
            <w:bCs w:val="0"/>
            <w:sz w:val="24"/>
            <w:szCs w:val="24"/>
            <w:highlight w:val="none"/>
            <w:lang w:val="pt-BR"/>
          </w:rPr>
        </w:r>
        <w:r>
          <w:rPr>
            <w:rStyle w:val="1033"/>
            <w:rFonts w:ascii="Times New Roman" w:hAnsi="Times New Roman" w:cs="Times New Roman"/>
            <w:b w:val="0"/>
            <w:bCs w:val="0"/>
            <w:i/>
            <w:sz w:val="24"/>
            <w:szCs w:val="24"/>
          </w:rPr>
        </w:r>
      </w:hyperlink>
      <w:r>
        <w:rPr>
          <w:rFonts w:ascii="Times New Roman" w:hAnsi="Times New Roman" w:eastAsia="Times New Roman" w:cs="Times New Roman"/>
          <w:b w:val="0"/>
          <w:bCs w:val="0"/>
          <w:sz w:val="24"/>
          <w:szCs w:val="24"/>
          <w:highlight w:val="none"/>
          <w:lang w:val="pt-BR"/>
        </w:rPr>
      </w:r>
      <w:r>
        <w:rPr>
          <w:rFonts w:ascii="Times New Roman" w:hAnsi="Times New Roman" w:eastAsia="Times New Roman" w:cs="Times New Roman"/>
          <w:b w:val="0"/>
          <w:bCs w:val="0"/>
          <w:sz w:val="24"/>
          <w:szCs w:val="24"/>
          <w:highlight w:val="none"/>
          <w:lang w:val="pt-BR"/>
        </w:rPr>
      </w:r>
    </w:p>
    <w:p>
      <w:pPr>
        <w:pStyle w:val="104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7"/>
        <w:tblInd w:w="28" w:type="dxa"/>
        <w:tblW w:w="0" w:type="auto"/>
        <w:tblCellMar>
          <w:left w:w="108" w:type="dxa"/>
          <w:top w:w="0" w:type="dxa"/>
          <w:right w:w="108" w:type="dxa"/>
          <w:bottom w:w="0" w:type="dxa"/>
        </w:tblCellMar>
        <w:tblBorders>
          <w:top w:val="single" w:color="000000" w:sz="8" w:space="0"/>
          <w:left w:val="single" w:color="000000" w:sz="8" w:space="0"/>
          <w:bottom w:val="single" w:color="000000" w:sz="5" w:space="0"/>
          <w:right w:val="single" w:color="000000" w:sz="5" w:space="0"/>
          <w:insideH w:val="single" w:color="000000" w:sz="4" w:space="0"/>
          <w:insideV w:val="single" w:color="000000" w:sz="4" w:space="0"/>
        </w:tblBorders>
        <w:tblLayout w:type="fixed"/>
        <w:tblLook w:val="04A0" w:firstRow="1" w:lastRow="0" w:firstColumn="1" w:lastColumn="0" w:noHBand="0" w:noVBand="1"/>
      </w:tblPr>
      <w:tblGrid>
        <w:gridCol w:w="570"/>
        <w:gridCol w:w="2573"/>
        <w:gridCol w:w="2171"/>
        <w:gridCol w:w="2171"/>
        <w:gridCol w:w="2012"/>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 Quyền sử dụng đất tại thửa đất số: 651, tờ bản đồ số 30 có địa chỉ: Khóm Tân An, phường Sa Đéc, tỉnh Đồng Tháp theo Giấy chứng nhận quyền sử dụng đất quyền sở hữu nhà ở và tài sản khác gắn li</w:t>
            </w:r>
            <w:r>
              <w:rPr>
                <w:rFonts w:ascii="Times New Roman" w:hAnsi="Times New Roman" w:eastAsia="Times New Roman" w:cs="Times New Roman"/>
                <w:b/>
                <w:color w:val="000000"/>
                <w:sz w:val="24"/>
              </w:rPr>
              <w:t xml:space="preserve">ền với đất số: BU 113570, số vào sổ cấp GCN: CH04066 do Ủy ban nhân dân thành phố Sa Đéc cấp ngày 29/07/2014; Chủ sử dụng đất là Ông Phan Văn Lĩnh</w:t>
            </w:r>
            <w:r>
              <w:rPr>
                <w:rFonts w:ascii="Times New Roman" w:hAnsi="Times New Roman" w:eastAsia="Times New Roman" w:cs="Times New Roman"/>
                <w:b/>
                <w:i/>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2: Quyền sử dụng đất tại thửa đất số: 616, tờ bản đồ số 30 có địa chỉ: Khóm Tân An, phường Sa Đéc, tỉnh Đồng Tháp theo Giấy chứng nhận quyền sử dụng đất quyền sở hữu nhà ở và tài sản khác gắn li</w:t>
            </w:r>
            <w:r>
              <w:rPr>
                <w:rFonts w:ascii="Times New Roman" w:hAnsi="Times New Roman" w:eastAsia="Times New Roman" w:cs="Times New Roman"/>
                <w:b/>
                <w:color w:val="000000"/>
                <w:sz w:val="24"/>
              </w:rPr>
              <w:t xml:space="preserve">ền với đất số: BL 359885, số vào sổ cấp GCN: CH02567 do Ủy ban nhân dân thị xã Sa Đéc cấp ngày 03/10/2012; Chủ sử dụng đất là Ông Phan Văn Lĩnh</w:t>
            </w:r>
            <w:r/>
          </w:p>
        </w:tc>
      </w:tr>
      <w:tr>
        <w:trPr>
          <w:trHeight w:val="299"/>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Tài sản 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651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30</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Khóm Tân An, Phường Sa Đéc, Tỉnh Đồng Tháp </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791,2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 </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 </w:t>
            </w:r>
            <w:r/>
          </w:p>
        </w:tc>
      </w:tr>
      <w:tr>
        <w:trPr>
          <w:trHeight w:val="425"/>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vMerge w:val="restart"/>
            <w:textDirection w:val="lrTb"/>
            <w:noWrap w:val="false"/>
          </w:tcPr>
          <w:p w14:paraId="0DC81699">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vMerge w:val="restart"/>
            <w:textDirection w:val="lrTb"/>
            <w:noWrap w:val="false"/>
          </w:tcPr>
          <w:p w14:paraId="7F0C5CAA">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eastAsia="Times New Roman" w:cs="Times New Roman"/>
                <w:color w:val="000000"/>
                <w:sz w:val="24"/>
                <w:szCs w:val="24"/>
                <w:highlight w:val="none"/>
              </w:rPr>
            </w:pPr>
            <w:r>
              <w:rPr>
                <w:rFonts w:ascii="Times New Roman" w:hAnsi="Times New Roman" w:eastAsia="Times New Roman" w:cs="Times New Roman"/>
                <w:color w:val="000000"/>
                <w:sz w:val="24"/>
              </w:rPr>
              <w:t xml:space="preserve">Những thay đổi sau khi cấp GCN</w:t>
            </w:r>
            <w:r>
              <w:rPr>
                <w:rFonts w:ascii="Times New Roman" w:hAnsi="Times New Roman" w:eastAsia="Times New Roman" w:cs="Times New Roman"/>
                <w:color w:val="000000"/>
                <w:sz w:val="24"/>
                <w:szCs w:val="24"/>
                <w:highlight w:val="none"/>
              </w:rPr>
            </w:r>
            <w:r>
              <w:rPr>
                <w:rFonts w:ascii="Times New Roman" w:hAnsi="Times New Roman" w:eastAsia="Times New Roman" w:cs="Times New Roman"/>
                <w:color w:val="000000"/>
                <w:sz w:val="24"/>
                <w:szCs w:val="24"/>
                <w:highlight w:val="none"/>
              </w:rP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vMerge w:val="restart"/>
            <w:textDirection w:val="lrTb"/>
            <w:noWrap w:val="false"/>
          </w:tcPr>
          <w:p w14:paraId="67C2992A">
            <w:pPr>
              <w:pStyle w:val="1043"/>
              <w:numPr>
                <w:ilvl w:val="0"/>
                <w:numId w:val="46"/>
              </w:numPr>
              <w:pBdr>
                <w:top w:val="none" w:color="000000" w:sz="4" w:space="0"/>
                <w:left w:val="none" w:color="000000" w:sz="4" w:space="0"/>
                <w:bottom w:val="none" w:color="000000" w:sz="4" w:space="0"/>
                <w:right w:val="none" w:color="000000" w:sz="4" w:space="0"/>
              </w:pBdr>
              <w:spacing w:after="0"/>
              <w:ind w:right="0" w:hanging="218" w:left="142"/>
              <w:jc w:val="both"/>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Chuyển n</w:t>
            </w:r>
            <w:r>
              <w:t xml:space="preserve">hượng cho ông Đoàn Ngọc Gia Gia, CCCD số 051088000313, địa chỉ thường trú số Căn hộ 15.10 Khu Căn hộ Cao tầng Lan Phương, 104 Đường Hồ Văn Tu. khu phổ 24, phường Thủ Đức, thành phố Hồ Chí Minh, theo hồ sơ số 004066.CN.013</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p w14:paraId="464240D8">
            <w:pPr>
              <w:pStyle w:val="1043"/>
              <w:numPr>
                <w:ilvl w:val="0"/>
                <w:numId w:val="46"/>
              </w:numPr>
              <w:pBdr>
                <w:top w:val="none" w:color="000000" w:sz="4" w:space="0"/>
                <w:left w:val="none" w:color="000000" w:sz="4" w:space="0"/>
                <w:bottom w:val="none" w:color="000000" w:sz="4" w:space="0"/>
                <w:right w:val="none" w:color="000000" w:sz="4" w:space="0"/>
              </w:pBdr>
              <w:spacing w:after="0"/>
              <w:ind w:right="0" w:hanging="218" w:left="142"/>
              <w:jc w:val="both"/>
              <w:rPr>
                <w:rFonts w:ascii="Times New Roman" w:hAnsi="Times New Roman" w:eastAsia="Times New Roman" w:cs="Times New Roman"/>
                <w:color w:val="000000"/>
                <w:sz w:val="24"/>
                <w:szCs w:val="24"/>
              </w:rPr>
            </w:pPr>
            <w:r>
              <w:rPr>
                <w:highlight w:val="none"/>
              </w:rPr>
            </w:r>
            <w:r>
              <w:t xml:space="preserve">Đổi tên phường An Hòa, thành phố Sa Đéc, tỉnh Đồng Tháp thành phường Sa Đéc, tỉnh Đồng Tháp</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4EF1E6A0">
            <w:pPr>
              <w:pStyle w:val="1043"/>
              <w:numPr>
                <w:ilvl w:val="0"/>
                <w:numId w:val="46"/>
              </w:numPr>
              <w:pBdr>
                <w:top w:val="none" w:color="000000" w:sz="4" w:space="0"/>
                <w:left w:val="none" w:color="000000" w:sz="4" w:space="0"/>
                <w:bottom w:val="none" w:color="000000" w:sz="4" w:space="0"/>
                <w:right w:val="none" w:color="000000" w:sz="4" w:space="0"/>
              </w:pBdr>
              <w:spacing w:after="0"/>
              <w:ind w:right="0" w:hanging="218" w:left="142"/>
              <w:jc w:val="both"/>
              <w:rPr>
                <w:rFonts w:ascii="Times New Roman" w:hAnsi="Times New Roman" w:eastAsia="Times New Roman" w:cs="Times New Roman"/>
                <w:color w:val="000000"/>
                <w:sz w:val="24"/>
                <w:szCs w:val="24"/>
              </w:rPr>
            </w:pPr>
            <w:r>
              <w:rPr>
                <w:highlight w:val="none"/>
              </w:rPr>
            </w:r>
            <w:r>
              <w:t xml:space="preserve">Người sử dụng đất thay đổi tờ bản đồ từ số 30 ĐẤT Ở. KT. GIÁMĐỐC thành số 143 theo hồ sơ số 004066.DT.008</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07737210">
            <w:pPr>
              <w:pStyle w:val="1043"/>
              <w:numPr>
                <w:ilvl w:val="0"/>
                <w:numId w:val="46"/>
              </w:numPr>
              <w:pBdr>
                <w:top w:val="none" w:color="000000" w:sz="4" w:space="0"/>
                <w:left w:val="none" w:color="000000" w:sz="4" w:space="0"/>
                <w:bottom w:val="none" w:color="000000" w:sz="4" w:space="0"/>
                <w:right w:val="none" w:color="000000" w:sz="4" w:space="0"/>
              </w:pBdr>
              <w:spacing w:after="0"/>
              <w:ind w:right="0" w:hanging="218" w:left="142"/>
              <w:jc w:val="both"/>
              <w:rPr>
                <w:rFonts w:ascii="Times New Roman" w:hAnsi="Times New Roman" w:eastAsia="Times New Roman" w:cs="Times New Roman"/>
                <w:color w:val="000000"/>
                <w:sz w:val="24"/>
                <w:szCs w:val="24"/>
              </w:rPr>
            </w:pPr>
            <w:r>
              <w:rPr>
                <w:highlight w:val="none"/>
              </w:rPr>
            </w:r>
            <w:r>
              <w:t xml:space="preserve">Nhà  nước  thu hồi 70.6m², theo Quyết định số  68/QĐ-UBND- NĐ ngày 10/7/2020 của thành phố Sa Đéc, diện tích còn lại: 791,2m² theo hồ sơ số 004066.TH.009</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3C7EA6DF">
            <w:pPr>
              <w:pStyle w:val="1043"/>
              <w:numPr>
                <w:ilvl w:val="0"/>
                <w:numId w:val="46"/>
              </w:numPr>
              <w:pBdr>
                <w:top w:val="none" w:color="000000" w:sz="4" w:space="0"/>
                <w:left w:val="none" w:color="000000" w:sz="4" w:space="0"/>
                <w:bottom w:val="none" w:color="000000" w:sz="4" w:space="0"/>
                <w:right w:val="none" w:color="000000" w:sz="4" w:space="0"/>
              </w:pBdr>
              <w:spacing w:after="0"/>
              <w:ind w:right="0" w:hanging="218" w:left="142"/>
              <w:jc w:val="both"/>
              <w:rPr>
                <w:rFonts w:ascii="Times New Roman" w:hAnsi="Times New Roman" w:eastAsia="Times New Roman" w:cs="Times New Roman"/>
                <w:color w:val="000000"/>
                <w:sz w:val="24"/>
                <w:szCs w:val="24"/>
              </w:rPr>
            </w:pPr>
            <w:r>
              <w:rPr>
                <w:highlight w:val="none"/>
              </w:rPr>
            </w:r>
            <w:r>
              <w:t xml:space="preserve">Người sử dụng đất thay đổi CMND 340693727 thành 087168009636, theo hồ sơ số 004066.DT.010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5171AE30">
            <w:pPr>
              <w:pStyle w:val="1043"/>
              <w:numPr>
                <w:ilvl w:val="0"/>
                <w:numId w:val="46"/>
              </w:numPr>
              <w:pBdr>
                <w:top w:val="none" w:color="000000" w:sz="4" w:space="0"/>
                <w:left w:val="none" w:color="000000" w:sz="4" w:space="0"/>
                <w:bottom w:val="none" w:color="000000" w:sz="4" w:space="0"/>
                <w:right w:val="none" w:color="000000" w:sz="4" w:space="0"/>
              </w:pBdr>
              <w:spacing w:after="0"/>
              <w:ind w:right="0" w:hanging="218" w:left="142"/>
              <w:jc w:val="both"/>
              <w:rPr>
                <w:rFonts w:ascii="Times New Roman" w:hAnsi="Times New Roman" w:eastAsia="Times New Roman" w:cs="Times New Roman"/>
                <w:color w:val="000000"/>
                <w:sz w:val="24"/>
                <w:szCs w:val="24"/>
              </w:rPr>
            </w:pPr>
            <w:r>
              <w:rPr>
                <w:highlight w:val="none"/>
              </w:rPr>
            </w:r>
            <w:r>
              <w:t xml:space="preserve">Chuyển nhượng cho ông Phan Văn Lĩnh, CCCD 087067014251, địa chỉ thường trú Tổ 31, khóm Phú An, phường Cao Lãnh, tỉnh Đồng Tháp, theo hồ sơ SỐ 002567.DT.</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51FDD7B7">
            <w:pPr>
              <w:pStyle w:val="1043"/>
              <w:numPr>
                <w:ilvl w:val="0"/>
                <w:numId w:val="46"/>
              </w:numPr>
              <w:pBdr>
                <w:top w:val="none" w:color="000000" w:sz="4" w:space="0"/>
                <w:left w:val="none" w:color="000000" w:sz="4" w:space="0"/>
                <w:bottom w:val="none" w:color="000000" w:sz="4" w:space="0"/>
                <w:right w:val="none" w:color="000000" w:sz="4" w:space="0"/>
              </w:pBdr>
              <w:spacing w:after="0"/>
              <w:ind w:right="0" w:hanging="218" w:left="142"/>
              <w:jc w:val="both"/>
              <w:rPr>
                <w:rFonts w:ascii="Times New Roman" w:hAnsi="Times New Roman" w:eastAsia="Times New Roman" w:cs="Times New Roman"/>
                <w:color w:val="000000"/>
                <w:sz w:val="24"/>
                <w:szCs w:val="24"/>
              </w:rPr>
            </w:pPr>
            <w:r>
              <w:rPr>
                <w:highlight w:val="none"/>
              </w:rPr>
              <w:t xml:space="preserve">H</w:t>
            </w:r>
            <w:r>
              <w:t xml:space="preserve">ủy bỏ nội dung chỉnh lý “Đã Thu Hồi” ở trang 1 giáy chứng nhận</w:t>
            </w:r>
            <w:r>
              <w:rPr>
                <w:highlight w:val="none"/>
              </w:rPr>
            </w:r>
            <w:r>
              <w:rPr>
                <w:rFonts w:ascii="Times New Roman" w:hAnsi="Times New Roman" w:eastAsia="Times New Roman" w:cs="Times New Roman"/>
                <w:color w:val="000000"/>
                <w:sz w:val="24"/>
                <w:szCs w:val="24"/>
              </w:rP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1.1</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Tài sản 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Thửa đất số:</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616</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Tờ bản đồ số:</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30</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Khóm Tân An, Phường Sa Đéc, Tỉnh Đồng Tháp</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405,2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Riêng 405,2 m² Chung Không m²</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ở tại đô thị: 219,8 m²; Đất trồng cây lâu năm: 185,4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Đất ở tại đô thị: lâu dài; Đất trổng cây lâu năm đến ngày 15/10/2043.</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Công nhận QSDĐ như giao đất có thu tiền sử dụng đất 219,8 m². Công nhận QSDĐ như giao đất không thu tiền sử dụng đất 185,4 m²</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Thông tin quy hoạch:</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vMerge w:val="restart"/>
            <w:textDirection w:val="lrTb"/>
            <w:noWrap w:val="false"/>
          </w:tcPr>
          <w:p w14:paraId="6E07015B">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vMerge w:val="restart"/>
            <w:textDirection w:val="lrTb"/>
            <w:noWrap w:val="false"/>
          </w:tcPr>
          <w:p w14:paraId="4281CB6B">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t xml:space="preserve">Những thay đổi sau khi cấp GCN</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vMerge w:val="restart"/>
            <w:textDirection w:val="lrTb"/>
            <w:noWrap w:val="false"/>
          </w:tcPr>
          <w:p w14:paraId="33C13E3E">
            <w:pPr>
              <w:pStyle w:val="1043"/>
              <w:numPr>
                <w:ilvl w:val="0"/>
                <w:numId w:val="47"/>
              </w:numPr>
              <w:pBdr>
                <w:top w:val="none" w:color="000000" w:sz="4" w:space="0"/>
                <w:left w:val="none" w:color="000000" w:sz="4" w:space="0"/>
                <w:bottom w:val="none" w:color="000000" w:sz="4" w:space="0"/>
                <w:right w:val="none" w:color="000000" w:sz="4" w:space="0"/>
              </w:pBdr>
              <w:spacing w:after="0"/>
              <w:ind w:right="0" w:hanging="218" w:left="283"/>
              <w:jc w:val="both"/>
              <w:rPr>
                <w:rFonts w:ascii="Times New Roman" w:hAnsi="Times New Roman" w:eastAsia="Times New Roman" w:cs="Times New Roman"/>
                <w:color w:val="000000"/>
                <w:sz w:val="24"/>
              </w:rPr>
            </w:pPr>
            <w:r>
              <w:t xml:space="preserve">Chuyển nhượng cho ông Đoàn Ngọc Gia Gia, CCCD số 051088000313, địa chỉ thường trú số Căn hộ 15.10 Khu Căn hộ Cao tầng Lan Phương, 104 Đường Hồ Văn Tư, nường, 104 Đường khu phố 24, phường Thủ Đức, thành phố Hồ Chí Minh, theo hồ so số 002567.CN.014.</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p w14:paraId="1B14607B">
            <w:pPr>
              <w:pStyle w:val="1043"/>
              <w:numPr>
                <w:ilvl w:val="0"/>
                <w:numId w:val="47"/>
              </w:numPr>
              <w:pBdr>
                <w:top w:val="none" w:color="000000" w:sz="4" w:space="0"/>
                <w:left w:val="none" w:color="000000" w:sz="4" w:space="0"/>
                <w:bottom w:val="none" w:color="000000" w:sz="4" w:space="0"/>
                <w:right w:val="none" w:color="000000" w:sz="4" w:space="0"/>
              </w:pBdr>
              <w:spacing w:after="0"/>
              <w:ind w:right="0" w:hanging="218" w:left="283"/>
              <w:jc w:val="both"/>
              <w:rPr>
                <w:rFonts w:ascii="Times New Roman" w:hAnsi="Times New Roman" w:eastAsia="Times New Roman" w:cs="Times New Roman"/>
                <w:color w:val="000000"/>
                <w:sz w:val="24"/>
                <w:szCs w:val="24"/>
              </w:rPr>
            </w:pPr>
            <w:r>
              <w:rPr>
                <w:highlight w:val="none"/>
              </w:rPr>
            </w:r>
            <w:r>
              <w:t xml:space="preserve">Đổi tên phường An Hòa, thành phố Sa Đéc, tinh Đồng Tháp thành phường Sa Đéc, tỉnh Đồng Tháp</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5B3DB398">
            <w:pPr>
              <w:pStyle w:val="1043"/>
              <w:numPr>
                <w:ilvl w:val="0"/>
                <w:numId w:val="47"/>
              </w:numPr>
              <w:pBdr>
                <w:top w:val="none" w:color="000000" w:sz="4" w:space="0"/>
                <w:left w:val="none" w:color="000000" w:sz="4" w:space="0"/>
                <w:bottom w:val="none" w:color="000000" w:sz="4" w:space="0"/>
                <w:right w:val="none" w:color="000000" w:sz="4" w:space="0"/>
              </w:pBdr>
              <w:spacing w:after="0"/>
              <w:ind w:right="0" w:hanging="218" w:left="283"/>
              <w:jc w:val="both"/>
              <w:rPr>
                <w:rFonts w:ascii="Times New Roman" w:hAnsi="Times New Roman" w:eastAsia="Times New Roman" w:cs="Times New Roman"/>
                <w:color w:val="000000"/>
                <w:sz w:val="24"/>
                <w:szCs w:val="24"/>
              </w:rPr>
            </w:pPr>
            <w:r>
              <w:rPr>
                <w:highlight w:val="none"/>
              </w:rPr>
            </w:r>
            <w:r>
              <w:t xml:space="preserve">Người sử dụng đất thay đổi tờ bản đồ từ số 30 thành số 143 theo hổ sơ số 002567.DT.010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70FE774F">
            <w:pPr>
              <w:pStyle w:val="1043"/>
              <w:numPr>
                <w:ilvl w:val="0"/>
                <w:numId w:val="47"/>
              </w:numPr>
              <w:pBdr>
                <w:top w:val="none" w:color="000000" w:sz="4" w:space="0"/>
                <w:left w:val="none" w:color="000000" w:sz="4" w:space="0"/>
                <w:bottom w:val="none" w:color="000000" w:sz="4" w:space="0"/>
                <w:right w:val="none" w:color="000000" w:sz="4" w:space="0"/>
              </w:pBdr>
              <w:spacing w:after="0"/>
              <w:ind w:right="0" w:hanging="218" w:left="283"/>
              <w:jc w:val="both"/>
              <w:rPr>
                <w:rFonts w:ascii="Times New Roman" w:hAnsi="Times New Roman" w:eastAsia="Times New Roman" w:cs="Times New Roman"/>
                <w:color w:val="000000"/>
                <w:sz w:val="24"/>
                <w:szCs w:val="24"/>
              </w:rPr>
            </w:pPr>
            <w:r>
              <w:rPr>
                <w:highlight w:val="none"/>
              </w:rPr>
            </w:r>
            <w:r>
              <w:t xml:space="preserve">Người sử dụng đất thay đổi CMND 340693727 thành CC 087168009636, theo hồ sơ số 002567.DT.011</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2415F07E">
            <w:pPr>
              <w:pStyle w:val="1043"/>
              <w:numPr>
                <w:ilvl w:val="0"/>
                <w:numId w:val="47"/>
              </w:numPr>
              <w:pBdr>
                <w:top w:val="none" w:color="000000" w:sz="4" w:space="0"/>
                <w:left w:val="none" w:color="000000" w:sz="4" w:space="0"/>
                <w:bottom w:val="none" w:color="000000" w:sz="4" w:space="0"/>
                <w:right w:val="none" w:color="000000" w:sz="4" w:space="0"/>
              </w:pBdr>
              <w:spacing w:after="0"/>
              <w:ind w:right="0" w:hanging="218" w:left="283"/>
              <w:jc w:val="both"/>
              <w:rPr>
                <w:rFonts w:ascii="Times New Roman" w:hAnsi="Times New Roman" w:eastAsia="Times New Roman" w:cs="Times New Roman"/>
                <w:color w:val="000000"/>
                <w:sz w:val="24"/>
                <w:szCs w:val="24"/>
              </w:rPr>
            </w:pPr>
            <w:r>
              <w:rPr>
                <w:highlight w:val="none"/>
              </w:rPr>
            </w:r>
            <w:r>
              <w:t xml:space="preserve">Chuyển nhượng cho ông Phan Văn Lĩnh, CCCD 087067014251, địa chỉ thường trú Tổ 31, khóm Phú An, phường Cao Lãnh, tỉnh Đồng Tháp, theo hồ sơ số 002567.DT.012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5311E626">
            <w:pPr>
              <w:pStyle w:val="1043"/>
              <w:numPr>
                <w:ilvl w:val="0"/>
                <w:numId w:val="47"/>
              </w:numPr>
              <w:pBdr>
                <w:top w:val="none" w:color="000000" w:sz="4" w:space="0"/>
                <w:left w:val="none" w:color="000000" w:sz="4" w:space="0"/>
                <w:bottom w:val="none" w:color="000000" w:sz="4" w:space="0"/>
                <w:right w:val="none" w:color="000000" w:sz="4" w:space="0"/>
              </w:pBdr>
              <w:spacing w:after="0"/>
              <w:ind w:right="0" w:hanging="218" w:left="283"/>
              <w:jc w:val="both"/>
              <w:rPr>
                <w:rFonts w:ascii="Times New Roman" w:hAnsi="Times New Roman" w:eastAsia="Times New Roman" w:cs="Times New Roman"/>
                <w:color w:val="000000"/>
                <w:sz w:val="24"/>
                <w:szCs w:val="24"/>
              </w:rPr>
            </w:pPr>
            <w:r>
              <w:rPr>
                <w:highlight w:val="none"/>
              </w:rPr>
            </w:r>
            <w:r>
              <w:t xml:space="preserve">Hủy bỏ nội dung chỉnh lý “Đã Thu Hồi” ở trang 1 giấy chứng nhận.</w:t>
            </w:r>
            <w:r>
              <w:rPr>
                <w:highlight w:val="none"/>
              </w:rPr>
            </w:r>
            <w:r>
              <w:rPr>
                <w:rFonts w:ascii="Times New Roman" w:hAnsi="Times New Roman" w:eastAsia="Times New Roman" w:cs="Times New Roman"/>
                <w:color w:val="000000"/>
                <w:sz w:val="24"/>
                <w:szCs w:val="24"/>
              </w:rP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2.1</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Đường tiếp giáp chính:</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Đường Nguyễn Thiện Thuật</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Số mặt tiền:</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Tiếp giáp 1 mặt tiền</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Khoảng 5m+vỉa hè</w:t>
            </w:r>
            <w:r/>
          </w:p>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Khoảng 5m+vỉa hè</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Khoảng cách đến trục đường chính (m):</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Cách công viên Sa Đéc khoảng 1,3km</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Vị trí trên bản đồ vệ tinh: (10.305138888889, 105.74730555556)</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mc:AlternateContent>
                <mc:Choice Requires="wpg">
                  <w:drawing>
                    <wp:inline xmlns:wp="http://schemas.openxmlformats.org/drawingml/2006/wordprocessingDrawing" distT="0" distB="0" distL="0" distR="0">
                      <wp:extent cx="6048375" cy="335467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73592" name=""/>
                              <pic:cNvPicPr>
                                <a:picLocks noChangeAspect="1"/>
                              </pic:cNvPicPr>
                              <pic:nvPr/>
                            </pic:nvPicPr>
                            <pic:blipFill rotWithShape="1">
                              <a:blip r:embed="rId16"/>
                              <a:stretch/>
                            </pic:blipFill>
                            <pic:spPr bwMode="auto">
                              <a:xfrm>
                                <a:off x="0" y="0"/>
                                <a:ext cx="6048374" cy="335467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64.15pt;mso-wrap-distance-left:0.00pt;mso-wrap-distance-top:0.00pt;mso-wrap-distance-right:0.00pt;mso-wrap-distance-bottom:0.00pt;z-index:1;" stroked="false">
                      <v:imagedata r:id="rId16" o:title=""/>
                      <o:lock v:ext="edit" rotation="t"/>
                    </v:shape>
                  </w:pict>
                </mc:Fallback>
              </mc:AlternateConten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2.2.</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bCs/>
                <w:i/>
              </w:rPr>
            </w:pPr>
            <w:r>
              <w:rPr>
                <w:rFonts w:ascii="Times New Roman" w:hAnsi="Times New Roman" w:eastAsia="Times New Roman" w:cs="Times New Roman"/>
                <w:b/>
                <w:bCs/>
                <w:i/>
                <w:iCs/>
                <w:color w:val="000000"/>
                <w:sz w:val="24"/>
              </w:rPr>
              <w:t xml:space="preserve">2.2.1</w:t>
            </w:r>
            <w:r>
              <w:rPr>
                <w:b/>
                <w:bCs/>
                <w:i/>
              </w:rPr>
            </w:r>
            <w:r>
              <w:rPr>
                <w:b/>
                <w:bCs/>
                <w:i/>
              </w:rP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bCs/>
                <w:i/>
              </w:rPr>
            </w:pPr>
            <w:r>
              <w:rPr>
                <w:rFonts w:ascii="Times New Roman" w:hAnsi="Times New Roman" w:eastAsia="Times New Roman" w:cs="Times New Roman"/>
                <w:b/>
                <w:bCs/>
                <w:i/>
                <w:iCs/>
                <w:color w:val="000000"/>
                <w:sz w:val="24"/>
              </w:rPr>
              <w:t xml:space="preserve">Tài sản 1</w:t>
            </w:r>
            <w:r>
              <w:rPr>
                <w:b/>
                <w:bCs/>
                <w:i/>
              </w:rPr>
            </w:r>
            <w:r>
              <w:rPr>
                <w:b/>
                <w:bCs/>
                <w:i/>
              </w:rP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861,8</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Mặt tiền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13,34</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Chiều sâu (m):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99,33</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Đa giác khác</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Bắc</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b/>
                <w:bCs/>
                <w:i/>
              </w:rPr>
            </w:pPr>
            <w:r>
              <w:rPr>
                <w:rFonts w:ascii="Times New Roman" w:hAnsi="Times New Roman" w:eastAsia="Times New Roman" w:cs="Times New Roman"/>
                <w:b/>
                <w:bCs/>
                <w:i/>
                <w:iCs/>
                <w:color w:val="000000"/>
                <w:sz w:val="24"/>
              </w:rPr>
              <w:t xml:space="preserve">2.2.2</w:t>
            </w:r>
            <w:r>
              <w:rPr>
                <w:b/>
                <w:bCs/>
                <w:i/>
              </w:rPr>
            </w:r>
            <w:r>
              <w:rPr>
                <w:b/>
                <w:bCs/>
                <w:i/>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b/>
                <w:bCs/>
                <w:i/>
              </w:rPr>
            </w:pPr>
            <w:r>
              <w:rPr>
                <w:rFonts w:ascii="Times New Roman" w:hAnsi="Times New Roman" w:eastAsia="Times New Roman" w:cs="Times New Roman"/>
                <w:b/>
                <w:bCs/>
                <w:i/>
                <w:iCs/>
                <w:color w:val="000000"/>
                <w:sz w:val="24"/>
              </w:rPr>
              <w:t xml:space="preserve">Tài sản 2</w:t>
            </w:r>
            <w:r>
              <w:rPr>
                <w:b/>
                <w:bCs/>
                <w:i/>
              </w:rPr>
            </w:r>
            <w:r>
              <w:rPr>
                <w:b/>
                <w:bCs/>
                <w:i/>
              </w:rP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405,2</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Mặt tiền (m):</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Không tiếp giáp với đường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Chiều sâu (m): </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31+24,9</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dáng: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Đa giác khác</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Hướng: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Thửa đất không có hướng tiếp giáp với đường</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2.3.</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cấp nước: Nước máy, Hạ tầng thoát nước: Rãnh có nắp, Hạ tầng cấp điện: Điện lưới, Hạ tầng thông tin liên lạc: Điện thoại, Mạng internet, Truyền hình cáp</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Cao/đông đúc</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Cao</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57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Khá</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17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201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3.</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Tài sản gắn liền với đất</w:t>
            </w:r>
            <w:r/>
          </w:p>
        </w:tc>
      </w:tr>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gridSpan w:val="4"/>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92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Tại thời điểm khảo sát, CTXD gắn liền với đất gồm 01 nhà ở và 01 nhà trọ xây dựng khoảng năm 2016. Các CTXD được xây dựng trên cả 2 thửa đất số 651 và thửa đất số 616. Các CTXD chưa được chứng nhận trên GCN. Ngoài ra, tổ thẩm định không thu thập được bất</w:t>
            </w:r>
            <w:r>
              <w:rPr>
                <w:rFonts w:ascii="Times New Roman" w:hAnsi="Times New Roman" w:eastAsia="Times New Roman" w:cs="Times New Roman"/>
                <w:color w:val="000000"/>
                <w:sz w:val="24"/>
              </w:rPr>
              <w:t xml:space="preserve"> kì hồ sơ pháp lí nào liên quan đến CTXD trên. </w:t>
            </w:r>
            <w:r>
              <w:rPr>
                <w:rFonts w:ascii="Times New Roman" w:hAnsi="Times New Roman" w:eastAsia="Times New Roman" w:cs="Times New Roman"/>
                <w:color w:val="000000"/>
                <w:sz w:val="24"/>
              </w:rPr>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3"/>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3"/>
        <w:numPr>
          <w:ilvl w:val="0"/>
          <w:numId w:val="3"/>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thời điểm khảo sát, CTXD gắn liền với đất gồm 01 nhà ở và 01 nhà trọ xây dựng khoảng năm 2016. Các CTXD được xây dựng trên cả 2 thửa đất số 651 và thửa đất số 616. Các CTXD chưa được chứng nhận trên GCN. Ngoài ra, tổ thẩm định không thu thập được bất</w:t>
      </w:r>
      <w:r>
        <w:rPr>
          <w:rFonts w:ascii="Times New Roman" w:hAnsi="Times New Roman" w:eastAsia="Times New Roman" w:cs="Times New Roman"/>
          <w:color w:val="000000"/>
          <w:sz w:val="24"/>
        </w:rPr>
        <w:t xml:space="preserve"> kì hồ sơ pháp lí nào liên quan đến CTXD trên. Do vậy, theo đề nghị của Ngân hàng/Khách hàng, Tổ thẩm định không xác định giá trị của công trình xây dựng vào tổng giá trị, nhưng vẫn coi đó là phần không thể tách rời của tài sản thẩm định. Kính đề nghị đơn </w:t>
      </w:r>
      <w:r>
        <w:rPr>
          <w:rFonts w:ascii="Times New Roman" w:hAnsi="Times New Roman" w:eastAsia="Times New Roman" w:cs="Times New Roman"/>
          <w:color w:val="000000"/>
          <w:sz w:val="24"/>
        </w:rPr>
        <w:t xml:space="preserve">vị sử dụng kết quả lưu ý.</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pacing w:val="-2"/>
          <w:sz w:val="24"/>
        </w:rPr>
        <w:t xml:space="preserve">Tài sản thẩm định giá bao gồm </w:t>
      </w:r>
      <w:r>
        <w:rPr>
          <w:rFonts w:ascii="Times New Roman" w:hAnsi="Times New Roman" w:eastAsia="Times New Roman" w:cs="Times New Roman"/>
          <w:color w:val="000000"/>
          <w:sz w:val="24"/>
        </w:rPr>
        <w:t xml:space="preserve">thửa đất số 651 và thửa đất số 616 </w:t>
      </w:r>
      <w:r>
        <w:rPr>
          <w:rFonts w:ascii="Times New Roman" w:hAnsi="Times New Roman" w:eastAsia="Times New Roman" w:cs="Times New Roman"/>
          <w:color w:val="000000"/>
          <w:spacing w:val="-2"/>
          <w:sz w:val="24"/>
        </w:rPr>
        <w:t xml:space="preserve">nằm tiếp tiếp giáp liền cạnh, không có mốc giới giữa các thửa đất và có cùng chủ sở hữu, đồng thời có các công trình xây dựng trên các thửa đất. Thửa đất 616 hiện không tiếp giáp đường, nằm cạnh thửa đất số 651</w:t>
      </w:r>
      <w:r>
        <w:rPr>
          <w:rFonts w:ascii="Times New Roman" w:hAnsi="Times New Roman" w:eastAsia="Times New Roman" w:cs="Times New Roman"/>
          <w:color w:val="000000"/>
          <w:spacing w:val="-2"/>
          <w:sz w:val="24"/>
        </w:rPr>
        <w:t xml:space="preserve">. Kết quả thẩm định giá được nêu trong báo cáo này chỉ có giá trị trong trường hợp Ngân hàng nhận thế chấp/giải chấp đồng thời 02 (hai) thửa đất cấp tại 02 (hai) giấy chứng nhận nêu trên.</w:t>
      </w:r>
      <w:r>
        <w:rPr>
          <w:rFonts w:ascii="Times New Roman" w:hAnsi="Times New Roman" w:eastAsia="Times New Roman" w:cs="Times New Roman"/>
          <w:sz w:val="24"/>
        </w:rPr>
      </w:r>
      <w:r/>
    </w:p>
    <w:p>
      <w:pPr>
        <w:pStyle w:val="1043"/>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3"/>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3"/>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3"/>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3"/>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3"/>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3"/>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Bdr/>
        <w:spacing w:after="120" w:before="120" w:line="276" w:lineRule="auto"/>
        <w:ind w:firstLine="0" w:left="0"/>
        <w:jc w:val="both"/>
        <w:rPr>
          <w:b/>
          <w:bCs/>
        </w:rPr>
      </w:pPr>
      <w:r>
        <w:rPr>
          <w:b/>
          <w:highlight w:val="none"/>
          <w:lang w:val="pt-BR" w:bidi="pt-BR"/>
        </w:rPr>
        <w:t xml:space="preserve">1.1. Xác định</w:t>
      </w:r>
      <w:r>
        <w:rPr>
          <w:b/>
          <w:lang w:val="pt-BR"/>
        </w:rPr>
        <w:t xml:space="preserve"> đơn giá</w:t>
      </w:r>
      <w:r>
        <w:rPr>
          <w:b/>
          <w:lang w:val="pt-BR"/>
        </w:rPr>
        <w:t xml:space="preserve"> quyền sử dụng đ</w:t>
      </w:r>
      <w:r>
        <w:rPr>
          <w:b/>
          <w:bCs/>
          <w:lang w:val="pt-BR"/>
        </w:rPr>
        <w:t xml:space="preserve">ấ</w:t>
      </w:r>
      <w:r>
        <w:rPr>
          <w:b/>
          <w:bCs/>
          <w:lang w:val="pt-BR"/>
        </w:rPr>
        <w:t xml:space="preserve">t</w:t>
      </w:r>
      <w:r>
        <w:rPr>
          <w:b/>
          <w:bCs/>
        </w:rPr>
        <w:t xml:space="preserve"> của thửa đất </w:t>
      </w:r>
      <w:r>
        <w:rPr>
          <w:b/>
          <w:bCs/>
          <w:highlight w:val="none"/>
          <w:lang w:val="pt-BR"/>
        </w:rPr>
        <w:t xml:space="preserve">651, tờ bản đồ số 30: </w:t>
      </w:r>
      <w:r>
        <w:rPr>
          <w:b/>
          <w:bCs/>
        </w:rPr>
      </w:r>
      <w:r>
        <w:rPr>
          <w:b/>
          <w:bCs/>
        </w:rPr>
      </w:r>
    </w:p>
    <w:p>
      <w:pPr>
        <w:pStyle w:val="1043"/>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3"/>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Khóm Tân An, phường Sa Đéc, tỉnh Đồng Tháp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Phố Nguyễn Thiện Thuật, </w:t>
            </w:r>
            <w:r>
              <w:rPr>
                <w:color w:val="000000" w:themeColor="text1"/>
                <w:sz w:val="22"/>
                <w:szCs w:val="22"/>
              </w:rPr>
              <w:t xml:space="preserve"> phường Sa Đéc, tỉnh Đồng Tháp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Phố Nguyễn Thiện Thuật, </w:t>
            </w:r>
            <w:r>
              <w:rPr>
                <w:color w:val="000000" w:themeColor="text1"/>
                <w:sz w:val="22"/>
                <w:szCs w:val="22"/>
              </w:rPr>
              <w:t xml:space="preserve">phường Sa Đéc, tỉnh Đồng Tháp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An Hòa, </w:t>
            </w:r>
            <w:r>
              <w:rPr>
                <w:color w:val="000000" w:themeColor="text1"/>
                <w:sz w:val="22"/>
                <w:szCs w:val="22"/>
              </w:rPr>
              <w:t xml:space="preserve">phường Sa Đéc, tỉnh Đồng Tháp</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w:t>
            </w:r>
            <w:r>
              <w:rPr>
                <w:color w:val="000000" w:themeColor="text1"/>
                <w:sz w:val="22"/>
                <w:szCs w:val="22"/>
              </w:rPr>
              <w:t xml:space="preserve">/589380481429738/posts/b%C3%A1n-g%E1%BA%A5p-c%C6%A1-h%E1%BB%99i-%C4%91%E1%BA%A7u-t%C6%B0-nh%C3%A0-1-tr%E1%BB%87t-1-l%E1%BA%A7u-m%E1%BA%B7t-ti%E1%BB%81n-%C4%91%C6%B0%E1%BB%9Dng-nguy%E1%BB%85n-thi%E1%BB%87n-thu%E1%BA%ADt-ph%C6%B0%E1%BB%9Dng/2616218988745867/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0336538916</w:t>
            </w:r>
            <w:r>
              <w:rPr>
                <w:sz w:val="22"/>
                <w:szCs w:val="22"/>
              </w:rPr>
              <w:t xml:space="preserve"> </w:t>
            </w:r>
            <w:r>
              <w:rPr>
                <w:sz w:val="22"/>
                <w:szCs w:val="22"/>
              </w:rPr>
              <w:br/>
              <w:t xml:space="preserve">(</w:t>
            </w:r>
            <w:r>
              <w:rPr>
                <w:sz w:val="22"/>
                <w:szCs w:val="22"/>
              </w:rPr>
              <w:t xml:space="preserve">Anh Huy</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0901.062.461</w:t>
            </w:r>
            <w:r>
              <w:rPr>
                <w:sz w:val="22"/>
                <w:szCs w:val="22"/>
              </w:rPr>
              <w:br/>
            </w:r>
            <w:r>
              <w:rPr>
                <w:sz w:val="22"/>
                <w:szCs w:val="22"/>
              </w:rPr>
              <w:t xml:space="preserve">(</w:t>
            </w:r>
            <w:r>
              <w:rPr>
                <w:sz w:val="22"/>
                <w:szCs w:val="22"/>
              </w:rPr>
              <w:t xml:space="preserve">Anh Quốc</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0907935877</w:t>
            </w:r>
            <w:r>
              <w:rPr>
                <w:sz w:val="22"/>
                <w:szCs w:val="22"/>
              </w:rPr>
              <w:br/>
            </w:r>
            <w:r>
              <w:rPr>
                <w:sz w:val="22"/>
                <w:szCs w:val="22"/>
              </w:rPr>
              <w:t xml:space="preserve">(</w:t>
            </w:r>
            <w:r>
              <w:rPr>
                <w:sz w:val="22"/>
                <w:szCs w:val="22"/>
              </w:rPr>
              <w:t xml:space="preserve">Anh Tú</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12/2025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12/2025</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thị,Đất trồng cây lâu năm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 Có thời hạn (đến 14/10/2043)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92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tại:Phố Nguyễn Thiện Thuật, </w:t>
            </w:r>
            <w:r>
              <w:rPr>
                <w:color w:val="000000" w:themeColor="text1"/>
                <w:sz w:val="22"/>
                <w:szCs w:val="22"/>
              </w:rPr>
              <w:t xml:space="preserve">phường Sa Đéc, tỉnh Đồng Tháp</w:t>
            </w:r>
            <w:r>
              <w:rPr>
                <w:color w:val="000000" w:themeColor="text1"/>
                <w:sz w:val="22"/>
                <w:szCs w:val="22"/>
              </w:rPr>
              <w:t xml:space="preserve">. </w:t>
            </w:r>
            <w:r>
              <w:rPr>
                <w:color w:val="000000" w:themeColor="text1"/>
                <w:sz w:val="22"/>
                <w:szCs w:val="22"/>
              </w:rPr>
              <w:t xml:space="preserve">Cách công viên Sa Đéc khoảng 1,3km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Phố Nguyễn Thiện Thuật, Phường Sa Đéc, Tỉnh Đồng Tháp, Cách công viên Sa Đéc khoảng 500m,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Phố Nguyễn Thiện Thuật, Phường Sa Đéc, Tỉnh Đồng Tháp, Cách công viên Sa Đéc khoảng 500m,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Phố Nguyễn Thiện Thuật, Phường An Hòa, Thị xã Sa Đéc, Tỉnh Đồng Tháp, Cách Công viên Sa Đéc khoảng 500m,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FC52665">
            <w:pPr>
              <w:pBdr/>
              <w:spacing/>
              <w:ind/>
              <w:jc w:val="center"/>
              <w:rPr/>
            </w:pPr>
            <w:r>
              <w:rPr>
                <w:color w:val="000000" w:themeColor="text1"/>
                <w:sz w:val="22"/>
                <w:szCs w:val="22"/>
              </w:rPr>
              <w:t xml:space="preserve">Khá</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A5A1B3F">
            <w:pPr>
              <w:pBdr/>
              <w:spacing/>
              <w:ind/>
              <w:jc w:val="center"/>
              <w:rPr/>
            </w:pPr>
            <w:r>
              <w:rPr>
                <w:color w:val="000000" w:themeColor="text1"/>
                <w:sz w:val="22"/>
                <w:szCs w:val="22"/>
              </w:rPr>
              <w:t xml:space="preserve">Khá</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1E1A007">
            <w:pPr>
              <w:pBdr/>
              <w:spacing/>
              <w:ind/>
              <w:jc w:val="center"/>
              <w:rPr/>
            </w:pPr>
            <w:r>
              <w:rPr>
                <w:color w:val="000000" w:themeColor="text1"/>
                <w:sz w:val="22"/>
                <w:szCs w:val="22"/>
              </w:rPr>
              <w:t xml:space="preserve">Khá</w:t>
            </w:r>
            <w:r>
              <w:rPr>
                <w:color w:val="000000"/>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Nhà 2 tầng</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136</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879.067.064</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số 409/QĐ-BXD ngày 11/4/2025 của Bộ Xây Dựng (đồng/m²)</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7.604.386</w:t>
            </w: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1.665.000.000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0"/>
                <w:szCs w:val="20"/>
              </w:rPr>
            </w:pPr>
            <w:r>
              <w:rPr>
                <w:color w:val="000000" w:themeColor="text1"/>
                <w:sz w:val="22"/>
                <w:szCs w:val="22"/>
              </w:rPr>
              <w:t xml:space="preserve">1.325.932.978</w:t>
            </w:r>
            <w:r>
              <w:rPr>
                <w:color w:val="000000"/>
                <w:sz w:val="20"/>
                <w:szCs w:val="20"/>
              </w:rPr>
            </w:r>
            <w:r>
              <w:rPr>
                <w:color w:val="000000"/>
                <w:sz w:val="20"/>
                <w:szCs w:val="20"/>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18.331.143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18.176.856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19.499.014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3"/>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494"/>
        <w:gridCol w:w="1550"/>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1.395.000.000</w:t>
            </w:r>
            <w:r>
              <w:rPr>
                <w:color w:val="000000"/>
                <w:sz w:val="20"/>
                <w:szCs w:val="20"/>
              </w:rPr>
            </w:r>
            <w:r>
              <w:rPr>
                <w:color w:val="000000"/>
                <w:sz w:val="20"/>
                <w:szCs w:val="20"/>
              </w:rPr>
            </w:r>
          </w:p>
        </w:tc>
        <w:tc>
          <w:tcPr>
            <w:shd w:val="clear" w:color="000000" w:fill="ffffff"/>
            <w:tcBorders/>
            <w:tcW w:w="1494" w:type="dxa"/>
            <w:vAlign w:val="center"/>
            <w:textDirection w:val="lrTb"/>
            <w:noWrap w:val="false"/>
          </w:tcPr>
          <w:p>
            <w:pPr>
              <w:pBdr/>
              <w:spacing/>
              <w:ind/>
              <w:jc w:val="center"/>
              <w:rPr>
                <w:color w:val="000000"/>
                <w:sz w:val="20"/>
                <w:szCs w:val="20"/>
              </w:rPr>
            </w:pPr>
            <w:r>
              <w:rPr>
                <w:color w:val="000000" w:themeColor="text1"/>
                <w:sz w:val="22"/>
                <w:szCs w:val="22"/>
              </w:rPr>
              <w:t xml:space="preserve">1.665.000.000</w:t>
            </w:r>
            <w:r>
              <w:rPr>
                <w:color w:val="000000"/>
                <w:sz w:val="20"/>
                <w:szCs w:val="20"/>
              </w:rPr>
            </w:r>
            <w:r>
              <w:rPr>
                <w:color w:val="000000"/>
                <w:sz w:val="20"/>
                <w:szCs w:val="20"/>
              </w:rPr>
            </w:r>
          </w:p>
        </w:tc>
        <w:tc>
          <w:tcPr>
            <w:shd w:val="clear" w:color="000000" w:fill="ffffff"/>
            <w:tcBorders/>
            <w:tcW w:w="1550" w:type="dxa"/>
            <w:vAlign w:val="center"/>
            <w:textDirection w:val="lrTb"/>
            <w:noWrap w:val="false"/>
          </w:tcPr>
          <w:p>
            <w:pPr>
              <w:pBdr/>
              <w:spacing/>
              <w:ind/>
              <w:jc w:val="center"/>
              <w:rPr>
                <w:color w:val="000000"/>
                <w:sz w:val="20"/>
                <w:szCs w:val="20"/>
              </w:rPr>
            </w:pPr>
            <w:r>
              <w:rPr>
                <w:color w:val="000000" w:themeColor="text1"/>
                <w:sz w:val="22"/>
                <w:szCs w:val="22"/>
              </w:rPr>
              <w:t xml:space="preserve">1.325.932.978</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18.331.143</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18.176.856</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19.499.014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94"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0"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494"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50"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18.331.143</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18.176.856</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19.499.014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thị,Đất trồng cây lâu năm</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18.331.143</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18.176.856</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19.499.014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 Đất trồng cây lâu năm – Có thời hạn (đến 14/10/2043, 18 năm)</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18.331.143</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18.176.856</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19.499.014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tại:Phố Nguyễn Thiện Thuật, </w:t>
            </w:r>
            <w:r>
              <w:rPr>
                <w:color w:val="000000" w:themeColor="text1"/>
                <w:sz w:val="22"/>
                <w:szCs w:val="22"/>
              </w:rPr>
              <w:t xml:space="preserve">phường Sa Đéc, tỉnh Đồng Tháp</w:t>
            </w:r>
            <w:r>
              <w:rPr>
                <w:color w:val="000000" w:themeColor="text1"/>
                <w:sz w:val="22"/>
                <w:szCs w:val="22"/>
              </w:rPr>
              <w:t xml:space="preserve">. </w:t>
            </w:r>
            <w:r>
              <w:rPr>
                <w:color w:val="000000" w:themeColor="text1"/>
                <w:sz w:val="22"/>
                <w:szCs w:val="22"/>
              </w:rPr>
              <w:t xml:space="preserve">Cách công viên Sa Đéc khoảng 1,3km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Phố Nguyễn Thiện Thuật, Phường Sa Đéc, Tỉnh Đồng Tháp, Cách công viên Sa Đéc khoảng 500m, </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Phố Nguyễn Thiện Thuật, Phường Sa Đéc, Tỉnh Đồng Tháp, Cách công viên Sa Đéc khoảng 500m, </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Phố Nguyễn Thiện Thuật, Phường An Hòa, Thị xã Sa Đéc, Tỉnh Đồng Tháp, Cách Công viên Sa Đéc khoảng 500m, </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-1.833.114</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-1.817.686</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-1.949.901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16.498.029</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16.359.170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17.549.113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16.498.029</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16.359.170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17.549.113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16.498.029</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16.359.170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17.549.113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16.498.029</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16.359.170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17.549.113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16.498.029</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16.359.170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17.549.113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16.498.029</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16.359.170</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17.549.113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791,2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76,1</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91,6</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68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-2.749.671</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-2.726.528</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-2.924.852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13.748.358</w:t>
            </w:r>
            <w:r>
              <w:rPr>
                <w:color w:val="000000"/>
                <w:sz w:val="22"/>
                <w:szCs w:val="22"/>
              </w:rPr>
            </w:r>
            <w:r>
              <w:rPr>
                <w:color w:val="000000"/>
                <w:sz w:val="22"/>
                <w:szCs w:val="22"/>
              </w:rPr>
            </w:r>
          </w:p>
        </w:tc>
        <w:tc>
          <w:tcPr>
            <w:shd w:val="clear" w:color="000000" w:fill="ffffff"/>
            <w:tcBorders/>
            <w:tcW w:w="1494" w:type="dxa"/>
            <w:vAlign w:val="center"/>
            <w:textDirection w:val="lrTb"/>
            <w:noWrap/>
          </w:tcPr>
          <w:p>
            <w:pPr>
              <w:pBdr/>
              <w:spacing/>
              <w:ind/>
              <w:jc w:val="center"/>
              <w:rPr>
                <w:color w:val="000000"/>
                <w:sz w:val="22"/>
                <w:szCs w:val="22"/>
              </w:rPr>
            </w:pPr>
            <w:r>
              <w:rPr>
                <w:color w:val="000000" w:themeColor="text1"/>
                <w:sz w:val="22"/>
                <w:szCs w:val="22"/>
              </w:rPr>
              <w:t xml:space="preserve">13.632.642</w:t>
            </w:r>
            <w:r>
              <w:rPr>
                <w:color w:val="000000"/>
                <w:sz w:val="22"/>
                <w:szCs w:val="22"/>
              </w:rPr>
            </w:r>
            <w:r>
              <w:rPr>
                <w:color w:val="000000"/>
                <w:sz w:val="22"/>
                <w:szCs w:val="22"/>
              </w:rPr>
            </w:r>
          </w:p>
        </w:tc>
        <w:tc>
          <w:tcPr>
            <w:shd w:val="clear" w:color="000000" w:fill="ffffff"/>
            <w:tcBorders/>
            <w:tcW w:w="1550" w:type="dxa"/>
            <w:vAlign w:val="center"/>
            <w:textDirection w:val="lrTb"/>
            <w:noWrap/>
          </w:tcPr>
          <w:p>
            <w:pPr>
              <w:pBdr/>
              <w:spacing/>
              <w:ind/>
              <w:jc w:val="center"/>
              <w:rPr>
                <w:color w:val="000000"/>
                <w:sz w:val="22"/>
                <w:szCs w:val="22"/>
              </w:rPr>
            </w:pPr>
            <w:r>
              <w:rPr>
                <w:color w:val="000000" w:themeColor="text1"/>
                <w:sz w:val="22"/>
                <w:szCs w:val="22"/>
              </w:rPr>
              <w:t xml:space="preserve">14.624.261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494"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50"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14:paraId="2FBD4228">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1.466.491</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14:paraId="54243502">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1.454.148</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14:paraId="57F4D3C8">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1.559.921</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14:paraId="6CD308AF">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15.214.849</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14:paraId="3FDA344D">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15.086.790</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14:paraId="438D2C64">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16.184.182</w:t>
            </w:r>
            <w:r>
              <w:rPr>
                <w:color w:val="000000" w:themeColor="text1"/>
                <w:sz w:val="22"/>
                <w:szCs w:val="22"/>
              </w:rPr>
            </w:r>
            <w:r>
              <w:rPr>
                <w:color w:val="000000" w:themeColor="text1"/>
                <w:sz w:val="22"/>
                <w:szCs w:val="22"/>
                <w14:ligatures w14:val="none"/>
              </w:rPr>
            </w:r>
          </w:p>
        </w:tc>
      </w:tr>
      <w:tr>
        <w:trPr>
          <w:trHeight w:val="291"/>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99,33</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19,02</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22,9</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17</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-10%</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-10%</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-10%</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14:paraId="72D03732">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-1.833.114</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14:paraId="5DD42F26">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-1.817.686</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14:paraId="0E395E1D">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-1.949.901</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14:paraId="56527878">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13.381.735</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14:paraId="40F1AC2E">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13.269.104</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14:paraId="5C766A46">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14.234.281</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Tiếp giáp 1 mặt tiền</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Tiếp giáp 1 mặt tiền</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Tiếp giáp 1 mặt tiền</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Tiếp giáp 1 mặt tiền</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14:paraId="085CC436">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13.381.735</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14:paraId="57507FA2">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13.269.104</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14:paraId="3A250121">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14.234.281</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Đa giác khác</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Hình chữ nhật</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Hình chữ nhật</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Hình chữ nhật</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-15%</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-15%</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-15%</w:t>
            </w:r>
            <w:r>
              <w:rPr>
                <w:color w:val="000000" w:themeColor="text1"/>
                <w:sz w:val="22"/>
                <w:szCs w:val="22"/>
              </w:rPr>
            </w:r>
            <w:r>
              <w:rPr>
                <w:color w:val="000000" w:themeColor="text1"/>
                <w:sz w:val="22"/>
                <w:szCs w:val="22"/>
                <w14:ligatures w14:val="none"/>
              </w:rPr>
            </w:r>
          </w:p>
        </w:tc>
      </w:tr>
      <w:tr>
        <w:trPr>
          <w:trHeight w:val="377"/>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14:paraId="7158B1ED">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-2.749.671</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14:paraId="4B8109E2">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-2.726.528</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14:paraId="25C4AB0B">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-2.924.852</w:t>
            </w:r>
            <w:r>
              <w:rPr>
                <w:color w:val="000000" w:themeColor="text1"/>
                <w:sz w:val="22"/>
                <w:szCs w:val="22"/>
              </w:rPr>
            </w:r>
            <w:r>
              <w:rPr>
                <w:color w:val="000000" w:themeColor="text1"/>
                <w:sz w:val="22"/>
                <w:szCs w:val="22"/>
                <w14:ligatures w14:val="no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tcPr>
          <w:p w14:paraId="52C55C10">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10.632.064</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14:paraId="7C9A1B75">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10.542.576</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14:paraId="1D4F5EBD">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11.309.429</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rPr>
            </w:r>
            <w:r>
              <w:rPr>
                <w:color w:val="000000" w:themeColor="text1"/>
                <w:sz w:val="22"/>
                <w:szCs w:val="22"/>
                <w14:ligatures w14:val="none"/>
              </w:rPr>
            </w:r>
          </w:p>
        </w:tc>
        <w:tc>
          <w:tcPr>
            <w:shd w:val="clear" w:color="000000" w:fill="ffffff"/>
            <w:tcBorders/>
            <w:tcW w:w="1522" w:type="dxa"/>
            <w:vAlign w:val="center"/>
            <w:textDirection w:val="lrTb"/>
            <w:noWrap w:val="false"/>
          </w:tcPr>
          <w:p w14:paraId="0A22A6AA">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10.632.064</w:t>
            </w:r>
            <w:r>
              <w:rPr>
                <w:b/>
                <w:bCs/>
                <w:color w:val="000000" w:themeColor="text1"/>
                <w:sz w:val="22"/>
                <w:szCs w:val="22"/>
              </w:rPr>
            </w:r>
            <w:r>
              <w:rPr>
                <w:b/>
                <w:bCs/>
                <w:color w:val="000000" w:themeColor="text1"/>
                <w:sz w:val="22"/>
                <w:szCs w:val="22"/>
                <w14:ligatures w14:val="none"/>
              </w:rPr>
            </w:r>
          </w:p>
        </w:tc>
        <w:tc>
          <w:tcPr>
            <w:shd w:val="clear" w:color="000000" w:fill="ffffff"/>
            <w:tcBorders/>
            <w:tcW w:w="1494" w:type="dxa"/>
            <w:vAlign w:val="center"/>
            <w:textDirection w:val="lrTb"/>
            <w:noWrap w:val="false"/>
          </w:tcPr>
          <w:p w14:paraId="68F89A59">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10.542.576</w:t>
            </w:r>
            <w:r>
              <w:rPr>
                <w:b/>
                <w:bCs/>
                <w:color w:val="000000" w:themeColor="text1"/>
                <w:sz w:val="22"/>
                <w:szCs w:val="22"/>
              </w:rPr>
            </w:r>
            <w:r>
              <w:rPr>
                <w:b/>
                <w:bCs/>
                <w:color w:val="000000" w:themeColor="text1"/>
                <w:sz w:val="22"/>
                <w:szCs w:val="22"/>
                <w14:ligatures w14:val="none"/>
              </w:rPr>
            </w:r>
          </w:p>
        </w:tc>
        <w:tc>
          <w:tcPr>
            <w:shd w:val="clear" w:color="000000" w:fill="ffffff"/>
            <w:tcBorders/>
            <w:tcW w:w="1550" w:type="dxa"/>
            <w:vAlign w:val="center"/>
            <w:textDirection w:val="lrTb"/>
            <w:noWrap w:val="false"/>
          </w:tcPr>
          <w:p w14:paraId="1D6F7057">
            <w:pPr>
              <w:pBdr>
                <w:top w:val="single" w:color="e5e7eb" w:sz="0" w:space="0"/>
                <w:left w:val="single" w:color="e5e7eb" w:sz="0" w:space="0"/>
                <w:bottom w:val="single" w:color="e5e7eb" w:sz="0" w:space="0"/>
                <w:right w:val="single" w:color="e5e7eb" w:sz="0" w:space="0"/>
              </w:pBdr>
              <w:spacing/>
              <w:ind/>
              <w:jc w:val="center"/>
              <w:rPr>
                <w:b/>
                <w:bCs/>
                <w:color w:val="000000" w:themeColor="text1"/>
                <w:sz w:val="22"/>
                <w:szCs w:val="22"/>
                <w14:ligatures w14:val="none"/>
              </w:rPr>
            </w:pPr>
            <w:r>
              <w:rPr>
                <w:b/>
                <w:bCs/>
                <w:color w:val="000000" w:themeColor="text1"/>
                <w:sz w:val="22"/>
                <w:szCs w:val="22"/>
              </w:rPr>
              <w:t xml:space="preserve">11.309.429</w:t>
            </w:r>
            <w:r>
              <w:rPr>
                <w:b/>
                <w:bCs/>
                <w:color w:val="000000" w:themeColor="text1"/>
                <w:sz w:val="22"/>
                <w:szCs w:val="22"/>
              </w:rPr>
            </w:r>
            <w:r>
              <w:rPr>
                <w:b/>
                <w:bCs/>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10.828.023</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8DA825">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-1,81%</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val="false"/>
          </w:tcPr>
          <w:p w14:paraId="07816277">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-2,64%</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val="false"/>
          </w:tcPr>
          <w:p w14:paraId="0C13AB12">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4,45%</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494"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5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ABE2BF">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10.632.061</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val="false"/>
          </w:tcPr>
          <w:p w14:paraId="2419C881">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10.542.576</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val="false"/>
          </w:tcPr>
          <w:p w14:paraId="52D676DA">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11.309.427</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5</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5</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5</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 - 15%</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 - 15%</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0% - 15%</w:t>
            </w:r>
            <w:r>
              <w:rPr>
                <w:color w:val="000000" w:themeColor="text1"/>
                <w:sz w:val="22"/>
                <w:szCs w:val="22"/>
              </w:rPr>
            </w:r>
            <w:r>
              <w:rPr>
                <w:color w:val="000000" w:themeColor="text1"/>
                <w:sz w:val="22"/>
                <w:szCs w:val="22"/>
                <w14:ligatures w14:val="none"/>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77B3FF">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7.699.079</w:t>
            </w:r>
            <w:r>
              <w:rPr>
                <w:color w:val="000000" w:themeColor="text1"/>
                <w:sz w:val="22"/>
                <w:szCs w:val="22"/>
              </w:rPr>
            </w:r>
            <w:r>
              <w:rPr>
                <w:color w:val="000000" w:themeColor="text1"/>
                <w:sz w:val="22"/>
                <w:szCs w:val="22"/>
                <w14:ligatures w14:val="none"/>
              </w:rPr>
            </w:r>
          </w:p>
        </w:tc>
        <w:tc>
          <w:tcPr>
            <w:shd w:val="clear" w:color="000000" w:fill="ffffff"/>
            <w:tcBorders/>
            <w:tcW w:w="1494" w:type="dxa"/>
            <w:vAlign w:val="center"/>
            <w:textDirection w:val="lrTb"/>
            <w:noWrap/>
          </w:tcPr>
          <w:p w14:paraId="511563A1">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7.634.280</w:t>
            </w:r>
            <w:r>
              <w:rPr>
                <w:color w:val="000000" w:themeColor="text1"/>
                <w:sz w:val="22"/>
                <w:szCs w:val="22"/>
              </w:rPr>
            </w:r>
            <w:r>
              <w:rPr>
                <w:color w:val="000000" w:themeColor="text1"/>
                <w:sz w:val="22"/>
                <w:szCs w:val="22"/>
                <w14:ligatures w14:val="none"/>
              </w:rPr>
            </w:r>
          </w:p>
        </w:tc>
        <w:tc>
          <w:tcPr>
            <w:shd w:val="clear" w:color="000000" w:fill="ffffff"/>
            <w:tcBorders/>
            <w:tcW w:w="1550" w:type="dxa"/>
            <w:vAlign w:val="center"/>
            <w:textDirection w:val="lrTb"/>
            <w:noWrap/>
          </w:tcPr>
          <w:p w14:paraId="49C2B4D2">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8.189.585</w:t>
            </w:r>
            <w:r>
              <w:rPr>
                <w:color w:val="000000" w:themeColor="text1"/>
                <w:sz w:val="22"/>
                <w:szCs w:val="22"/>
              </w:rPr>
            </w:r>
            <w:r>
              <w:rPr>
                <w:color w:val="000000" w:themeColor="text1"/>
                <w:sz w:val="22"/>
                <w:szCs w:val="22"/>
                <w14:ligatures w14:val="none"/>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w:t>
      </w:r>
      <w:r>
        <w:rPr>
          <w:highlight w:val="white"/>
        </w:rPr>
        <w:t xml:space="preserve">ng </w:t>
      </w:r>
      <w:r>
        <w:rPr>
          <w:highlight w:val="white"/>
        </w:rPr>
        <w:t xml:space="preserve">từ </w:t>
      </w:r>
      <w:r>
        <w:rPr>
          <w:highlight w:val="white"/>
        </w:rPr>
        <w:t xml:space="preserve"> </w:t>
      </w:r>
      <w:r>
        <w:rPr>
          <w:highlight w:val="white"/>
        </w:rPr>
        <w:t xml:space="preserve">-2,64</w:t>
      </w:r>
      <w:r>
        <w:rPr>
          <w:highlight w:val="white"/>
        </w:rPr>
        <w:t xml:space="preserve">% đến</w:t>
      </w:r>
      <w:r>
        <w:rPr>
          <w:highlight w:val="white"/>
        </w:rPr>
        <w:t xml:space="preserve"> </w:t>
      </w:r>
      <w:r>
        <w:rPr>
          <w:highlight w:val="white"/>
        </w:rPr>
        <w:t xml:space="preserve"> </w:t>
      </w:r>
      <w:r>
        <w:rPr>
          <w:highlight w:val="white"/>
        </w:rPr>
        <w:t xml:space="preserve">4,45%, đ</w:t>
      </w:r>
      <w:r>
        <w:rPr>
          <w:highlight w:val="white"/>
        </w:rPr>
        <w:t xml:space="preserve">ảm bảo</w:t>
      </w:r>
      <w:r>
        <w:t xml:space="preserve">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10.632.064</w:t>
            </w:r>
            <w:r>
              <w:rPr>
                <w:color w:val="000000"/>
                <w:highlight w:val="white"/>
              </w:rPr>
            </w:r>
            <w:r>
              <w:rPr>
                <w:color w:val="000000"/>
                <w:highlight w:val="white"/>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3.544.730</w:t>
            </w:r>
            <w:r>
              <w:rPr>
                <w:color w:val="000000"/>
                <w:highlight w:val="white"/>
              </w:rPr>
            </w:r>
            <w:r>
              <w:rPr>
                <w:color w:val="000000"/>
                <w:highlight w:val="white"/>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10.542.576</w:t>
            </w:r>
            <w:r>
              <w:rPr>
                <w:color w:val="000000"/>
                <w:highlight w:val="white"/>
              </w:rPr>
            </w:r>
            <w:r>
              <w:rPr>
                <w:color w:val="000000"/>
                <w:highlight w:val="white"/>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3.513.841</w:t>
            </w:r>
            <w:r>
              <w:rPr>
                <w:color w:val="000000"/>
                <w:highlight w:val="white"/>
              </w:rPr>
            </w:r>
            <w:r>
              <w:rPr>
                <w:color w:val="000000"/>
                <w:highlight w:val="white"/>
                <w14:ligatures w14:val="non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11.309.429</w:t>
            </w:r>
            <w:r>
              <w:rPr>
                <w:color w:val="000000"/>
                <w:highlight w:val="white"/>
              </w:rPr>
            </w:r>
            <w:r>
              <w:rPr>
                <w:color w:val="000000"/>
                <w:highlight w:val="white"/>
                <w14:ligatures w14:val="non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3.769.433</w:t>
            </w:r>
            <w:r>
              <w:rPr>
                <w:color w:val="000000"/>
                <w:highlight w:val="white"/>
              </w:rPr>
            </w:r>
            <w:r>
              <w:rPr>
                <w:color w:val="000000"/>
                <w:highlight w:val="white"/>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highlight w:val="white"/>
                <w14:ligatures w14:val="none"/>
              </w:rPr>
            </w:pPr>
            <w:r>
              <w:rPr>
                <w:color w:val="000000"/>
                <w:highlight w:val="white"/>
              </w:rPr>
            </w:r>
            <w:r>
              <w:rPr>
                <w:color w:val="000000"/>
                <w:highlight w:val="white"/>
              </w:rPr>
              <w:t xml:space="preserve">10.828.003</w:t>
            </w:r>
            <w:r>
              <w:rPr>
                <w:color w:val="000000"/>
                <w:highlight w:val="white"/>
              </w:rPr>
            </w:r>
            <w:r>
              <w:rPr>
                <w:color w:val="000000"/>
                <w:highlight w:val="white"/>
                <w14:ligatures w14:val="non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10.800.000</w:t>
            </w:r>
            <w:r>
              <w:rPr>
                <w:b/>
                <w:bCs/>
                <w:color w:val="000000"/>
              </w:rPr>
            </w:r>
            <w:r>
              <w:rPr>
                <w:b/>
                <w:bCs/>
                <w:color w:val="000000"/>
              </w:rPr>
            </w:r>
          </w:p>
        </w:tc>
      </w:tr>
    </w:tbl>
    <w:p>
      <w:pPr>
        <w:pBdr/>
        <w:spacing w:after="120" w:before="120" w:line="276" w:lineRule="auto"/>
        <w:ind/>
        <w:jc w:val="both"/>
        <w:rPr>
          <w:b/>
          <w:bCs/>
          <w:highlight w:val="none"/>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10.800.000</w:t>
      </w:r>
      <w:r>
        <w:rPr>
          <w:b/>
          <w:bCs/>
          <w:color w:val="000000" w:themeColor="text1"/>
        </w:rPr>
        <w:t xml:space="preserve"> </w:t>
      </w:r>
      <w:r>
        <w:rPr>
          <w:b/>
          <w:bCs/>
        </w:rPr>
        <w:t xml:space="preserve">đồng/m².</w:t>
      </w:r>
      <w:r>
        <w:rPr>
          <w:b/>
          <w:bCs/>
          <w:highlight w:val="none"/>
        </w:rPr>
      </w:r>
      <w:r>
        <w:rPr>
          <w:b/>
          <w:bCs/>
          <w:highlight w:val="none"/>
        </w:rPr>
      </w:r>
    </w:p>
    <w:p>
      <w:pPr>
        <w:pBdr/>
        <w:spacing w:after="120" w:before="120" w:line="276" w:lineRule="auto"/>
        <w:ind/>
        <w:jc w:val="both"/>
        <w:rPr>
          <w:b/>
          <w:bCs/>
          <w:highlight w:val="none"/>
        </w:rPr>
      </w:pPr>
      <w:r>
        <w:rPr>
          <w:b/>
          <w:bCs/>
          <w:highlight w:val="none"/>
        </w:rPr>
      </w:r>
      <w:r>
        <w:rPr>
          <w:b/>
          <w:highlight w:val="none"/>
          <w:lang w:val="pt-BR" w:bidi="pt-BR"/>
        </w:rPr>
        <w:t xml:space="preserve">1.2. Xác định</w:t>
      </w:r>
      <w:r>
        <w:rPr>
          <w:b/>
          <w:lang w:val="pt-BR"/>
        </w:rPr>
        <w:t xml:space="preserve"> đơn giá</w:t>
      </w:r>
      <w:r>
        <w:rPr>
          <w:b/>
          <w:lang w:val="pt-BR"/>
        </w:rPr>
        <w:t xml:space="preserve"> quyền sử dụng đ</w:t>
      </w:r>
      <w:r>
        <w:rPr>
          <w:b/>
          <w:bCs/>
          <w:lang w:val="pt-BR"/>
        </w:rPr>
        <w:t xml:space="preserve">ấ</w:t>
      </w:r>
      <w:r>
        <w:rPr>
          <w:b/>
          <w:bCs/>
          <w:lang w:val="pt-BR"/>
        </w:rPr>
        <w:t xml:space="preserve">t</w:t>
      </w:r>
      <w:r>
        <w:rPr>
          <w:b/>
          <w:bCs/>
        </w:rPr>
        <w:t xml:space="preserve"> của thửa đất </w:t>
      </w:r>
      <w:r>
        <w:rPr>
          <w:b/>
          <w:bCs/>
          <w:highlight w:val="none"/>
          <w:lang w:val="pt-BR"/>
        </w:rPr>
        <w:t xml:space="preserve">616, tờ bản đồ số 30:</w:t>
      </w:r>
      <w:r>
        <w:rPr>
          <w:b/>
          <w:bCs/>
          <w:highlight w:val="none"/>
        </w:rPr>
      </w:r>
      <w:r>
        <w:rPr>
          <w:b/>
          <w:bCs/>
          <w:highlight w:val="none"/>
        </w:rPr>
      </w:r>
    </w:p>
    <w:p>
      <w:pPr>
        <w:pBdr/>
        <w:spacing w:after="120" w:before="120" w:line="276" w:lineRule="auto"/>
        <w:ind/>
        <w:jc w:val="both"/>
        <w:rPr>
          <w:b/>
          <w:bCs/>
          <w:highlight w:val="none"/>
        </w:rPr>
      </w:pPr>
      <w:r>
        <w:rPr>
          <w:b/>
          <w:bCs/>
          <w:highlight w:val="none"/>
        </w:rPr>
        <w:t xml:space="preserve">1.2.1 Xác định đơn giá quyền sử dụng đất ở tại đô thị: </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pacing w:after="120" w:before="120" w:line="276" w:lineRule="auto"/>
        <w:ind w:right="29" w:firstLine="0" w:left="0"/>
        <w:jc w:val="both"/>
        <w:rPr>
          <w:highlight w:val="none"/>
        </w:rPr>
      </w:pPr>
      <w:r>
        <w:rPr>
          <w:rFonts w:ascii="Times New Roman" w:hAnsi="Times New Roman" w:eastAsia="Times New Roman" w:cs="Times New Roman"/>
          <w:color w:val="000000"/>
          <w:spacing w:val="-2"/>
          <w:sz w:val="24"/>
        </w:rPr>
        <w:t xml:space="preserve">Thửa đất 616 hiện không tiếp giáp đường, nằm tiếp giáp bên cạnh thửa đất số 651,</w:t>
      </w:r>
      <w:r>
        <w:rPr>
          <w:rFonts w:ascii="Times New Roman" w:hAnsi="Times New Roman" w:eastAsia="Times New Roman" w:cs="Times New Roman"/>
          <w:color w:val="000000"/>
          <w:sz w:val="24"/>
        </w:rPr>
        <w:t xml:space="preserve"> có các đặc điểm tương đối tương đồng nhau, có cùng hạ tầng kỹ thuật. Dó đó, Tổ thẩm định lựa chọn Thửa đất theo thửa đất số 651 làm tài sản tham chiếu để điều chỉnh xác địn</w:t>
      </w:r>
      <w:r>
        <w:rPr>
          <w:rFonts w:ascii="Times New Roman" w:hAnsi="Times New Roman" w:eastAsia="Times New Roman" w:cs="Times New Roman"/>
          <w:color w:val="000000"/>
          <w:sz w:val="24"/>
        </w:rPr>
        <w:t xml:space="preserve">h đơn giá thửa đất 616. Cụ thể như sau:</w:t>
      </w:r>
      <w:r>
        <w:rPr>
          <w:highlight w:val="none"/>
        </w:rPr>
      </w:r>
      <w:r>
        <w:rPr>
          <w:highlight w:val="none"/>
        </w:rPr>
      </w:r>
    </w:p>
    <w:tbl>
      <w:tblPr>
        <w:tblStyle w:val="1047"/>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197"/>
        <w:gridCol w:w="1445"/>
        <w:gridCol w:w="1600"/>
        <w:gridCol w:w="1718"/>
        <w:gridCol w:w="1718"/>
        <w:gridCol w:w="1718"/>
        <w:gridCol w:w="1718"/>
      </w:tblGrid>
      <w:tr>
        <w:trPr>
          <w:trHeight w:val="312"/>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197"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Thông tin</w:t>
            </w:r>
            <w:r/>
          </w:p>
        </w:tc>
        <w:tc>
          <w:tcPr>
            <w:tcBorders>
              <w:top w:val="single" w:color="000000" w:sz="5" w:space="0"/>
              <w:bottom w:val="single" w:color="000000" w:sz="5" w:space="0"/>
              <w:right w:val="single" w:color="000000" w:sz="5" w:space="0"/>
            </w:tcBorders>
            <w:tcMar>
              <w:left w:w="0" w:type="dxa"/>
              <w:top w:w="0" w:type="dxa"/>
              <w:right w:w="0" w:type="dxa"/>
              <w:bottom w:w="0" w:type="dxa"/>
            </w:tcMar>
            <w:tcW w:w="1445"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600"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TSTC</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Hệ số điều chỉnh</w:t>
            </w:r>
            <w:r/>
          </w:p>
        </w:tc>
        <w:tc>
          <w:tcPr>
            <w:tcBorders>
              <w:top w:val="single" w:color="000000" w:sz="5" w:space="0"/>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Tổng tỷ lệ điều chỉnh</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b/>
                <w:color w:val="000000"/>
                <w:sz w:val="24"/>
              </w:rPr>
              <w:t xml:space="preserve">Đơn giá tài sản tham chiếu (Đồng)</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ind/>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 </w:t>
            </w:r>
            <w:r>
              <w:rPr>
                <w:rFonts w:ascii="Times New Roman" w:hAnsi="Times New Roman" w:eastAsia="Times New Roman" w:cs="Times New Roman"/>
                <w:b/>
                <w:color w:val="000000"/>
                <w:sz w:val="24"/>
              </w:rPr>
              <w:t xml:space="preserve">Đơn giá tài sản thẩm định (Đồng)</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tc>
      </w:tr>
      <w:tr>
        <w:trPr>
          <w:trHeight w:val="294"/>
        </w:trPr>
        <w:tc>
          <w:tcPr>
            <w:tcBorders>
              <w:left w:val="single" w:color="000000" w:sz="5" w:space="0"/>
              <w:bottom w:val="single" w:color="000000" w:sz="5" w:space="0"/>
              <w:right w:val="single" w:color="000000" w:sz="5" w:space="0"/>
            </w:tcBorders>
            <w:tcMar>
              <w:left w:w="0" w:type="dxa"/>
              <w:top w:w="0" w:type="dxa"/>
              <w:right w:w="0" w:type="dxa"/>
              <w:bottom w:w="0" w:type="dxa"/>
            </w:tcMar>
            <w:tcW w:w="1197"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Diện tích</w:t>
            </w:r>
            <w:r/>
          </w:p>
        </w:tc>
        <w:tc>
          <w:tcPr>
            <w:tcBorders>
              <w:bottom w:val="single" w:color="000000" w:sz="5" w:space="0"/>
              <w:right w:val="single" w:color="000000" w:sz="5" w:space="0"/>
            </w:tcBorders>
            <w:tcMar>
              <w:left w:w="0" w:type="dxa"/>
              <w:top w:w="0" w:type="dxa"/>
              <w:right w:w="0" w:type="dxa"/>
              <w:bottom w:w="0" w:type="dxa"/>
            </w:tcMar>
            <w:tcW w:w="144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219,8</w:t>
            </w:r>
            <w:r/>
          </w:p>
        </w:tc>
        <w:tc>
          <w:tcPr>
            <w:tcBorders>
              <w:bottom w:val="single" w:color="000000" w:sz="5" w:space="0"/>
              <w:right w:val="single" w:color="000000" w:sz="5" w:space="0"/>
            </w:tcBorders>
            <w:tcMar>
              <w:left w:w="0" w:type="dxa"/>
              <w:top w:w="0" w:type="dxa"/>
              <w:right w:w="0" w:type="dxa"/>
              <w:bottom w:w="0" w:type="dxa"/>
            </w:tcMar>
            <w:tcW w:w="1600"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791,2</w:t>
            </w: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5" w:space="0"/>
              <w:right w:val="single" w:color="000000" w:sz="5" w:space="0"/>
            </w:tcBorders>
            <w:tcMar>
              <w:left w:w="0" w:type="dxa"/>
              <w:top w:w="0" w:type="dxa"/>
              <w:right w:w="0" w:type="dxa"/>
              <w:bottom w:w="0" w:type="dxa"/>
            </w:tcMar>
            <w:tcW w:w="1472" w:type="dxa"/>
            <w:vAlign w:val="bottom"/>
            <w:vMerge w:val="restart"/>
            <w:textDirection w:val="lrTb"/>
            <w:noWrap/>
          </w:tcPr>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-35%</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1872"/>
        </w:trPr>
        <w:tc>
          <w:tcPr>
            <w:tcBorders>
              <w:left w:val="single" w:color="000000" w:sz="5" w:space="0"/>
              <w:bottom w:val="single" w:color="000000" w:sz="5" w:space="0"/>
              <w:right w:val="single" w:color="000000" w:sz="5" w:space="0"/>
            </w:tcBorders>
            <w:tcMar>
              <w:left w:w="0" w:type="dxa"/>
              <w:top w:w="0" w:type="dxa"/>
              <w:right w:w="0" w:type="dxa"/>
              <w:bottom w:w="0" w:type="dxa"/>
            </w:tcMar>
            <w:tcW w:w="1197"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Mặt tiền</w:t>
            </w:r>
            <w:r/>
          </w:p>
        </w:tc>
        <w:tc>
          <w:tcPr>
            <w:tcBorders>
              <w:bottom w:val="single" w:color="000000" w:sz="5" w:space="0"/>
              <w:right w:val="single" w:color="000000" w:sz="5" w:space="0"/>
            </w:tcBorders>
            <w:tcMar>
              <w:left w:w="0" w:type="dxa"/>
              <w:top w:w="0" w:type="dxa"/>
              <w:right w:w="0" w:type="dxa"/>
              <w:bottom w:w="0" w:type="dxa"/>
            </w:tcMar>
            <w:tcW w:w="1445" w:type="dxa"/>
            <w:vAlign w:val="bottom"/>
            <w:textDirection w:val="lrTb"/>
            <w:noWrap w:val="false"/>
          </w:tcPr>
          <w:p w14:paraId="08768607">
            <w:pPr>
              <w:pBdr/>
              <w:spacing w:after="0" w:before="0" w:line="240" w:lineRule="auto"/>
              <w:ind/>
              <w:jc w:val="center"/>
              <w:rPr>
                <w:highlight w:val="white"/>
              </w:rPr>
            </w:pPr>
            <w:r>
              <w:rPr>
                <w:rFonts w:ascii="Times New Roman" w:hAnsi="Times New Roman" w:eastAsia="Times New Roman" w:cs="Times New Roman"/>
                <w:color w:val="000000"/>
                <w:sz w:val="24"/>
                <w:highlight w:val="white"/>
              </w:rPr>
              <w:t xml:space="preserve">Không có mặt tiền tiếp giáp với đường Nguyễn Thiện Thuật</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600" w:type="dxa"/>
            <w:vAlign w:val="bottom"/>
            <w:textDirection w:val="lrTb"/>
            <w:noWrap w:val="false"/>
          </w:tcPr>
          <w:p w14:paraId="16EF4654">
            <w:pPr>
              <w:pBdr/>
              <w:spacing w:after="0" w:before="0" w:line="240" w:lineRule="auto"/>
              <w:ind/>
              <w:jc w:val="center"/>
              <w:rPr>
                <w:highlight w:val="white"/>
              </w:rPr>
            </w:pPr>
            <w:r>
              <w:rPr>
                <w:highlight w:val="white"/>
              </w:rPr>
            </w:r>
            <w:r>
              <w:rPr>
                <w:rFonts w:ascii="Times New Roman" w:hAnsi="Times New Roman" w:eastAsia="Times New Roman" w:cs="Times New Roman"/>
                <w:color w:val="000000"/>
                <w:sz w:val="24"/>
                <w:highlight w:val="white"/>
              </w:rPr>
              <w:t xml:space="preserve">13,34m tiếp giáp với đường Nguyễn Thiện Thuậ</w:t>
            </w:r>
            <w:r>
              <w:rPr>
                <w:rFonts w:ascii="Times New Roman" w:hAnsi="Times New Roman" w:eastAsia="Times New Roman" w:cs="Times New Roman"/>
                <w:color w:val="000000"/>
                <w:sz w:val="24"/>
                <w:highlight w:val="white"/>
              </w:rPr>
              <w:t xml:space="preserve">t</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-15%</w:t>
            </w:r>
            <w:r/>
          </w:p>
        </w:tc>
        <w:tc>
          <w:tcPr>
            <w:tcBorders>
              <w:bottom w:val="single" w:color="000000" w:sz="5" w:space="0"/>
              <w:right w:val="single" w:color="000000" w:sz="5" w:space="0"/>
            </w:tcBorders>
            <w:tcMar>
              <w:left w:w="0" w:type="dxa"/>
              <w:top w:w="0" w:type="dxa"/>
              <w:right w:w="0" w:type="dxa"/>
              <w:bottom w:w="0" w:type="dxa"/>
            </w:tcMar>
            <w:tcW w:w="1472" w:type="dxa"/>
            <w:vAlign w:val="bottom"/>
            <w:vMerge w:val="continue"/>
            <w:textDirection w:val="lrTb"/>
            <w:noWrap/>
          </w:tcPr>
          <w:p w14:paraId="75E40CB6">
            <w:pPr>
              <w:pBdr/>
              <w:spacing/>
              <w:ind/>
              <w:rPr/>
            </w:pPr>
            <w: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xml:space="preserve">10.800.000</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14:paraId="6E520579">
            <w:pPr>
              <w:pBdr/>
              <w:spacing w:after="0" w:before="0" w:line="240" w:lineRule="auto"/>
              <w:ind/>
              <w:rPr/>
            </w:pPr>
            <w:r>
              <w:rPr>
                <w:rFonts w:ascii="Times New Roman" w:hAnsi="Times New Roman" w:eastAsia="Times New Roman" w:cs="Times New Roman"/>
                <w:color w:val="000000"/>
                <w:sz w:val="24"/>
              </w:rPr>
              <w:t xml:space="preserve">    7.020.000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1197"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144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Đa giác</w:t>
            </w:r>
            <w:r/>
          </w:p>
        </w:tc>
        <w:tc>
          <w:tcPr>
            <w:tcBorders>
              <w:bottom w:val="single" w:color="000000" w:sz="5" w:space="0"/>
              <w:right w:val="single" w:color="000000" w:sz="5" w:space="0"/>
            </w:tcBorders>
            <w:tcMar>
              <w:left w:w="0" w:type="dxa"/>
              <w:top w:w="0" w:type="dxa"/>
              <w:right w:w="0" w:type="dxa"/>
              <w:bottom w:w="0" w:type="dxa"/>
            </w:tcMar>
            <w:tcW w:w="1600"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Đa giác</w:t>
            </w: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5" w:space="0"/>
              <w:right w:val="single" w:color="000000" w:sz="5" w:space="0"/>
            </w:tcBorders>
            <w:tcMar>
              <w:left w:w="0" w:type="dxa"/>
              <w:top w:w="0" w:type="dxa"/>
              <w:right w:w="0" w:type="dxa"/>
              <w:bottom w:w="0" w:type="dxa"/>
            </w:tcMar>
            <w:tcW w:w="1718" w:type="dxa"/>
            <w:vAlign w:val="bottom"/>
            <w:vMerge w:val="continue"/>
            <w:textDirection w:val="lrTb"/>
            <w:noWrap/>
          </w:tcPr>
          <w:p w14:paraId="58E680C2">
            <w:pPr>
              <w:pBdr/>
              <w:spacing/>
              <w:ind/>
              <w:rPr/>
            </w:pPr>
            <w: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1197"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Vị trí</w:t>
            </w:r>
            <w:r/>
          </w:p>
        </w:tc>
        <w:tc>
          <w:tcPr>
            <w:tcBorders>
              <w:bottom w:val="single" w:color="000000" w:sz="5" w:space="0"/>
              <w:right w:val="single" w:color="000000" w:sz="5" w:space="0"/>
            </w:tcBorders>
            <w:tcMar>
              <w:left w:w="0" w:type="dxa"/>
              <w:top w:w="0" w:type="dxa"/>
              <w:right w:w="0" w:type="dxa"/>
              <w:bottom w:w="0" w:type="dxa"/>
            </w:tcMar>
            <w:tcW w:w="1445"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Cách mặt đường 37,67m</w:t>
            </w:r>
            <w:r/>
          </w:p>
        </w:tc>
        <w:tc>
          <w:tcPr>
            <w:tcBorders>
              <w:bottom w:val="single" w:color="000000" w:sz="5" w:space="0"/>
              <w:right w:val="single" w:color="000000" w:sz="5" w:space="0"/>
            </w:tcBorders>
            <w:tcMar>
              <w:left w:w="0" w:type="dxa"/>
              <w:top w:w="0" w:type="dxa"/>
              <w:right w:w="0" w:type="dxa"/>
              <w:bottom w:w="0" w:type="dxa"/>
            </w:tcMar>
            <w:tcW w:w="1600"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Tiếp giáp với trục chính</w:t>
            </w: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-30%</w:t>
            </w:r>
            <w:r/>
          </w:p>
        </w:tc>
        <w:tc>
          <w:tcPr>
            <w:tcBorders>
              <w:bottom w:val="single" w:color="000000" w:sz="5" w:space="0"/>
              <w:right w:val="single" w:color="000000" w:sz="5" w:space="0"/>
            </w:tcBorders>
            <w:tcMar>
              <w:left w:w="0" w:type="dxa"/>
              <w:top w:w="0" w:type="dxa"/>
              <w:right w:w="0" w:type="dxa"/>
              <w:bottom w:w="0" w:type="dxa"/>
            </w:tcMar>
            <w:tcW w:w="1718" w:type="dxa"/>
            <w:vAlign w:val="bottom"/>
            <w:vMerge w:val="continue"/>
            <w:textDirection w:val="lrTb"/>
            <w:noWrap/>
          </w:tcPr>
          <w:p w14:paraId="5A9E84E9">
            <w:pPr>
              <w:pBdr/>
              <w:spacing/>
              <w:ind/>
              <w:rPr/>
            </w:pPr>
            <w: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c>
          <w:tcPr>
            <w:tcBorders>
              <w:bottom w:val="single" w:color="000000" w:sz="5" w:space="0"/>
              <w:right w:val="single" w:color="000000" w:sz="5" w:space="0"/>
            </w:tcBorders>
            <w:tcMar>
              <w:left w:w="0" w:type="dxa"/>
              <w:top w:w="0" w:type="dxa"/>
              <w:right w:w="0" w:type="dxa"/>
              <w:bottom w:w="0" w:type="dxa"/>
            </w:tcMar>
            <w:tcW w:w="1718" w:type="dxa"/>
            <w:vAlign w:val="bottom"/>
            <w:textDirection w:val="lrTb"/>
            <w:noWrap/>
          </w:tcPr>
          <w:p>
            <w:pPr>
              <w:pBdr/>
              <w:spacing/>
              <w:ind/>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tc>
      </w:tr>
    </w:tbl>
    <w:p>
      <w:pPr>
        <w:pBdr/>
        <w:spacing w:after="120" w:before="120" w:line="276" w:lineRule="auto"/>
        <w:ind/>
        <w:jc w:val="both"/>
        <w:rPr>
          <w:b/>
          <w:bCs/>
          <w:highlight w:val="none"/>
        </w:rPr>
      </w:pPr>
      <w:r>
        <w:rPr>
          <w:b/>
          <w:bCs/>
          <w:highlight w:val="none"/>
        </w:rPr>
        <w:t xml:space="preserve">1.2.2</w:t>
      </w:r>
      <w:r>
        <w:rPr>
          <w:b/>
          <w:bCs/>
          <w:highlight w:val="none"/>
        </w:rPr>
        <w:t xml:space="preserve"> Xác định đơn giá quyền sử dụng đất trồng cây lâu năm: </w:t>
      </w:r>
      <w:r>
        <w:rPr>
          <w:b/>
          <w:bCs/>
          <w:highlight w:val="none"/>
        </w:rPr>
      </w:r>
      <w:r>
        <w:rPr>
          <w:b/>
          <w:bCs/>
          <w:highlight w:val="none"/>
        </w:rPr>
      </w:r>
    </w:p>
    <w:p>
      <w:pPr>
        <w:pBdr>
          <w:top w:val="none" w:color="000000" w:sz="4" w:space="0"/>
          <w:left w:val="none" w:color="000000" w:sz="4" w:space="0"/>
          <w:bottom w:val="none" w:color="000000" w:sz="4" w:space="0"/>
          <w:right w:val="none" w:color="000000" w:sz="4" w:space="0"/>
        </w:pBdr>
        <w:shd w:val="clear" w:color="ffffff" w:fill="ffffff"/>
        <w:spacing w:after="150" w:before="0"/>
        <w:ind w:right="0" w:firstLine="0" w:left="0"/>
        <w:rPr>
          <w:b w:val="0"/>
          <w:bCs w:val="0"/>
          <w:highlight w:val="none"/>
          <w14:ligatures w14:val="none"/>
        </w:rPr>
      </w:pPr>
      <w:r>
        <w:rPr>
          <w:b/>
          <w:bCs/>
          <w:highlight w:val="none"/>
        </w:rPr>
        <w:t xml:space="preserve"> </w:t>
      </w:r>
      <w:r>
        <w:rPr>
          <w:b w:val="0"/>
          <w:bCs w:val="0"/>
          <w:highlight w:val="none"/>
        </w:rPr>
        <w:t xml:space="preserve">Căn cứ Quy</w:t>
      </w:r>
      <w:r>
        <w:rPr>
          <w:b w:val="0"/>
          <w:bCs w:val="0"/>
          <w:highlight w:val="none"/>
        </w:rPr>
        <w:t xml:space="preserve">ết định số </w:t>
      </w:r>
      <w:r>
        <w:rPr>
          <w:b w:val="0"/>
          <w:bCs w:val="0"/>
          <w:highlight w:val="none"/>
        </w:rPr>
        <w:t xml:space="preserve">36/2019/QĐ-UBND</w:t>
      </w:r>
      <w:r>
        <w:rPr>
          <w:b w:val="0"/>
          <w:bCs w:val="0"/>
          <w:highlight w:val="none"/>
        </w:rPr>
        <w:t xml:space="preserve"> của Ủy ban nhân dân tỉnh Đồng Tháp ngày </w:t>
      </w:r>
      <w:r>
        <w:rPr>
          <w:b w:val="0"/>
          <w:bCs w:val="0"/>
          <w:highlight w:val="none"/>
        </w:rPr>
        <w:t xml:space="preserve">19 tháng 12 năm 2019</w:t>
      </w:r>
      <w:r>
        <w:rPr>
          <w:b w:val="0"/>
          <w:bCs w:val="0"/>
          <w:highlight w:val="none"/>
        </w:rPr>
        <w:t xml:space="preserve"> v</w:t>
      </w:r>
      <w:r>
        <w:rPr>
          <w:b w:val="0"/>
          <w:bCs w:val="0"/>
          <w:highlight w:val="none"/>
        </w:rPr>
        <w:t xml:space="preserve">ề việc </w:t>
      </w:r>
      <w:r>
        <w:rPr>
          <w:b w:val="0"/>
          <w:bCs w:val="0"/>
          <w:highlight w:val="none"/>
        </w:rPr>
        <w:t xml:space="preserve">quy định về Bảng giá đất trên địa bàn tỉnh Đồng Tháp 05 năm (2020-2024)</w:t>
      </w:r>
      <w:r>
        <w:rPr>
          <w:b w:val="0"/>
          <w:bCs w:val="0"/>
          <w:highlight w:val="none"/>
        </w:rPr>
        <w:t xml:space="preserve"> và </w:t>
      </w:r>
      <w:r>
        <w:rPr>
          <w:b w:val="0"/>
          <w:bCs w:val="0"/>
          <w:highlight w:val="none"/>
        </w:rPr>
      </w:r>
      <w:hyperlink r:id="rId17" w:tooltip="https://thuvienphapluat.vn/van-ban/Bat-dong-san/Quyet-dinh-12-2024-QD-UBND-sua-doi-bang-gia-dat-o-Quyet-dinh-36-2019-QD-UBND-Dong-Thap-612647.aspx" w:history="1">
        <w:r>
          <w:rPr>
            <w:b w:val="0"/>
            <w:bCs w:val="0"/>
            <w:highlight w:val="none"/>
          </w:rPr>
          <w:t xml:space="preserve">Quyết định 12/2024/QĐ-UBND</w:t>
        </w:r>
      </w:hyperlink>
      <w:r>
        <w:rPr>
          <w:b w:val="0"/>
          <w:bCs w:val="0"/>
          <w:highlight w:val="none"/>
        </w:rPr>
        <w:t xml:space="preserve"> n</w:t>
      </w:r>
      <w:r>
        <w:rPr>
          <w:b w:val="0"/>
          <w:bCs w:val="0"/>
          <w:highlight w:val="none"/>
        </w:rPr>
        <w:t xml:space="preserve">gày 04/6/2024 sửa đổi bảng giá đất ở tại Khoản 2, Khoản 3 Điều 10 của Quy định kèm theo Quyết định 36/2019/QĐ-UBND quy định Bảng giá đất trên địa bàn tỉnh Đồng Tháp 05 năm (2020-2024)</w:t>
      </w:r>
      <w:r>
        <w:rPr>
          <w:b w:val="0"/>
          <w:bCs w:val="0"/>
          <w:highlight w:val="none"/>
        </w:rPr>
        <w:t xml:space="preserve">. Đơn giá đất trồng cây lâu năm tại vị trí 2 phường An Hòa là 110.000 đồng/m2.</w:t>
      </w:r>
      <w:r>
        <w:rPr>
          <w:b w:val="0"/>
          <w:bCs w:val="0"/>
          <w:highlight w:val="none"/>
          <w14:ligatures w14:val="none"/>
        </w:rPr>
      </w:r>
      <w:r>
        <w:rPr>
          <w:b w:val="0"/>
          <w:bCs w:val="0"/>
          <w:highlight w:val="none"/>
          <w14:ligatures w14:val="none"/>
        </w:rPr>
      </w:r>
    </w:p>
    <w:p>
      <w:pPr>
        <w:pStyle w:val="1043"/>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3"/>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rPr>
          <w:highlight w:val="none"/>
        </w:rPr>
      </w:r>
      <w:r>
        <w:rPr>
          <w:highlight w:val="none"/>
        </w:rPr>
      </w:r>
    </w:p>
    <w:tbl>
      <w:tblPr>
        <w:tblStyle w:val="1047"/>
        <w:tblInd w:w="0" w:type="dxa"/>
        <w:tblW w:w="0" w:type="auto"/>
        <w:tblCellMar>
          <w:left w:w="108" w:type="dxa"/>
          <w:top w:w="0" w:type="dxa"/>
          <w:right w:w="108" w:type="dxa"/>
          <w:bottom w:w="0" w:type="dxa"/>
        </w:tblCellMar>
        <w:tblBorders>
          <w:top w:val="single" w:color="000000" w:sz="8" w:space="0"/>
          <w:left w:val="single" w:color="000000" w:sz="8" w:space="0"/>
          <w:bottom w:val="single" w:color="000000" w:sz="5" w:space="0"/>
          <w:right w:val="single" w:color="000000" w:sz="5" w:space="0"/>
          <w:insideH w:val="single" w:color="000000" w:sz="4" w:space="0"/>
          <w:insideV w:val="single" w:color="000000" w:sz="4" w:space="0"/>
        </w:tblBorders>
        <w:tblLayout w:type="fixed"/>
        <w:tblLook w:val="04A0" w:firstRow="1" w:lastRow="0" w:firstColumn="1" w:lastColumn="0" w:noHBand="0" w:noVBand="1"/>
      </w:tblPr>
      <w:tblGrid>
        <w:gridCol w:w="528"/>
        <w:gridCol w:w="3043"/>
        <w:gridCol w:w="1559"/>
        <w:gridCol w:w="2235"/>
        <w:gridCol w:w="198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0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8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b/>
                <w:color w:val="000000"/>
                <w:sz w:val="24"/>
              </w:rPr>
              <w:t xml:space="preserve">Quyền sử dụng đất tại thửa đất số: 651, tờ bản đồ số 30 có địa chỉ: Khóm Tân An, phường Sa Đéc, tỉnh Đồng Tháp theo Giấy chứng nhận quyền sử dụng đất quyền sở hữu nhà ở và tài sản khác gắn liền với đất </w:t>
            </w:r>
            <w:r>
              <w:rPr>
                <w:rFonts w:ascii="Times New Roman" w:hAnsi="Times New Roman" w:eastAsia="Times New Roman" w:cs="Times New Roman"/>
                <w:b/>
                <w:color w:val="000000"/>
                <w:sz w:val="24"/>
              </w:rPr>
              <w:t xml:space="preserve">số: BU 113570, số vào sổ cấp GCN: CH04066 do Ủy ban nhân dân thành phố Sa Đéc cấp ngày 29/07/2014; Chủ sử dụng đất là Ông Phan Văn Lĩnh.</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14:paraId="661D683C">
            <w:pPr>
              <w:pBdr/>
              <w:spacing w:after="0" w:before="0" w:line="240" w:lineRule="auto"/>
              <w:ind/>
              <w:jc w:val="center"/>
              <w:rPr/>
            </w:pPr>
            <w:r>
              <w:rPr>
                <w:rFonts w:ascii="Times New Roman" w:hAnsi="Times New Roman" w:eastAsia="Times New Roman" w:cs="Times New Roman"/>
                <w:b/>
                <w:color w:val="000000"/>
                <w:sz w:val="24"/>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043" w:type="dxa"/>
            <w:vAlign w:val="center"/>
            <w:textDirection w:val="lrTb"/>
            <w:noWrap w:val="false"/>
          </w:tcPr>
          <w:p w14:paraId="58600BD0">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1B0A98A3">
            <w:pPr>
              <w:pBdr/>
              <w:spacing w:after="0" w:before="0" w:line="240" w:lineRule="auto"/>
              <w:ind/>
              <w:jc w:val="center"/>
              <w:rPr/>
            </w:pPr>
            <w:r>
              <w:rPr>
                <w:rFonts w:ascii="Times New Roman" w:hAnsi="Times New Roman" w:eastAsia="Times New Roman" w:cs="Times New Roman"/>
                <w:color w:val="000000"/>
                <w:sz w:val="24"/>
              </w:rPr>
              <w:t xml:space="preserve">791,2</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35" w:type="dxa"/>
            <w:vAlign w:val="center"/>
            <w:textDirection w:val="lrTb"/>
            <w:noWrap w:val="false"/>
          </w:tcPr>
          <w:p w14:paraId="70D5C374">
            <w:pPr>
              <w:pBdr/>
              <w:spacing w:after="0" w:before="0" w:line="240" w:lineRule="auto"/>
              <w:ind/>
              <w:jc w:val="center"/>
              <w:rPr/>
            </w:pPr>
            <w:r>
              <w:rPr>
                <w:rFonts w:ascii="Times New Roman" w:hAnsi="Times New Roman" w:eastAsia="Times New Roman" w:cs="Times New Roman"/>
                <w:color w:val="000000"/>
                <w:sz w:val="24"/>
              </w:rPr>
              <w:t xml:space="preserve">10.800.000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14:paraId="4543FC14">
            <w:pPr>
              <w:pBdr/>
              <w:spacing w:after="0" w:before="0" w:line="240" w:lineRule="auto"/>
              <w:ind/>
              <w:jc w:val="center"/>
              <w:rPr/>
            </w:pPr>
            <w:r>
              <w:rPr>
                <w:rFonts w:ascii="Times New Roman" w:hAnsi="Times New Roman" w:eastAsia="Times New Roman" w:cs="Times New Roman"/>
                <w:color w:val="000000"/>
                <w:sz w:val="24"/>
              </w:rPr>
              <w:t xml:space="preserve">8.544.960.000</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2</w:t>
            </w:r>
            <w:r/>
          </w:p>
        </w:tc>
        <w:tc>
          <w:tcPr>
            <w:gridSpan w:val="3"/>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683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b/>
                <w:color w:val="000000"/>
                <w:sz w:val="24"/>
              </w:rPr>
              <w:t xml:space="preserve">Quyền sử dụng đất tại thửa đất số: 616, tờ bản đồ số 30 có địa chỉ: Khóm Tân An, phường Sa Đéc, tỉnh Đồng Tháp theo Giấy chứng nhận quyền sử dụng đất quyền sở hữu nhà ở và tài sản khác gắn liền với đất </w:t>
            </w:r>
            <w:r>
              <w:rPr>
                <w:rFonts w:ascii="Times New Roman" w:hAnsi="Times New Roman" w:eastAsia="Times New Roman" w:cs="Times New Roman"/>
                <w:b/>
                <w:color w:val="000000"/>
                <w:sz w:val="24"/>
              </w:rPr>
              <w:t xml:space="preserve">số: BL 359885, số vào sổ cấp GCN: CH02567 do Ủy ban nhân dân thị xã Sa Đéc cấp ngày 03/10/2012; Chủ sử dụng đất là Ông Phan Văn Lĩnh</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 </w:t>
            </w:r>
            <w:r/>
          </w:p>
        </w:tc>
      </w:tr>
      <w:tr>
        <w:trPr>
          <w:trHeight w:val="354"/>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14:paraId="65A23A5D">
            <w:pPr>
              <w:pBdr/>
              <w:spacing w:after="0" w:before="0" w:line="240" w:lineRule="auto"/>
              <w:ind/>
              <w:jc w:val="center"/>
              <w:rPr/>
            </w:pPr>
            <w:r>
              <w:rPr>
                <w:rFonts w:ascii="Times New Roman" w:hAnsi="Times New Roman" w:eastAsia="Times New Roman" w:cs="Times New Roman"/>
                <w:b/>
                <w:color w:val="000000"/>
                <w:sz w:val="24"/>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043" w:type="dxa"/>
            <w:vAlign w:val="center"/>
            <w:textDirection w:val="lrTb"/>
            <w:noWrap w:val="false"/>
          </w:tcPr>
          <w:p w14:paraId="5A4CB940">
            <w:pPr>
              <w:pBdr/>
              <w:spacing w:after="0" w:before="0" w:line="240" w:lineRule="auto"/>
              <w:ind/>
              <w:rPr/>
            </w:pPr>
            <w:r>
              <w:rPr>
                <w:rFonts w:ascii="Times New Roman" w:hAnsi="Times New Roman" w:eastAsia="Times New Roman" w:cs="Times New Roman"/>
                <w:color w:val="000000"/>
                <w:sz w:val="24"/>
              </w:rPr>
              <w:t xml:space="preserve">Quyền sử dụng đất ở tại đô thị</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5ECCB744">
            <w:pPr>
              <w:pBdr/>
              <w:spacing w:after="0" w:before="0" w:line="240" w:lineRule="auto"/>
              <w:ind/>
              <w:jc w:val="center"/>
              <w:rPr/>
            </w:pPr>
            <w:r>
              <w:rPr>
                <w:rFonts w:ascii="Times New Roman" w:hAnsi="Times New Roman" w:eastAsia="Times New Roman" w:cs="Times New Roman"/>
                <w:color w:val="000000"/>
                <w:sz w:val="24"/>
              </w:rPr>
              <w:t xml:space="preserve">219,8</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35" w:type="dxa"/>
            <w:vAlign w:val="center"/>
            <w:textDirection w:val="lrTb"/>
            <w:noWrap w:val="false"/>
          </w:tcPr>
          <w:p w14:paraId="0D2EAAE7">
            <w:pPr>
              <w:pBdr/>
              <w:spacing w:after="0" w:before="0" w:line="240" w:lineRule="auto"/>
              <w:ind/>
              <w:jc w:val="center"/>
              <w:rPr/>
            </w:pPr>
            <w:r>
              <w:rPr>
                <w:rFonts w:ascii="Times New Roman" w:hAnsi="Times New Roman" w:eastAsia="Times New Roman" w:cs="Times New Roman"/>
                <w:color w:val="000000"/>
                <w:sz w:val="24"/>
              </w:rPr>
              <w:t xml:space="preserve">7.020.000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14:paraId="184A743A">
            <w:pPr>
              <w:pBdr/>
              <w:spacing w:after="0" w:before="0" w:line="240" w:lineRule="auto"/>
              <w:ind/>
              <w:jc w:val="center"/>
              <w:rPr/>
            </w:pPr>
            <w:r>
              <w:rPr>
                <w:rFonts w:ascii="Times New Roman" w:hAnsi="Times New Roman" w:eastAsia="Times New Roman" w:cs="Times New Roman"/>
                <w:color w:val="000000"/>
                <w:sz w:val="24"/>
              </w:rPr>
              <w:t xml:space="preserve">1.542.996.000</w:t>
            </w:r>
            <w:r/>
          </w:p>
        </w:tc>
      </w:tr>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28" w:type="dxa"/>
            <w:vAlign w:val="center"/>
            <w:textDirection w:val="lrTb"/>
            <w:noWrap w:val="false"/>
          </w:tcPr>
          <w:p w14:paraId="343EFC4D">
            <w:pPr>
              <w:pBdr/>
              <w:spacing w:after="0" w:before="0" w:line="240" w:lineRule="auto"/>
              <w:ind/>
              <w:jc w:val="center"/>
              <w:rPr/>
            </w:pPr>
            <w:r>
              <w:rPr>
                <w:rFonts w:ascii="Times New Roman" w:hAnsi="Times New Roman" w:eastAsia="Times New Roman" w:cs="Times New Roman"/>
                <w:b/>
                <w:color w:val="000000"/>
                <w:sz w:val="24"/>
              </w:rPr>
              <w:t xml:space="preserve">-</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3043" w:type="dxa"/>
            <w:vAlign w:val="center"/>
            <w:textDirection w:val="lrTb"/>
            <w:noWrap w:val="false"/>
          </w:tcPr>
          <w:p w14:paraId="197B0CBB">
            <w:pPr>
              <w:pBdr/>
              <w:spacing w:after="0" w:before="0" w:line="240" w:lineRule="auto"/>
              <w:ind/>
              <w:rPr/>
            </w:pPr>
            <w:r>
              <w:rPr>
                <w:rFonts w:ascii="Times New Roman" w:hAnsi="Times New Roman" w:eastAsia="Times New Roman" w:cs="Times New Roman"/>
                <w:color w:val="000000"/>
                <w:sz w:val="24"/>
              </w:rPr>
              <w:t xml:space="preserve">Quyền sử dụng đất trồng cây lâu năm</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14:paraId="767F268D">
            <w:pPr>
              <w:pBdr/>
              <w:spacing w:after="0" w:before="0" w:line="240" w:lineRule="auto"/>
              <w:ind/>
              <w:jc w:val="center"/>
              <w:rPr/>
            </w:pPr>
            <w:r>
              <w:rPr>
                <w:rFonts w:ascii="Times New Roman" w:hAnsi="Times New Roman" w:eastAsia="Times New Roman" w:cs="Times New Roman"/>
                <w:color w:val="000000"/>
                <w:sz w:val="24"/>
              </w:rPr>
              <w:t xml:space="preserve">185,4</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2235" w:type="dxa"/>
            <w:vAlign w:val="center"/>
            <w:textDirection w:val="lrTb"/>
            <w:noWrap w:val="false"/>
          </w:tcPr>
          <w:p w14:paraId="217BCB4C">
            <w:pPr>
              <w:pBdr/>
              <w:spacing w:after="0" w:before="0" w:line="240" w:lineRule="auto"/>
              <w:ind/>
              <w:jc w:val="center"/>
              <w:rPr/>
            </w:pPr>
            <w:r>
              <w:rPr>
                <w:rFonts w:ascii="Times New Roman" w:hAnsi="Times New Roman" w:eastAsia="Times New Roman" w:cs="Times New Roman"/>
                <w:color w:val="000000"/>
                <w:sz w:val="24"/>
              </w:rPr>
              <w:t xml:space="preserve">110.000</w:t>
            </w:r>
            <w:r/>
          </w:p>
        </w:tc>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14:paraId="1F59ED66">
            <w:pPr>
              <w:pBdr/>
              <w:spacing w:after="0" w:before="0" w:line="240" w:lineRule="auto"/>
              <w:ind/>
              <w:jc w:val="center"/>
              <w:rPr/>
            </w:pPr>
            <w:r>
              <w:rPr>
                <w:rFonts w:ascii="Times New Roman" w:hAnsi="Times New Roman" w:eastAsia="Times New Roman" w:cs="Times New Roman"/>
                <w:color w:val="000000"/>
                <w:sz w:val="24"/>
              </w:rPr>
              <w:t xml:space="preserve">20.394.000</w:t>
            </w:r>
            <w:r/>
          </w:p>
        </w:tc>
      </w:tr>
      <w:tr>
        <w:trPr>
          <w:trHeight w:val="20"/>
        </w:trPr>
        <w:tc>
          <w:tcPr>
            <w:gridSpan w:val="4"/>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366" w:type="dxa"/>
            <w:vAlign w:val="center"/>
            <w:textDirection w:val="lrTb"/>
            <w:noWrap w:val="false"/>
          </w:tcPr>
          <w:p w14:paraId="13158DDF">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14:paraId="1E231152">
            <w:pPr>
              <w:pBdr/>
              <w:spacing w:after="0" w:before="0" w:line="240" w:lineRule="auto"/>
              <w:ind/>
              <w:jc w:val="center"/>
              <w:rPr/>
            </w:pPr>
            <w:r>
              <w:rPr>
                <w:rFonts w:ascii="Times New Roman" w:hAnsi="Times New Roman" w:eastAsia="Times New Roman" w:cs="Times New Roman"/>
                <w:color w:val="000000"/>
                <w:sz w:val="24"/>
              </w:rPr>
              <w:t xml:space="preserve">10.108.350.000</w:t>
            </w:r>
            <w:r/>
          </w:p>
        </w:tc>
      </w:tr>
      <w:tr>
        <w:trPr>
          <w:trHeight w:val="20"/>
        </w:trPr>
        <w:tc>
          <w:tcPr>
            <w:gridSpan w:val="4"/>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366" w:type="dxa"/>
            <w:vAlign w:val="center"/>
            <w:textDirection w:val="lrTb"/>
            <w:noWrap w:val="false"/>
          </w:tcPr>
          <w:p w14:paraId="49A0D504">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1984" w:type="dxa"/>
            <w:vAlign w:val="center"/>
            <w:textDirection w:val="lrTb"/>
            <w:noWrap w:val="false"/>
          </w:tcPr>
          <w:p w14:paraId="3ECF511C">
            <w:pPr>
              <w:pBdr/>
              <w:spacing w:after="0" w:before="0" w:line="240" w:lineRule="auto"/>
              <w:ind/>
              <w:jc w:val="center"/>
              <w:rPr/>
            </w:pPr>
            <w:r>
              <w:rPr>
                <w:rFonts w:ascii="Times New Roman" w:hAnsi="Times New Roman" w:eastAsia="Times New Roman" w:cs="Times New Roman"/>
                <w:b/>
                <w:color w:val="000000"/>
                <w:sz w:val="24"/>
              </w:rPr>
              <w:t xml:space="preserve">10.108.000.000</w:t>
            </w:r>
            <w:r/>
          </w:p>
        </w:tc>
      </w:tr>
      <w:tr>
        <w:trPr>
          <w:trHeight w:val="20"/>
        </w:trPr>
        <w:tc>
          <w:tcPr>
            <w:gridSpan w:val="5"/>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9350" w:type="dxa"/>
            <w:vAlign w:val="center"/>
            <w:textDirection w:val="lrTb"/>
            <w:noWrap w:val="false"/>
          </w:tcPr>
          <w:p w14:paraId="2B82DEB2">
            <w:pPr>
              <w:pBdr/>
              <w:spacing w:after="0" w:before="0" w:line="240" w:lineRule="auto"/>
              <w:ind/>
              <w:jc w:val="center"/>
              <w:rPr/>
            </w:pPr>
            <w:r>
              <w:rPr>
                <w:rFonts w:ascii="Times New Roman" w:hAnsi="Times New Roman" w:eastAsia="Times New Roman" w:cs="Times New Roman"/>
                <w:b/>
                <w:i/>
                <w:color w:val="000000"/>
                <w:sz w:val="24"/>
              </w:rPr>
              <w:t xml:space="preserve">(Bằng chữ: Mười tỷ, một trăm linh tám triệu đồng ./.)</w:t>
            </w:r>
            <w:r/>
          </w:p>
        </w:tc>
      </w:tr>
    </w:tbl>
    <w:p>
      <w:pPr>
        <w:pStyle w:val="1043"/>
        <w:pBdr/>
        <w:tabs>
          <w:tab w:val="left" w:leader="none" w:pos="993"/>
        </w:tabs>
        <w:spacing w:after="120" w:before="120" w:line="276" w:lineRule="auto"/>
        <w:ind w:left="0"/>
        <w:jc w:val="both"/>
        <w:rPr/>
      </w:pPr>
      <w:r/>
      <w:r/>
    </w:p>
    <w:p>
      <w:pPr>
        <w:pBdr>
          <w:top w:val="none" w:color="000000" w:sz="4" w:space="0"/>
          <w:left w:val="none" w:color="000000" w:sz="4" w:space="0"/>
          <w:bottom w:val="none" w:color="000000" w:sz="4" w:space="0"/>
          <w:right w:val="none" w:color="000000" w:sz="4" w:space="0"/>
        </w:pBdr>
        <w:spacing w:before="120" w:line="360" w:lineRule="auto"/>
        <w:ind w:right="0" w:firstLine="0" w:left="0"/>
        <w:jc w:val="both"/>
        <w:rPr>
          <w:sz w:val="24"/>
        </w:rPr>
      </w:pPr>
      <w:r>
        <w:rPr>
          <w:rFonts w:ascii="Times New Roman" w:hAnsi="Times New Roman" w:eastAsia="Times New Roman" w:cs="Times New Roman"/>
          <w:i/>
          <w:color w:val="000000"/>
          <w:sz w:val="24"/>
          <w:u w:val="single"/>
        </w:rPr>
        <w:t xml:space="preserve"> Ghi chú</w:t>
      </w:r>
      <w:r>
        <w:rPr>
          <w:rFonts w:ascii="Times New Roman" w:hAnsi="Times New Roman" w:eastAsia="Times New Roman" w:cs="Times New Roman"/>
          <w:i/>
          <w:color w:val="000000"/>
          <w:sz w:val="24"/>
        </w:rPr>
        <w:t xml:space="preserve">: Kết quả thẩm định định giá theo phương án xác định giá trị trong điều kiện hợp thửa các thửa đất liền kề và không có ranh giới giữa các thửa đất, đề nghị ngân hàng nhận thế chấp và giải chấp đồng thời các thửa đất.</w:t>
      </w:r>
      <w:r>
        <w:rPr>
          <w:sz w:val="24"/>
        </w:rPr>
      </w:r>
      <w:r>
        <w:rPr>
          <w:sz w:val="24"/>
        </w:rPr>
      </w:r>
    </w:p>
    <w:p>
      <w:pPr>
        <w:pStyle w:val="104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3"/>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3"/>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3"/>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3"/>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3"/>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3"/>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3"/>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3"/>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3"/>
        <w:numPr>
          <w:ilvl w:val="0"/>
          <w:numId w:val="40"/>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thời điểm khảo sát, CTXD gắn liền với đất  gồm 01 nhà ở và 01 nhà trọ xây dựng khoảng năm 2016. Các CTXD được xây dựng trên cả 2 thửa đất số 651 và thửa đất số 616. Các CTXD chưa được chứng nhận trên GCN. Ngoài ra, tổ thẩm định không thu thập được bất</w:t>
      </w:r>
      <w:r>
        <w:rPr>
          <w:rFonts w:ascii="Times New Roman" w:hAnsi="Times New Roman" w:eastAsia="Times New Roman" w:cs="Times New Roman"/>
          <w:color w:val="000000"/>
          <w:sz w:val="24"/>
        </w:rPr>
        <w:t xml:space="preserve"> kì hồ sơ pháp lí nào liên quan đến CTXD trên. Do vậy, theo đề nghị của Ngân hàng/Khách hàng, Tổ thẩm định không xác định giá trị của công trình xây dựng vào tổng giá trị, nhưng vẫn coi đó là phần không thể tách rời của tài sản thẩm định. Kính đề nghị đơn </w:t>
      </w:r>
      <w:r>
        <w:rPr>
          <w:rFonts w:ascii="Times New Roman" w:hAnsi="Times New Roman" w:eastAsia="Times New Roman" w:cs="Times New Roman"/>
          <w:color w:val="000000"/>
          <w:sz w:val="24"/>
        </w:rPr>
        <w:t xml:space="preserve">vị sử dụng kết quả lưu ý.</w:t>
      </w:r>
      <w:r>
        <w:rPr>
          <w:spacing w:val="-2"/>
          <w:lang w:val="pt-BR"/>
        </w:rPr>
      </w:r>
      <w:r>
        <w:rPr>
          <w:spacing w:val="-2"/>
          <w:lang w:val="pt-BR"/>
        </w:rPr>
      </w:r>
    </w:p>
    <w:p>
      <w:pPr>
        <w:numPr>
          <w:ilvl w:val="0"/>
          <w:numId w:val="4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rFonts w:ascii="Times New Roman" w:hAnsi="Times New Roman" w:eastAsia="Times New Roman" w:cs="Times New Roman"/>
          <w:sz w:val="24"/>
        </w:rPr>
      </w:pPr>
      <w:r>
        <w:rPr>
          <w:rFonts w:ascii="Times New Roman" w:hAnsi="Times New Roman" w:eastAsia="Times New Roman" w:cs="Times New Roman"/>
          <w:color w:val="000000"/>
          <w:spacing w:val="-2"/>
          <w:sz w:val="24"/>
        </w:rPr>
        <w:t xml:space="preserve">Tài sản thẩm định giá bao gồm </w:t>
      </w:r>
      <w:r>
        <w:rPr>
          <w:rFonts w:ascii="Times New Roman" w:hAnsi="Times New Roman" w:eastAsia="Times New Roman" w:cs="Times New Roman"/>
          <w:color w:val="000000"/>
          <w:sz w:val="24"/>
        </w:rPr>
        <w:t xml:space="preserve">thửa đất số 651 và thửa đất số 616 </w:t>
      </w:r>
      <w:r>
        <w:rPr>
          <w:rFonts w:ascii="Times New Roman" w:hAnsi="Times New Roman" w:eastAsia="Times New Roman" w:cs="Times New Roman"/>
          <w:color w:val="000000"/>
          <w:spacing w:val="-2"/>
          <w:sz w:val="24"/>
        </w:rPr>
        <w:t xml:space="preserve">nằm tiếp tiếp giáp liền cạnh, không có mốc giới giữa các thửa đất và có cùng chủ sở hữu, đồng thời có các công trình xây dựng trên các thửa đất. Thửa đất 616 hiện không tiếp giáp đường, cạnh thửa đất số 651</w:t>
      </w:r>
      <w:r>
        <w:rPr>
          <w:rFonts w:ascii="Times New Roman" w:hAnsi="Times New Roman" w:eastAsia="Times New Roman" w:cs="Times New Roman"/>
          <w:color w:val="000000"/>
          <w:spacing w:val="-2"/>
          <w:sz w:val="24"/>
        </w:rPr>
        <w:t xml:space="preserve">. Kết quả thẩm định giá được nêu trong báo cáo này chỉ có giá trị trong trường hợp Ngân hàng nhận thế chấp/giải chấp đồng thời 02 (hai) thửa đất cấp tại 02 (hai) giấy chứng nhận nêu trên.</w:t>
      </w:r>
      <w:r>
        <w:rPr>
          <w:rFonts w:ascii="Times New Roman" w:hAnsi="Times New Roman" w:eastAsia="Times New Roman" w:cs="Times New Roman"/>
          <w:sz w:val="24"/>
        </w:rPr>
      </w:r>
      <w:r>
        <w:rPr>
          <w:rFonts w:ascii="Times New Roman" w:hAnsi="Times New Roman" w:eastAsia="Times New Roman" w:cs="Times New Roman"/>
          <w:sz w:val="24"/>
        </w:rPr>
      </w:r>
    </w:p>
    <w:p>
      <w:pPr>
        <w:pStyle w:val="104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3"/>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3"/>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3"/>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3"/>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275/2025/1722/VFI-CT.39.A</w:t>
      </w:r>
      <w:r>
        <w:rPr>
          <w:color w:val="ff0000"/>
          <w:lang w:val="vi-VN"/>
        </w:rPr>
        <w:t xml:space="preserve"> </w:t>
      </w:r>
      <w:r>
        <w:rPr>
          <w:color w:val="000000" w:themeColor="text1"/>
        </w:rPr>
        <w:t xml:space="preserve">ngày 4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275/2025/1722/VFI-BC.39.A</w:t>
      </w:r>
      <w:r>
        <w:rPr>
          <w:i/>
          <w:lang w:val="pt-BR"/>
        </w:rPr>
        <w:t xml:space="preserve"> </w:t>
      </w:r>
      <w:r>
        <w:rPr>
          <w:i/>
          <w:lang w:val="pt-BR"/>
        </w:rPr>
        <w:t xml:space="preserve">ngày 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70453" cy="207784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783204" name=""/>
                              <pic:cNvPicPr>
                                <a:picLocks noChangeAspect="1"/>
                              </pic:cNvPicPr>
                              <pic:nvPr/>
                            </pic:nvPicPr>
                            <pic:blipFill rotWithShape="1">
                              <a:blip r:embed="rId18"/>
                              <a:stretch/>
                            </pic:blipFill>
                            <pic:spPr bwMode="auto">
                              <a:xfrm flipH="0" flipV="0">
                                <a:off x="0" y="0"/>
                                <a:ext cx="2770453" cy="20778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8.15pt;height:163.6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44911" cy="198368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46326" name=""/>
                              <pic:cNvPicPr>
                                <a:picLocks noChangeAspect="1"/>
                              </pic:cNvPicPr>
                              <pic:nvPr/>
                            </pic:nvPicPr>
                            <pic:blipFill rotWithShape="1">
                              <a:blip r:embed="rId19"/>
                              <a:stretch/>
                            </pic:blipFill>
                            <pic:spPr bwMode="auto">
                              <a:xfrm flipH="0" flipV="0">
                                <a:off x="0" y="0"/>
                                <a:ext cx="2644910" cy="19836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8.26pt;height:156.2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675204" cy="200640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51196" name=""/>
                              <pic:cNvPicPr>
                                <a:picLocks noChangeAspect="1"/>
                              </pic:cNvPicPr>
                              <pic:nvPr/>
                            </pic:nvPicPr>
                            <pic:blipFill rotWithShape="1">
                              <a:blip r:embed="rId20"/>
                              <a:stretch/>
                            </pic:blipFill>
                            <pic:spPr bwMode="auto">
                              <a:xfrm flipH="0" flipV="0">
                                <a:off x="0" y="0"/>
                                <a:ext cx="2675203" cy="20064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0.65pt;height:157.9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23984" cy="204298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44042" name=""/>
                              <pic:cNvPicPr>
                                <a:picLocks noChangeAspect="1"/>
                              </pic:cNvPicPr>
                              <pic:nvPr/>
                            </pic:nvPicPr>
                            <pic:blipFill rotWithShape="1">
                              <a:blip r:embed="rId21"/>
                              <a:stretch/>
                            </pic:blipFill>
                            <pic:spPr bwMode="auto">
                              <a:xfrm flipH="0" flipV="0">
                                <a:off x="0" y="0"/>
                                <a:ext cx="2723983" cy="20429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49pt;height:160.8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86889" cy="194016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66984" name=""/>
                              <pic:cNvPicPr>
                                <a:picLocks noChangeAspect="1"/>
                              </pic:cNvPicPr>
                              <pic:nvPr/>
                            </pic:nvPicPr>
                            <pic:blipFill rotWithShape="1">
                              <a:blip r:embed="rId23"/>
                              <a:stretch/>
                            </pic:blipFill>
                            <pic:spPr bwMode="auto">
                              <a:xfrm flipH="0" flipV="0">
                                <a:off x="0" y="0"/>
                                <a:ext cx="2586889" cy="19401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3.69pt;height:152.7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hd w:val="nil" w:color="auto"/>
        <w:spacing/>
        <w:ind/>
        <w:rPr/>
      </w:pPr>
      <w:r>
        <w:rPr>
          <w:highlight w:val="none"/>
        </w:rPr>
        <w:br w:type="page" w:clear="all"/>
      </w:r>
      <w:r>
        <w:rPr>
          <w:highlight w:val="none"/>
        </w:rPr>
      </w:r>
      <w:r/>
    </w:p>
    <w:tbl>
      <w:tblPr>
        <w:tblStyle w:val="1047"/>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56620" cy="214246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813314" name=""/>
                              <pic:cNvPicPr>
                                <a:picLocks noChangeAspect="1"/>
                              </pic:cNvPicPr>
                              <pic:nvPr/>
                            </pic:nvPicPr>
                            <pic:blipFill rotWithShape="1">
                              <a:blip r:embed="rId24"/>
                              <a:stretch/>
                            </pic:blipFill>
                            <pic:spPr bwMode="auto">
                              <a:xfrm flipH="0" flipV="0">
                                <a:off x="0" y="0"/>
                                <a:ext cx="2856619" cy="2142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4.93pt;height:168.7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894831" cy="217112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50443" name=""/>
                              <pic:cNvPicPr>
                                <a:picLocks noChangeAspect="1"/>
                              </pic:cNvPicPr>
                              <pic:nvPr/>
                            </pic:nvPicPr>
                            <pic:blipFill rotWithShape="1">
                              <a:blip r:embed="rId25"/>
                              <a:stretch/>
                            </pic:blipFill>
                            <pic:spPr bwMode="auto">
                              <a:xfrm flipH="0" flipV="0">
                                <a:off x="0" y="0"/>
                                <a:ext cx="2894830" cy="21711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7.94pt;height:170.95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764385" cy="2073289"/>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371113" name=""/>
                              <pic:cNvPicPr>
                                <a:picLocks noChangeAspect="1"/>
                              </pic:cNvPicPr>
                              <pic:nvPr/>
                            </pic:nvPicPr>
                            <pic:blipFill rotWithShape="1">
                              <a:blip r:embed="rId26"/>
                              <a:stretch/>
                            </pic:blipFill>
                            <pic:spPr bwMode="auto">
                              <a:xfrm flipH="0" flipV="0">
                                <a:off x="0" y="0"/>
                                <a:ext cx="2764385" cy="207328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17.67pt;height:163.25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3038351" cy="227876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272175" name=""/>
                              <pic:cNvPicPr>
                                <a:picLocks noChangeAspect="1"/>
                              </pic:cNvPicPr>
                              <pic:nvPr/>
                            </pic:nvPicPr>
                            <pic:blipFill rotWithShape="1">
                              <a:blip r:embed="rId27"/>
                              <a:stretch/>
                            </pic:blipFill>
                            <pic:spPr bwMode="auto">
                              <a:xfrm flipH="0" flipV="0">
                                <a:off x="0" y="0"/>
                                <a:ext cx="3038351" cy="22787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9.24pt;height:179.43pt;mso-wrap-distance-left:0.00pt;mso-wrap-distance-top:0.00pt;mso-wrap-distance-right:0.00pt;mso-wrap-distance-bottom:0.00pt;z-index:1;" stroked="false">
                      <v:imagedata r:id="rId27" o:title=""/>
                      <o:lock v:ext="edit" rotation="t"/>
                    </v:shape>
                  </w:pict>
                </mc:Fallback>
              </mc:AlternateContent>
            </w:r>
            <w:r>
              <w:rPr>
                <w:b/>
                <w:bCs/>
                <w:i/>
                <w:lang w:val="pt-BR"/>
              </w:rPr>
            </w:r>
            <w:r>
              <w:rPr>
                <w:b/>
                <w:bCs/>
                <w:i/>
                <w:lang w:val="pt-BR"/>
              </w:rPr>
            </w:r>
          </w:p>
        </w:tc>
      </w:tr>
    </w:tbl>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275/2025/1722/VFI-BC.39.A</w:t>
      </w:r>
      <w:r>
        <w:rPr>
          <w:i/>
          <w:lang w:val="pt-BR"/>
        </w:rPr>
        <w:t xml:space="preserve"> ngày </w:t>
      </w:r>
      <w:r>
        <w:rPr>
          <w:i/>
          <w:lang w:val="pt-BR"/>
        </w:rPr>
        <w:t xml:space="preserve">4 tháng 12 năm 2025</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Facebook</w:t>
            </w:r>
            <w:r>
              <w:rPr>
                <w:color w:val="000000" w:themeColor="text1"/>
                <w:sz w:val="22"/>
                <w:szCs w:val="22"/>
              </w:rPr>
              <w:br/>
              <w:t xml:space="preserve">0336538916</w:t>
            </w:r>
            <w:r>
              <w:rPr>
                <w:sz w:val="22"/>
                <w:szCs w:val="22"/>
              </w:rPr>
              <w:t xml:space="preserve"> </w:t>
            </w:r>
            <w:r>
              <w:rPr>
                <w:sz w:val="22"/>
                <w:szCs w:val="22"/>
              </w:rPr>
              <w:br/>
              <w:t xml:space="preserve">(Anh Huy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(76.1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Phố Nguyễn Thiện Thuật, Phường Sa Đéc, Tỉnh Đồng Tháp, đường Nguyễn Thiện Thuật, Cách công viên Sa Đéc khoảng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3400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33400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0.0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61532"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366153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88.31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Đinh Thị Lan Hương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zalo</w:t>
            </w:r>
            <w:r>
              <w:rPr>
                <w:color w:val="000000" w:themeColor="text1"/>
                <w:sz w:val="22"/>
                <w:szCs w:val="22"/>
              </w:rPr>
              <w:br/>
              <w:t xml:space="preserve">0901.062.461</w:t>
            </w:r>
            <w:r>
              <w:rPr>
                <w:sz w:val="22"/>
                <w:szCs w:val="22"/>
              </w:rPr>
              <w:t xml:space="preserve"> </w:t>
            </w:r>
            <w:r>
              <w:rPr>
                <w:sz w:val="22"/>
                <w:szCs w:val="22"/>
              </w:rPr>
              <w:br/>
              <w:t xml:space="preserve">(Anh Quốc</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1.665.000.000</w:t>
            </w:r>
            <w:r>
              <w:rPr>
                <w:sz w:val="22"/>
                <w:szCs w:val="22"/>
              </w:rPr>
            </w:r>
            <w:r>
              <w:rPr>
                <w:sz w:val="22"/>
                <w:szCs w:val="22"/>
              </w:rPr>
            </w:r>
          </w:p>
        </w:tc>
      </w:tr>
      <w:tr>
        <w:trPr>
          <w:trHeight w:val="37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cửa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(81.5 m²), Đất trồng cây lâu năm (10.1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 Đất trồng cây lâu năm – Có thời hạn (đến 14/10/2043, 18 năm)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Phố Nguyễn Thiện Thuật, Phường Sa Đéc, Tỉnh Đồng Tháp, đường Nguyễn Thiện Thuật, Cách công viên Sa Đéc khoảng 500m,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83599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83599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80.79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p>
          <w:p>
            <w:pPr>
              <w:pBdr/>
              <w:spacing/>
              <w:ind/>
              <w:jc w:val="center"/>
              <w:rPr/>
            </w:pPr>
            <w:r/>
            <w:r/>
          </w:p>
        </w:tc>
      </w:tr>
    </w:tbl>
    <w:p>
      <w:pPr>
        <w:pBdr/>
        <w:shd w:val="nil" w:color="auto"/>
        <w:spacing/>
        <w:ind/>
        <w:rPr>
          <w:b/>
          <w:bCs/>
          <w:lang w:val="pt-BR"/>
        </w:rPr>
      </w:pPr>
      <w:r>
        <w:rPr>
          <w:b/>
          <w:bCs/>
          <w:iCs/>
          <w:highlight w:val="none"/>
          <w:lang w:val="pt-BR"/>
        </w:rPr>
        <w:br w:type="page" w:clear="all"/>
      </w:r>
      <w:r>
        <w:rPr>
          <w:b/>
          <w:bCs/>
          <w:lang w:val="pt-BR"/>
        </w:rPr>
      </w:r>
      <w:r>
        <w:rPr>
          <w:b/>
          <w:bCs/>
          <w:lang w:val="pt-BR"/>
        </w:rPr>
      </w:r>
    </w:p>
    <w:p>
      <w:pPr>
        <w:pBdr/>
        <w:spacing w:after="200" w:line="276" w:lineRule="auto"/>
        <w:ind/>
        <w:jc w:val="center"/>
        <w:rPr>
          <w:b/>
          <w:bCs/>
          <w:iCs/>
          <w:highlight w:val="none"/>
          <w:lang w:val="pt-BR"/>
        </w:rPr>
      </w:pP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w:t>
            </w:r>
            <w:r>
              <w:rPr>
                <w:color w:val="000000" w:themeColor="text1"/>
                <w:sz w:val="22"/>
                <w:szCs w:val="22"/>
              </w:rPr>
              <w:t xml:space="preserve">/589380481429738/posts/b%C3%A1n-g%E1%BA%A5p-c%C6%A1-h%E1%BB%99i-%C4%91%E1%BA%A7u-t%C6%B0-nh%C3%A0-1-tr%E1%BB%87t-1-l%E1%BA%A7u-m%E1%BA%B7t-ti%E1%BB%81n-%C4%91%C6%B0%E1%BB%9Dng-nguy%E1%BB%85n-thi%E1%BB%87n-thu%E1%BA%ADt-ph%C6%B0%E1%BB%9Dng/2616218988745867/</w:t>
            </w:r>
            <w:r>
              <w:rPr>
                <w:color w:val="000000" w:themeColor="text1"/>
                <w:sz w:val="22"/>
                <w:szCs w:val="22"/>
              </w:rPr>
              <w:br/>
            </w:r>
            <w:r>
              <w:rPr>
                <w:sz w:val="22"/>
                <w:szCs w:val="22"/>
              </w:rPr>
              <w:t xml:space="preserve">SĐT: </w:t>
            </w:r>
            <w:r>
              <w:rPr>
                <w:color w:val="000000" w:themeColor="text1"/>
                <w:sz w:val="22"/>
                <w:szCs w:val="22"/>
              </w:rPr>
              <w:t xml:space="preserve">0907935877</w:t>
            </w:r>
            <w:r>
              <w:rPr>
                <w:sz w:val="22"/>
                <w:szCs w:val="22"/>
              </w:rPr>
              <w:t xml:space="preserve"> </w:t>
            </w:r>
            <w:r>
              <w:rPr>
                <w:sz w:val="22"/>
                <w:szCs w:val="22"/>
              </w:rPr>
              <w:br/>
              <w:t xml:space="preserve">(Anh Tú</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(68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Sa Đéc, Tỉnh Đồng Tháp, đường Đường Nguyễn Thiện Thuật, Cách Công viên Sa Đéc khoảng 500m,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941484"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94148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10.35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18978"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53189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18.82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Đinh Thị Lan Hương</w:t>
            </w:r>
            <w:r>
              <w:rPr>
                <w:b/>
                <w:bCs/>
              </w:rPr>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00A20C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500A20C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1">
    <w:nsid w:val="500A20CE"/>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269CB563"/>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54D7FFC6"/>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4">
    <w:nsid w:val="267A75FF"/>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1B9B151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5">
    <w:name w:val="Table Grid Light"/>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1"/>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2"/>
    <w:basedOn w:val="102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3"/>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4"/>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5"/>
    <w:basedOn w:val="102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w:basedOn w:val="102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w:basedOn w:val="102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1"/>
    <w:basedOn w:val="102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5"/>
    <w:basedOn w:val="102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6"/>
    <w:basedOn w:val="102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w:basedOn w:val="102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1"/>
    <w:basedOn w:val="102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2"/>
    <w:basedOn w:val="102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3"/>
    <w:basedOn w:val="102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4"/>
    <w:basedOn w:val="102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5"/>
    <w:basedOn w:val="102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6"/>
    <w:basedOn w:val="102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Accent 1"/>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 Accent 2"/>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3"/>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Accent 4"/>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5"/>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6"/>
    <w:basedOn w:val="102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7">
    <w:name w:val="Grid Table 6 Colorful - Accent 1"/>
    <w:basedOn w:val="102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8">
    <w:name w:val="Grid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9">
    <w:name w:val="Grid Table 6 Colorful - Accent 3"/>
    <w:basedOn w:val="102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0">
    <w:name w:val="Grid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1">
    <w:name w:val="Grid Table 6 Colorful - Accent 5"/>
    <w:basedOn w:val="102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2">
    <w:name w:val="Grid Table 6 Colorful - Accent 6"/>
    <w:basedOn w:val="102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3">
    <w:name w:val="Grid Table 7 Colorful"/>
    <w:basedOn w:val="102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1"/>
    <w:basedOn w:val="102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2"/>
    <w:basedOn w:val="102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3"/>
    <w:basedOn w:val="102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4"/>
    <w:basedOn w:val="102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5"/>
    <w:basedOn w:val="102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6"/>
    <w:basedOn w:val="102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1"/>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2"/>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3"/>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4"/>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5"/>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6"/>
    <w:basedOn w:val="102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w:basedOn w:val="102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1"/>
    <w:basedOn w:val="102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2"/>
    <w:basedOn w:val="102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3"/>
    <w:basedOn w:val="102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4"/>
    <w:basedOn w:val="102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5"/>
    <w:basedOn w:val="102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6"/>
    <w:basedOn w:val="102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1"/>
    <w:basedOn w:val="102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2"/>
    <w:basedOn w:val="102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3"/>
    <w:basedOn w:val="102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4"/>
    <w:basedOn w:val="102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5"/>
    <w:basedOn w:val="102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6"/>
    <w:basedOn w:val="102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w:basedOn w:val="102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1"/>
    <w:basedOn w:val="102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2"/>
    <w:basedOn w:val="102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3"/>
    <w:basedOn w:val="102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4"/>
    <w:basedOn w:val="102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5"/>
    <w:basedOn w:val="102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6"/>
    <w:basedOn w:val="102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5 Dark"/>
    <w:basedOn w:val="102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1"/>
    <w:basedOn w:val="102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2"/>
    <w:basedOn w:val="102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3"/>
    <w:basedOn w:val="102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4"/>
    <w:basedOn w:val="102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5"/>
    <w:basedOn w:val="102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6"/>
    <w:basedOn w:val="102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6 Colorful"/>
    <w:basedOn w:val="102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1"/>
    <w:basedOn w:val="102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2"/>
    <w:basedOn w:val="102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3"/>
    <w:basedOn w:val="102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4"/>
    <w:basedOn w:val="102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5"/>
    <w:basedOn w:val="102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6"/>
    <w:basedOn w:val="102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7 Colorful"/>
    <w:basedOn w:val="102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3">
    <w:name w:val="List Table 7 Colorful - Accent 1"/>
    <w:basedOn w:val="102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4">
    <w:name w:val="List Table 7 Colorful - Accent 2"/>
    <w:basedOn w:val="102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55">
    <w:name w:val="List Table 7 Colorful - Accent 3"/>
    <w:basedOn w:val="102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56">
    <w:name w:val="List Table 7 Colorful - Accent 4"/>
    <w:basedOn w:val="102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57">
    <w:name w:val="List Table 7 Colorful - Accent 5"/>
    <w:basedOn w:val="102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58">
    <w:name w:val="List Table 7 Colorful - Accent 6"/>
    <w:basedOn w:val="102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59">
    <w:name w:val="Lined - Accent"/>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1"/>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2"/>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3"/>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4"/>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5"/>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6"/>
    <w:basedOn w:val="102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w:basedOn w:val="102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1"/>
    <w:basedOn w:val="102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2"/>
    <w:basedOn w:val="102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3"/>
    <w:basedOn w:val="102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4"/>
    <w:basedOn w:val="102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5"/>
    <w:basedOn w:val="102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6"/>
    <w:basedOn w:val="102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w:basedOn w:val="102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1"/>
    <w:basedOn w:val="102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2"/>
    <w:basedOn w:val="102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3"/>
    <w:basedOn w:val="102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4"/>
    <w:basedOn w:val="102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5"/>
    <w:basedOn w:val="102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6"/>
    <w:basedOn w:val="102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0">
    <w:name w:val="Heading 5"/>
    <w:basedOn w:val="1021"/>
    <w:next w:val="1021"/>
    <w:link w:val="98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1">
    <w:name w:val="Heading 6"/>
    <w:basedOn w:val="1021"/>
    <w:next w:val="1021"/>
    <w:link w:val="98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2">
    <w:name w:val="Heading 7"/>
    <w:basedOn w:val="1021"/>
    <w:next w:val="1021"/>
    <w:link w:val="98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3">
    <w:name w:val="Heading 8"/>
    <w:basedOn w:val="1021"/>
    <w:next w:val="1021"/>
    <w:link w:val="98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4">
    <w:name w:val="Heading 9"/>
    <w:basedOn w:val="1021"/>
    <w:next w:val="1021"/>
    <w:link w:val="98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5">
    <w:name w:val="Heading 5 Char"/>
    <w:basedOn w:val="1026"/>
    <w:link w:val="980"/>
    <w:uiPriority w:val="9"/>
    <w:pPr>
      <w:pBdr/>
      <w:spacing/>
      <w:ind/>
    </w:pPr>
    <w:rPr>
      <w:rFonts w:ascii="Arial" w:hAnsi="Arial" w:eastAsia="Arial" w:cs="Arial"/>
      <w:color w:val="0f4761" w:themeColor="accent1" w:themeShade="BF"/>
    </w:rPr>
  </w:style>
  <w:style w:type="character" w:styleId="986">
    <w:name w:val="Heading 6 Char"/>
    <w:basedOn w:val="1026"/>
    <w:link w:val="981"/>
    <w:uiPriority w:val="9"/>
    <w:pPr>
      <w:pBdr/>
      <w:spacing/>
      <w:ind/>
    </w:pPr>
    <w:rPr>
      <w:rFonts w:ascii="Arial" w:hAnsi="Arial" w:eastAsia="Arial" w:cs="Arial"/>
      <w:i/>
      <w:iCs/>
      <w:color w:val="595959" w:themeColor="text1" w:themeTint="A6"/>
    </w:rPr>
  </w:style>
  <w:style w:type="character" w:styleId="987">
    <w:name w:val="Heading 7 Char"/>
    <w:basedOn w:val="1026"/>
    <w:link w:val="982"/>
    <w:uiPriority w:val="9"/>
    <w:pPr>
      <w:pBdr/>
      <w:spacing/>
      <w:ind/>
    </w:pPr>
    <w:rPr>
      <w:rFonts w:ascii="Arial" w:hAnsi="Arial" w:eastAsia="Arial" w:cs="Arial"/>
      <w:color w:val="595959" w:themeColor="text1" w:themeTint="A6"/>
    </w:rPr>
  </w:style>
  <w:style w:type="character" w:styleId="988">
    <w:name w:val="Heading 8 Char"/>
    <w:basedOn w:val="1026"/>
    <w:link w:val="983"/>
    <w:uiPriority w:val="9"/>
    <w:pPr>
      <w:pBdr/>
      <w:spacing/>
      <w:ind/>
    </w:pPr>
    <w:rPr>
      <w:rFonts w:ascii="Arial" w:hAnsi="Arial" w:eastAsia="Arial" w:cs="Arial"/>
      <w:i/>
      <w:iCs/>
      <w:color w:val="272727" w:themeColor="text1" w:themeTint="D8"/>
    </w:rPr>
  </w:style>
  <w:style w:type="character" w:styleId="989">
    <w:name w:val="Heading 9 Char"/>
    <w:basedOn w:val="1026"/>
    <w:link w:val="984"/>
    <w:uiPriority w:val="9"/>
    <w:pPr>
      <w:pBdr/>
      <w:spacing/>
      <w:ind/>
    </w:pPr>
    <w:rPr>
      <w:rFonts w:ascii="Arial" w:hAnsi="Arial" w:eastAsia="Arial" w:cs="Arial"/>
      <w:i/>
      <w:iCs/>
      <w:color w:val="272727" w:themeColor="text1" w:themeTint="D8"/>
    </w:rPr>
  </w:style>
  <w:style w:type="paragraph" w:styleId="990">
    <w:name w:val="Subtitle"/>
    <w:basedOn w:val="1021"/>
    <w:next w:val="1021"/>
    <w:link w:val="991"/>
    <w:uiPriority w:val="11"/>
    <w:qFormat/>
    <w:pPr>
      <w:numPr>
        <w:ilvl w:val="1"/>
      </w:numPr>
      <w:pBdr/>
      <w:spacing/>
      <w:ind/>
    </w:pPr>
    <w:rPr>
      <w:color w:val="595959" w:themeColor="text1" w:themeTint="A6"/>
      <w:spacing w:val="15"/>
      <w:sz w:val="28"/>
      <w:szCs w:val="28"/>
    </w:rPr>
  </w:style>
  <w:style w:type="character" w:styleId="991">
    <w:name w:val="Subtitle Char"/>
    <w:basedOn w:val="1026"/>
    <w:link w:val="990"/>
    <w:uiPriority w:val="11"/>
    <w:pPr>
      <w:pBdr/>
      <w:spacing/>
      <w:ind/>
    </w:pPr>
    <w:rPr>
      <w:color w:val="595959" w:themeColor="text1" w:themeTint="A6"/>
      <w:spacing w:val="15"/>
      <w:sz w:val="28"/>
      <w:szCs w:val="28"/>
    </w:rPr>
  </w:style>
  <w:style w:type="paragraph" w:styleId="992">
    <w:name w:val="Quote"/>
    <w:basedOn w:val="1021"/>
    <w:next w:val="1021"/>
    <w:link w:val="993"/>
    <w:uiPriority w:val="29"/>
    <w:qFormat/>
    <w:pPr>
      <w:pBdr/>
      <w:spacing w:before="160"/>
      <w:ind/>
      <w:jc w:val="center"/>
    </w:pPr>
    <w:rPr>
      <w:i/>
      <w:iCs/>
      <w:color w:val="404040" w:themeColor="text1" w:themeTint="BF"/>
    </w:rPr>
  </w:style>
  <w:style w:type="character" w:styleId="993">
    <w:name w:val="Quote Char"/>
    <w:basedOn w:val="1026"/>
    <w:link w:val="992"/>
    <w:uiPriority w:val="29"/>
    <w:pPr>
      <w:pBdr/>
      <w:spacing/>
      <w:ind/>
    </w:pPr>
    <w:rPr>
      <w:i/>
      <w:iCs/>
      <w:color w:val="404040" w:themeColor="text1" w:themeTint="BF"/>
    </w:rPr>
  </w:style>
  <w:style w:type="character" w:styleId="994">
    <w:name w:val="Intense Emphasis"/>
    <w:basedOn w:val="1026"/>
    <w:uiPriority w:val="21"/>
    <w:qFormat/>
    <w:pPr>
      <w:pBdr/>
      <w:spacing/>
      <w:ind/>
    </w:pPr>
    <w:rPr>
      <w:i/>
      <w:iCs/>
      <w:color w:val="0f4761" w:themeColor="accent1" w:themeShade="BF"/>
    </w:rPr>
  </w:style>
  <w:style w:type="paragraph" w:styleId="995">
    <w:name w:val="Intense Quote"/>
    <w:basedOn w:val="1021"/>
    <w:next w:val="1021"/>
    <w:link w:val="99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6">
    <w:name w:val="Intense Quote Char"/>
    <w:basedOn w:val="1026"/>
    <w:link w:val="995"/>
    <w:uiPriority w:val="30"/>
    <w:pPr>
      <w:pBdr/>
      <w:spacing/>
      <w:ind/>
    </w:pPr>
    <w:rPr>
      <w:i/>
      <w:iCs/>
      <w:color w:val="0f4761" w:themeColor="accent1" w:themeShade="BF"/>
    </w:rPr>
  </w:style>
  <w:style w:type="character" w:styleId="997">
    <w:name w:val="Intense Reference"/>
    <w:basedOn w:val="1026"/>
    <w:uiPriority w:val="32"/>
    <w:qFormat/>
    <w:pPr>
      <w:pBdr/>
      <w:spacing/>
      <w:ind/>
    </w:pPr>
    <w:rPr>
      <w:b/>
      <w:bCs/>
      <w:smallCaps/>
      <w:color w:val="0f4761" w:themeColor="accent1" w:themeShade="BF"/>
      <w:spacing w:val="5"/>
    </w:rPr>
  </w:style>
  <w:style w:type="paragraph" w:styleId="998">
    <w:name w:val="No Spacing"/>
    <w:basedOn w:val="1021"/>
    <w:uiPriority w:val="1"/>
    <w:qFormat/>
    <w:pPr>
      <w:pBdr/>
      <w:spacing w:after="0" w:line="240" w:lineRule="auto"/>
      <w:ind/>
    </w:pPr>
  </w:style>
  <w:style w:type="character" w:styleId="999">
    <w:name w:val="Subtle Emphasis"/>
    <w:basedOn w:val="1026"/>
    <w:uiPriority w:val="19"/>
    <w:qFormat/>
    <w:pPr>
      <w:pBdr/>
      <w:spacing/>
      <w:ind/>
    </w:pPr>
    <w:rPr>
      <w:i/>
      <w:iCs/>
      <w:color w:val="404040" w:themeColor="text1" w:themeTint="BF"/>
    </w:rPr>
  </w:style>
  <w:style w:type="character" w:styleId="1000">
    <w:name w:val="Subtle Reference"/>
    <w:basedOn w:val="1026"/>
    <w:uiPriority w:val="31"/>
    <w:qFormat/>
    <w:pPr>
      <w:pBdr/>
      <w:spacing/>
      <w:ind/>
    </w:pPr>
    <w:rPr>
      <w:smallCaps/>
      <w:color w:val="5a5a5a" w:themeColor="text1" w:themeTint="A5"/>
    </w:rPr>
  </w:style>
  <w:style w:type="character" w:styleId="1001">
    <w:name w:val="Book Title"/>
    <w:basedOn w:val="1026"/>
    <w:uiPriority w:val="33"/>
    <w:qFormat/>
    <w:pPr>
      <w:pBdr/>
      <w:spacing/>
      <w:ind/>
    </w:pPr>
    <w:rPr>
      <w:b/>
      <w:bCs/>
      <w:i/>
      <w:iCs/>
      <w:spacing w:val="5"/>
    </w:rPr>
  </w:style>
  <w:style w:type="paragraph" w:styleId="1002">
    <w:name w:val="Caption"/>
    <w:basedOn w:val="1021"/>
    <w:next w:val="1021"/>
    <w:uiPriority w:val="35"/>
    <w:unhideWhenUsed/>
    <w:qFormat/>
    <w:pPr>
      <w:pBdr/>
      <w:spacing w:after="200" w:line="240" w:lineRule="auto"/>
      <w:ind/>
    </w:pPr>
    <w:rPr>
      <w:i/>
      <w:iCs/>
      <w:color w:val="0e2841" w:themeColor="text2"/>
      <w:sz w:val="18"/>
      <w:szCs w:val="18"/>
    </w:rPr>
  </w:style>
  <w:style w:type="paragraph" w:styleId="1003">
    <w:name w:val="footnote text"/>
    <w:basedOn w:val="1021"/>
    <w:link w:val="1004"/>
    <w:uiPriority w:val="99"/>
    <w:semiHidden/>
    <w:unhideWhenUsed/>
    <w:pPr>
      <w:pBdr/>
      <w:spacing w:after="0" w:line="240" w:lineRule="auto"/>
      <w:ind/>
    </w:pPr>
    <w:rPr>
      <w:sz w:val="20"/>
      <w:szCs w:val="20"/>
    </w:rPr>
  </w:style>
  <w:style w:type="character" w:styleId="1004">
    <w:name w:val="Footnote Text Char"/>
    <w:basedOn w:val="1026"/>
    <w:link w:val="1003"/>
    <w:uiPriority w:val="99"/>
    <w:semiHidden/>
    <w:pPr>
      <w:pBdr/>
      <w:spacing/>
      <w:ind/>
    </w:pPr>
    <w:rPr>
      <w:sz w:val="20"/>
      <w:szCs w:val="20"/>
    </w:rPr>
  </w:style>
  <w:style w:type="character" w:styleId="1005">
    <w:name w:val="footnote reference"/>
    <w:basedOn w:val="1026"/>
    <w:uiPriority w:val="99"/>
    <w:semiHidden/>
    <w:unhideWhenUsed/>
    <w:pPr>
      <w:pBdr/>
      <w:spacing/>
      <w:ind/>
    </w:pPr>
    <w:rPr>
      <w:vertAlign w:val="superscript"/>
    </w:rPr>
  </w:style>
  <w:style w:type="paragraph" w:styleId="1006">
    <w:name w:val="endnote text"/>
    <w:basedOn w:val="1021"/>
    <w:link w:val="1007"/>
    <w:uiPriority w:val="99"/>
    <w:semiHidden/>
    <w:unhideWhenUsed/>
    <w:pPr>
      <w:pBdr/>
      <w:spacing w:after="0" w:line="240" w:lineRule="auto"/>
      <w:ind/>
    </w:pPr>
    <w:rPr>
      <w:sz w:val="20"/>
      <w:szCs w:val="20"/>
    </w:rPr>
  </w:style>
  <w:style w:type="character" w:styleId="1007">
    <w:name w:val="Endnote Text Char"/>
    <w:basedOn w:val="1026"/>
    <w:link w:val="1006"/>
    <w:uiPriority w:val="99"/>
    <w:semiHidden/>
    <w:pPr>
      <w:pBdr/>
      <w:spacing/>
      <w:ind/>
    </w:pPr>
    <w:rPr>
      <w:sz w:val="20"/>
      <w:szCs w:val="20"/>
    </w:rPr>
  </w:style>
  <w:style w:type="character" w:styleId="1008">
    <w:name w:val="endnote reference"/>
    <w:basedOn w:val="1026"/>
    <w:uiPriority w:val="99"/>
    <w:semiHidden/>
    <w:unhideWhenUsed/>
    <w:pPr>
      <w:pBdr/>
      <w:spacing/>
      <w:ind/>
    </w:pPr>
    <w:rPr>
      <w:vertAlign w:val="superscript"/>
    </w:rPr>
  </w:style>
  <w:style w:type="paragraph" w:styleId="1009">
    <w:name w:val="toc 1"/>
    <w:basedOn w:val="1021"/>
    <w:next w:val="1021"/>
    <w:uiPriority w:val="39"/>
    <w:unhideWhenUsed/>
    <w:pPr>
      <w:pBdr/>
      <w:spacing w:after="100"/>
      <w:ind/>
    </w:pPr>
  </w:style>
  <w:style w:type="paragraph" w:styleId="1010">
    <w:name w:val="toc 2"/>
    <w:basedOn w:val="1021"/>
    <w:next w:val="1021"/>
    <w:uiPriority w:val="39"/>
    <w:unhideWhenUsed/>
    <w:pPr>
      <w:pBdr/>
      <w:spacing w:after="100"/>
      <w:ind w:left="220"/>
    </w:pPr>
  </w:style>
  <w:style w:type="paragraph" w:styleId="1011">
    <w:name w:val="toc 3"/>
    <w:basedOn w:val="1021"/>
    <w:next w:val="1021"/>
    <w:uiPriority w:val="39"/>
    <w:unhideWhenUsed/>
    <w:pPr>
      <w:pBdr/>
      <w:spacing w:after="100"/>
      <w:ind w:left="440"/>
    </w:pPr>
  </w:style>
  <w:style w:type="paragraph" w:styleId="1012">
    <w:name w:val="toc 4"/>
    <w:basedOn w:val="1021"/>
    <w:next w:val="1021"/>
    <w:uiPriority w:val="39"/>
    <w:unhideWhenUsed/>
    <w:pPr>
      <w:pBdr/>
      <w:spacing w:after="100"/>
      <w:ind w:left="660"/>
    </w:pPr>
  </w:style>
  <w:style w:type="paragraph" w:styleId="1013">
    <w:name w:val="toc 5"/>
    <w:basedOn w:val="1021"/>
    <w:next w:val="1021"/>
    <w:uiPriority w:val="39"/>
    <w:unhideWhenUsed/>
    <w:pPr>
      <w:pBdr/>
      <w:spacing w:after="100"/>
      <w:ind w:left="880"/>
    </w:pPr>
  </w:style>
  <w:style w:type="paragraph" w:styleId="1014">
    <w:name w:val="toc 6"/>
    <w:basedOn w:val="1021"/>
    <w:next w:val="1021"/>
    <w:uiPriority w:val="39"/>
    <w:unhideWhenUsed/>
    <w:pPr>
      <w:pBdr/>
      <w:spacing w:after="100"/>
      <w:ind w:left="1100"/>
    </w:pPr>
  </w:style>
  <w:style w:type="paragraph" w:styleId="1015">
    <w:name w:val="toc 7"/>
    <w:basedOn w:val="1021"/>
    <w:next w:val="1021"/>
    <w:uiPriority w:val="39"/>
    <w:unhideWhenUsed/>
    <w:pPr>
      <w:pBdr/>
      <w:spacing w:after="100"/>
      <w:ind w:left="1320"/>
    </w:pPr>
  </w:style>
  <w:style w:type="paragraph" w:styleId="1016">
    <w:name w:val="toc 8"/>
    <w:basedOn w:val="1021"/>
    <w:next w:val="1021"/>
    <w:uiPriority w:val="39"/>
    <w:unhideWhenUsed/>
    <w:pPr>
      <w:pBdr/>
      <w:spacing w:after="100"/>
      <w:ind w:left="1540"/>
    </w:pPr>
  </w:style>
  <w:style w:type="paragraph" w:styleId="1017">
    <w:name w:val="toc 9"/>
    <w:basedOn w:val="1021"/>
    <w:next w:val="1021"/>
    <w:uiPriority w:val="39"/>
    <w:unhideWhenUsed/>
    <w:pPr>
      <w:pBdr/>
      <w:spacing w:after="100"/>
      <w:ind w:left="1760"/>
    </w:pPr>
  </w:style>
  <w:style w:type="character" w:styleId="1018">
    <w:name w:val="Placeholder Text"/>
    <w:basedOn w:val="1026"/>
    <w:uiPriority w:val="99"/>
    <w:semiHidden/>
    <w:pPr>
      <w:pBdr/>
      <w:spacing/>
      <w:ind/>
    </w:pPr>
    <w:rPr>
      <w:color w:val="666666"/>
    </w:rPr>
  </w:style>
  <w:style w:type="paragraph" w:styleId="1019">
    <w:name w:val="TOC Heading"/>
    <w:uiPriority w:val="39"/>
    <w:unhideWhenUsed/>
    <w:pPr>
      <w:pBdr/>
      <w:spacing/>
      <w:ind/>
    </w:pPr>
  </w:style>
  <w:style w:type="paragraph" w:styleId="1020">
    <w:name w:val="table of figures"/>
    <w:basedOn w:val="1021"/>
    <w:next w:val="1021"/>
    <w:uiPriority w:val="99"/>
    <w:unhideWhenUsed/>
    <w:pPr>
      <w:pBdr/>
      <w:spacing w:after="0" w:afterAutospacing="0"/>
      <w:ind/>
    </w:pPr>
  </w:style>
  <w:style w:type="paragraph" w:styleId="1021" w:default="1">
    <w:name w:val="Normal"/>
    <w:qFormat/>
    <w:pPr>
      <w:pBdr/>
      <w:spacing w:after="0" w:line="240" w:lineRule="auto"/>
      <w:ind/>
    </w:pPr>
    <w:rPr>
      <w:rFonts w:ascii="Times New Roman" w:hAnsi="Times New Roman" w:eastAsia="Times New Roman" w:cs="Times New Roman"/>
      <w:sz w:val="24"/>
      <w:szCs w:val="24"/>
    </w:rPr>
  </w:style>
  <w:style w:type="paragraph" w:styleId="1022">
    <w:name w:val="Heading 1"/>
    <w:basedOn w:val="1021"/>
    <w:next w:val="1021"/>
    <w:link w:val="1029"/>
    <w:qFormat/>
    <w:pPr>
      <w:keepNext w:val="true"/>
      <w:pBdr/>
      <w:spacing w:after="120" w:before="120"/>
      <w:ind/>
      <w:jc w:val="center"/>
      <w:outlineLvl w:val="0"/>
    </w:pPr>
    <w:rPr>
      <w:b/>
      <w:bCs/>
      <w:sz w:val="27"/>
      <w:szCs w:val="27"/>
    </w:rPr>
  </w:style>
  <w:style w:type="paragraph" w:styleId="1023">
    <w:name w:val="Heading 2"/>
    <w:basedOn w:val="1021"/>
    <w:next w:val="1021"/>
    <w:link w:val="103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4">
    <w:name w:val="Heading 3"/>
    <w:basedOn w:val="1021"/>
    <w:next w:val="1021"/>
    <w:link w:val="1031"/>
    <w:qFormat/>
    <w:pPr>
      <w:keepNext w:val="true"/>
      <w:pBdr/>
      <w:spacing w:before="60"/>
      <w:ind/>
      <w:outlineLvl w:val="2"/>
    </w:pPr>
    <w:rPr>
      <w:sz w:val="28"/>
      <w:szCs w:val="28"/>
    </w:rPr>
  </w:style>
  <w:style w:type="paragraph" w:styleId="1025">
    <w:name w:val="Heading 4"/>
    <w:basedOn w:val="1021"/>
    <w:next w:val="1021"/>
    <w:link w:val="1032"/>
    <w:qFormat/>
    <w:pPr>
      <w:keepNext w:val="true"/>
      <w:pBdr/>
      <w:spacing/>
      <w:ind/>
      <w:jc w:val="center"/>
      <w:outlineLvl w:val="3"/>
    </w:pPr>
    <w:rPr>
      <w:b/>
      <w:bCs/>
    </w:rPr>
  </w:style>
  <w:style w:type="character" w:styleId="1026" w:default="1">
    <w:name w:val="Default Paragraph Font"/>
    <w:uiPriority w:val="1"/>
    <w:semiHidden/>
    <w:unhideWhenUsed/>
    <w:pPr>
      <w:pBdr/>
      <w:spacing/>
      <w:ind/>
    </w:pPr>
  </w:style>
  <w:style w:type="table" w:styleId="102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8" w:default="1">
    <w:name w:val="No List"/>
    <w:uiPriority w:val="99"/>
    <w:semiHidden/>
    <w:unhideWhenUsed/>
    <w:pPr>
      <w:pBdr/>
      <w:spacing/>
      <w:ind/>
    </w:pPr>
  </w:style>
  <w:style w:type="character" w:styleId="1029" w:customStyle="1">
    <w:name w:val="Heading 1 Char"/>
    <w:basedOn w:val="1026"/>
    <w:link w:val="1022"/>
    <w:pPr>
      <w:pBdr/>
      <w:spacing/>
      <w:ind/>
    </w:pPr>
    <w:rPr>
      <w:rFonts w:ascii="Times New Roman" w:hAnsi="Times New Roman" w:eastAsia="Times New Roman" w:cs="Times New Roman"/>
      <w:b/>
      <w:bCs/>
      <w:sz w:val="27"/>
      <w:szCs w:val="27"/>
    </w:rPr>
  </w:style>
  <w:style w:type="character" w:styleId="1030" w:customStyle="1">
    <w:name w:val="Heading 2 Char"/>
    <w:basedOn w:val="1026"/>
    <w:link w:val="1023"/>
    <w:uiPriority w:val="9"/>
    <w:pPr>
      <w:pBdr/>
      <w:spacing/>
      <w:ind/>
    </w:pPr>
    <w:rPr>
      <w:rFonts w:asciiTheme="majorHAnsi" w:hAnsiTheme="majorHAnsi" w:eastAsiaTheme="majorEastAsia" w:cstheme="majorBidi"/>
      <w:color w:val="365f91" w:themeColor="accent1" w:themeShade="BF"/>
      <w:sz w:val="26"/>
      <w:szCs w:val="26"/>
    </w:rPr>
  </w:style>
  <w:style w:type="character" w:styleId="1031" w:customStyle="1">
    <w:name w:val="Heading 3 Char"/>
    <w:basedOn w:val="1026"/>
    <w:link w:val="1024"/>
    <w:pPr>
      <w:pBdr/>
      <w:spacing/>
      <w:ind/>
    </w:pPr>
    <w:rPr>
      <w:rFonts w:ascii="Times New Roman" w:hAnsi="Times New Roman" w:eastAsia="Times New Roman" w:cs="Times New Roman"/>
      <w:sz w:val="28"/>
      <w:szCs w:val="28"/>
    </w:rPr>
  </w:style>
  <w:style w:type="character" w:styleId="1032" w:customStyle="1">
    <w:name w:val="Heading 4 Char"/>
    <w:basedOn w:val="1026"/>
    <w:link w:val="1025"/>
    <w:pPr>
      <w:pBdr/>
      <w:spacing/>
      <w:ind/>
    </w:pPr>
    <w:rPr>
      <w:rFonts w:ascii="Times New Roman" w:hAnsi="Times New Roman" w:eastAsia="Times New Roman" w:cs="Times New Roman"/>
      <w:b/>
      <w:bCs/>
      <w:sz w:val="24"/>
      <w:szCs w:val="24"/>
    </w:rPr>
  </w:style>
  <w:style w:type="character" w:styleId="1033">
    <w:name w:val="Hyperlink"/>
    <w:uiPriority w:val="99"/>
    <w:pPr>
      <w:pBdr/>
      <w:spacing/>
      <w:ind/>
    </w:pPr>
    <w:rPr>
      <w:color w:val="000000"/>
      <w:u w:val="single"/>
    </w:rPr>
  </w:style>
  <w:style w:type="character" w:styleId="1034">
    <w:name w:val="Strong"/>
    <w:uiPriority w:val="22"/>
    <w:qFormat/>
    <w:pPr>
      <w:pBdr/>
      <w:spacing/>
      <w:ind/>
    </w:pPr>
    <w:rPr>
      <w:b/>
      <w:bCs/>
    </w:rPr>
  </w:style>
  <w:style w:type="paragraph" w:styleId="1035">
    <w:name w:val="Balloon Text"/>
    <w:basedOn w:val="1021"/>
    <w:link w:val="1036"/>
    <w:uiPriority w:val="99"/>
    <w:semiHidden/>
    <w:unhideWhenUsed/>
    <w:pPr>
      <w:pBdr/>
      <w:spacing/>
      <w:ind/>
    </w:pPr>
    <w:rPr>
      <w:rFonts w:ascii="Tahoma" w:hAnsi="Tahoma" w:cs="Tahoma"/>
      <w:sz w:val="16"/>
      <w:szCs w:val="16"/>
    </w:rPr>
  </w:style>
  <w:style w:type="character" w:styleId="1036" w:customStyle="1">
    <w:name w:val="Balloon Text Char"/>
    <w:basedOn w:val="1026"/>
    <w:link w:val="1035"/>
    <w:uiPriority w:val="99"/>
    <w:semiHidden/>
    <w:pPr>
      <w:pBdr/>
      <w:spacing/>
      <w:ind/>
    </w:pPr>
    <w:rPr>
      <w:rFonts w:ascii="Tahoma" w:hAnsi="Tahoma" w:eastAsia="Times New Roman" w:cs="Tahoma"/>
      <w:sz w:val="16"/>
      <w:szCs w:val="16"/>
    </w:rPr>
  </w:style>
  <w:style w:type="paragraph" w:styleId="1037">
    <w:name w:val="Header"/>
    <w:basedOn w:val="1021"/>
    <w:link w:val="1038"/>
    <w:unhideWhenUsed/>
    <w:pPr>
      <w:pBdr/>
      <w:tabs>
        <w:tab w:val="center" w:leader="none" w:pos="4680"/>
        <w:tab w:val="right" w:leader="none" w:pos="9360"/>
      </w:tabs>
      <w:spacing/>
      <w:ind/>
    </w:pPr>
  </w:style>
  <w:style w:type="character" w:styleId="1038" w:customStyle="1">
    <w:name w:val="Header Char"/>
    <w:basedOn w:val="1026"/>
    <w:link w:val="1037"/>
    <w:pPr>
      <w:pBdr/>
      <w:spacing/>
      <w:ind/>
    </w:pPr>
    <w:rPr>
      <w:rFonts w:ascii="Times New Roman" w:hAnsi="Times New Roman" w:eastAsia="Times New Roman" w:cs="Times New Roman"/>
      <w:sz w:val="24"/>
      <w:szCs w:val="24"/>
    </w:rPr>
  </w:style>
  <w:style w:type="paragraph" w:styleId="1039">
    <w:name w:val="Footer"/>
    <w:basedOn w:val="1021"/>
    <w:link w:val="1040"/>
    <w:uiPriority w:val="99"/>
    <w:unhideWhenUsed/>
    <w:pPr>
      <w:pBdr/>
      <w:tabs>
        <w:tab w:val="center" w:leader="none" w:pos="4680"/>
        <w:tab w:val="right" w:leader="none" w:pos="9360"/>
      </w:tabs>
      <w:spacing/>
      <w:ind/>
    </w:pPr>
  </w:style>
  <w:style w:type="character" w:styleId="1040" w:customStyle="1">
    <w:name w:val="Footer Char"/>
    <w:basedOn w:val="1026"/>
    <w:link w:val="1039"/>
    <w:uiPriority w:val="99"/>
    <w:pPr>
      <w:pBdr/>
      <w:spacing/>
      <w:ind/>
    </w:pPr>
    <w:rPr>
      <w:rFonts w:ascii="Times New Roman" w:hAnsi="Times New Roman" w:eastAsia="Times New Roman" w:cs="Times New Roman"/>
      <w:sz w:val="24"/>
      <w:szCs w:val="24"/>
    </w:rPr>
  </w:style>
  <w:style w:type="character" w:styleId="1041" w:customStyle="1">
    <w:name w:val="normal-h1"/>
    <w:pPr>
      <w:pBdr/>
      <w:spacing/>
      <w:ind/>
    </w:pPr>
    <w:rPr>
      <w:rFonts w:hint="default" w:ascii=".VnTime" w:hAnsi=".VnTime"/>
      <w:color w:val="0000ff"/>
      <w:sz w:val="24"/>
      <w:szCs w:val="24"/>
    </w:rPr>
  </w:style>
  <w:style w:type="paragraph" w:styleId="1042" w:customStyle="1">
    <w:name w:val="normal-p"/>
    <w:basedOn w:val="1021"/>
    <w:pPr>
      <w:pBdr/>
      <w:spacing/>
      <w:ind/>
      <w:jc w:val="both"/>
    </w:pPr>
    <w:rPr>
      <w:sz w:val="20"/>
      <w:szCs w:val="20"/>
    </w:rPr>
  </w:style>
  <w:style w:type="paragraph" w:styleId="1043">
    <w:name w:val="List Paragraph"/>
    <w:basedOn w:val="1021"/>
    <w:link w:val="1130"/>
    <w:uiPriority w:val="34"/>
    <w:qFormat/>
    <w:pPr>
      <w:pBdr/>
      <w:spacing/>
      <w:ind w:left="720"/>
    </w:pPr>
  </w:style>
  <w:style w:type="paragraph" w:styleId="1044">
    <w:name w:val="Normal (Web)"/>
    <w:basedOn w:val="1021"/>
    <w:uiPriority w:val="99"/>
    <w:pPr>
      <w:pBdr/>
      <w:spacing w:after="100" w:afterAutospacing="1" w:before="100" w:beforeAutospacing="1"/>
      <w:ind/>
    </w:pPr>
  </w:style>
  <w:style w:type="paragraph" w:styleId="1045">
    <w:name w:val="Body Text"/>
    <w:basedOn w:val="1021"/>
    <w:link w:val="1046"/>
    <w:pPr>
      <w:pBdr/>
      <w:spacing w:after="120"/>
      <w:ind/>
      <w:jc w:val="both"/>
    </w:pPr>
  </w:style>
  <w:style w:type="character" w:styleId="1046" w:customStyle="1">
    <w:name w:val="Body Text Char"/>
    <w:basedOn w:val="1026"/>
    <w:link w:val="1045"/>
    <w:pPr>
      <w:pBdr/>
      <w:spacing/>
      <w:ind/>
    </w:pPr>
    <w:rPr>
      <w:rFonts w:ascii="Times New Roman" w:hAnsi="Times New Roman" w:eastAsia="Times New Roman" w:cs="Times New Roman"/>
      <w:sz w:val="24"/>
      <w:szCs w:val="24"/>
    </w:rPr>
  </w:style>
  <w:style w:type="table" w:styleId="1047">
    <w:name w:val="Table Grid"/>
    <w:basedOn w:val="102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9">
    <w:name w:val="annotation reference"/>
    <w:basedOn w:val="1026"/>
    <w:uiPriority w:val="99"/>
    <w:semiHidden/>
    <w:unhideWhenUsed/>
    <w:pPr>
      <w:pBdr/>
      <w:spacing/>
      <w:ind/>
    </w:pPr>
    <w:rPr>
      <w:sz w:val="16"/>
      <w:szCs w:val="16"/>
    </w:rPr>
  </w:style>
  <w:style w:type="paragraph" w:styleId="1050">
    <w:name w:val="annotation text"/>
    <w:basedOn w:val="1021"/>
    <w:link w:val="1051"/>
    <w:uiPriority w:val="99"/>
    <w:unhideWhenUsed/>
    <w:pPr>
      <w:pBdr/>
      <w:spacing/>
      <w:ind/>
    </w:pPr>
    <w:rPr>
      <w:sz w:val="20"/>
      <w:szCs w:val="20"/>
    </w:rPr>
  </w:style>
  <w:style w:type="character" w:styleId="1051" w:customStyle="1">
    <w:name w:val="Comment Text Char"/>
    <w:basedOn w:val="1026"/>
    <w:link w:val="1050"/>
    <w:uiPriority w:val="99"/>
    <w:pPr>
      <w:pBdr/>
      <w:spacing/>
      <w:ind/>
    </w:pPr>
    <w:rPr>
      <w:rFonts w:ascii="Times New Roman" w:hAnsi="Times New Roman" w:eastAsia="Times New Roman" w:cs="Times New Roman"/>
      <w:sz w:val="20"/>
      <w:szCs w:val="20"/>
    </w:rPr>
  </w:style>
  <w:style w:type="paragraph" w:styleId="1052">
    <w:name w:val="annotation subject"/>
    <w:basedOn w:val="1050"/>
    <w:next w:val="1050"/>
    <w:link w:val="1053"/>
    <w:uiPriority w:val="99"/>
    <w:semiHidden/>
    <w:unhideWhenUsed/>
    <w:pPr>
      <w:pBdr/>
      <w:spacing/>
      <w:ind/>
    </w:pPr>
    <w:rPr>
      <w:b/>
      <w:bCs/>
    </w:rPr>
  </w:style>
  <w:style w:type="character" w:styleId="1053" w:customStyle="1">
    <w:name w:val="Comment Subject Char"/>
    <w:basedOn w:val="1051"/>
    <w:link w:val="1052"/>
    <w:uiPriority w:val="99"/>
    <w:semiHidden/>
    <w:pPr>
      <w:pBdr/>
      <w:spacing/>
      <w:ind/>
    </w:pPr>
    <w:rPr>
      <w:rFonts w:ascii="Times New Roman" w:hAnsi="Times New Roman" w:eastAsia="Times New Roman" w:cs="Times New Roman"/>
      <w:b/>
      <w:bCs/>
      <w:sz w:val="20"/>
      <w:szCs w:val="20"/>
    </w:rPr>
  </w:style>
  <w:style w:type="paragraph" w:styleId="1054" w:customStyle="1">
    <w:name w:val="font5"/>
    <w:basedOn w:val="1021"/>
    <w:pPr>
      <w:pBdr/>
      <w:spacing w:after="100" w:afterAutospacing="1" w:before="100" w:beforeAutospacing="1"/>
      <w:ind/>
    </w:pPr>
    <w:rPr>
      <w:rFonts w:ascii="Tahoma" w:hAnsi="Tahoma" w:cs="Tahoma"/>
      <w:color w:val="000000"/>
      <w:sz w:val="18"/>
      <w:szCs w:val="18"/>
    </w:rPr>
  </w:style>
  <w:style w:type="paragraph" w:styleId="1055" w:customStyle="1">
    <w:name w:val="font6"/>
    <w:basedOn w:val="1021"/>
    <w:pPr>
      <w:pBdr/>
      <w:spacing w:after="100" w:afterAutospacing="1" w:before="100" w:beforeAutospacing="1"/>
      <w:ind/>
    </w:pPr>
    <w:rPr>
      <w:rFonts w:ascii="Tahoma" w:hAnsi="Tahoma" w:cs="Tahoma"/>
      <w:b/>
      <w:bCs/>
      <w:color w:val="000000"/>
      <w:sz w:val="18"/>
      <w:szCs w:val="18"/>
    </w:rPr>
  </w:style>
  <w:style w:type="paragraph" w:styleId="1056" w:customStyle="1">
    <w:name w:val="xl23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34"/>
    <w:basedOn w:val="1021"/>
    <w:pPr>
      <w:pBdr/>
      <w:spacing w:after="100" w:afterAutospacing="1" w:before="100" w:beforeAutospacing="1"/>
      <w:ind/>
      <w:jc w:val="center"/>
    </w:pPr>
  </w:style>
  <w:style w:type="paragraph" w:styleId="1058" w:customStyle="1">
    <w:name w:val="xl235"/>
    <w:basedOn w:val="1021"/>
    <w:pPr>
      <w:pBdr/>
      <w:spacing w:after="100" w:afterAutospacing="1" w:before="100" w:beforeAutospacing="1"/>
      <w:ind/>
      <w:jc w:val="center"/>
    </w:pPr>
    <w:rPr>
      <w:b/>
      <w:bCs/>
    </w:rPr>
  </w:style>
  <w:style w:type="paragraph" w:styleId="1059" w:customStyle="1">
    <w:name w:val="xl236"/>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3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1" w:customStyle="1">
    <w:name w:val="xl238"/>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3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3" w:customStyle="1">
    <w:name w:val="xl240"/>
    <w:basedOn w:val="1021"/>
    <w:pPr>
      <w:pBdr/>
      <w:spacing w:after="100" w:afterAutospacing="1" w:before="100" w:beforeAutospacing="1"/>
      <w:ind/>
    </w:pPr>
  </w:style>
  <w:style w:type="paragraph" w:styleId="1064" w:customStyle="1">
    <w:name w:val="xl241"/>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42"/>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43"/>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44"/>
    <w:basedOn w:val="1021"/>
    <w:pPr>
      <w:pBdr/>
      <w:spacing w:after="100" w:afterAutospacing="1" w:before="100" w:beforeAutospacing="1"/>
      <w:ind/>
    </w:pPr>
    <w:rPr>
      <w:b/>
      <w:bCs/>
    </w:rPr>
  </w:style>
  <w:style w:type="paragraph" w:styleId="1068" w:customStyle="1">
    <w:name w:val="xl245"/>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4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47"/>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1" w:customStyle="1">
    <w:name w:val="xl24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4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5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5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5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3"/>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54"/>
    <w:basedOn w:val="102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55"/>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9" w:customStyle="1">
    <w:name w:val="xl256"/>
    <w:basedOn w:val="102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0" w:customStyle="1">
    <w:name w:val="xl25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8"/>
    <w:basedOn w:val="102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5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3" w:customStyle="1">
    <w:name w:val="xl260"/>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61"/>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62"/>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3"/>
    <w:basedOn w:val="1021"/>
    <w:pPr>
      <w:pBdr/>
      <w:shd w:val="clear" w:color="000000" w:fill="ffffff"/>
      <w:spacing w:after="100" w:afterAutospacing="1" w:before="100" w:beforeAutospacing="1"/>
      <w:ind/>
    </w:pPr>
  </w:style>
  <w:style w:type="paragraph" w:styleId="1087" w:customStyle="1">
    <w:name w:val="xl264"/>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65"/>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6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0" w:customStyle="1">
    <w:name w:val="xl267"/>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68"/>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2" w:customStyle="1">
    <w:name w:val="xl269"/>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3" w:customStyle="1">
    <w:name w:val="xl27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71"/>
    <w:basedOn w:val="102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5" w:customStyle="1">
    <w:name w:val="xl27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73"/>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7" w:customStyle="1">
    <w:name w:val="xl274"/>
    <w:basedOn w:val="102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5"/>
    <w:basedOn w:val="1021"/>
    <w:pPr>
      <w:pBdr/>
      <w:spacing w:after="100" w:afterAutospacing="1" w:before="100" w:beforeAutospacing="1"/>
      <w:ind/>
    </w:pPr>
  </w:style>
  <w:style w:type="paragraph" w:styleId="1099" w:customStyle="1">
    <w:name w:val="xl27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77"/>
    <w:basedOn w:val="102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1" w:customStyle="1">
    <w:name w:val="xl278"/>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79"/>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3" w:customStyle="1">
    <w:name w:val="xl280"/>
    <w:basedOn w:val="102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81"/>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5" w:customStyle="1">
    <w:name w:val="xl282"/>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6" w:customStyle="1">
    <w:name w:val="xl283"/>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7" w:customStyle="1">
    <w:name w:val="xl284"/>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85"/>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9" w:customStyle="1">
    <w:name w:val="xl286"/>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customStyle="1">
    <w:name w:val="xl287"/>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8"/>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2" w:customStyle="1">
    <w:name w:val="xl289"/>
    <w:basedOn w:val="1021"/>
    <w:pPr>
      <w:pBdr>
        <w:left w:val="single" w:color="000000" w:sz="4" w:space="0"/>
        <w:right w:val="single" w:color="000000" w:sz="4" w:space="0"/>
      </w:pBdr>
      <w:spacing w:after="100" w:afterAutospacing="1" w:before="100" w:beforeAutospacing="1"/>
      <w:ind/>
    </w:pPr>
    <w:rPr>
      <w:b/>
      <w:bCs/>
    </w:rPr>
  </w:style>
  <w:style w:type="paragraph" w:styleId="1113" w:customStyle="1">
    <w:name w:val="xl290"/>
    <w:basedOn w:val="102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4" w:customStyle="1">
    <w:name w:val="xl291"/>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5" w:customStyle="1">
    <w:name w:val="xl292"/>
    <w:basedOn w:val="1021"/>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93"/>
    <w:basedOn w:val="1021"/>
    <w:pPr>
      <w:pBdr>
        <w:left w:val="single" w:color="000000" w:sz="4" w:space="0"/>
        <w:bottom w:val="single" w:color="000000" w:sz="4" w:space="0"/>
        <w:right w:val="single" w:color="000000" w:sz="4" w:space="0"/>
      </w:pBdr>
      <w:spacing w:after="100" w:afterAutospacing="1" w:before="100" w:beforeAutospacing="1"/>
      <w:ind/>
    </w:pPr>
  </w:style>
  <w:style w:type="paragraph" w:styleId="1117" w:customStyle="1">
    <w:name w:val="xl294"/>
    <w:basedOn w:val="102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name w:val="Title"/>
    <w:basedOn w:val="1021"/>
    <w:link w:val="1119"/>
    <w:qFormat/>
    <w:pPr>
      <w:pBdr/>
      <w:spacing/>
      <w:ind/>
      <w:jc w:val="center"/>
    </w:pPr>
    <w:rPr>
      <w:b/>
      <w:bCs/>
      <w:sz w:val="32"/>
      <w:szCs w:val="26"/>
    </w:rPr>
  </w:style>
  <w:style w:type="character" w:styleId="1119" w:customStyle="1">
    <w:name w:val="Title Char"/>
    <w:basedOn w:val="1026"/>
    <w:link w:val="1118"/>
    <w:pPr>
      <w:pBdr/>
      <w:spacing/>
      <w:ind/>
    </w:pPr>
    <w:rPr>
      <w:rFonts w:ascii="Times New Roman" w:hAnsi="Times New Roman" w:eastAsia="Times New Roman" w:cs="Times New Roman"/>
      <w:b/>
      <w:bCs/>
      <w:sz w:val="32"/>
      <w:szCs w:val="26"/>
    </w:rPr>
  </w:style>
  <w:style w:type="character" w:styleId="1120" w:customStyle="1">
    <w:name w:val="Unresolved Mention1"/>
    <w:basedOn w:val="1026"/>
    <w:uiPriority w:val="99"/>
    <w:semiHidden/>
    <w:unhideWhenUsed/>
    <w:pPr>
      <w:pBdr/>
      <w:spacing/>
      <w:ind/>
    </w:pPr>
    <w:rPr>
      <w:color w:val="605e5c"/>
      <w:shd w:val="clear" w:color="auto" w:fill="e1dfdd"/>
    </w:rPr>
  </w:style>
  <w:style w:type="character" w:styleId="1121" w:customStyle="1">
    <w:name w:val="Body text (3)_"/>
    <w:link w:val="1122"/>
    <w:pPr>
      <w:pBdr/>
      <w:spacing/>
      <w:ind/>
    </w:pPr>
    <w:rPr>
      <w:rFonts w:ascii="Times New Roman" w:hAnsi="Times New Roman" w:cs="Times New Roman"/>
      <w:i/>
      <w:iCs/>
      <w:spacing w:val="4"/>
      <w:shd w:val="clear" w:color="auto" w:fill="ffffff"/>
    </w:rPr>
  </w:style>
  <w:style w:type="paragraph" w:styleId="1122" w:customStyle="1">
    <w:name w:val="Body text (3)1"/>
    <w:basedOn w:val="1021"/>
    <w:link w:val="112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3" w:customStyle="1">
    <w:name w:val="t-j"/>
    <w:basedOn w:val="1021"/>
    <w:pPr>
      <w:pBdr/>
      <w:spacing w:after="100" w:afterAutospacing="1" w:before="100" w:beforeAutospacing="1"/>
      <w:ind/>
    </w:pPr>
  </w:style>
  <w:style w:type="character" w:styleId="1124" w:customStyle="1">
    <w:name w:val="Unresolved Mention2"/>
    <w:basedOn w:val="1026"/>
    <w:uiPriority w:val="99"/>
    <w:semiHidden/>
    <w:unhideWhenUsed/>
    <w:pPr>
      <w:pBdr/>
      <w:spacing/>
      <w:ind/>
    </w:pPr>
    <w:rPr>
      <w:color w:val="605e5c"/>
      <w:shd w:val="clear" w:color="auto" w:fill="e1dfdd"/>
    </w:rPr>
  </w:style>
  <w:style w:type="character" w:styleId="1125">
    <w:name w:val="FollowedHyperlink"/>
    <w:basedOn w:val="1026"/>
    <w:uiPriority w:val="99"/>
    <w:semiHidden/>
    <w:unhideWhenUsed/>
    <w:pPr>
      <w:pBdr/>
      <w:spacing/>
      <w:ind/>
    </w:pPr>
    <w:rPr>
      <w:color w:val="800080" w:themeColor="followedHyperlink"/>
      <w:u w:val="single"/>
    </w:rPr>
  </w:style>
  <w:style w:type="character" w:styleId="1126" w:customStyle="1">
    <w:name w:val="text"/>
    <w:basedOn w:val="1026"/>
    <w:pPr>
      <w:pBdr/>
      <w:spacing/>
      <w:ind/>
    </w:pPr>
  </w:style>
  <w:style w:type="character" w:styleId="1127" w:customStyle="1">
    <w:name w:val="card-send-time__sendtime"/>
    <w:basedOn w:val="1026"/>
    <w:pPr>
      <w:pBdr/>
      <w:spacing/>
      <w:ind/>
    </w:pPr>
  </w:style>
  <w:style w:type="character" w:styleId="1128" w:customStyle="1">
    <w:name w:val="Đề cập Chưa giải quyết1"/>
    <w:basedOn w:val="1026"/>
    <w:uiPriority w:val="99"/>
    <w:semiHidden/>
    <w:unhideWhenUsed/>
    <w:pPr>
      <w:pBdr/>
      <w:spacing/>
      <w:ind/>
    </w:pPr>
    <w:rPr>
      <w:color w:val="605e5c"/>
      <w:shd w:val="clear" w:color="auto" w:fill="e1dfdd"/>
    </w:rPr>
  </w:style>
  <w:style w:type="paragraph" w:styleId="1129" w:customStyle="1">
    <w:name w:val="nqtitle"/>
    <w:basedOn w:val="1021"/>
    <w:pPr>
      <w:pBdr/>
      <w:spacing w:after="100" w:afterAutospacing="1" w:before="100" w:beforeAutospacing="1"/>
      <w:ind/>
    </w:pPr>
    <w:rPr>
      <w:lang w:val="vi-VN" w:eastAsia="vi-VN"/>
    </w:rPr>
  </w:style>
  <w:style w:type="character" w:styleId="1130" w:customStyle="1">
    <w:name w:val="List Paragraph Char"/>
    <w:link w:val="1043"/>
    <w:uiPriority w:val="34"/>
    <w:qFormat/>
    <w:pPr>
      <w:pBdr/>
      <w:spacing/>
      <w:ind/>
    </w:pPr>
    <w:rPr>
      <w:rFonts w:ascii="Times New Roman" w:hAnsi="Times New Roman" w:eastAsia="Times New Roman" w:cs="Times New Roman"/>
      <w:sz w:val="24"/>
      <w:szCs w:val="24"/>
    </w:rPr>
  </w:style>
  <w:style w:type="character" w:styleId="1131" w:customStyle="1">
    <w:name w:val="Đề cập Chưa giải quyết2"/>
    <w:basedOn w:val="1026"/>
    <w:uiPriority w:val="99"/>
    <w:semiHidden/>
    <w:unhideWhenUsed/>
    <w:pPr>
      <w:pBdr/>
      <w:spacing/>
      <w:ind/>
    </w:pPr>
    <w:rPr>
      <w:color w:val="605e5c"/>
      <w:shd w:val="clear" w:color="auto" w:fill="e1dfdd"/>
    </w:rPr>
  </w:style>
  <w:style w:type="character" w:styleId="1132" w:customStyle="1">
    <w:name w:val="Unresolved Mention3"/>
    <w:basedOn w:val="1026"/>
    <w:uiPriority w:val="99"/>
    <w:semiHidden/>
    <w:unhideWhenUsed/>
    <w:pPr>
      <w:pBdr/>
      <w:spacing/>
      <w:ind/>
    </w:pPr>
    <w:rPr>
      <w:color w:val="605e5c"/>
      <w:shd w:val="clear" w:color="auto" w:fill="e1dfdd"/>
    </w:rPr>
  </w:style>
  <w:style w:type="character" w:styleId="1133" w:customStyle="1">
    <w:name w:val="copy"/>
    <w:basedOn w:val="1026"/>
    <w:pPr>
      <w:pBdr/>
      <w:spacing/>
      <w:ind/>
    </w:pPr>
  </w:style>
  <w:style w:type="paragraph" w:styleId="1134" w:customStyle="1">
    <w:name w:val="align-justify"/>
    <w:basedOn w:val="1021"/>
    <w:pPr>
      <w:pBdr/>
      <w:spacing w:after="100" w:afterAutospacing="1" w:before="100" w:beforeAutospacing="1"/>
      <w:ind/>
    </w:pPr>
  </w:style>
  <w:style w:type="character" w:styleId="1135" w:customStyle="1">
    <w:name w:val="btn"/>
    <w:basedOn w:val="1026"/>
    <w:pPr>
      <w:pBdr/>
      <w:spacing/>
      <w:ind/>
    </w:pPr>
  </w:style>
  <w:style w:type="character" w:styleId="1136" w:customStyle="1">
    <w:name w:val="hide_mobile"/>
    <w:basedOn w:val="1026"/>
    <w:pPr>
      <w:pBdr/>
      <w:spacing/>
      <w:ind/>
    </w:pPr>
  </w:style>
  <w:style w:type="character" w:styleId="1137">
    <w:name w:val="Emphasis"/>
    <w:basedOn w:val="1026"/>
    <w:uiPriority w:val="20"/>
    <w:qFormat/>
    <w:pPr>
      <w:pBdr/>
      <w:spacing/>
      <w:ind/>
    </w:pPr>
    <w:rPr>
      <w:i/>
      <w:iCs/>
    </w:rPr>
  </w:style>
  <w:style w:type="character" w:styleId="1138" w:customStyle="1">
    <w:name w:val="t1"/>
    <w:basedOn w:val="1026"/>
    <w:pPr>
      <w:pBdr/>
      <w:spacing/>
      <w:ind/>
    </w:pPr>
  </w:style>
  <w:style w:type="character" w:styleId="1139" w:customStyle="1">
    <w:name w:val="Unresolved Mention4"/>
    <w:basedOn w:val="1026"/>
    <w:uiPriority w:val="99"/>
    <w:semiHidden/>
    <w:unhideWhenUsed/>
    <w:pPr>
      <w:pBdr/>
      <w:spacing/>
      <w:ind/>
    </w:pPr>
    <w:rPr>
      <w:color w:val="605e5c"/>
      <w:shd w:val="clear" w:color="auto" w:fill="e1dfdd"/>
    </w:rPr>
  </w:style>
  <w:style w:type="character" w:styleId="1140">
    <w:name w:val="Unresolved Mention"/>
    <w:basedOn w:val="102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summerland.com.vn/thi-truong-mua-ban-nha-dat-thanh-pho-sa-dec-co-hoi-dau-tu)" TargetMode="External"/><Relationship Id="rId16" Type="http://schemas.openxmlformats.org/officeDocument/2006/relationships/image" Target="media/image3.png"/><Relationship Id="rId17" Type="http://schemas.openxmlformats.org/officeDocument/2006/relationships/hyperlink" Target="https://thuvienphapluat.vn/van-ban/Bat-dong-san/Quyet-dinh-12-2024-QD-UBND-sua-doi-bang-gia-dat-o-Quyet-dinh-36-2019-QD-UBND-Dong-Thap-612647.aspx" TargetMode="External"/><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Đinh Thị Lan Hương</cp:lastModifiedBy>
  <cp:revision>276</cp:revision>
  <dcterms:created xsi:type="dcterms:W3CDTF">2025-09-15T09:58:00Z</dcterms:created>
  <dcterms:modified xsi:type="dcterms:W3CDTF">2025-12-25T08:12:57Z</dcterms:modified>
</cp:coreProperties>
</file>