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t xml:space="preserve">  </w: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275/2025/1722/VFI-CT.39.A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ĐOÀN NGỌC GIA GIA</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w:t>
                            </w:r>
                            <w:r>
                              <w:rPr>
                                <w:b/>
                                <w:bCs/>
                                <w:iCs/>
                              </w:rPr>
                            </w:r>
                            <w:r>
                              <w:rPr>
                                <w:b/>
                                <w:bCs/>
                                <w:iCs/>
                              </w:rPr>
                            </w:r>
                          </w:p>
                          <w:p>
                            <w:pPr>
                              <w:pBdr/>
                              <w:spacing w:after="120" w:before="120" w:line="360" w:lineRule="auto"/>
                              <w:ind/>
                              <w:jc w:val="both"/>
                              <w:rPr>
                                <w:bCs/>
                                <w:i/>
                                <w:highlight w:val="none"/>
                              </w:rPr>
                            </w:pPr>
                            <w:r>
                              <w:rPr>
                                <w:b/>
                                <w:bCs/>
                                <w:color w:val="000000"/>
                              </w:rPr>
                              <w:t xml:space="preserve">Tài sản 1:</w:t>
                            </w:r>
                            <w:r>
                              <w:rPr>
                                <w:color w:val="000000"/>
                              </w:rPr>
                              <w:t xml:space="preserve"> Quyền sử dụng đất tại thửa đất số: 651, tờ bản đồ số 30 có địa chỉ: Khóm Tân An, phường Sa Đéc, tỉnh Đồng Tháp</w:t>
                            </w:r>
                            <w:r>
                              <w:rPr>
                                <w:color w:val="000000"/>
                              </w:rPr>
                              <w:t xml:space="preserve"> theo Giấy chứng nhận quyền sử dụng đất quyền sở hữu nhà ở và tài sản khác gắn liền với đất số: BU 113570, số vào sổ cấp GCN: CH04066 do Ủy ban nhân dân thành phố Sa Đéc cấp ngày 29/07/2014; Chủ sử dụng đất là Ông Phan Văn Lĩnh</w:t>
                            </w:r>
                            <w:r>
                              <w:rPr>
                                <w:bCs/>
                                <w:i/>
                                <w:iCs/>
                              </w:rPr>
                              <w:t xml:space="preserve">.</w:t>
                            </w:r>
                            <w:r>
                              <w:rPr>
                                <w:bCs/>
                                <w:i/>
                                <w:highlight w:val="none"/>
                              </w:rPr>
                            </w:r>
                            <w:r>
                              <w:rPr>
                                <w:bCs/>
                                <w:i/>
                                <w:highlight w:val="none"/>
                              </w:rPr>
                            </w:r>
                          </w:p>
                          <w:p>
                            <w:pPr>
                              <w:pBdr/>
                              <w:spacing w:after="120" w:before="120" w:line="360" w:lineRule="auto"/>
                              <w:ind/>
                              <w:jc w:val="both"/>
                              <w:rPr>
                                <w:bCs w:val="0"/>
                                <w:i w:val="0"/>
                              </w:rPr>
                            </w:pPr>
                            <w:r>
                              <w:rPr>
                                <w:b/>
                                <w:bCs/>
                                <w:i w:val="0"/>
                                <w:iCs w:val="0"/>
                                <w:highlight w:val="none"/>
                              </w:rPr>
                              <w:t xml:space="preserve">Tài sản 2: </w:t>
                            </w:r>
                            <w:r>
                              <w:rPr>
                                <w:color w:val="000000"/>
                              </w:rPr>
                              <w:t xml:space="preserve">Quyền sử dụng đất tại thửa đất số: 616, tờ bản đồ số 30 có địa chỉ: Khóm Tân An, phường Sa Đéc, tỉnh Đồng Tháp</w:t>
                            </w:r>
                            <w:r>
                              <w:rPr>
                                <w:color w:val="000000"/>
                              </w:rPr>
                              <w:t xml:space="preserve"> theo Giấy chứng nhận quyền sử dụng đất quyền sở hữu nhà ở và tài sản khác gắn liền với đất số: BL 359885, số vào sổ cấp GCN: CH02567 do Ủy ban nhân dân thị xã Sa Đéc cấp ngày 03/10/2012; Chủ sử dụng đất là Ông Phan Văn Lĩnh</w:t>
                            </w:r>
                            <w:r>
                              <w:rPr>
                                <w:bCs/>
                                <w:i/>
                                <w:iCs/>
                              </w:rPr>
                              <w:t xml:space="preserve">.</w:t>
                            </w:r>
                            <w:r>
                              <w:rPr>
                                <w:bCs w:val="0"/>
                                <w:i w:val="0"/>
                              </w:rPr>
                            </w:r>
                            <w:r>
                              <w:rPr>
                                <w:bCs w:val="0"/>
                                <w:i w:val="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275/2025/1722/VFI-CT.39.A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ĐOÀN NGỌC GIA GIA</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w:t>
                      </w:r>
                      <w:r>
                        <w:rPr>
                          <w:b/>
                          <w:bCs/>
                          <w:iCs/>
                        </w:rPr>
                      </w:r>
                      <w:r>
                        <w:rPr>
                          <w:b/>
                          <w:bCs/>
                          <w:iCs/>
                        </w:rPr>
                      </w:r>
                    </w:p>
                    <w:p>
                      <w:pPr>
                        <w:pBdr/>
                        <w:spacing w:after="120" w:before="120" w:line="360" w:lineRule="auto"/>
                        <w:ind/>
                        <w:jc w:val="both"/>
                        <w:rPr>
                          <w:bCs/>
                          <w:i/>
                          <w:highlight w:val="none"/>
                        </w:rPr>
                      </w:pPr>
                      <w:r>
                        <w:rPr>
                          <w:b/>
                          <w:bCs/>
                          <w:color w:val="000000"/>
                        </w:rPr>
                        <w:t xml:space="preserve">Tài sản 1:</w:t>
                      </w:r>
                      <w:r>
                        <w:rPr>
                          <w:color w:val="000000"/>
                        </w:rPr>
                        <w:t xml:space="preserve"> Quyền sử dụng đất tại thửa đất số: 651, tờ bản đồ số 30 có địa chỉ: Khóm Tân An, phường Sa Đéc, tỉnh Đồng Tháp</w:t>
                      </w:r>
                      <w:r>
                        <w:rPr>
                          <w:color w:val="000000"/>
                        </w:rPr>
                        <w:t xml:space="preserve"> theo Giấy chứng nhận quyền sử dụng đất quyền sở hữu nhà ở và tài sản khác gắn liền với đất số: BU 113570, số vào sổ cấp GCN: CH04066 do Ủy ban nhân dân thành phố Sa Đéc cấp ngày 29/07/2014; Chủ sử dụng đất là Ông Phan Văn Lĩnh</w:t>
                      </w:r>
                      <w:r>
                        <w:rPr>
                          <w:bCs/>
                          <w:i/>
                          <w:iCs/>
                        </w:rPr>
                        <w:t xml:space="preserve">.</w:t>
                      </w:r>
                      <w:r>
                        <w:rPr>
                          <w:bCs/>
                          <w:i/>
                          <w:highlight w:val="none"/>
                        </w:rPr>
                      </w:r>
                      <w:r>
                        <w:rPr>
                          <w:bCs/>
                          <w:i/>
                          <w:highlight w:val="none"/>
                        </w:rPr>
                      </w:r>
                    </w:p>
                    <w:p>
                      <w:pPr>
                        <w:pBdr/>
                        <w:spacing w:after="120" w:before="120" w:line="360" w:lineRule="auto"/>
                        <w:ind/>
                        <w:jc w:val="both"/>
                        <w:rPr>
                          <w:bCs w:val="0"/>
                          <w:i w:val="0"/>
                        </w:rPr>
                      </w:pPr>
                      <w:r>
                        <w:rPr>
                          <w:b/>
                          <w:bCs/>
                          <w:i w:val="0"/>
                          <w:iCs w:val="0"/>
                          <w:highlight w:val="none"/>
                        </w:rPr>
                        <w:t xml:space="preserve">Tài sản 2: </w:t>
                      </w:r>
                      <w:r>
                        <w:rPr>
                          <w:color w:val="000000"/>
                        </w:rPr>
                        <w:t xml:space="preserve">Quyền sử dụng đất tại thửa đất số: 616, tờ bản đồ số 30 có địa chỉ: Khóm Tân An, phường Sa Đéc, tỉnh Đồng Tháp</w:t>
                      </w:r>
                      <w:r>
                        <w:rPr>
                          <w:color w:val="000000"/>
                        </w:rPr>
                        <w:t xml:space="preserve"> theo Giấy chứng nhận quyền sử dụng đất quyền sở hữu nhà ở và tài sản khác gắn liền với đất số: BL 359885, số vào sổ cấp GCN: CH02567 do Ủy ban nhân dân thị xã Sa Đéc cấp ngày 03/10/2012; Chủ sử dụng đất là Ông Phan Văn Lĩnh</w:t>
                      </w:r>
                      <w:r>
                        <w:rPr>
                          <w:bCs/>
                          <w:i/>
                          <w:iCs/>
                        </w:rPr>
                        <w:t xml:space="preserve">.</w:t>
                      </w:r>
                      <w:r>
                        <w:rPr>
                          <w:bCs w:val="0"/>
                          <w:i w:val="0"/>
                        </w:rPr>
                      </w:r>
                      <w:r>
                        <w:rPr>
                          <w:bCs w:val="0"/>
                          <w:i w:val="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24-25</w:t>
            </w:r>
            <w:r>
              <w:rPr>
                <w:b/>
                <w:bCs/>
              </w:rPr>
            </w:r>
            <w:r>
              <w:rPr>
                <w:b/>
                <w:bCs/>
              </w:rPr>
            </w:r>
          </w:p>
        </w:tc>
      </w:tr>
      <w:tr>
        <w:trPr/>
        <w:tc>
          <w:tcPr>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26-31</w:t>
            </w:r>
            <w:r>
              <w:rPr>
                <w:b/>
                <w:bCs/>
              </w:rPr>
            </w:r>
            <w:r>
              <w:rPr>
                <w:b/>
                <w:bCs/>
              </w:rPr>
            </w:r>
          </w:p>
        </w:tc>
      </w:tr>
    </w:tbl>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1042"/>
              <w:pBdr/>
              <w:spacing w:after="60" w:before="200"/>
              <w:ind/>
              <w:rPr>
                <w:rStyle w:val="1041"/>
                <w:rFonts w:ascii="Times New Roman" w:hAnsi="Times New Roman"/>
                <w:color w:val="auto"/>
                <w:lang w:val="pt-BR"/>
              </w:rPr>
            </w:pPr>
            <w:r>
              <w:rPr>
                <w:rFonts w:ascii="Times New Roman" w:hAnsi="Times New Roman"/>
                <w:color w:val="auto"/>
                <w:lang w:val="pt-BR"/>
              </w:rPr>
            </w:r>
            <w:r>
              <w:rPr>
                <w:rStyle w:val="1041"/>
                <w:rFonts w:ascii="Times New Roman" w:hAnsi="Times New Roman"/>
                <w:color w:val="auto"/>
                <w:lang w:val="pt-BR"/>
              </w:rPr>
            </w:r>
            <w:r>
              <w:rPr>
                <w:rStyle w:val="1041"/>
                <w:rFonts w:ascii="Times New Roman" w:hAnsi="Times New Roman"/>
                <w:color w:val="auto"/>
                <w:lang w:val="pt-BR"/>
              </w:rPr>
            </w:r>
          </w:p>
          <w:p>
            <w:pPr>
              <w:pStyle w:val="1042"/>
              <w:pBdr/>
              <w:spacing w:after="60" w:before="200"/>
              <w:ind/>
              <w:rPr>
                <w:sz w:val="24"/>
                <w:szCs w:val="24"/>
              </w:rPr>
            </w:pPr>
            <w:r>
              <w:rPr>
                <w:rStyle w:val="1041"/>
                <w:rFonts w:ascii="Times New Roman" w:hAnsi="Times New Roman"/>
                <w:color w:val="auto"/>
                <w:lang w:val="pt-BR"/>
              </w:rPr>
              <w:t xml:space="preserve">Số:</w:t>
            </w:r>
            <w:r>
              <w:rPr>
                <w:rStyle w:val="1041"/>
                <w:rFonts w:ascii="Times New Roman" w:hAnsi="Times New Roman"/>
                <w:color w:val="auto"/>
                <w:lang w:val="pt-BR"/>
              </w:rPr>
              <w:t xml:space="preserve"> </w:t>
            </w:r>
            <w:r>
              <w:rPr>
                <w:rStyle w:val="1041"/>
                <w:rFonts w:ascii="Times New Roman" w:hAnsi="Times New Roman"/>
                <w:color w:val="000000" w:themeColor="text1"/>
                <w:lang w:val="pt-BR"/>
              </w:rPr>
              <w:t xml:space="preserve">275/2025/1722/VFI-CT.39.A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pPr>
              <w:pStyle w:val="1042"/>
              <w:pBdr/>
              <w:spacing w:after="60" w:before="200"/>
              <w:ind w:right="-56"/>
              <w:rPr>
                <w:rStyle w:val="1041"/>
                <w:rFonts w:ascii="Times New Roman" w:hAnsi="Times New Roman"/>
                <w:i/>
                <w:color w:val="auto"/>
              </w:rPr>
            </w:pPr>
            <w:r>
              <w:rPr>
                <w:rFonts w:ascii="Times New Roman" w:hAnsi="Times New Roman"/>
                <w:i/>
                <w:color w:val="auto"/>
              </w:rPr>
            </w:r>
            <w:r>
              <w:rPr>
                <w:rStyle w:val="1041"/>
                <w:rFonts w:ascii="Times New Roman" w:hAnsi="Times New Roman"/>
                <w:i/>
                <w:color w:val="auto"/>
              </w:rPr>
            </w:r>
            <w:r>
              <w:rPr>
                <w:rStyle w:val="1041"/>
                <w:rFonts w:ascii="Times New Roman" w:hAnsi="Times New Roman"/>
                <w:i/>
                <w:color w:val="auto"/>
              </w:rPr>
            </w:r>
          </w:p>
          <w:p>
            <w:pPr>
              <w:pStyle w:val="1042"/>
              <w:pBdr/>
              <w:spacing w:after="60" w:before="200"/>
              <w:ind w:right="-56"/>
              <w:jc w:val="right"/>
              <w:rPr>
                <w:sz w:val="24"/>
                <w:szCs w:val="24"/>
                <w:lang w:val="vi-VN"/>
              </w:rPr>
            </w:pPr>
            <w:r>
              <w:rPr>
                <w:rStyle w:val="1041"/>
                <w:rFonts w:ascii="Times New Roman" w:hAnsi="Times New Roman"/>
                <w:i/>
                <w:color w:val="auto"/>
              </w:rPr>
              <w:t xml:space="preserve">TP. </w:t>
            </w:r>
            <w:r>
              <w:rPr>
                <w:rStyle w:val="1041"/>
                <w:rFonts w:ascii="Times New Roman" w:hAnsi="Times New Roman"/>
                <w:i/>
                <w:color w:val="auto"/>
              </w:rPr>
              <w:t xml:space="preserve">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4 tháng 12 năm 2025</w:t>
            </w:r>
            <w:r>
              <w:rPr>
                <w:rStyle w:val="1041"/>
                <w:rFonts w:ascii="Times New Roman" w:hAnsi="Times New Roman"/>
                <w:i/>
                <w:color w:val="auto"/>
                <w:lang w:val="vi-VN"/>
              </w:rPr>
              <w:t xml:space="preserve">   </w:t>
            </w:r>
            <w:r>
              <w:rPr>
                <w:rStyle w:val="1041"/>
                <w:rFonts w:ascii="Times New Roman" w:hAnsi="Times New Roman"/>
                <w:i/>
                <w:color w:val="auto"/>
                <w:lang w:val="vi-VN"/>
              </w:rPr>
              <w:t xml:space="preserve">  </w:t>
            </w:r>
            <w:r>
              <w:rPr>
                <w:sz w:val="24"/>
                <w:szCs w:val="24"/>
                <w:lang w:val="vi-VN"/>
              </w:rPr>
            </w:r>
            <w:r>
              <w:rPr>
                <w:sz w:val="24"/>
                <w:szCs w:val="24"/>
                <w:lang w:val="vi-VN"/>
              </w:rPr>
            </w:r>
          </w:p>
        </w:tc>
      </w:tr>
    </w:tbl>
    <w:p>
      <w:pPr>
        <w:pStyle w:val="1042"/>
        <w:pBdr/>
        <w:spacing w:after="120" w:before="200" w:line="288" w:lineRule="auto"/>
        <w:ind/>
        <w:jc w:val="center"/>
        <w:rPr>
          <w:rStyle w:val="1041"/>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41"/>
          <w:rFonts w:ascii="Times New Roman" w:hAnsi="Times New Roman"/>
          <w:b/>
          <w:bCs/>
          <w:color w:val="auto"/>
          <w:sz w:val="30"/>
          <w:szCs w:val="30"/>
          <w:lang w:val="vi-VN"/>
        </w:rPr>
        <w:t xml:space="preserve">CHỨNG THƯ THẨM ĐỊNH GIÁ</w:t>
      </w:r>
      <w:r>
        <w:rPr>
          <w:rStyle w:val="1041"/>
          <w:rFonts w:ascii="Times New Roman" w:hAnsi="Times New Roman"/>
          <w:b/>
          <w:bCs/>
          <w:color w:val="auto"/>
          <w:sz w:val="30"/>
          <w:szCs w:val="30"/>
          <w:lang w:val="vi-VN"/>
        </w:rPr>
      </w:r>
      <w:r>
        <w:rPr>
          <w:rStyle w:val="104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ĐOÀN NGỌC GIA GIA</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275/2025/1722/VFI-HĐTĐ.39.A</w:t>
      </w:r>
      <w:r>
        <w:rPr>
          <w:spacing w:val="-4"/>
          <w:lang w:val="vi-VN"/>
        </w:rPr>
        <w:t xml:space="preserve"> ký ngày </w:t>
      </w:r>
      <w:r>
        <w:rPr>
          <w:color w:val="000000" w:themeColor="text1"/>
          <w:spacing w:val="-4"/>
        </w:rPr>
        <w:t xml:space="preserve">2 tháng 12 năm 2025</w:t>
      </w:r>
      <w:r>
        <w:rPr>
          <w:spacing w:val="-4"/>
          <w:lang w:val="vi-VN"/>
        </w:rPr>
        <w:t xml:space="preserve"> </w:t>
      </w:r>
      <w:r>
        <w:rPr>
          <w:spacing w:val="-4"/>
          <w:lang w:val="vi-VN"/>
        </w:rPr>
        <w:t xml:space="preserve">giữa </w:t>
      </w:r>
      <w:r>
        <w:rPr>
          <w:bCs/>
        </w:rPr>
        <w:t xml:space="preserve">Ông Đoàn Ngọc Gia Gia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top w:val="none" w:color="000000" w:sz="4" w:space="0"/>
          <w:left w:val="none" w:color="000000" w:sz="4" w:space="0"/>
          <w:bottom w:val="none" w:color="000000" w:sz="4" w:space="0"/>
          <w:right w:val="none" w:color="000000" w:sz="4" w:space="0"/>
          <w:between w:val="none" w:color="000000" w:sz="4" w:space="0"/>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275/2025/1722/VFI-BC.39.A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top w:val="none" w:color="000000" w:sz="4" w:space="0"/>
          <w:left w:val="none" w:color="000000" w:sz="4" w:space="0"/>
          <w:bottom w:val="none" w:color="000000" w:sz="4" w:space="0"/>
          <w:right w:val="none" w:color="000000" w:sz="4" w:space="0"/>
          <w:between w:val="none" w:color="000000" w:sz="4" w:space="0"/>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op w:val="none" w:color="000000" w:sz="4" w:space="0"/>
          <w:left w:val="none" w:color="000000" w:sz="4" w:space="0"/>
          <w:bottom w:val="none" w:color="000000" w:sz="4" w:space="0"/>
          <w:right w:val="none" w:color="000000" w:sz="4" w:space="0"/>
          <w:between w:val="none" w:color="000000" w:sz="4" w:space="0"/>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Tên khách hàng</w:t>
            </w:r>
            <w:r/>
          </w:p>
        </w:tc>
        <w:tc>
          <w:tcPr>
            <w:tcBorders/>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W w:w="7115" w:type="dxa"/>
            <w:vAlign w:val="center"/>
            <w:textDirection w:val="lrTb"/>
            <w:noWrap w:val="false"/>
          </w:tcPr>
          <w:p w14:paraId="671B4A27">
            <w:pPr>
              <w:pBdr/>
              <w:spacing/>
              <w:ind/>
              <w:rPr/>
            </w:pPr>
            <w:r>
              <w:rPr>
                <w:rFonts w:ascii="Times New Roman Bold" w:hAnsi="Times New Roman Bold"/>
                <w:b/>
                <w:color w:val="000000" w:themeColor="text1"/>
                <w:lang w:val="pt-BR"/>
              </w:rPr>
              <w:t xml:space="preserve">ÔNG ĐOÀN NGỌC GIA GIA</w:t>
            </w:r>
            <w:r>
              <w:rPr>
                <w:rFonts w:ascii="Times New Roman Bold" w:hAnsi="Times New Roman Bold"/>
                <w:b/>
                <w:lang w:val="pt-BR"/>
              </w:rPr>
            </w:r>
            <w:r/>
          </w:p>
        </w:tc>
      </w:tr>
      <w:tr>
        <w:trPr>
          <w:trHeight w:val="20"/>
        </w:trPr>
        <w:tc>
          <w:tcPr>
            <w:tcBorders/>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CCCD</w:t>
            </w:r>
            <w:r>
              <w:rPr>
                <w:highlight w:val="white"/>
              </w:rPr>
            </w:r>
            <w:r>
              <w:rPr>
                <w:highlight w:val="white"/>
              </w:rPr>
            </w:r>
          </w:p>
        </w:tc>
        <w:tc>
          <w:tcPr>
            <w:tcBorders/>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highlight w:val="white"/>
              </w:rPr>
            </w:pPr>
            <w:r>
              <w:rPr>
                <w:rFonts w:ascii="Times New Roman" w:hAnsi="Times New Roman" w:eastAsia="Times New Roman" w:cs="Times New Roman"/>
                <w:color w:val="000000"/>
                <w:sz w:val="24"/>
                <w:highlight w:val="white"/>
              </w:rPr>
              <w:t xml:space="preserve"> 050188000313</w:t>
            </w:r>
            <w:r>
              <w:rPr>
                <w:highlight w:val="white"/>
              </w:rPr>
            </w:r>
            <w:r>
              <w:rPr>
                <w:highlight w:val="white"/>
              </w:rPr>
            </w:r>
          </w:p>
        </w:tc>
      </w:tr>
      <w:tr>
        <w:trPr>
          <w:trHeight w:val="20"/>
        </w:trPr>
        <w:tc>
          <w:tcPr>
            <w:tcBorders/>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 hiện tại</w:t>
            </w:r>
            <w:r/>
          </w:p>
        </w:tc>
        <w:tc>
          <w:tcPr>
            <w:tcBorders/>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 Tổ 1 Trưng Trắc, Phường Phúc Yên, tỉnh Phú Thọ</w:t>
            </w:r>
            <w:r>
              <w:rPr>
                <w:rFonts w:ascii="Times New Roman" w:hAnsi="Times New Roman" w:eastAsia="Times New Roman" w:cs="Times New Roman"/>
                <w:color w:val="000000"/>
                <w:sz w:val="24"/>
              </w:rPr>
            </w:r>
            <w:r/>
          </w:p>
        </w:tc>
      </w:tr>
    </w:tbl>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rPr>
              <w:t xml:space="preserve">BT5-23 Khu đô thị mới Văn Phú, phường </w:t>
            </w:r>
            <w:r>
              <w:rPr>
                <w:color w:val="000000" w:themeColor="text1"/>
                <w:spacing w:val="-2"/>
                <w:highlight w:val="white"/>
              </w:rPr>
              <w:t xml:space="preserve">Kiến Hưng</w:t>
            </w:r>
            <w:r>
              <w:rPr>
                <w:color w:val="000000" w:themeColor="text1"/>
                <w:spacing w:val="-2"/>
                <w:highlight w:val="white"/>
              </w:rPr>
              <w:t xml:space="preserve">, TP Hà Nội</w:t>
            </w:r>
            <w:r>
              <w:rPr>
                <w:spacing w:val="-6"/>
                <w:highlight w:val="white"/>
              </w:rPr>
            </w:r>
            <w:r>
              <w:rPr>
                <w:spacing w:val="-6"/>
                <w:highlight w:val="white"/>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w:t>
            </w:r>
            <w:r>
              <w:rPr>
                <w:b/>
                <w:bCs/>
                <w:lang w:val="vi-VN"/>
              </w:rPr>
            </w:r>
            <w:r>
              <w:rPr>
                <w:b/>
                <w:bCs/>
                <w:lang w:val="vi-VN"/>
              </w:rPr>
            </w:r>
          </w:p>
        </w:tc>
      </w:tr>
    </w:tbl>
    <w:p>
      <w:pPr>
        <w:pBdr/>
        <w:spacing w:after="120" w:before="120" w:line="360" w:lineRule="auto"/>
        <w:ind/>
        <w:jc w:val="left"/>
        <w:rPr>
          <w:iCs/>
          <w:color w:val="000000" w:themeColor="text1"/>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iCs/>
          <w:color w:val="000000" w:themeColor="text1"/>
        </w:rPr>
      </w:r>
      <w:r>
        <w:rPr>
          <w:iCs/>
          <w:color w:val="000000" w:themeColor="text1"/>
        </w:rPr>
      </w:r>
    </w:p>
    <w:p>
      <w:pPr>
        <w:pBdr/>
        <w:spacing w:after="120" w:before="120" w:line="276" w:lineRule="auto"/>
        <w:ind/>
        <w:jc w:val="both"/>
        <w:rPr>
          <w:bCs/>
          <w:i/>
          <w:highlight w:val="none"/>
        </w:rPr>
      </w:pPr>
      <w:r>
        <w:rPr>
          <w:color w:val="000000" w:themeColor="text1"/>
        </w:rPr>
      </w:r>
      <w:r>
        <w:rPr>
          <w:color w:val="000000"/>
        </w:rPr>
        <w:t xml:space="preserve">Tài sản 1: Quyền sử dụng đất tại thửa đất số: 651, tờ bản đồ số 30 có địa chỉ: Khóm Tân An, phường Sa Đéc, tỉnh Đồng Tháp</w:t>
      </w:r>
      <w:r>
        <w:rPr>
          <w:color w:val="000000"/>
        </w:rPr>
        <w:t xml:space="preserve"> theo Giấy chứng nhận quyền sử dụng đất quyền sở hữu nhà ở và tài sản khác gắn liền với đất số: BU 113570, số vào sổ cấp GCN: CH04066 do Ủy ban nhân dân thành phố Sa Đéc cấp ngày 29/07/2014; Chủ sử dụng đất là Ông Phan Văn Lĩnh</w:t>
      </w:r>
      <w:r>
        <w:rPr>
          <w:bCs/>
          <w:i/>
          <w:iCs/>
        </w:rPr>
        <w:t xml:space="preserve">.</w:t>
      </w:r>
      <w:r>
        <w:rPr>
          <w:bCs/>
          <w:i/>
          <w:highlight w:val="none"/>
        </w:rPr>
      </w:r>
      <w:r>
        <w:rPr>
          <w:bCs/>
          <w:i/>
          <w:highlight w:val="none"/>
        </w:rPr>
      </w:r>
    </w:p>
    <w:p>
      <w:pPr>
        <w:pBdr/>
        <w:spacing w:after="120" w:before="120" w:line="276" w:lineRule="auto"/>
        <w:ind/>
        <w:jc w:val="both"/>
        <w:rPr>
          <w:bCs w:val="0"/>
          <w:i w:val="0"/>
        </w:rPr>
      </w:pPr>
      <w:r>
        <w:rPr>
          <w:bCs/>
          <w:i w:val="0"/>
          <w:iCs w:val="0"/>
          <w:highlight w:val="none"/>
        </w:rPr>
        <w:t xml:space="preserve">Tài sản 2: </w:t>
      </w:r>
      <w:r>
        <w:rPr>
          <w:color w:val="000000"/>
        </w:rPr>
        <w:t xml:space="preserve">Quyền sử dụng đất tại thửa đất số: 616, tờ bản đồ số 30 có địa chỉ: Khóm Tân An, phường Sa Đéc, tỉnh Đồng Tháp</w:t>
      </w:r>
      <w:r>
        <w:rPr>
          <w:color w:val="000000"/>
        </w:rPr>
        <w:t xml:space="preserve"> theo Giấy chứng nhận quyền sử dụng đất quyền sở hữu nhà ở và tài sản khác gắn liền với đất số: BL 359885, số vào sổ cấp GCN: CH02567 do Ủy ban nhân dân thị xã Sa Đéc cấp ngày 03/10/2012; Chủ sử dụng đất là Ông Phan Văn Lĩnh</w:t>
      </w:r>
      <w:r>
        <w:rPr>
          <w:bCs w:val="0"/>
          <w:i w:val="0"/>
        </w:rPr>
      </w:r>
      <w:r>
        <w:rPr>
          <w:bCs w:val="0"/>
          <w:i w:val="0"/>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Style w:val="1047"/>
        <w:tblInd w:w="0" w:type="dxa"/>
        <w:tblW w:w="0" w:type="auto"/>
        <w:tblCellMar>
          <w:left w:w="108" w:type="dxa"/>
          <w:top w:w="0" w:type="dxa"/>
          <w:right w:w="108" w:type="dxa"/>
          <w:bottom w:w="0" w:type="dxa"/>
        </w:tblCellMar>
        <w:tblBorders>
          <w:top w:val="single" w:color="000000" w:sz="8" w:space="0"/>
          <w:left w:val="single" w:color="000000" w:sz="8" w:space="0"/>
          <w:bottom w:val="single" w:color="000000" w:sz="5" w:space="0"/>
          <w:right w:val="single" w:color="000000" w:sz="5" w:space="0"/>
          <w:insideH w:val="single" w:color="000000" w:sz="4" w:space="0"/>
          <w:insideV w:val="single" w:color="000000" w:sz="4" w:space="0"/>
        </w:tblBorders>
        <w:tblLayout w:type="fixed"/>
        <w:tblLook w:val="04A0" w:firstRow="1" w:lastRow="0" w:firstColumn="1" w:lastColumn="0" w:noHBand="0" w:noVBand="1"/>
      </w:tblPr>
      <w:tblGrid>
        <w:gridCol w:w="528"/>
        <w:gridCol w:w="3043"/>
        <w:gridCol w:w="1559"/>
        <w:gridCol w:w="2235"/>
        <w:gridCol w:w="1984"/>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1</w:t>
            </w:r>
            <w:r/>
          </w:p>
        </w:tc>
        <w:tc>
          <w:tcPr>
            <w:gridSpan w:val="3"/>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68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b/>
                <w:color w:val="000000"/>
                <w:sz w:val="24"/>
              </w:rPr>
              <w:t xml:space="preserve">Quyền sử dụng đất tại thửa đất số: 651, tờ bản đồ số 30 có địa chỉ: Khóm Tân An, phường Sa Đéc, tỉnh Đồng Tháp theo Giấy chứng nhận quyền sử dụng đất quyền sở hữu nhà ở và tài sản khác gắn liền với đất </w:t>
            </w:r>
            <w:r>
              <w:rPr>
                <w:rFonts w:ascii="Times New Roman" w:hAnsi="Times New Roman" w:eastAsia="Times New Roman" w:cs="Times New Roman"/>
                <w:b/>
                <w:color w:val="000000"/>
                <w:sz w:val="24"/>
              </w:rPr>
              <w:t xml:space="preserve">số: BU 113570, số vào sổ cấp GCN: CH04066 do Ủy ban nhân dân thành phố Sa Đéc cấp ngày 29/07/2014; Chủ sử dụng đất là Ông Phan Văn Lĩnh.</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28" w:type="dxa"/>
            <w:vAlign w:val="center"/>
            <w:textDirection w:val="lrTb"/>
            <w:noWrap w:val="false"/>
          </w:tcPr>
          <w:p w14:paraId="23DAC8FB">
            <w:pPr>
              <w:pBdr/>
              <w:spacing w:after="0" w:before="0" w:line="240" w:lineRule="auto"/>
              <w:ind/>
              <w:jc w:val="center"/>
              <w:rPr/>
            </w:pPr>
            <w:r>
              <w:rPr>
                <w:rFonts w:ascii="Times New Roman" w:hAnsi="Times New Roman" w:eastAsia="Times New Roman" w:cs="Times New Roman"/>
                <w:b/>
                <w:color w:val="000000"/>
                <w:sz w:val="24"/>
              </w:rPr>
              <w:t xml:space="preserve">-</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043" w:type="dxa"/>
            <w:vAlign w:val="center"/>
            <w:textDirection w:val="lrTb"/>
            <w:noWrap w:val="false"/>
          </w:tcPr>
          <w:p w14:paraId="0EDA13C0">
            <w:pPr>
              <w:pBdr/>
              <w:spacing w:after="0" w:before="0" w:line="240" w:lineRule="auto"/>
              <w:ind/>
              <w:rPr/>
            </w:pPr>
            <w:r>
              <w:rPr>
                <w:rFonts w:ascii="Times New Roman" w:hAnsi="Times New Roman" w:eastAsia="Times New Roman" w:cs="Times New Roman"/>
                <w:color w:val="000000"/>
                <w:sz w:val="24"/>
              </w:rPr>
              <w:t xml:space="preserve">Quyền sử dụng đất ở tại đô thị</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750FDE44">
            <w:pPr>
              <w:pBdr/>
              <w:spacing w:after="0" w:before="0" w:line="240" w:lineRule="auto"/>
              <w:ind/>
              <w:jc w:val="center"/>
              <w:rPr/>
            </w:pPr>
            <w:r>
              <w:rPr>
                <w:rFonts w:ascii="Times New Roman" w:hAnsi="Times New Roman" w:eastAsia="Times New Roman" w:cs="Times New Roman"/>
                <w:color w:val="000000"/>
                <w:sz w:val="24"/>
              </w:rPr>
              <w:t xml:space="preserve">791,2</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35" w:type="dxa"/>
            <w:vAlign w:val="center"/>
            <w:textDirection w:val="lrTb"/>
            <w:noWrap w:val="false"/>
          </w:tcPr>
          <w:p w14:paraId="5EFC8EEA">
            <w:pPr>
              <w:pBdr/>
              <w:spacing w:after="0" w:before="0" w:line="240" w:lineRule="auto"/>
              <w:ind/>
              <w:jc w:val="center"/>
              <w:rPr/>
            </w:pPr>
            <w:r>
              <w:rPr>
                <w:rFonts w:ascii="Times New Roman" w:hAnsi="Times New Roman" w:eastAsia="Times New Roman" w:cs="Times New Roman"/>
                <w:color w:val="000000"/>
                <w:sz w:val="24"/>
              </w:rPr>
              <w:t xml:space="preserve">10.800.000</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14:paraId="696BDE71">
            <w:pPr>
              <w:pBdr/>
              <w:spacing w:after="0" w:before="0" w:line="240" w:lineRule="auto"/>
              <w:ind/>
              <w:jc w:val="center"/>
              <w:rPr/>
            </w:pPr>
            <w:r>
              <w:rPr>
                <w:rFonts w:ascii="Times New Roman" w:hAnsi="Times New Roman" w:eastAsia="Times New Roman" w:cs="Times New Roman"/>
                <w:color w:val="000000"/>
                <w:sz w:val="24"/>
              </w:rPr>
              <w:t xml:space="preserve">8.544.960.000</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2</w:t>
            </w:r>
            <w:r/>
          </w:p>
        </w:tc>
        <w:tc>
          <w:tcPr>
            <w:gridSpan w:val="3"/>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68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b/>
                <w:color w:val="000000"/>
                <w:sz w:val="24"/>
              </w:rPr>
              <w:t xml:space="preserve">Quyền sử dụng đất tại thửa đất số: 616, tờ bản đồ số 30 có địa chỉ: Khóm Tân An, phường Sa Đéc, tỉnh Đồng Tháp theo Giấy chứng nhận quyền sử dụng đất quyền sở hữu nhà ở và tài sản khác gắn liền với đất </w:t>
            </w:r>
            <w:r>
              <w:rPr>
                <w:rFonts w:ascii="Times New Roman" w:hAnsi="Times New Roman" w:eastAsia="Times New Roman" w:cs="Times New Roman"/>
                <w:b/>
                <w:color w:val="000000"/>
                <w:sz w:val="24"/>
              </w:rPr>
              <w:t xml:space="preserve">số: BL 359885, số vào sổ cấp GCN: CH02567 do Ủy ban nhân dân thị xã Sa Đéc cấp ngày 03/10/2012; Chủ sử dụng đất là Ông Phan Văn Lĩnh</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28" w:type="dxa"/>
            <w:vAlign w:val="center"/>
            <w:textDirection w:val="lrTb"/>
            <w:noWrap w:val="false"/>
          </w:tcPr>
          <w:p w14:paraId="00DBEBD8">
            <w:pPr>
              <w:pBdr/>
              <w:spacing w:after="0" w:before="0" w:line="240" w:lineRule="auto"/>
              <w:ind/>
              <w:jc w:val="center"/>
              <w:rPr/>
            </w:pPr>
            <w:r>
              <w:rPr>
                <w:rFonts w:ascii="Times New Roman" w:hAnsi="Times New Roman" w:eastAsia="Times New Roman" w:cs="Times New Roman"/>
                <w:b/>
                <w:color w:val="000000"/>
                <w:sz w:val="24"/>
              </w:rPr>
              <w:t xml:space="preserve">-</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043" w:type="dxa"/>
            <w:vAlign w:val="center"/>
            <w:textDirection w:val="lrTb"/>
            <w:noWrap w:val="false"/>
          </w:tcPr>
          <w:p w14:paraId="5A6226CA">
            <w:pPr>
              <w:pBdr/>
              <w:spacing w:after="0" w:before="0" w:line="240" w:lineRule="auto"/>
              <w:ind/>
              <w:rPr/>
            </w:pPr>
            <w:r>
              <w:rPr>
                <w:rFonts w:ascii="Times New Roman" w:hAnsi="Times New Roman" w:eastAsia="Times New Roman" w:cs="Times New Roman"/>
                <w:color w:val="000000"/>
                <w:sz w:val="24"/>
              </w:rPr>
              <w:t xml:space="preserve">Quyền sử dụng đất ở tại đô thị</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14699CA8">
            <w:pPr>
              <w:pBdr/>
              <w:spacing w:after="0" w:before="0" w:line="240" w:lineRule="auto"/>
              <w:ind/>
              <w:jc w:val="center"/>
              <w:rPr/>
            </w:pPr>
            <w:r>
              <w:rPr>
                <w:rFonts w:ascii="Times New Roman" w:hAnsi="Times New Roman" w:eastAsia="Times New Roman" w:cs="Times New Roman"/>
                <w:color w:val="000000"/>
                <w:sz w:val="24"/>
              </w:rPr>
              <w:t xml:space="preserve">219,8</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35" w:type="dxa"/>
            <w:vAlign w:val="center"/>
            <w:textDirection w:val="lrTb"/>
            <w:noWrap w:val="false"/>
          </w:tcPr>
          <w:p w14:paraId="42074390">
            <w:pPr>
              <w:pBdr/>
              <w:spacing w:after="0" w:before="0" w:line="240" w:lineRule="auto"/>
              <w:ind/>
              <w:jc w:val="center"/>
              <w:rPr/>
            </w:pPr>
            <w:r>
              <w:rPr>
                <w:rFonts w:ascii="Times New Roman" w:hAnsi="Times New Roman" w:eastAsia="Times New Roman" w:cs="Times New Roman"/>
                <w:color w:val="000000"/>
                <w:sz w:val="24"/>
              </w:rPr>
              <w:t xml:space="preserve">7.020.000</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14:paraId="1E72EFD9">
            <w:pPr>
              <w:pBdr/>
              <w:spacing w:after="0" w:before="0" w:line="240" w:lineRule="auto"/>
              <w:ind/>
              <w:jc w:val="center"/>
              <w:rPr/>
            </w:pPr>
            <w:r>
              <w:rPr>
                <w:rFonts w:ascii="Times New Roman" w:hAnsi="Times New Roman" w:eastAsia="Times New Roman" w:cs="Times New Roman"/>
                <w:color w:val="000000"/>
                <w:sz w:val="24"/>
              </w:rPr>
              <w:t xml:space="preserve">1.542.996.000</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28" w:type="dxa"/>
            <w:vAlign w:val="center"/>
            <w:textDirection w:val="lrTb"/>
            <w:noWrap w:val="false"/>
          </w:tcPr>
          <w:p w14:paraId="5E4CB775">
            <w:pPr>
              <w:pBdr/>
              <w:spacing w:after="0" w:before="0" w:line="240" w:lineRule="auto"/>
              <w:ind/>
              <w:jc w:val="center"/>
              <w:rPr/>
            </w:pPr>
            <w:r>
              <w:rPr>
                <w:rFonts w:ascii="Times New Roman" w:hAnsi="Times New Roman" w:eastAsia="Times New Roman" w:cs="Times New Roman"/>
                <w:b/>
                <w:color w:val="000000"/>
                <w:sz w:val="24"/>
              </w:rPr>
              <w:t xml:space="preserve">-</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043" w:type="dxa"/>
            <w:vAlign w:val="center"/>
            <w:textDirection w:val="lrTb"/>
            <w:noWrap w:val="false"/>
          </w:tcPr>
          <w:p w14:paraId="16B370A4">
            <w:pPr>
              <w:pBdr/>
              <w:spacing w:after="0" w:before="0" w:line="240" w:lineRule="auto"/>
              <w:ind/>
              <w:rPr/>
            </w:pPr>
            <w:r>
              <w:rPr>
                <w:rFonts w:ascii="Times New Roman" w:hAnsi="Times New Roman" w:eastAsia="Times New Roman" w:cs="Times New Roman"/>
                <w:color w:val="000000"/>
                <w:sz w:val="24"/>
              </w:rPr>
              <w:t xml:space="preserve">Quyền sử dụng đất trồng cây lâu năm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1AF93A62">
            <w:pPr>
              <w:pBdr/>
              <w:spacing w:after="0" w:before="0" w:line="240" w:lineRule="auto"/>
              <w:ind/>
              <w:jc w:val="center"/>
              <w:rPr/>
            </w:pPr>
            <w:r>
              <w:rPr>
                <w:rFonts w:ascii="Times New Roman" w:hAnsi="Times New Roman" w:eastAsia="Times New Roman" w:cs="Times New Roman"/>
                <w:color w:val="000000"/>
                <w:sz w:val="24"/>
              </w:rPr>
              <w:t xml:space="preserve">185,4</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35" w:type="dxa"/>
            <w:vAlign w:val="center"/>
            <w:textDirection w:val="lrTb"/>
            <w:noWrap w:val="false"/>
          </w:tcPr>
          <w:p w14:paraId="69819BF0">
            <w:pPr>
              <w:pBdr/>
              <w:spacing w:after="0" w:before="0" w:line="240" w:lineRule="auto"/>
              <w:ind/>
              <w:jc w:val="center"/>
              <w:rPr/>
            </w:pPr>
            <w:r>
              <w:rPr>
                <w:rFonts w:ascii="Times New Roman" w:hAnsi="Times New Roman" w:eastAsia="Times New Roman" w:cs="Times New Roman"/>
                <w:color w:val="000000"/>
                <w:sz w:val="24"/>
              </w:rPr>
              <w:t xml:space="preserve">110.000</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14:paraId="2EFDDAB8">
            <w:pPr>
              <w:pBdr/>
              <w:spacing w:after="0" w:before="0" w:line="240" w:lineRule="auto"/>
              <w:ind/>
              <w:jc w:val="center"/>
              <w:rPr/>
            </w:pPr>
            <w:r>
              <w:rPr>
                <w:rFonts w:ascii="Times New Roman" w:hAnsi="Times New Roman" w:eastAsia="Times New Roman" w:cs="Times New Roman"/>
                <w:color w:val="000000"/>
                <w:sz w:val="24"/>
              </w:rPr>
              <w:t xml:space="preserve">20.394.000</w:t>
            </w:r>
            <w:r/>
          </w:p>
        </w:tc>
      </w:tr>
      <w:tr>
        <w:trPr>
          <w:trHeight w:val="20"/>
        </w:trPr>
        <w:tc>
          <w:tcPr>
            <w:gridSpan w:val="4"/>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36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TỔNG CỘNG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14:paraId="5136A653">
            <w:pPr>
              <w:pBdr/>
              <w:spacing w:after="0" w:before="0" w:line="240" w:lineRule="auto"/>
              <w:ind/>
              <w:jc w:val="center"/>
              <w:rPr/>
            </w:pPr>
            <w:r>
              <w:rPr>
                <w:rFonts w:ascii="Times New Roman" w:hAnsi="Times New Roman" w:eastAsia="Times New Roman" w:cs="Times New Roman"/>
                <w:color w:val="000000"/>
                <w:sz w:val="24"/>
              </w:rPr>
              <w:t xml:space="preserve">10.108.350.000</w:t>
            </w:r>
            <w:r/>
          </w:p>
        </w:tc>
      </w:tr>
      <w:tr>
        <w:trPr>
          <w:trHeight w:val="20"/>
        </w:trPr>
        <w:tc>
          <w:tcPr>
            <w:gridSpan w:val="4"/>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36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LÀM TRÒN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14:paraId="63C57066">
            <w:pPr>
              <w:pBdr/>
              <w:spacing w:after="0" w:before="0" w:line="240" w:lineRule="auto"/>
              <w:ind/>
              <w:jc w:val="center"/>
              <w:rPr/>
            </w:pPr>
            <w:r>
              <w:rPr>
                <w:rFonts w:ascii="Times New Roman" w:hAnsi="Times New Roman" w:eastAsia="Times New Roman" w:cs="Times New Roman"/>
                <w:b/>
                <w:color w:val="000000"/>
                <w:sz w:val="24"/>
              </w:rPr>
              <w:t xml:space="preserve">10.108.000.000</w:t>
            </w:r>
            <w:r/>
          </w:p>
        </w:tc>
      </w:tr>
      <w:tr>
        <w:trPr>
          <w:trHeight w:val="20"/>
        </w:trPr>
        <w:tc>
          <w:tcPr>
            <w:gridSpan w:val="5"/>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93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i/>
                <w:color w:val="000000"/>
                <w:sz w:val="24"/>
              </w:rPr>
              <w:t xml:space="preserve">(Bằng chữ: Mười tỷ, một trăm linh tám triệu đồng chẵn ./.)</w:t>
            </w:r>
            <w:r/>
          </w:p>
        </w:tc>
      </w:tr>
    </w:tbl>
    <w:p>
      <w:pPr>
        <w:pBdr>
          <w:top w:val="none" w:color="000000" w:sz="4" w:space="0"/>
          <w:left w:val="none" w:color="000000" w:sz="4" w:space="0"/>
          <w:bottom w:val="none" w:color="000000" w:sz="4" w:space="0"/>
          <w:right w:val="none" w:color="000000" w:sz="4" w:space="0"/>
        </w:pBdr>
        <w:spacing w:before="120" w:line="360" w:lineRule="auto"/>
        <w:ind w:right="0" w:firstLine="0" w:left="0"/>
        <w:jc w:val="both"/>
        <w:rPr/>
      </w:pPr>
      <w:r>
        <w:rPr>
          <w:rFonts w:ascii="Times New Roman" w:hAnsi="Times New Roman" w:eastAsia="Times New Roman" w:cs="Times New Roman"/>
          <w:i/>
          <w:color w:val="000000"/>
          <w:sz w:val="24"/>
          <w:u w:val="single"/>
        </w:rPr>
        <w:t xml:space="preserve"> Ghi chú</w:t>
      </w:r>
      <w:r>
        <w:rPr>
          <w:rFonts w:ascii="Times New Roman" w:hAnsi="Times New Roman" w:eastAsia="Times New Roman" w:cs="Times New Roman"/>
          <w:i/>
          <w:color w:val="000000"/>
          <w:sz w:val="24"/>
        </w:rPr>
        <w:t xml:space="preserve">: Kết quả thẩm định định giá theo phương án xác định giá trị trong điều kiện hợp thửa các thửa đất liền kề và không có ranh giới giữa các thửa đất, đề nghị ngân hàng nhận thế chấp và giải chấp đồng thời các thửa đất.</w:t>
      </w:r>
      <w:r>
        <w:rPr>
          <w:sz w:val="24"/>
        </w:rPr>
      </w:r>
      <w:r/>
    </w:p>
    <w:p>
      <w:pPr>
        <w:pBdr/>
        <w:spacing w:after="120" w:before="120" w:line="312" w:lineRule="auto"/>
        <w:ind/>
        <w:jc w:val="both"/>
        <w:rPr>
          <w:b/>
          <w:bCs/>
          <w:highlight w:val="none"/>
          <w:lang w:val="vi-VN"/>
        </w:rPr>
      </w:pPr>
      <w:r>
        <w:rPr>
          <w:b/>
          <w:bCs/>
          <w:lang w:val="vi-VN"/>
        </w:rPr>
        <w:t xml:space="preserve">10. Thời hạn hiệu lực của kết quả thẩm định giá:</w:t>
      </w:r>
      <w:r>
        <w:rPr>
          <w:b/>
          <w:bCs/>
          <w:highlight w:val="none"/>
          <w:lang w:val="vi-VN"/>
        </w:rPr>
      </w:r>
      <w:r>
        <w:rPr>
          <w:b/>
          <w:bCs/>
          <w:highlight w:val="none"/>
          <w:lang w:val="vi-VN"/>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1042"/>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pPr>
              <w:pStyle w:val="1042"/>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275/2025/1722/VFI-BC.39.A</w:t>
            </w:r>
            <w:r>
              <w:rPr>
                <w:sz w:val="24"/>
                <w:szCs w:val="24"/>
              </w:rPr>
            </w:r>
            <w:r>
              <w:rPr>
                <w:sz w:val="24"/>
                <w:szCs w:val="24"/>
              </w:rPr>
            </w:r>
          </w:p>
        </w:tc>
        <w:tc>
          <w:tcPr>
            <w:tcBorders/>
            <w:tcW w:w="4781" w:type="dxa"/>
            <w:textDirection w:val="lrTb"/>
            <w:noWrap w:val="false"/>
          </w:tcPr>
          <w:p>
            <w:pPr>
              <w:pStyle w:val="1042"/>
              <w:pBdr/>
              <w:tabs>
                <w:tab w:val="left" w:leader="none" w:pos="5103"/>
              </w:tabs>
              <w:spacing w:before="100" w:line="360" w:lineRule="auto"/>
              <w:ind/>
              <w:jc w:val="right"/>
              <w:rPr>
                <w:rStyle w:val="1041"/>
                <w:rFonts w:ascii="Times New Roman" w:hAnsi="Times New Roman"/>
                <w:i/>
                <w:color w:val="auto"/>
              </w:rPr>
            </w:pPr>
            <w:r>
              <w:rPr>
                <w:rFonts w:ascii="Times New Roman" w:hAnsi="Times New Roman"/>
                <w:i/>
                <w:color w:val="auto"/>
              </w:rPr>
            </w:r>
            <w:r>
              <w:rPr>
                <w:rStyle w:val="1041"/>
                <w:rFonts w:ascii="Times New Roman" w:hAnsi="Times New Roman"/>
                <w:i/>
                <w:color w:val="auto"/>
              </w:rPr>
            </w:r>
            <w:r>
              <w:rPr>
                <w:rStyle w:val="1041"/>
                <w:rFonts w:ascii="Times New Roman" w:hAnsi="Times New Roman"/>
                <w:i/>
                <w:color w:val="auto"/>
              </w:rPr>
            </w:r>
          </w:p>
          <w:p>
            <w:pPr>
              <w:pStyle w:val="1042"/>
              <w:pBdr/>
              <w:tabs>
                <w:tab w:val="left" w:leader="none" w:pos="5103"/>
              </w:tabs>
              <w:spacing w:before="100" w:line="360" w:lineRule="auto"/>
              <w:ind/>
              <w:jc w:val="right"/>
              <w:rPr>
                <w:i/>
                <w:iCs/>
                <w:sz w:val="24"/>
                <w:szCs w:val="24"/>
              </w:rPr>
            </w:pPr>
            <w:r>
              <w:rPr>
                <w:rStyle w:val="1041"/>
                <w:rFonts w:ascii="Times New Roman" w:hAnsi="Times New Roman"/>
                <w:i/>
                <w:color w:val="auto"/>
              </w:rPr>
              <w:t xml:space="preserve">TP</w:t>
            </w:r>
            <w:r>
              <w:rPr>
                <w:rStyle w:val="1041"/>
                <w:rFonts w:ascii="Times New Roman" w:hAnsi="Times New Roman"/>
                <w:color w:val="auto"/>
              </w:rPr>
              <w:t xml:space="preserve">. </w:t>
            </w:r>
            <w:r>
              <w:rPr>
                <w:rStyle w:val="1041"/>
                <w:rFonts w:ascii="Times New Roman" w:hAnsi="Times New Roman"/>
                <w:i/>
                <w:color w:val="auto"/>
              </w:rPr>
              <w:t xml:space="preserve">Hà Nội</w:t>
            </w:r>
            <w:r>
              <w:rPr>
                <w:rStyle w:val="1041"/>
                <w:rFonts w:ascii="Times New Roman" w:hAnsi="Times New Roman"/>
                <w:i/>
                <w:color w:val="auto"/>
                <w:lang w:val="vi-VN"/>
              </w:rPr>
              <w:t xml:space="preserve">, </w:t>
            </w:r>
            <w:r>
              <w:rPr>
                <w:i/>
                <w:iCs/>
                <w:color w:val="000000" w:themeColor="text1"/>
                <w:sz w:val="24"/>
                <w:szCs w:val="24"/>
                <w:lang w:val="pt-BR"/>
              </w:rPr>
              <w:t xml:space="preserve">ngày 4 tháng 12 năm 2025</w:t>
            </w:r>
            <w:r>
              <w:rPr>
                <w:rStyle w:val="1041"/>
                <w:rFonts w:ascii="Times New Roman" w:hAnsi="Times New Roman"/>
                <w:i/>
                <w:color w:val="auto"/>
                <w:lang w:val="vi-VN"/>
              </w:rPr>
              <w:t xml:space="preserve">   </w:t>
            </w:r>
            <w:r>
              <w:rPr>
                <w:rStyle w:val="1041"/>
                <w:rFonts w:ascii="Times New Roman" w:hAnsi="Times New Roman"/>
                <w:i/>
                <w:color w:val="auto"/>
                <w:lang w:val="vi-VN"/>
              </w:rPr>
              <w:t xml:space="preserve">  </w:t>
            </w:r>
            <w:r>
              <w:rPr>
                <w:i/>
                <w:iCs/>
                <w:sz w:val="24"/>
                <w:szCs w:val="24"/>
              </w:rPr>
            </w:r>
            <w:r>
              <w:rPr>
                <w:i/>
                <w:iCs/>
                <w:sz w:val="24"/>
                <w:szCs w:val="24"/>
              </w:rPr>
            </w:r>
          </w:p>
        </w:tc>
      </w:tr>
    </w:tbl>
    <w:p>
      <w:pPr>
        <w:pStyle w:val="1042"/>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pPr>
        <w:pStyle w:val="102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275/2025/1722/VFI-CT.39.A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Kiến Hưng,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pPr>
        <w:pStyle w:val="104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14:paraId="6BDF6FBB">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Tên khách hàng</w:t>
            </w:r>
            <w:r/>
          </w:p>
        </w:tc>
        <w:tc>
          <w:tcPr>
            <w:tcBorders/>
            <w:tcW w:w="284" w:type="dxa"/>
            <w:vAlign w:val="center"/>
            <w:vMerge w:val="restart"/>
            <w:textDirection w:val="lrTb"/>
            <w:noWrap w:val="false"/>
          </w:tcPr>
          <w:p w14:paraId="4E214D3F">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14:paraId="0EDD9A23">
            <w:pPr>
              <w:pBdr/>
              <w:spacing/>
              <w:ind/>
              <w:rPr/>
            </w:pPr>
            <w:r>
              <w:rPr>
                <w:rFonts w:ascii="Times New Roman Bold" w:hAnsi="Times New Roman Bold"/>
                <w:b/>
                <w:color w:val="000000" w:themeColor="text1"/>
                <w:lang w:val="pt-BR"/>
              </w:rPr>
              <w:t xml:space="preserve">ÔNG ĐOÀN NGỌC GIA GIA</w:t>
            </w:r>
            <w:r/>
          </w:p>
        </w:tc>
      </w:tr>
      <w:tr>
        <w:trPr>
          <w:trHeight w:val="20"/>
        </w:trPr>
        <w:tc>
          <w:tcPr>
            <w:tcBorders/>
            <w:tcW w:w="2518" w:type="dxa"/>
            <w:vAlign w:val="center"/>
            <w:vMerge w:val="restart"/>
            <w:textDirection w:val="lrTb"/>
            <w:noWrap w:val="false"/>
          </w:tcPr>
          <w:p w14:paraId="531ED2A2">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CCCD</w:t>
            </w:r>
            <w:r>
              <w:rPr>
                <w:highlight w:val="white"/>
              </w:rPr>
            </w:r>
            <w:r>
              <w:rPr>
                <w:highlight w:val="white"/>
              </w:rPr>
            </w:r>
          </w:p>
        </w:tc>
        <w:tc>
          <w:tcPr>
            <w:tcBorders/>
            <w:tcW w:w="284" w:type="dxa"/>
            <w:vAlign w:val="center"/>
            <w:vMerge w:val="restart"/>
            <w:textDirection w:val="lrTb"/>
            <w:noWrap w:val="false"/>
          </w:tcPr>
          <w:p w14:paraId="62EE781A">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W w:w="6945" w:type="dxa"/>
            <w:vAlign w:val="center"/>
            <w:vMerge w:val="restart"/>
            <w:textDirection w:val="lrTb"/>
            <w:noWrap w:val="false"/>
          </w:tcPr>
          <w:p w14:paraId="2E5794A4">
            <w:pPr>
              <w:pBdr>
                <w:top w:val="none" w:color="000000" w:sz="4" w:space="0"/>
                <w:left w:val="none" w:color="000000" w:sz="4" w:space="0"/>
                <w:bottom w:val="none" w:color="000000" w:sz="4" w:space="0"/>
                <w:right w:val="none" w:color="000000" w:sz="4" w:space="0"/>
              </w:pBdr>
              <w:spacing w:line="288" w:lineRule="auto"/>
              <w:ind w:right="0" w:firstLine="0" w:left="0"/>
              <w:rPr>
                <w:highlight w:val="white"/>
              </w:rPr>
            </w:pPr>
            <w:r>
              <w:rPr>
                <w:rFonts w:ascii="Times New Roman" w:hAnsi="Times New Roman" w:eastAsia="Times New Roman" w:cs="Times New Roman"/>
                <w:color w:val="000000"/>
                <w:sz w:val="24"/>
                <w:highlight w:val="white"/>
              </w:rPr>
              <w:t xml:space="preserve"> 050188000313</w:t>
            </w:r>
            <w:r>
              <w:rPr>
                <w:highlight w:val="white"/>
              </w:rPr>
            </w:r>
            <w:r>
              <w:rPr>
                <w:highlight w:val="white"/>
              </w:rPr>
            </w:r>
          </w:p>
        </w:tc>
      </w:tr>
      <w:tr>
        <w:trPr>
          <w:trHeight w:val="20"/>
        </w:trPr>
        <w:tc>
          <w:tcPr>
            <w:tcBorders/>
            <w:tcW w:w="2518" w:type="dxa"/>
            <w:vAlign w:val="center"/>
            <w:vMerge w:val="restart"/>
            <w:textDirection w:val="lrTb"/>
            <w:noWrap w:val="false"/>
          </w:tcPr>
          <w:p w14:paraId="541A7BBF">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 hiện tại</w:t>
            </w:r>
            <w:r/>
          </w:p>
        </w:tc>
        <w:tc>
          <w:tcPr>
            <w:tcBorders/>
            <w:tcW w:w="284" w:type="dxa"/>
            <w:vAlign w:val="center"/>
            <w:vMerge w:val="restart"/>
            <w:textDirection w:val="lrTb"/>
            <w:noWrap w:val="false"/>
          </w:tcPr>
          <w:p w14:paraId="3EEE9634">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14:paraId="507231BE">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 Tổ 1 Trưng Trắc, Phường Phúc Yên, tỉnh Phú Thọ</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120" w:before="120" w:line="360" w:lineRule="auto"/>
              <w:ind/>
              <w:jc w:val="both"/>
              <w:rPr>
                <w:bCs/>
                <w:i/>
                <w:highlight w:val="none"/>
              </w:rPr>
            </w:pPr>
            <w:r>
              <w:rPr>
                <w:color w:val="000000" w:themeColor="text1"/>
              </w:rPr>
            </w:r>
            <w:r>
              <w:rPr>
                <w:color w:val="000000"/>
              </w:rPr>
              <w:t xml:space="preserve">Tài sản 1: Quyền sử dụng đất tại thửa đất số: 651, tờ bản đồ số 30 có địa chỉ: Khóm Tân An, phường Sa Đéc, tỉnh Đồng Tháp</w:t>
            </w:r>
            <w:r>
              <w:rPr>
                <w:color w:val="000000"/>
              </w:rPr>
              <w:t xml:space="preserve"> theo Giấy chứng nhận quyền sử dụng đất quyền sở hữu nhà ở và tài sản khác gắn liền với đất số: BU 113570, số vào sổ cấp GCN: CH04066 do Ủy ban nhân dân thành phố Sa Đéc cấp ngày 29/07/2014; Chủ sử dụng đất là Ông Phan Văn Lĩnh</w:t>
            </w:r>
            <w:r>
              <w:rPr>
                <w:bCs/>
                <w:i/>
                <w:iCs/>
              </w:rPr>
              <w:t xml:space="preserve">.</w:t>
            </w:r>
            <w:r>
              <w:rPr>
                <w:bCs/>
                <w:i/>
                <w:highlight w:val="none"/>
              </w:rPr>
            </w:r>
            <w:r>
              <w:rPr>
                <w:bCs/>
                <w:i/>
                <w:highlight w:val="none"/>
              </w:rPr>
            </w:r>
          </w:p>
          <w:p>
            <w:pPr>
              <w:pBdr/>
              <w:spacing w:after="120" w:before="120" w:line="360" w:lineRule="auto"/>
              <w:ind/>
              <w:jc w:val="both"/>
              <w:rPr>
                <w:bCs w:val="0"/>
                <w:i w:val="0"/>
              </w:rPr>
            </w:pPr>
            <w:r>
              <w:rPr>
                <w:bCs/>
                <w:i w:val="0"/>
                <w:iCs w:val="0"/>
                <w:highlight w:val="none"/>
              </w:rPr>
              <w:t xml:space="preserve">Tài sản 2: </w:t>
            </w:r>
            <w:r>
              <w:rPr>
                <w:color w:val="000000"/>
              </w:rPr>
              <w:t xml:space="preserve">Quyền sử dụng đất tại thửa đất số: 616, tờ bản đồ số 30 có địa chỉ: Khóm Tân An, phường Sa Đéc, tỉnh Đồng Tháp</w:t>
            </w:r>
            <w:r>
              <w:rPr>
                <w:color w:val="000000"/>
              </w:rPr>
              <w:t xml:space="preserve"> theo Giấy chứng nhận quyền sử dụng đất quyền sở hữu nhà ở và tài sản khác gắn liền với đất số: BL 359885, số vào sổ cấp GCN: CH02567 do Ủy ban nhân dân thị xã Sa Đéc cấp ngày 03/10/2012; Chủ sử dụng đất là Ông Phan Văn Lĩnh</w:t>
            </w:r>
            <w:r>
              <w:rPr>
                <w:bCs w:val="0"/>
                <w:i w:val="0"/>
              </w:rPr>
            </w:r>
            <w:r>
              <w:rPr>
                <w:bCs w:val="0"/>
                <w:i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Khóm Tân An, phường Sa Đéc, tỉnh Đồng Tháp</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10.305138888889, 105.74730555556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số 45/2013/TT-BTC ngày 24/5/2013 của Bộ Tài chính về việc hướng dẫn chế độ quản lý, sử dụng và trích khấu hao tài sản cố định;</w:t>
      </w:r>
      <w:r>
        <w:rPr>
          <w:b/>
          <w:highlight w:val="white"/>
        </w:rPr>
      </w:r>
      <w:r>
        <w:rPr>
          <w:b/>
          <w:highlight w:val="white"/>
        </w:rPr>
      </w:r>
    </w:p>
    <w:p>
      <w:pPr>
        <w:pStyle w:val="1043"/>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highlight w:val="white"/>
        </w:rPr>
      </w:r>
      <w:r>
        <w:rPr>
          <w:b/>
          <w:highlight w:val="white"/>
        </w:rPr>
      </w:r>
    </w:p>
    <w:p>
      <w:pPr>
        <w:pStyle w:val="1043"/>
        <w:numPr>
          <w:ilvl w:val="0"/>
          <w:numId w:val="1"/>
        </w:numPr>
        <w:pBdr/>
        <w:tabs>
          <w:tab w:val="left" w:leader="none" w:pos="993"/>
        </w:tabs>
        <w:spacing w:after="120" w:before="120" w:line="276" w:lineRule="auto"/>
        <w:ind/>
        <w:jc w:val="both"/>
        <w:rPr>
          <w:spacing w:val="-4"/>
          <w:highlight w:val="white"/>
        </w:rPr>
      </w:pPr>
      <w:r>
        <w:rPr>
          <w:spacing w:val="-4"/>
          <w:highlight w:val="white"/>
          <w:lang w:val="pt-BR"/>
        </w:rPr>
        <w:t xml:space="preserve">Thông tư số 28/</w:t>
      </w:r>
      <w:r>
        <w:rPr>
          <w:spacing w:val="-4"/>
          <w:highlight w:val="whit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highlight w:val="white"/>
        </w:rPr>
      </w:r>
      <w:r>
        <w:rPr>
          <w:spacing w:val="-4"/>
          <w:highlight w:val="white"/>
        </w:rPr>
      </w:r>
    </w:p>
    <w:p>
      <w:pPr>
        <w:pStyle w:val="1043"/>
        <w:numPr>
          <w:ilvl w:val="0"/>
          <w:numId w:val="1"/>
        </w:numPr>
        <w:pBdr/>
        <w:spacing w:after="120" w:before="120" w:line="276" w:lineRule="auto"/>
        <w:ind/>
        <w:jc w:val="both"/>
        <w:rPr>
          <w:bCs/>
          <w:spacing w:val="-4"/>
          <w:highlight w:val="white"/>
        </w:rPr>
      </w:pPr>
      <w:r>
        <w:rPr>
          <w:bCs/>
          <w:spacing w:val="-4"/>
          <w:highlight w:val="white"/>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highlight w:val="white"/>
        </w:rPr>
      </w:r>
      <w:r>
        <w:rPr>
          <w:bCs/>
          <w:spacing w:val="-4"/>
          <w:highlight w:val="white"/>
        </w:rPr>
      </w:r>
    </w:p>
    <w:p>
      <w:pPr>
        <w:pStyle w:val="1043"/>
        <w:numPr>
          <w:ilvl w:val="0"/>
          <w:numId w:val="1"/>
        </w:numPr>
        <w:pBdr/>
        <w:tabs>
          <w:tab w:val="left" w:leader="none" w:pos="993"/>
        </w:tabs>
        <w:spacing w:after="120" w:before="120" w:line="276" w:lineRule="auto"/>
        <w:ind/>
        <w:jc w:val="both"/>
        <w:rPr>
          <w:b/>
          <w:highlight w:val="white"/>
        </w:rPr>
      </w:pPr>
      <w:r>
        <w:rPr>
          <w:highlight w:val="white"/>
          <w:lang w:val="pt-BR"/>
        </w:rPr>
        <w:t xml:space="preserve">Công văn số 1326/BXD-QLN của Bộ Xây dựng ban hành ngày 08/8/2011 về việc hướng dẫn kiểm kê, đánh giá lại giá trị tài sản cố định là nhà, vật kiến trúc</w:t>
      </w:r>
      <w:r>
        <w:rPr>
          <w:highlight w:val="white"/>
          <w:lang w:val="pt-BR"/>
        </w:rPr>
        <w:t xml:space="preserve">;</w:t>
      </w:r>
      <w:r>
        <w:rPr>
          <w:b/>
          <w:highlight w:val="white"/>
        </w:rPr>
      </w:r>
      <w:r>
        <w:rPr>
          <w:b/>
          <w:highlight w:val="white"/>
        </w:rPr>
      </w:r>
    </w:p>
    <w:p>
      <w:pPr>
        <w:pStyle w:val="104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BU 113570, số vào sổ cấp GCN: CH04066 do Ủy ban nhân dân thành phố Sa Đéc cấp ngày 29/07/2014; Chủ sử dụng đất là Ông Phan Văn Lĩnh</w:t>
      </w:r>
      <w:r>
        <w:rPr>
          <w:lang w:val="pt-BR"/>
        </w:rPr>
        <w:t xml:space="preserve">.</w:t>
      </w:r>
      <w:r>
        <w:rPr>
          <w:i/>
          <w:iCs/>
          <w:lang w:val="pt-BR"/>
        </w:rPr>
      </w:r>
      <w:r>
        <w:rPr>
          <w:i/>
          <w:iCs/>
          <w:lang w:val="pt-BR"/>
        </w:rPr>
      </w:r>
    </w:p>
    <w:p>
      <w:pPr>
        <w:pStyle w:val="1043"/>
        <w:numPr>
          <w:ilvl w:val="0"/>
          <w:numId w:val="2"/>
        </w:numPr>
        <w:pBdr/>
        <w:tabs>
          <w:tab w:val="left" w:leader="none" w:pos="993"/>
        </w:tabs>
        <w:spacing w:after="120" w:before="120" w:line="276" w:lineRule="auto"/>
        <w:ind/>
        <w:jc w:val="both"/>
        <w:rPr>
          <w:color w:val="000000" w:themeColor="text1"/>
          <w:lang w:val="pt-BR"/>
          <w14:ligatures w14:val="none"/>
        </w:rPr>
      </w:pPr>
      <w:r>
        <w:rPr>
          <w:color w:val="000000" w:themeColor="text1"/>
          <w:lang w:val="pt-BR" w:bidi="pt-BR"/>
        </w:rPr>
      </w:r>
      <w:r>
        <w:rPr>
          <w:color w:val="000000" w:themeColor="text1"/>
          <w:lang w:val="pt-BR"/>
        </w:rPr>
        <w:t xml:space="preserve">Giấy chứng nhận quyền sử dụng đất quyền sở hữu nhà ở và tài sản khác gắn liền với đất số: BL 359885, số vào sổ cấp GCN: CH02567 do Ủy ban nhân dân thị xã Sa Đéc cấp ngày 03/10/2012; Chủ sử dụng đất là Ông Phan Văn Lĩnh</w:t>
      </w:r>
      <w:r>
        <w:rPr>
          <w:color w:val="000000" w:themeColor="text1"/>
          <w:lang w:val="pt-BR" w:bidi="pt-BR"/>
        </w:rPr>
        <w:t xml:space="preserve">.</w:t>
      </w:r>
      <w:r>
        <w:rPr>
          <w:color w:val="000000" w:themeColor="text1"/>
          <w:lang w:val="pt-BR"/>
          <w14:ligatures w14:val="none"/>
        </w:rPr>
      </w:r>
      <w:r>
        <w:rPr>
          <w:color w:val="000000" w:themeColor="text1"/>
          <w:lang w:val="pt-BR"/>
          <w14:ligatures w14:val="none"/>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275/2025/1722/VFI-HĐTĐ.39.A ngày 02/12/2025 giữa Ông Đoàn Ngọc Gia Gia với Công ty Cổ phần Thẩm định và Đầu tư Tài chính Hoa Sen.</w:t>
      </w:r>
      <w:r>
        <w:rPr>
          <w:b/>
          <w:lang w:val="pt-BR"/>
        </w:rPr>
      </w:r>
      <w:r>
        <w:rPr>
          <w:b/>
          <w:lang w:val="pt-BR"/>
        </w:rPr>
      </w:r>
    </w:p>
    <w:p>
      <w:pPr>
        <w:pStyle w:val="104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311" w:before="0" w:line="276" w:lineRule="auto"/>
        <w:ind w:right="0" w:firstLine="0" w:left="0"/>
        <w:jc w:val="both"/>
        <w:rPr>
          <w:rFonts w:ascii="Times New Roman" w:hAnsi="Times New Roman" w:eastAsia="Times New Roman" w:cs="Times New Roman"/>
          <w:b w:val="0"/>
          <w:bCs w:val="0"/>
          <w:color w:val="262626"/>
          <w:sz w:val="24"/>
          <w:szCs w:val="24"/>
        </w:rPr>
      </w:pPr>
      <w:r>
        <w:rPr>
          <w:rFonts w:ascii="Times New Roman" w:hAnsi="Times New Roman" w:eastAsia="Times New Roman" w:cs="Times New Roman"/>
          <w:b w:val="0"/>
          <w:bCs w:val="0"/>
          <w:sz w:val="24"/>
          <w:szCs w:val="24"/>
          <w:lang w:val="pt-BR"/>
        </w:rPr>
        <w:tab/>
      </w:r>
      <w:r>
        <w:rPr>
          <w:rFonts w:ascii="Times New Roman" w:hAnsi="Times New Roman" w:eastAsia="Times New Roman" w:cs="Times New Roman"/>
          <w:b w:val="0"/>
          <w:bCs w:val="0"/>
          <w:color w:val="262626"/>
          <w:sz w:val="24"/>
          <w:szCs w:val="24"/>
        </w:rPr>
        <w:t xml:space="preserve">Thành phố Sa Đéc, tọa lạc bên bờ sông Tiền hiền hòa, không chỉ nổi tiếng với Làng hoa Sa Đéc mà còn là trung tâm kinh tế, văn hóa của tỉnh Đồng Tháp. Sự kết hợp giữa truyền thống và sự đổi mới đã tạo nên một thị trường bất động sản đầy tiềm năng. Nhu cầu</w:t>
      </w:r>
      <w:r>
        <w:rPr>
          <w:rFonts w:ascii="Times New Roman" w:hAnsi="Times New Roman" w:eastAsia="Times New Roman" w:cs="Times New Roman"/>
          <w:b w:val="0"/>
          <w:bCs w:val="0"/>
          <w:color w:val="262626"/>
          <w:sz w:val="24"/>
          <w:szCs w:val="24"/>
        </w:rPr>
        <w:t xml:space="preserve"> </w:t>
      </w:r>
      <w:r>
        <w:rPr>
          <w:rFonts w:ascii="Times New Roman" w:hAnsi="Times New Roman" w:eastAsia="Times New Roman" w:cs="Times New Roman"/>
          <w:b w:val="0"/>
          <w:bCs w:val="0"/>
          <w:color w:val="262626"/>
          <w:sz w:val="24"/>
          <w:szCs w:val="24"/>
        </w:rPr>
        <w:t xml:space="preserve">nhà ở Sa Đéc</w:t>
      </w:r>
      <w:r>
        <w:rPr>
          <w:rFonts w:ascii="Times New Roman" w:hAnsi="Times New Roman" w:eastAsia="Times New Roman" w:cs="Times New Roman"/>
          <w:b w:val="0"/>
          <w:bCs w:val="0"/>
          <w:color w:val="262626"/>
          <w:sz w:val="24"/>
          <w:szCs w:val="24"/>
        </w:rPr>
        <w:t xml:space="preserve"> </w:t>
      </w:r>
      <w:r>
        <w:rPr>
          <w:rFonts w:ascii="Times New Roman" w:hAnsi="Times New Roman" w:eastAsia="Times New Roman" w:cs="Times New Roman"/>
          <w:b w:val="0"/>
          <w:bCs w:val="0"/>
          <w:color w:val="262626"/>
          <w:sz w:val="24"/>
          <w:szCs w:val="24"/>
        </w:rPr>
        <w:t xml:space="preserve">và đất nền đang tăng trưởng mạnh mẽ, phản ánh tốc độ đô thị hóa nhanh chóng cùng với sự gia tăng dân số cơ học. </w:t>
      </w:r>
      <w:r>
        <w:rPr>
          <w:rFonts w:ascii="Times New Roman" w:hAnsi="Times New Roman" w:eastAsia="Times New Roman" w:cs="Times New Roman"/>
          <w:b w:val="0"/>
          <w:bCs w:val="0"/>
          <w:color w:val="262626"/>
          <w:sz w:val="24"/>
          <w:szCs w:val="24"/>
        </w:rPr>
        <w:t xml:space="preserve">Các chuyên gia nhận định, thị trường</w:t>
      </w:r>
      <w:r>
        <w:rPr>
          <w:rFonts w:ascii="Times New Roman" w:hAnsi="Times New Roman" w:eastAsia="Times New Roman" w:cs="Times New Roman"/>
          <w:b w:val="0"/>
          <w:bCs w:val="0"/>
          <w:color w:val="262626"/>
          <w:sz w:val="24"/>
          <w:szCs w:val="24"/>
        </w:rPr>
        <w:t xml:space="preserve"> </w:t>
      </w:r>
      <w:r>
        <w:rPr>
          <w:rFonts w:ascii="Times New Roman" w:hAnsi="Times New Roman" w:eastAsia="Times New Roman" w:cs="Times New Roman"/>
          <w:b w:val="0"/>
          <w:bCs w:val="0"/>
          <w:color w:val="262626"/>
          <w:sz w:val="24"/>
          <w:szCs w:val="24"/>
        </w:rPr>
        <w:t xml:space="preserve">bất động sản Sa Đéc</w:t>
      </w:r>
      <w:r>
        <w:rPr>
          <w:rFonts w:ascii="Times New Roman" w:hAnsi="Times New Roman" w:eastAsia="Times New Roman" w:cs="Times New Roman"/>
          <w:b w:val="0"/>
          <w:bCs w:val="0"/>
          <w:color w:val="262626"/>
          <w:sz w:val="24"/>
          <w:szCs w:val="24"/>
        </w:rPr>
        <w:t xml:space="preserve"> </w:t>
      </w:r>
      <w:r>
        <w:rPr>
          <w:rFonts w:ascii="Times New Roman" w:hAnsi="Times New Roman" w:eastAsia="Times New Roman" w:cs="Times New Roman"/>
          <w:b w:val="0"/>
          <w:bCs w:val="0"/>
          <w:color w:val="262626"/>
          <w:sz w:val="24"/>
          <w:szCs w:val="24"/>
        </w:rPr>
        <w:t xml:space="preserve">đang ở giai đoạn tăng trưởng ổn định, chưa có dấu hiệu của bong bóng. Điều này mang lại cơ hội đầu tư bền vững cho cả nhà đầu tư cá nhân và các tổ chức lớn. Sự minh bạch trong chính sách quy hoạch và thủ tục pháp lý cũng góp phần tạo niềm tin cho người tha</w:t>
      </w:r>
      <w:r>
        <w:rPr>
          <w:rFonts w:ascii="Times New Roman" w:hAnsi="Times New Roman" w:eastAsia="Times New Roman" w:cs="Times New Roman"/>
          <w:b w:val="0"/>
          <w:bCs w:val="0"/>
          <w:color w:val="262626"/>
          <w:sz w:val="24"/>
          <w:szCs w:val="24"/>
        </w:rPr>
        <w:t xml:space="preserve">m gia thị trường.</w:t>
      </w:r>
      <w:r>
        <w:rPr>
          <w:rFonts w:ascii="Times New Roman" w:hAnsi="Times New Roman" w:eastAsia="Times New Roman" w:cs="Times New Roman"/>
          <w:b w:val="0"/>
          <w:bCs w:val="0"/>
          <w:color w:val="262626"/>
          <w:sz w:val="24"/>
          <w:szCs w:val="24"/>
        </w:rPr>
      </w:r>
      <w:r>
        <w:rPr>
          <w:rFonts w:ascii="Times New Roman" w:hAnsi="Times New Roman" w:eastAsia="Times New Roman" w:cs="Times New Roman"/>
          <w:b w:val="0"/>
          <w:bCs w:val="0"/>
          <w:color w:val="262626"/>
          <w:sz w:val="24"/>
          <w:szCs w:val="24"/>
        </w:rPr>
      </w:r>
    </w:p>
    <w:p>
      <w:pPr>
        <w:pBdr>
          <w:top w:val="none" w:color="000000" w:sz="4" w:space="0"/>
          <w:left w:val="none" w:color="000000" w:sz="4" w:space="0"/>
          <w:bottom w:val="none" w:color="000000" w:sz="4" w:space="0"/>
          <w:right w:val="none" w:color="000000" w:sz="4" w:space="0"/>
        </w:pBdr>
        <w:shd w:val="clear" w:color="ffffff" w:fill="ffffff"/>
        <w:spacing w:after="311" w:before="0" w:line="276" w:lineRule="auto"/>
        <w:ind w:right="0" w:firstLine="0" w:left="0"/>
        <w:jc w:val="both"/>
        <w:rPr>
          <w:rFonts w:ascii="Times New Roman" w:hAnsi="Times New Roman" w:cs="Times New Roman"/>
          <w:b w:val="0"/>
          <w:bCs w:val="0"/>
          <w:sz w:val="24"/>
          <w:szCs w:val="24"/>
        </w:rPr>
      </w:pPr>
      <w:r>
        <w:rPr>
          <w:rFonts w:ascii="Times New Roman" w:hAnsi="Times New Roman" w:eastAsia="Times New Roman" w:cs="Times New Roman"/>
          <w:b w:val="0"/>
          <w:bCs w:val="0"/>
          <w:color w:val="262626"/>
          <w:sz w:val="24"/>
          <w:szCs w:val="24"/>
        </w:rPr>
        <w:t xml:space="preserve">Thành phố Sa Đéc sở hữu vị trí địa lý vô cùng đắc địa, là cửa ngõ giao thương quan trọng của khu vực Tây Nam Bộ. Nằm ở trung tâm của tam giác kinh tế Cần Thơ – Long Xuyên – Cao Lãnh, Sa Đéc dễ dàng kết nối với các tỉnh lân cận và các trung tâm kinh tế lớn.</w:t>
      </w:r>
      <w:r>
        <w:rPr>
          <w:rFonts w:ascii="Times New Roman" w:hAnsi="Times New Roman" w:eastAsia="Times New Roman" w:cs="Times New Roman"/>
          <w:b w:val="0"/>
          <w:bCs w:val="0"/>
          <w:color w:val="262626"/>
          <w:sz w:val="24"/>
          <w:szCs w:val="24"/>
        </w:rPr>
        <w:t xml:space="preserve"> Vị trí này không chỉ thúc đẩy giao thương mà còn tạo điều kiện thuận lợi cho việc di chuyển, sinh sống và làm việc, từ đó kéo theo nhu cầu về</w:t>
      </w:r>
      <w:r>
        <w:rPr>
          <w:rFonts w:ascii="Times New Roman" w:hAnsi="Times New Roman" w:eastAsia="Times New Roman" w:cs="Times New Roman"/>
          <w:b w:val="0"/>
          <w:bCs w:val="0"/>
          <w:color w:val="262626"/>
          <w:sz w:val="24"/>
          <w:szCs w:val="24"/>
        </w:rPr>
        <w:t xml:space="preserve"> </w:t>
      </w:r>
      <w:r>
        <w:rPr>
          <w:rFonts w:ascii="Times New Roman" w:hAnsi="Times New Roman" w:eastAsia="Times New Roman" w:cs="Times New Roman"/>
          <w:b w:val="0"/>
          <w:bCs w:val="0"/>
          <w:color w:val="262626"/>
          <w:sz w:val="24"/>
          <w:szCs w:val="24"/>
        </w:rPr>
        <w:t xml:space="preserve">mua bán nhà đất Thành phố Sa Đéc, Đồng Tháp</w:t>
      </w:r>
      <w:r>
        <w:rPr>
          <w:rFonts w:ascii="Times New Roman" w:hAnsi="Times New Roman" w:eastAsia="Times New Roman" w:cs="Times New Roman"/>
          <w:b w:val="0"/>
          <w:bCs w:val="0"/>
          <w:color w:val="262626"/>
          <w:sz w:val="24"/>
          <w:szCs w:val="24"/>
        </w:rPr>
        <w:t xml:space="preserve">.</w:t>
      </w:r>
      <w:r>
        <w:rPr>
          <w:rFonts w:ascii="Times New Roman" w:hAnsi="Times New Roman" w:cs="Times New Roman"/>
          <w:b w:val="0"/>
          <w:bCs w:val="0"/>
          <w:sz w:val="24"/>
          <w:szCs w:val="24"/>
        </w:rPr>
      </w:r>
      <w:r>
        <w:rPr>
          <w:rFonts w:ascii="Times New Roman" w:hAnsi="Times New Roman" w:cs="Times New Roman"/>
          <w:b w:val="0"/>
          <w:bCs w:val="0"/>
          <w:sz w:val="24"/>
          <w:szCs w:val="24"/>
        </w:rPr>
      </w:r>
    </w:p>
    <w:p>
      <w:pPr>
        <w:pBdr>
          <w:top w:val="none" w:color="000000" w:sz="4" w:space="0"/>
          <w:left w:val="none" w:color="000000" w:sz="4" w:space="0"/>
          <w:bottom w:val="none" w:color="000000" w:sz="4" w:space="0"/>
          <w:right w:val="none" w:color="000000" w:sz="4" w:space="0"/>
        </w:pBdr>
        <w:shd w:val="clear" w:color="ffffff" w:fill="ffffff"/>
        <w:spacing w:after="311" w:before="0" w:line="276" w:lineRule="auto"/>
        <w:ind w:right="0" w:firstLine="0" w:left="0"/>
        <w:jc w:val="both"/>
        <w:rPr>
          <w:rFonts w:ascii="Times New Roman" w:hAnsi="Times New Roman" w:cs="Times New Roman"/>
          <w:b w:val="0"/>
          <w:bCs w:val="0"/>
          <w:sz w:val="24"/>
          <w:szCs w:val="24"/>
        </w:rPr>
      </w:pPr>
      <w:r>
        <w:rPr>
          <w:rFonts w:ascii="Times New Roman" w:hAnsi="Times New Roman" w:eastAsia="Times New Roman" w:cs="Times New Roman"/>
          <w:b w:val="0"/>
          <w:bCs w:val="0"/>
          <w:color w:val="262626"/>
          <w:sz w:val="24"/>
          <w:szCs w:val="24"/>
        </w:rPr>
        <w:t xml:space="preserve">Bên cạnh đó, việc nằm cạnh sông Tiền mang lại lợi thế về giao thông đường thủy, phục vụ cho việc vận chuyển hàng hóa và phát triển du lịch sinh thái. Điều này làm tăng giá trị cho các khu vực đất ven sông, thu hút những nhà đầu tư tìm kiếm tiềm năng phát t</w:t>
      </w:r>
      <w:r>
        <w:rPr>
          <w:rFonts w:ascii="Times New Roman" w:hAnsi="Times New Roman" w:eastAsia="Times New Roman" w:cs="Times New Roman"/>
          <w:b w:val="0"/>
          <w:bCs w:val="0"/>
          <w:color w:val="262626"/>
          <w:sz w:val="24"/>
          <w:szCs w:val="24"/>
        </w:rPr>
        <w:t xml:space="preserve">riển lâu dài.</w:t>
      </w:r>
      <w:r>
        <w:rPr>
          <w:rFonts w:ascii="Times New Roman" w:hAnsi="Times New Roman" w:cs="Times New Roman"/>
          <w:b w:val="0"/>
          <w:bCs w:val="0"/>
          <w:sz w:val="24"/>
          <w:szCs w:val="24"/>
        </w:rPr>
      </w:r>
      <w:r>
        <w:rPr>
          <w:rFonts w:ascii="Times New Roman" w:hAnsi="Times New Roman" w:cs="Times New Roman"/>
          <w:b w:val="0"/>
          <w:bCs w:val="0"/>
          <w:sz w:val="24"/>
          <w:szCs w:val="24"/>
        </w:rPr>
      </w:r>
    </w:p>
    <w:p>
      <w:pPr>
        <w:pBdr/>
        <w:tabs>
          <w:tab w:val="left" w:leader="none" w:pos="426"/>
        </w:tabs>
        <w:spacing w:after="120" w:before="120" w:line="276" w:lineRule="auto"/>
        <w:ind/>
        <w:jc w:val="both"/>
        <w:rPr>
          <w:rFonts w:ascii="Times New Roman" w:hAnsi="Times New Roman" w:cs="Times New Roman"/>
          <w:b w:val="0"/>
          <w:bCs w:val="0"/>
          <w:sz w:val="24"/>
          <w:szCs w:val="24"/>
          <w:highlight w:val="none"/>
        </w:rPr>
      </w:pPr>
      <w:r>
        <w:rPr>
          <w:rFonts w:ascii="Times New Roman" w:hAnsi="Times New Roman" w:eastAsia="Times New Roman" w:cs="Times New Roman"/>
          <w:b w:val="0"/>
          <w:bCs w:val="0"/>
          <w:sz w:val="24"/>
          <w:szCs w:val="24"/>
          <w:lang w:val="pt-BR"/>
        </w:rPr>
      </w:r>
      <w:r>
        <w:rPr>
          <w:rFonts w:ascii="Times New Roman" w:hAnsi="Times New Roman" w:eastAsia="Times New Roman" w:cs="Times New Roman"/>
          <w:b w:val="0"/>
          <w:bCs w:val="0"/>
          <w:color w:val="262626"/>
          <w:sz w:val="24"/>
          <w:szCs w:val="24"/>
          <w:highlight w:val="white"/>
        </w:rPr>
        <w:t xml:space="preserve">Hệ tầng giao thông tại Sa Đéc đang được đầu tư và hoàn thiện một cách mạnh mẽ. Các tuyến đường huyết mạch như Quốc lộ 80 và Quốc lộ 30 chạy qua thành phố, giúp kết nối Sa Đéc với TP. Hồ Chí Minh, Cần Thơ và các tỉnh khác một cách thuận tiện. Điều này không</w:t>
      </w:r>
      <w:r>
        <w:rPr>
          <w:rFonts w:ascii="Times New Roman" w:hAnsi="Times New Roman" w:eastAsia="Times New Roman" w:cs="Times New Roman"/>
          <w:b w:val="0"/>
          <w:bCs w:val="0"/>
          <w:color w:val="262626"/>
          <w:sz w:val="24"/>
          <w:szCs w:val="24"/>
          <w:highlight w:val="white"/>
        </w:rPr>
        <w:t xml:space="preserve"> chỉ rút ngắn thời gian di chuyển mà còn thúc đẩy giao thương, tạo điều kiện cho các hoạt động sản xuất, kinh doanh phát triển.</w:t>
      </w:r>
      <w:r>
        <w:rPr>
          <w:rFonts w:ascii="Times New Roman" w:hAnsi="Times New Roman" w:cs="Times New Roman"/>
          <w:b w:val="0"/>
          <w:bCs w:val="0"/>
          <w:sz w:val="24"/>
          <w:szCs w:val="24"/>
          <w:highlight w:val="none"/>
        </w:rPr>
      </w:r>
      <w:r>
        <w:rPr>
          <w:rFonts w:ascii="Times New Roman" w:hAnsi="Times New Roman" w:cs="Times New Roman"/>
          <w:b w:val="0"/>
          <w:bCs w:val="0"/>
          <w:sz w:val="24"/>
          <w:szCs w:val="24"/>
          <w:highlight w:val="none"/>
        </w:rPr>
      </w:r>
    </w:p>
    <w:p>
      <w:pPr>
        <w:pBdr>
          <w:top w:val="none" w:color="000000" w:sz="4" w:space="0"/>
          <w:left w:val="none" w:color="000000" w:sz="4" w:space="0"/>
          <w:bottom w:val="none" w:color="000000" w:sz="4" w:space="0"/>
          <w:right w:val="none" w:color="000000" w:sz="4" w:space="0"/>
        </w:pBdr>
        <w:shd w:val="clear" w:color="ffffff" w:fill="ffffff"/>
        <w:spacing w:after="311" w:before="0" w:line="276" w:lineRule="auto"/>
        <w:ind w:right="0" w:firstLine="0" w:left="0"/>
        <w:jc w:val="both"/>
        <w:rPr>
          <w:rFonts w:ascii="Times New Roman" w:hAnsi="Times New Roman" w:cs="Times New Roman"/>
          <w:b w:val="0"/>
          <w:bCs w:val="0"/>
          <w:sz w:val="24"/>
          <w:szCs w:val="24"/>
        </w:rPr>
      </w:pPr>
      <w:r>
        <w:rPr>
          <w:rFonts w:ascii="Times New Roman" w:hAnsi="Times New Roman" w:eastAsia="Times New Roman" w:cs="Times New Roman"/>
          <w:b w:val="0"/>
          <w:bCs w:val="0"/>
          <w:color w:val="262626"/>
          <w:sz w:val="24"/>
          <w:szCs w:val="24"/>
        </w:rPr>
        <w:t xml:space="preserve">Sa Đéc là một trong những trung tâm kinh tế năng động của Đồng Tháp, với các ngành công nghiệp, thương mại, dịch vụ phát triển mạnh. Thành phố tập trung nhiều nhà máy chế biến nông sản, thực phẩm và các cụm công nghiệp nhỏ. Sự phát triển của các khu công n</w:t>
      </w:r>
      <w:r>
        <w:rPr>
          <w:rFonts w:ascii="Times New Roman" w:hAnsi="Times New Roman" w:eastAsia="Times New Roman" w:cs="Times New Roman"/>
          <w:b w:val="0"/>
          <w:bCs w:val="0"/>
          <w:color w:val="262626"/>
          <w:sz w:val="24"/>
          <w:szCs w:val="24"/>
        </w:rPr>
        <w:t xml:space="preserve">ghiệp như Khu công nghiệp Sa Đéc đã thu hút một lượng lớn lao động từ các tỉnh lân cận, tạo ra nhu cầu ổn định về</w:t>
      </w:r>
      <w:r>
        <w:rPr>
          <w:rFonts w:ascii="Times New Roman" w:hAnsi="Times New Roman" w:eastAsia="Times New Roman" w:cs="Times New Roman"/>
          <w:b w:val="0"/>
          <w:bCs w:val="0"/>
          <w:color w:val="262626"/>
          <w:sz w:val="24"/>
          <w:szCs w:val="24"/>
        </w:rPr>
        <w:t xml:space="preserve"> </w:t>
      </w:r>
      <w:r>
        <w:rPr>
          <w:rFonts w:ascii="Times New Roman" w:hAnsi="Times New Roman" w:eastAsia="Times New Roman" w:cs="Times New Roman"/>
          <w:b w:val="0"/>
          <w:bCs w:val="0"/>
          <w:color w:val="262626"/>
          <w:sz w:val="24"/>
          <w:szCs w:val="24"/>
        </w:rPr>
        <w:t xml:space="preserve">nhà ở Sa Đéc</w:t>
      </w:r>
      <w:r>
        <w:rPr>
          <w:rFonts w:ascii="Times New Roman" w:hAnsi="Times New Roman" w:eastAsia="Times New Roman" w:cs="Times New Roman"/>
          <w:b w:val="0"/>
          <w:bCs w:val="0"/>
          <w:color w:val="262626"/>
          <w:sz w:val="24"/>
          <w:szCs w:val="24"/>
        </w:rPr>
        <w:t xml:space="preserve"> </w:t>
      </w:r>
      <w:r>
        <w:rPr>
          <w:rFonts w:ascii="Times New Roman" w:hAnsi="Times New Roman" w:eastAsia="Times New Roman" w:cs="Times New Roman"/>
          <w:b w:val="0"/>
          <w:bCs w:val="0"/>
          <w:color w:val="262626"/>
          <w:sz w:val="24"/>
          <w:szCs w:val="24"/>
        </w:rPr>
        <w:t xml:space="preserve">và các dịch vụ đi kèm.</w:t>
      </w:r>
      <w:r>
        <w:rPr>
          <w:rFonts w:ascii="Times New Roman" w:hAnsi="Times New Roman" w:cs="Times New Roman"/>
          <w:b w:val="0"/>
          <w:bCs w:val="0"/>
          <w:sz w:val="24"/>
          <w:szCs w:val="24"/>
        </w:rPr>
      </w:r>
      <w:r>
        <w:rPr>
          <w:rFonts w:ascii="Times New Roman" w:hAnsi="Times New Roman" w:cs="Times New Roman"/>
          <w:b w:val="0"/>
          <w:bCs w:val="0"/>
          <w:sz w:val="24"/>
          <w:szCs w:val="24"/>
        </w:rPr>
      </w:r>
    </w:p>
    <w:p>
      <w:pPr>
        <w:pBdr>
          <w:top w:val="none" w:color="000000" w:sz="4" w:space="0"/>
          <w:left w:val="none" w:color="000000" w:sz="4" w:space="0"/>
          <w:bottom w:val="none" w:color="000000" w:sz="4" w:space="0"/>
          <w:right w:val="none" w:color="000000" w:sz="4" w:space="0"/>
        </w:pBdr>
        <w:shd w:val="clear" w:color="ffffff" w:fill="ffffff"/>
        <w:spacing w:after="311" w:before="0" w:line="276" w:lineRule="auto"/>
        <w:ind w:right="0" w:firstLine="0" w:left="0"/>
        <w:jc w:val="both"/>
        <w:rPr>
          <w:rFonts w:ascii="Times New Roman" w:hAnsi="Times New Roman" w:cs="Times New Roman"/>
          <w:b w:val="0"/>
          <w:bCs w:val="0"/>
          <w:sz w:val="24"/>
          <w:szCs w:val="24"/>
        </w:rPr>
      </w:pPr>
      <w:r>
        <w:rPr>
          <w:rFonts w:ascii="Times New Roman" w:hAnsi="Times New Roman" w:eastAsia="Times New Roman" w:cs="Times New Roman"/>
          <w:b w:val="0"/>
          <w:bCs w:val="0"/>
          <w:color w:val="262626"/>
          <w:sz w:val="24"/>
          <w:szCs w:val="24"/>
        </w:rPr>
        <w:t xml:space="preserve">Chính quyền địa phương cũng tích cực hỗ trợ doanh nghiệp, tạo môi trường đầu tư thuận lợi, thu hút thêm các dự án mới. Điều này không chỉ đóng góp vào sự tăng trưởng kinh tế chung mà còn trực tiếp làm tăng giá trị cho các loại hình</w:t>
      </w:r>
      <w:r>
        <w:rPr>
          <w:rFonts w:ascii="Times New Roman" w:hAnsi="Times New Roman" w:eastAsia="Times New Roman" w:cs="Times New Roman"/>
          <w:b w:val="0"/>
          <w:bCs w:val="0"/>
          <w:color w:val="262626"/>
          <w:sz w:val="24"/>
          <w:szCs w:val="24"/>
        </w:rPr>
        <w:t xml:space="preserve"> </w:t>
      </w:r>
      <w:r>
        <w:rPr>
          <w:rFonts w:ascii="Times New Roman" w:hAnsi="Times New Roman" w:eastAsia="Times New Roman" w:cs="Times New Roman"/>
          <w:b w:val="0"/>
          <w:bCs w:val="0"/>
          <w:color w:val="262626"/>
          <w:sz w:val="24"/>
          <w:szCs w:val="24"/>
        </w:rPr>
        <w:t xml:space="preserve">bất động sản Sa Đéc</w:t>
      </w:r>
      <w:r>
        <w:rPr>
          <w:rFonts w:ascii="Times New Roman" w:hAnsi="Times New Roman" w:eastAsia="Times New Roman" w:cs="Times New Roman"/>
          <w:b w:val="0"/>
          <w:bCs w:val="0"/>
          <w:color w:val="262626"/>
          <w:sz w:val="24"/>
          <w:szCs w:val="24"/>
        </w:rPr>
        <w:t xml:space="preserve">, từ đất công nghiệp đến đất ở đô thị.</w:t>
      </w:r>
      <w:r>
        <w:rPr>
          <w:rFonts w:ascii="Times New Roman" w:hAnsi="Times New Roman" w:cs="Times New Roman"/>
          <w:b w:val="0"/>
          <w:bCs w:val="0"/>
          <w:sz w:val="24"/>
          <w:szCs w:val="24"/>
        </w:rPr>
      </w:r>
      <w:r>
        <w:rPr>
          <w:rFonts w:ascii="Times New Roman" w:hAnsi="Times New Roman" w:cs="Times New Roman"/>
          <w:b w:val="0"/>
          <w:bCs w:val="0"/>
          <w:sz w:val="24"/>
          <w:szCs w:val="24"/>
        </w:rPr>
      </w:r>
    </w:p>
    <w:p>
      <w:pPr>
        <w:pBdr>
          <w:top w:val="none" w:color="000000" w:sz="4" w:space="0"/>
          <w:left w:val="none" w:color="000000" w:sz="4" w:space="0"/>
          <w:bottom w:val="none" w:color="000000" w:sz="4" w:space="0"/>
          <w:right w:val="none" w:color="000000" w:sz="4" w:space="0"/>
        </w:pBdr>
        <w:shd w:val="clear" w:color="ffffff" w:fill="ffffff"/>
        <w:spacing w:after="311" w:before="0" w:line="276" w:lineRule="auto"/>
        <w:ind w:right="0" w:firstLine="0" w:left="0"/>
        <w:jc w:val="both"/>
        <w:rPr>
          <w:rFonts w:ascii="Times New Roman" w:hAnsi="Times New Roman" w:cs="Times New Roman"/>
          <w:b w:val="0"/>
          <w:bCs w:val="0"/>
          <w:sz w:val="24"/>
          <w:szCs w:val="24"/>
        </w:rPr>
      </w:pPr>
      <w:r>
        <w:rPr>
          <w:rFonts w:ascii="Times New Roman" w:hAnsi="Times New Roman" w:eastAsia="Times New Roman" w:cs="Times New Roman"/>
          <w:b w:val="0"/>
          <w:bCs w:val="0"/>
          <w:color w:val="262626"/>
          <w:sz w:val="24"/>
          <w:szCs w:val="24"/>
        </w:rPr>
        <w:t xml:space="preserve">So với các thành phố lớn trong khu vực Đồng bằng sông Cửu Long như Cần Thơ hay các đô thị lân cận như Long Xuyên,</w:t>
      </w:r>
      <w:r>
        <w:rPr>
          <w:rFonts w:ascii="Times New Roman" w:hAnsi="Times New Roman" w:eastAsia="Times New Roman" w:cs="Times New Roman"/>
          <w:b w:val="0"/>
          <w:bCs w:val="0"/>
          <w:color w:val="262626"/>
          <w:sz w:val="24"/>
          <w:szCs w:val="24"/>
        </w:rPr>
        <w:t xml:space="preserve"> </w:t>
      </w:r>
      <w:r>
        <w:rPr>
          <w:rFonts w:ascii="Times New Roman" w:hAnsi="Times New Roman" w:eastAsia="Times New Roman" w:cs="Times New Roman"/>
          <w:b w:val="0"/>
          <w:bCs w:val="0"/>
          <w:color w:val="262626"/>
          <w:sz w:val="24"/>
          <w:szCs w:val="24"/>
        </w:rPr>
        <w:t xml:space="preserve">giá đất Sa Đéc</w:t>
      </w:r>
      <w:r>
        <w:rPr>
          <w:rFonts w:ascii="Times New Roman" w:hAnsi="Times New Roman" w:eastAsia="Times New Roman" w:cs="Times New Roman"/>
          <w:b w:val="0"/>
          <w:bCs w:val="0"/>
          <w:color w:val="262626"/>
          <w:sz w:val="24"/>
          <w:szCs w:val="24"/>
        </w:rPr>
        <w:t xml:space="preserve"> </w:t>
      </w:r>
      <w:r>
        <w:rPr>
          <w:rFonts w:ascii="Times New Roman" w:hAnsi="Times New Roman" w:eastAsia="Times New Roman" w:cs="Times New Roman"/>
          <w:b w:val="0"/>
          <w:bCs w:val="0"/>
          <w:color w:val="262626"/>
          <w:sz w:val="24"/>
          <w:szCs w:val="24"/>
        </w:rPr>
        <w:t xml:space="preserve">vẫn còn ở mức tương đối hợp lý và có tiềm năng tăng trưởng mạnh mẽ. Điều này tạo cơ hội vàng cho các nhà đầu tư muốn tối ưu hóa lợi nhuận. Mức giá phải chăng giúp việc tiếp cận thị trường dễ dàng hơn, đặc biệt đối với những nhà đầu tư có nguồn vốn trung bì</w:t>
      </w:r>
      <w:r>
        <w:rPr>
          <w:rFonts w:ascii="Times New Roman" w:hAnsi="Times New Roman" w:eastAsia="Times New Roman" w:cs="Times New Roman"/>
          <w:b w:val="0"/>
          <w:bCs w:val="0"/>
          <w:color w:val="262626"/>
          <w:sz w:val="24"/>
          <w:szCs w:val="24"/>
        </w:rPr>
        <w:t xml:space="preserve">nh.</w:t>
      </w:r>
      <w:r>
        <w:rPr>
          <w:rFonts w:ascii="Times New Roman" w:hAnsi="Times New Roman" w:cs="Times New Roman"/>
          <w:b w:val="0"/>
          <w:bCs w:val="0"/>
          <w:sz w:val="24"/>
          <w:szCs w:val="24"/>
        </w:rPr>
      </w:r>
      <w:r>
        <w:rPr>
          <w:rFonts w:ascii="Times New Roman" w:hAnsi="Times New Roman" w:cs="Times New Roman"/>
          <w:b w:val="0"/>
          <w:bCs w:val="0"/>
          <w:sz w:val="24"/>
          <w:szCs w:val="24"/>
        </w:rPr>
      </w:r>
    </w:p>
    <w:p>
      <w:pPr>
        <w:pBdr>
          <w:top w:val="none" w:color="000000" w:sz="4" w:space="0"/>
          <w:left w:val="none" w:color="000000" w:sz="4" w:space="0"/>
          <w:bottom w:val="none" w:color="000000" w:sz="4" w:space="0"/>
          <w:right w:val="none" w:color="000000" w:sz="4" w:space="0"/>
        </w:pBdr>
        <w:shd w:val="clear" w:color="ffffff" w:fill="ffffff"/>
        <w:spacing w:after="311" w:before="0" w:line="276" w:lineRule="auto"/>
        <w:ind w:right="0" w:firstLine="0" w:left="0"/>
        <w:jc w:val="both"/>
        <w:rPr>
          <w:rFonts w:ascii="Times New Roman" w:hAnsi="Times New Roman" w:cs="Times New Roman"/>
          <w:b w:val="0"/>
          <w:bCs w:val="0"/>
          <w:sz w:val="24"/>
          <w:szCs w:val="24"/>
        </w:rPr>
      </w:pPr>
      <w:r>
        <w:rPr>
          <w:rFonts w:ascii="Times New Roman" w:hAnsi="Times New Roman" w:eastAsia="Times New Roman" w:cs="Times New Roman"/>
          <w:b w:val="0"/>
          <w:bCs w:val="0"/>
          <w:color w:val="262626"/>
          <w:sz w:val="24"/>
          <w:szCs w:val="24"/>
        </w:rPr>
        <w:t xml:space="preserve">Các phân khúc như đất nền, nhà phố trong các khu dân cư mới hoặc khu vực đang phát triển hạ tầng có mức tăng trưởng giá đáng kể trong những năm gần đây, trung bình từ 10-15% mỗi năm tùy vị trí. Việc đầu tư vào thời điểm này có thể mang lại lợi nhuận kép từ</w:t>
      </w:r>
      <w:r>
        <w:rPr>
          <w:rFonts w:ascii="Times New Roman" w:hAnsi="Times New Roman" w:eastAsia="Times New Roman" w:cs="Times New Roman"/>
          <w:b w:val="0"/>
          <w:bCs w:val="0"/>
          <w:color w:val="262626"/>
          <w:sz w:val="24"/>
          <w:szCs w:val="24"/>
        </w:rPr>
        <w:t xml:space="preserve"> việc tăng giá trị tài sản và khả năng cho thuê hoặc kinh doanh.</w:t>
      </w:r>
      <w:r>
        <w:rPr>
          <w:rFonts w:ascii="Times New Roman" w:hAnsi="Times New Roman" w:cs="Times New Roman"/>
          <w:b w:val="0"/>
          <w:bCs w:val="0"/>
          <w:sz w:val="24"/>
          <w:szCs w:val="24"/>
        </w:rPr>
      </w:r>
      <w:r>
        <w:rPr>
          <w:rFonts w:ascii="Times New Roman" w:hAnsi="Times New Roman" w:cs="Times New Roman"/>
          <w:b w:val="0"/>
          <w:bCs w:val="0"/>
          <w:sz w:val="24"/>
          <w:szCs w:val="24"/>
        </w:rPr>
      </w:r>
    </w:p>
    <w:p>
      <w:pPr>
        <w:pBdr>
          <w:top w:val="none" w:color="000000" w:sz="4" w:space="0"/>
          <w:left w:val="none" w:color="000000" w:sz="4" w:space="0"/>
          <w:bottom w:val="none" w:color="000000" w:sz="4" w:space="0"/>
          <w:right w:val="none" w:color="000000" w:sz="4" w:space="0"/>
        </w:pBdr>
        <w:shd w:val="clear" w:color="ffffff" w:fill="ffffff"/>
        <w:spacing w:after="311" w:before="0" w:line="276" w:lineRule="auto"/>
        <w:ind w:right="0" w:firstLine="0" w:left="0"/>
        <w:jc w:val="both"/>
        <w:rPr>
          <w:rFonts w:ascii="Times New Roman" w:hAnsi="Times New Roman" w:cs="Times New Roman"/>
          <w:b w:val="0"/>
          <w:bCs w:val="0"/>
          <w:sz w:val="24"/>
          <w:szCs w:val="24"/>
        </w:rPr>
      </w:pPr>
      <w:r>
        <w:rPr>
          <w:rFonts w:ascii="Times New Roman" w:hAnsi="Times New Roman" w:eastAsia="Times New Roman" w:cs="Times New Roman"/>
          <w:b w:val="0"/>
          <w:bCs w:val="0"/>
          <w:color w:val="262626"/>
          <w:sz w:val="24"/>
          <w:szCs w:val="24"/>
        </w:rPr>
        <w:t xml:space="preserve">Tốc độ đô thị hóa nhanh chóng cùng với sự dịch chuyển của dân cư từ nông thôn ra thành thị đã tạo ra một nhu cầu lớn về</w:t>
      </w:r>
      <w:r>
        <w:rPr>
          <w:rFonts w:ascii="Times New Roman" w:hAnsi="Times New Roman" w:eastAsia="Times New Roman" w:cs="Times New Roman"/>
          <w:b w:val="0"/>
          <w:bCs w:val="0"/>
          <w:color w:val="262626"/>
          <w:sz w:val="24"/>
          <w:szCs w:val="24"/>
        </w:rPr>
        <w:t xml:space="preserve"> </w:t>
      </w:r>
      <w:r>
        <w:rPr>
          <w:rFonts w:ascii="Times New Roman" w:hAnsi="Times New Roman" w:eastAsia="Times New Roman" w:cs="Times New Roman"/>
          <w:b w:val="0"/>
          <w:bCs w:val="0"/>
          <w:color w:val="262626"/>
          <w:sz w:val="24"/>
          <w:szCs w:val="24"/>
        </w:rPr>
        <w:t xml:space="preserve">nhà ở Sa Đéc</w:t>
      </w:r>
      <w:r>
        <w:rPr>
          <w:rFonts w:ascii="Times New Roman" w:hAnsi="Times New Roman" w:eastAsia="Times New Roman" w:cs="Times New Roman"/>
          <w:b w:val="0"/>
          <w:bCs w:val="0"/>
          <w:color w:val="262626"/>
          <w:sz w:val="24"/>
          <w:szCs w:val="24"/>
        </w:rPr>
        <w:t xml:space="preserve">. Nhu cầu này không chỉ đến từ người dân địa phương mà còn từ các chuyên gia, kỹ sư làm việc tại các khu công nghiệp, cũng như những người tìm kiếm một nơi an cư lý tưởng với chi phí hợp lý.</w:t>
      </w:r>
      <w:r>
        <w:rPr>
          <w:rFonts w:ascii="Times New Roman" w:hAnsi="Times New Roman" w:cs="Times New Roman"/>
          <w:b w:val="0"/>
          <w:bCs w:val="0"/>
          <w:sz w:val="24"/>
          <w:szCs w:val="24"/>
        </w:rPr>
      </w:r>
      <w:r>
        <w:rPr>
          <w:rFonts w:ascii="Times New Roman" w:hAnsi="Times New Roman" w:cs="Times New Roman"/>
          <w:b w:val="0"/>
          <w:bCs w:val="0"/>
          <w:sz w:val="24"/>
          <w:szCs w:val="24"/>
        </w:rPr>
      </w:r>
    </w:p>
    <w:p>
      <w:pPr>
        <w:pBdr>
          <w:top w:val="none" w:color="000000" w:sz="4" w:space="0"/>
          <w:left w:val="none" w:color="000000" w:sz="4" w:space="0"/>
          <w:bottom w:val="none" w:color="000000" w:sz="4" w:space="0"/>
          <w:right w:val="none" w:color="000000" w:sz="4" w:space="0"/>
        </w:pBdr>
        <w:shd w:val="clear" w:color="ffffff" w:fill="ffffff"/>
        <w:spacing w:after="311" w:before="0" w:line="276" w:lineRule="auto"/>
        <w:ind w:right="0" w:firstLine="0" w:left="0"/>
        <w:jc w:val="both"/>
        <w:rPr>
          <w:rFonts w:ascii="Times New Roman" w:hAnsi="Times New Roman" w:cs="Times New Roman"/>
          <w:b w:val="0"/>
          <w:bCs w:val="0"/>
          <w:sz w:val="24"/>
          <w:szCs w:val="24"/>
        </w:rPr>
      </w:pPr>
      <w:r>
        <w:rPr>
          <w:rFonts w:ascii="Times New Roman" w:hAnsi="Times New Roman" w:eastAsia="Times New Roman" w:cs="Times New Roman"/>
          <w:b w:val="0"/>
          <w:bCs w:val="0"/>
          <w:color w:val="262626"/>
          <w:sz w:val="24"/>
          <w:szCs w:val="24"/>
        </w:rPr>
        <w:t xml:space="preserve">Sự đa dạng về loại hình sản phẩm, từ</w:t>
      </w:r>
      <w:r>
        <w:rPr>
          <w:rFonts w:ascii="Times New Roman" w:hAnsi="Times New Roman" w:eastAsia="Times New Roman" w:cs="Times New Roman"/>
          <w:b w:val="0"/>
          <w:bCs w:val="0"/>
          <w:color w:val="262626"/>
          <w:sz w:val="24"/>
          <w:szCs w:val="24"/>
        </w:rPr>
        <w:t xml:space="preserve"> </w:t>
      </w:r>
      <w:r>
        <w:rPr>
          <w:rFonts w:ascii="Times New Roman" w:hAnsi="Times New Roman" w:eastAsia="Times New Roman" w:cs="Times New Roman"/>
          <w:b w:val="0"/>
          <w:bCs w:val="0"/>
          <w:color w:val="262626"/>
          <w:sz w:val="24"/>
          <w:szCs w:val="24"/>
        </w:rPr>
        <w:t xml:space="preserve">đất nền Sa Đéc</w:t>
      </w:r>
      <w:r>
        <w:rPr>
          <w:rFonts w:ascii="Times New Roman" w:hAnsi="Times New Roman" w:eastAsia="Times New Roman" w:cs="Times New Roman"/>
          <w:b w:val="0"/>
          <w:bCs w:val="0"/>
          <w:color w:val="262626"/>
          <w:sz w:val="24"/>
          <w:szCs w:val="24"/>
        </w:rPr>
        <w:t xml:space="preserve"> </w:t>
      </w:r>
      <w:r>
        <w:rPr>
          <w:rFonts w:ascii="Times New Roman" w:hAnsi="Times New Roman" w:eastAsia="Times New Roman" w:cs="Times New Roman"/>
          <w:b w:val="0"/>
          <w:bCs w:val="0"/>
          <w:color w:val="262626"/>
          <w:sz w:val="24"/>
          <w:szCs w:val="24"/>
        </w:rPr>
        <w:t xml:space="preserve">phục vụ mục đích xây dựng tự do đến các dự án nhà phố thương mại, căn hộ hiện đại, đã đáp ứng linh hoạt nhu cầu của nhiều đối tượng khách hàng. Đặc biệt, phân khúc đất nền sổ đỏ pháp lý rõ ràng luôn được săn đón, cho thấy sự tin tưởng của người mua vào tiề</w:t>
      </w:r>
      <w:r>
        <w:rPr>
          <w:rFonts w:ascii="Times New Roman" w:hAnsi="Times New Roman" w:eastAsia="Times New Roman" w:cs="Times New Roman"/>
          <w:b w:val="0"/>
          <w:bCs w:val="0"/>
          <w:color w:val="262626"/>
          <w:sz w:val="24"/>
          <w:szCs w:val="24"/>
        </w:rPr>
        <w:t xml:space="preserve">m năng phát triển lâu dài của thành phố.</w:t>
      </w:r>
      <w:r>
        <w:rPr>
          <w:rFonts w:ascii="Times New Roman" w:hAnsi="Times New Roman" w:cs="Times New Roman"/>
          <w:b w:val="0"/>
          <w:bCs w:val="0"/>
          <w:sz w:val="24"/>
          <w:szCs w:val="24"/>
        </w:rPr>
      </w:r>
      <w:r>
        <w:rPr>
          <w:rFonts w:ascii="Times New Roman" w:hAnsi="Times New Roman" w:cs="Times New Roman"/>
          <w:b w:val="0"/>
          <w:bCs w:val="0"/>
          <w:sz w:val="24"/>
          <w:szCs w:val="24"/>
        </w:rPr>
      </w:r>
    </w:p>
    <w:p>
      <w:pPr>
        <w:pBdr/>
        <w:tabs>
          <w:tab w:val="left" w:leader="none" w:pos="426"/>
        </w:tabs>
        <w:spacing w:after="120" w:before="120" w:line="276" w:lineRule="auto"/>
        <w:ind/>
        <w:rPr>
          <w:rFonts w:ascii="Times New Roman" w:hAnsi="Times New Roman" w:eastAsia="Times New Roman" w:cs="Times New Roman"/>
          <w:b w:val="0"/>
          <w:bCs w:val="0"/>
          <w:sz w:val="24"/>
          <w:szCs w:val="24"/>
          <w:highlight w:val="none"/>
          <w:lang w:val="pt-BR"/>
        </w:rPr>
      </w:pPr>
      <w:r>
        <w:rPr>
          <w:rFonts w:ascii="Times New Roman" w:hAnsi="Times New Roman" w:eastAsia="Times New Roman" w:cs="Times New Roman"/>
          <w:b w:val="0"/>
          <w:bCs w:val="0"/>
          <w:sz w:val="24"/>
          <w:szCs w:val="24"/>
          <w:highlight w:val="none"/>
          <w:lang w:val="pt-BR" w:bidi="pt-BR"/>
        </w:rPr>
        <w:t xml:space="preserve">(Nguồn tham khảo: </w:t>
      </w:r>
      <w:r>
        <w:rPr>
          <w:rFonts w:ascii="Times New Roman" w:hAnsi="Times New Roman" w:eastAsia="Times New Roman" w:cs="Times New Roman"/>
          <w:b w:val="0"/>
          <w:bCs w:val="0"/>
          <w:sz w:val="24"/>
          <w:szCs w:val="24"/>
          <w:highlight w:val="none"/>
          <w:lang w:val="pt-BR" w:bidi="pt-BR"/>
        </w:rPr>
      </w:r>
      <w:hyperlink r:id="rId15" w:tooltip="https://summerland.com.vn/thi-truong-mua-ban-nha-dat-thanh-pho-sa-dec-co-hoi-dau-tu)" w:history="1">
        <w:r>
          <w:rPr>
            <w:rStyle w:val="1033"/>
            <w:rFonts w:ascii="Times New Roman" w:hAnsi="Times New Roman" w:eastAsia="Times New Roman" w:cs="Times New Roman"/>
            <w:b w:val="0"/>
            <w:bCs w:val="0"/>
            <w:sz w:val="24"/>
            <w:szCs w:val="24"/>
            <w:highlight w:val="none"/>
            <w:lang w:val="pt-BR" w:bidi="pt-BR"/>
          </w:rPr>
          <w:t xml:space="preserve">https://summerland.com.vn/thi-truong-mua-ban-nha-dat-thanh-pho-sa-dec-co-hoi-dau-tu</w:t>
        </w:r>
        <w:r>
          <w:rPr>
            <w:rStyle w:val="1033"/>
            <w:rFonts w:ascii="Times New Roman" w:hAnsi="Times New Roman" w:eastAsia="Times New Roman" w:cs="Times New Roman"/>
            <w:b w:val="0"/>
            <w:bCs w:val="0"/>
            <w:sz w:val="24"/>
            <w:szCs w:val="24"/>
            <w:highlight w:val="none"/>
            <w:lang w:val="pt-BR" w:bidi="pt-BR"/>
          </w:rPr>
          <w:t xml:space="preserve">)</w:t>
        </w:r>
        <w:r>
          <w:rPr>
            <w:rStyle w:val="1033"/>
            <w:rFonts w:ascii="Times New Roman" w:hAnsi="Times New Roman" w:eastAsia="Times New Roman" w:cs="Times New Roman"/>
            <w:b w:val="0"/>
            <w:bCs w:val="0"/>
            <w:sz w:val="24"/>
            <w:szCs w:val="24"/>
            <w:highlight w:val="none"/>
            <w:lang w:val="pt-BR" w:bidi="pt-BR"/>
          </w:rPr>
        </w:r>
        <w:r>
          <w:rPr>
            <w:rStyle w:val="1033"/>
            <w:rFonts w:ascii="Times New Roman" w:hAnsi="Times New Roman" w:eastAsia="Times New Roman" w:cs="Times New Roman"/>
            <w:b w:val="0"/>
            <w:bCs w:val="0"/>
            <w:sz w:val="24"/>
            <w:szCs w:val="24"/>
            <w:highlight w:val="none"/>
            <w:lang w:val="pt-BR"/>
          </w:rPr>
        </w:r>
        <w:r>
          <w:rPr>
            <w:rStyle w:val="1033"/>
            <w:rFonts w:ascii="Times New Roman" w:hAnsi="Times New Roman" w:cs="Times New Roman"/>
            <w:b w:val="0"/>
            <w:bCs w:val="0"/>
            <w:i/>
            <w:sz w:val="24"/>
            <w:szCs w:val="24"/>
          </w:rPr>
        </w:r>
      </w:hyperlink>
      <w:r>
        <w:rPr>
          <w:rFonts w:ascii="Times New Roman" w:hAnsi="Times New Roman" w:eastAsia="Times New Roman" w:cs="Times New Roman"/>
          <w:b w:val="0"/>
          <w:bCs w:val="0"/>
          <w:sz w:val="24"/>
          <w:szCs w:val="24"/>
          <w:highlight w:val="none"/>
          <w:lang w:val="pt-BR"/>
        </w:rPr>
      </w:r>
      <w:r>
        <w:rPr>
          <w:rFonts w:ascii="Times New Roman" w:hAnsi="Times New Roman" w:eastAsia="Times New Roman" w:cs="Times New Roman"/>
          <w:b w:val="0"/>
          <w:bCs w:val="0"/>
          <w:sz w:val="24"/>
          <w:szCs w:val="24"/>
          <w:highlight w:val="none"/>
          <w:lang w:val="pt-BR"/>
        </w:rPr>
      </w:r>
    </w:p>
    <w:p>
      <w:pPr>
        <w:pStyle w:val="104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7"/>
        <w:tblInd w:w="28" w:type="dxa"/>
        <w:tblW w:w="0" w:type="auto"/>
        <w:tblCellMar>
          <w:left w:w="108" w:type="dxa"/>
          <w:top w:w="0" w:type="dxa"/>
          <w:right w:w="108" w:type="dxa"/>
          <w:bottom w:w="0" w:type="dxa"/>
        </w:tblCellMar>
        <w:tblBorders>
          <w:top w:val="single" w:color="000000" w:sz="8" w:space="0"/>
          <w:left w:val="single" w:color="000000" w:sz="8" w:space="0"/>
          <w:bottom w:val="single" w:color="000000" w:sz="5" w:space="0"/>
          <w:right w:val="single" w:color="000000" w:sz="5" w:space="0"/>
          <w:insideH w:val="single" w:color="000000" w:sz="4" w:space="0"/>
          <w:insideV w:val="single" w:color="000000" w:sz="4" w:space="0"/>
        </w:tblBorders>
        <w:tblLayout w:type="fixed"/>
        <w:tblLook w:val="04A0" w:firstRow="1" w:lastRow="0" w:firstColumn="1" w:lastColumn="0" w:noHBand="0" w:noVBand="1"/>
      </w:tblPr>
      <w:tblGrid>
        <w:gridCol w:w="570"/>
        <w:gridCol w:w="2573"/>
        <w:gridCol w:w="2171"/>
        <w:gridCol w:w="2171"/>
        <w:gridCol w:w="2012"/>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9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1: Quyền sử dụng đất tại thửa đất số: 651, tờ bản đồ số 30 có địa chỉ: Khóm Tân An, phường Sa Đéc, tỉnh Đồng Tháp theo Giấy chứng nhận quyền sử dụng đất quyền sở hữu nhà ở và tài sản khác gắn li</w:t>
            </w:r>
            <w:r>
              <w:rPr>
                <w:rFonts w:ascii="Times New Roman" w:hAnsi="Times New Roman" w:eastAsia="Times New Roman" w:cs="Times New Roman"/>
                <w:b/>
                <w:color w:val="000000"/>
                <w:sz w:val="24"/>
              </w:rPr>
              <w:t xml:space="preserve">ền với đất số: BU 113570, số vào sổ cấp GCN: CH04066 do Ủy ban nhân dân thành phố Sa Đéc cấp ngày 29/07/2014; Chủ sử dụng đất là Ông Phan Văn Lĩnh</w:t>
            </w:r>
            <w:r>
              <w:rPr>
                <w:rFonts w:ascii="Times New Roman" w:hAnsi="Times New Roman" w:eastAsia="Times New Roman" w:cs="Times New Roman"/>
                <w:b/>
                <w:i/>
                <w:color w:val="000000"/>
                <w:sz w:val="24"/>
              </w:rPr>
              <w:t xml:space="preserve">.</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2: Quyền sử dụng đất tại thửa đất số: 616, tờ bản đồ số 30 có địa chỉ: Khóm Tân An, phường Sa Đéc, tỉnh Đồng Tháp theo Giấy chứng nhận quyền sử dụng đất quyền sở hữu nhà ở và tài sản khác gắn li</w:t>
            </w:r>
            <w:r>
              <w:rPr>
                <w:rFonts w:ascii="Times New Roman" w:hAnsi="Times New Roman" w:eastAsia="Times New Roman" w:cs="Times New Roman"/>
                <w:b/>
                <w:color w:val="000000"/>
                <w:sz w:val="24"/>
              </w:rPr>
              <w:t xml:space="preserve">ền với đất số: BL 359885, số vào sổ cấp GCN: CH02567 do Ủy ban nhân dân thị xã Sa Đéc cấp ngày 03/10/2012; Chủ sử dụng đất là Ông Phan Văn Lĩnh</w:t>
            </w:r>
            <w:r/>
          </w:p>
        </w:tc>
      </w:tr>
      <w:tr>
        <w:trPr>
          <w:trHeight w:val="299"/>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w:t>
            </w: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9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1.1</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Tài sản 1</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Thửa đất số:</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651</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Tờ bản đồ số:</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30</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w:t>
            </w:r>
            <w:r/>
          </w:p>
        </w:tc>
        <w:tc>
          <w:tcPr>
            <w:gridSpan w:val="3"/>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Khóm Tân An, Phường Sa Đéc, Tỉnh Đồng Tháp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791,2</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Công nhận QSDĐ như giao đất có thu tiền sử dụng đất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Thông tin quy hoạch:</w:t>
            </w:r>
            <w:r/>
          </w:p>
        </w:tc>
        <w:tc>
          <w:tcPr>
            <w:gridSpan w:val="3"/>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 </w:t>
            </w:r>
            <w:r/>
          </w:p>
        </w:tc>
      </w:tr>
      <w:tr>
        <w:trPr>
          <w:trHeight w:val="42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vMerge w:val="restart"/>
            <w:textDirection w:val="lrTb"/>
            <w:noWrap w:val="false"/>
          </w:tcPr>
          <w:p w14:paraId="0DC81699">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vMerge w:val="restart"/>
            <w:textDirection w:val="lrTb"/>
            <w:noWrap w:val="false"/>
          </w:tcPr>
          <w:p w14:paraId="7F0C5CAA">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Những thay đổi sau khi cấp GCN</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c>
          <w:tcPr>
            <w:gridSpan w:val="3"/>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54" w:type="dxa"/>
            <w:vAlign w:val="center"/>
            <w:vMerge w:val="restart"/>
            <w:textDirection w:val="lrTb"/>
            <w:noWrap w:val="false"/>
          </w:tcPr>
          <w:p w14:paraId="67C2992A">
            <w:pPr>
              <w:pStyle w:val="1043"/>
              <w:numPr>
                <w:ilvl w:val="0"/>
                <w:numId w:val="46"/>
              </w:numPr>
              <w:pBdr>
                <w:top w:val="none" w:color="000000" w:sz="4" w:space="0"/>
                <w:left w:val="none" w:color="000000" w:sz="4" w:space="0"/>
                <w:bottom w:val="none" w:color="000000" w:sz="4" w:space="0"/>
                <w:right w:val="none" w:color="000000" w:sz="4" w:space="0"/>
              </w:pBdr>
              <w:spacing w:after="0"/>
              <w:ind w:right="0" w:hanging="218" w:left="142"/>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Chuyển n</w:t>
            </w:r>
            <w:r>
              <w:t xml:space="preserve">hượng cho ông Đoàn Ngọc Gia Gia, CCCD số 051088000313, địa chỉ thường trú số Căn hộ 15.10 Khu Căn hộ Cao tầng Lan Phương, 104 Đường Hồ Văn Tu. khu phổ 24, phường Thủ Đức, thành phố Hồ Chí Minh, theo hồ sơ số 004066.CN.013</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p w14:paraId="464240D8">
            <w:pPr>
              <w:pStyle w:val="1043"/>
              <w:numPr>
                <w:ilvl w:val="0"/>
                <w:numId w:val="46"/>
              </w:numPr>
              <w:pBdr>
                <w:top w:val="none" w:color="000000" w:sz="4" w:space="0"/>
                <w:left w:val="none" w:color="000000" w:sz="4" w:space="0"/>
                <w:bottom w:val="none" w:color="000000" w:sz="4" w:space="0"/>
                <w:right w:val="none" w:color="000000" w:sz="4" w:space="0"/>
              </w:pBdr>
              <w:spacing w:after="0"/>
              <w:ind w:right="0" w:hanging="218" w:left="142"/>
              <w:jc w:val="both"/>
              <w:rPr>
                <w:rFonts w:ascii="Times New Roman" w:hAnsi="Times New Roman" w:eastAsia="Times New Roman" w:cs="Times New Roman"/>
                <w:color w:val="000000"/>
                <w:sz w:val="24"/>
                <w:szCs w:val="24"/>
              </w:rPr>
            </w:pPr>
            <w:r>
              <w:rPr>
                <w:highlight w:val="none"/>
              </w:rPr>
            </w:r>
            <w:r>
              <w:t xml:space="preserve">Đổi tên phường An Hòa, thành phố Sa Đéc, tỉnh Đồng Tháp thành phường Sa Đéc, tỉnh Đồng Tháp</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4EF1E6A0">
            <w:pPr>
              <w:pStyle w:val="1043"/>
              <w:numPr>
                <w:ilvl w:val="0"/>
                <w:numId w:val="46"/>
              </w:numPr>
              <w:pBdr>
                <w:top w:val="none" w:color="000000" w:sz="4" w:space="0"/>
                <w:left w:val="none" w:color="000000" w:sz="4" w:space="0"/>
                <w:bottom w:val="none" w:color="000000" w:sz="4" w:space="0"/>
                <w:right w:val="none" w:color="000000" w:sz="4" w:space="0"/>
              </w:pBdr>
              <w:spacing w:after="0"/>
              <w:ind w:right="0" w:hanging="218" w:left="142"/>
              <w:jc w:val="both"/>
              <w:rPr>
                <w:rFonts w:ascii="Times New Roman" w:hAnsi="Times New Roman" w:eastAsia="Times New Roman" w:cs="Times New Roman"/>
                <w:color w:val="000000"/>
                <w:sz w:val="24"/>
                <w:szCs w:val="24"/>
              </w:rPr>
            </w:pPr>
            <w:r>
              <w:rPr>
                <w:highlight w:val="none"/>
              </w:rPr>
            </w:r>
            <w:r>
              <w:t xml:space="preserve">Người sử dụng đất thay đổi tờ bản đồ từ số 30 ĐẤT Ở. KT. GIÁMĐỐC thành số 143 theo hồ sơ số 004066.DT.008</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07737210">
            <w:pPr>
              <w:pStyle w:val="1043"/>
              <w:numPr>
                <w:ilvl w:val="0"/>
                <w:numId w:val="46"/>
              </w:numPr>
              <w:pBdr>
                <w:top w:val="none" w:color="000000" w:sz="4" w:space="0"/>
                <w:left w:val="none" w:color="000000" w:sz="4" w:space="0"/>
                <w:bottom w:val="none" w:color="000000" w:sz="4" w:space="0"/>
                <w:right w:val="none" w:color="000000" w:sz="4" w:space="0"/>
              </w:pBdr>
              <w:spacing w:after="0"/>
              <w:ind w:right="0" w:hanging="218" w:left="142"/>
              <w:jc w:val="both"/>
              <w:rPr>
                <w:rFonts w:ascii="Times New Roman" w:hAnsi="Times New Roman" w:eastAsia="Times New Roman" w:cs="Times New Roman"/>
                <w:color w:val="000000"/>
                <w:sz w:val="24"/>
                <w:szCs w:val="24"/>
              </w:rPr>
            </w:pPr>
            <w:r>
              <w:rPr>
                <w:highlight w:val="none"/>
              </w:rPr>
            </w:r>
            <w:r>
              <w:t xml:space="preserve">Nhà  nước  thu hồi 70.6m², theo Quyết định số  68/QĐ-UBND- NĐ ngày 10/7/2020 của thành phố Sa Đéc, diện tích còn lại: 791,2m² theo hồ sơ số 004066.TH.009</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3C7EA6DF">
            <w:pPr>
              <w:pStyle w:val="1043"/>
              <w:numPr>
                <w:ilvl w:val="0"/>
                <w:numId w:val="46"/>
              </w:numPr>
              <w:pBdr>
                <w:top w:val="none" w:color="000000" w:sz="4" w:space="0"/>
                <w:left w:val="none" w:color="000000" w:sz="4" w:space="0"/>
                <w:bottom w:val="none" w:color="000000" w:sz="4" w:space="0"/>
                <w:right w:val="none" w:color="000000" w:sz="4" w:space="0"/>
              </w:pBdr>
              <w:spacing w:after="0"/>
              <w:ind w:right="0" w:hanging="218" w:left="142"/>
              <w:jc w:val="both"/>
              <w:rPr>
                <w:rFonts w:ascii="Times New Roman" w:hAnsi="Times New Roman" w:eastAsia="Times New Roman" w:cs="Times New Roman"/>
                <w:color w:val="000000"/>
                <w:sz w:val="24"/>
                <w:szCs w:val="24"/>
              </w:rPr>
            </w:pPr>
            <w:r>
              <w:rPr>
                <w:highlight w:val="none"/>
              </w:rPr>
            </w:r>
            <w:r>
              <w:t xml:space="preserve">Người sử dụng đất thay đổi CMND 340693727 thành 087168009636, theo hồ sơ số 004066.DT.010</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5171AE30">
            <w:pPr>
              <w:pStyle w:val="1043"/>
              <w:numPr>
                <w:ilvl w:val="0"/>
                <w:numId w:val="46"/>
              </w:numPr>
              <w:pBdr>
                <w:top w:val="none" w:color="000000" w:sz="4" w:space="0"/>
                <w:left w:val="none" w:color="000000" w:sz="4" w:space="0"/>
                <w:bottom w:val="none" w:color="000000" w:sz="4" w:space="0"/>
                <w:right w:val="none" w:color="000000" w:sz="4" w:space="0"/>
              </w:pBdr>
              <w:spacing w:after="0"/>
              <w:ind w:right="0" w:hanging="218" w:left="142"/>
              <w:jc w:val="both"/>
              <w:rPr>
                <w:rFonts w:ascii="Times New Roman" w:hAnsi="Times New Roman" w:eastAsia="Times New Roman" w:cs="Times New Roman"/>
                <w:color w:val="000000"/>
                <w:sz w:val="24"/>
                <w:szCs w:val="24"/>
              </w:rPr>
            </w:pPr>
            <w:r>
              <w:rPr>
                <w:highlight w:val="none"/>
              </w:rPr>
            </w:r>
            <w:r>
              <w:t xml:space="preserve">Chuyển nhượng cho ông Phan Văn Lĩnh, CCCD 087067014251, địa chỉ thường trú Tổ 31, khóm Phú An, phường Cao Lãnh, tỉnh Đồng Tháp, theo hồ sơ SỐ 002567.DT.</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51FDD7B7">
            <w:pPr>
              <w:pStyle w:val="1043"/>
              <w:numPr>
                <w:ilvl w:val="0"/>
                <w:numId w:val="46"/>
              </w:numPr>
              <w:pBdr>
                <w:top w:val="none" w:color="000000" w:sz="4" w:space="0"/>
                <w:left w:val="none" w:color="000000" w:sz="4" w:space="0"/>
                <w:bottom w:val="none" w:color="000000" w:sz="4" w:space="0"/>
                <w:right w:val="none" w:color="000000" w:sz="4" w:space="0"/>
              </w:pBdr>
              <w:spacing w:after="0"/>
              <w:ind w:right="0" w:hanging="218" w:left="142"/>
              <w:jc w:val="both"/>
              <w:rPr>
                <w:rFonts w:ascii="Times New Roman" w:hAnsi="Times New Roman" w:eastAsia="Times New Roman" w:cs="Times New Roman"/>
                <w:color w:val="000000"/>
                <w:sz w:val="24"/>
                <w:szCs w:val="24"/>
              </w:rPr>
            </w:pPr>
            <w:r>
              <w:rPr>
                <w:highlight w:val="none"/>
              </w:rPr>
              <w:t xml:space="preserve">H</w:t>
            </w:r>
            <w:r>
              <w:t xml:space="preserve">ủy bỏ nội dung chỉnh lý “Đã Thu Hồi” ở trang 1 giáy chứng nhận</w:t>
            </w:r>
            <w:r>
              <w:rPr>
                <w:highlight w:val="none"/>
              </w:rPr>
            </w:r>
            <w:r>
              <w:rPr>
                <w:rFonts w:ascii="Times New Roman" w:hAnsi="Times New Roman" w:eastAsia="Times New Roman" w:cs="Times New Roman"/>
                <w:color w:val="000000"/>
                <w:sz w:val="24"/>
                <w:szCs w:val="24"/>
              </w:rP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1.1</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Tài sản 2</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Thửa đất số:</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616</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Tờ bản đồ số:</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30</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w:t>
            </w:r>
            <w:r/>
          </w:p>
        </w:tc>
        <w:tc>
          <w:tcPr>
            <w:gridSpan w:val="3"/>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Khóm Tân An, Phường Sa Đéc, Tỉnh Đồng Tháp</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405,2</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Riêng 405,2 m² Chung Không m²</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Đất ở tại đô thị: 219,8 m²; Đất trồng cây lâu năm: 185,4 m².</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Đất ở tại đô thị: lâu dài; Đất trổng cây lâu năm đến ngày 15/10/2043.</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Công nhận QSDĐ như giao đất có thu tiền sử dụng đất 219,8 m². Công nhận QSDĐ như giao đất không thu tiền sử dụng đất 185,4 m²</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Thông tin quy hoạch:</w:t>
            </w:r>
            <w:r/>
          </w:p>
        </w:tc>
        <w:tc>
          <w:tcPr>
            <w:gridSpan w:val="3"/>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vMerge w:val="restart"/>
            <w:textDirection w:val="lrTb"/>
            <w:noWrap w:val="false"/>
          </w:tcPr>
          <w:p w14:paraId="6E07015B">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vMerge w:val="restart"/>
            <w:textDirection w:val="lrTb"/>
            <w:noWrap w:val="false"/>
          </w:tcPr>
          <w:p w14:paraId="4281CB6B">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Những thay đổi sau khi cấp GCN</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54" w:type="dxa"/>
            <w:vAlign w:val="center"/>
            <w:vMerge w:val="restart"/>
            <w:textDirection w:val="lrTb"/>
            <w:noWrap w:val="false"/>
          </w:tcPr>
          <w:p w14:paraId="33C13E3E">
            <w:pPr>
              <w:pStyle w:val="1043"/>
              <w:numPr>
                <w:ilvl w:val="0"/>
                <w:numId w:val="47"/>
              </w:numPr>
              <w:pBdr>
                <w:top w:val="none" w:color="000000" w:sz="4" w:space="0"/>
                <w:left w:val="none" w:color="000000" w:sz="4" w:space="0"/>
                <w:bottom w:val="none" w:color="000000" w:sz="4" w:space="0"/>
                <w:right w:val="none" w:color="000000" w:sz="4" w:space="0"/>
              </w:pBdr>
              <w:spacing w:after="0"/>
              <w:ind w:right="0" w:hanging="218" w:left="283"/>
              <w:jc w:val="both"/>
              <w:rPr>
                <w:rFonts w:ascii="Times New Roman" w:hAnsi="Times New Roman" w:eastAsia="Times New Roman" w:cs="Times New Roman"/>
                <w:color w:val="000000"/>
                <w:sz w:val="24"/>
              </w:rPr>
            </w:pPr>
            <w:r>
              <w:t xml:space="preserve">Chuyển nhượng cho ông Đoàn Ngọc Gia Gia, CCCD số 051088000313, địa chỉ thường trú số Căn hộ 15.10 Khu Căn hộ Cao tầng Lan Phương, 104 Đường Hồ Văn Tư, nường, 104 Đường khu phố 24, phường Thủ Đức, thành phố Hồ Chí Minh, theo hồ so số 002567.CN.014.</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p w14:paraId="1B14607B">
            <w:pPr>
              <w:pStyle w:val="1043"/>
              <w:numPr>
                <w:ilvl w:val="0"/>
                <w:numId w:val="47"/>
              </w:numPr>
              <w:pBdr>
                <w:top w:val="none" w:color="000000" w:sz="4" w:space="0"/>
                <w:left w:val="none" w:color="000000" w:sz="4" w:space="0"/>
                <w:bottom w:val="none" w:color="000000" w:sz="4" w:space="0"/>
                <w:right w:val="none" w:color="000000" w:sz="4" w:space="0"/>
              </w:pBdr>
              <w:spacing w:after="0"/>
              <w:ind w:right="0" w:hanging="218" w:left="283"/>
              <w:jc w:val="both"/>
              <w:rPr>
                <w:rFonts w:ascii="Times New Roman" w:hAnsi="Times New Roman" w:eastAsia="Times New Roman" w:cs="Times New Roman"/>
                <w:color w:val="000000"/>
                <w:sz w:val="24"/>
                <w:szCs w:val="24"/>
              </w:rPr>
            </w:pPr>
            <w:r>
              <w:rPr>
                <w:highlight w:val="none"/>
              </w:rPr>
            </w:r>
            <w:r>
              <w:t xml:space="preserve">Đổi tên phường An Hòa, thành phố Sa Đéc, tinh Đồng Tháp thành phường Sa Đéc, tỉnh Đồng Tháp</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5B3DB398">
            <w:pPr>
              <w:pStyle w:val="1043"/>
              <w:numPr>
                <w:ilvl w:val="0"/>
                <w:numId w:val="47"/>
              </w:numPr>
              <w:pBdr>
                <w:top w:val="none" w:color="000000" w:sz="4" w:space="0"/>
                <w:left w:val="none" w:color="000000" w:sz="4" w:space="0"/>
                <w:bottom w:val="none" w:color="000000" w:sz="4" w:space="0"/>
                <w:right w:val="none" w:color="000000" w:sz="4" w:space="0"/>
              </w:pBdr>
              <w:spacing w:after="0"/>
              <w:ind w:right="0" w:hanging="218" w:left="283"/>
              <w:jc w:val="both"/>
              <w:rPr>
                <w:rFonts w:ascii="Times New Roman" w:hAnsi="Times New Roman" w:eastAsia="Times New Roman" w:cs="Times New Roman"/>
                <w:color w:val="000000"/>
                <w:sz w:val="24"/>
                <w:szCs w:val="24"/>
              </w:rPr>
            </w:pPr>
            <w:r>
              <w:rPr>
                <w:highlight w:val="none"/>
              </w:rPr>
            </w:r>
            <w:r>
              <w:t xml:space="preserve">Người sử dụng đất thay đổi tờ bản đồ từ số 30 thành số 143 theo hổ sơ số 002567.DT.010</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70FE774F">
            <w:pPr>
              <w:pStyle w:val="1043"/>
              <w:numPr>
                <w:ilvl w:val="0"/>
                <w:numId w:val="47"/>
              </w:numPr>
              <w:pBdr>
                <w:top w:val="none" w:color="000000" w:sz="4" w:space="0"/>
                <w:left w:val="none" w:color="000000" w:sz="4" w:space="0"/>
                <w:bottom w:val="none" w:color="000000" w:sz="4" w:space="0"/>
                <w:right w:val="none" w:color="000000" w:sz="4" w:space="0"/>
              </w:pBdr>
              <w:spacing w:after="0"/>
              <w:ind w:right="0" w:hanging="218" w:left="283"/>
              <w:jc w:val="both"/>
              <w:rPr>
                <w:rFonts w:ascii="Times New Roman" w:hAnsi="Times New Roman" w:eastAsia="Times New Roman" w:cs="Times New Roman"/>
                <w:color w:val="000000"/>
                <w:sz w:val="24"/>
                <w:szCs w:val="24"/>
              </w:rPr>
            </w:pPr>
            <w:r>
              <w:rPr>
                <w:highlight w:val="none"/>
              </w:rPr>
            </w:r>
            <w:r>
              <w:t xml:space="preserve">Người sử dụng đất thay đổi CMND 340693727 thành CC 087168009636, theo hồ sơ số 002567.DT.011</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2415F07E">
            <w:pPr>
              <w:pStyle w:val="1043"/>
              <w:numPr>
                <w:ilvl w:val="0"/>
                <w:numId w:val="47"/>
              </w:numPr>
              <w:pBdr>
                <w:top w:val="none" w:color="000000" w:sz="4" w:space="0"/>
                <w:left w:val="none" w:color="000000" w:sz="4" w:space="0"/>
                <w:bottom w:val="none" w:color="000000" w:sz="4" w:space="0"/>
                <w:right w:val="none" w:color="000000" w:sz="4" w:space="0"/>
              </w:pBdr>
              <w:spacing w:after="0"/>
              <w:ind w:right="0" w:hanging="218" w:left="283"/>
              <w:jc w:val="both"/>
              <w:rPr>
                <w:rFonts w:ascii="Times New Roman" w:hAnsi="Times New Roman" w:eastAsia="Times New Roman" w:cs="Times New Roman"/>
                <w:color w:val="000000"/>
                <w:sz w:val="24"/>
                <w:szCs w:val="24"/>
              </w:rPr>
            </w:pPr>
            <w:r>
              <w:rPr>
                <w:highlight w:val="none"/>
              </w:rPr>
            </w:r>
            <w:r>
              <w:t xml:space="preserve">Chuyển nhượng cho ông Phan Văn Lĩnh, CCCD 087067014251, địa chỉ thường trú Tổ 31, khóm Phú An, phường Cao Lãnh, tỉnh Đồng Tháp, theo hồ sơ số 002567.DT.012</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5311E626">
            <w:pPr>
              <w:pStyle w:val="1043"/>
              <w:numPr>
                <w:ilvl w:val="0"/>
                <w:numId w:val="47"/>
              </w:numPr>
              <w:pBdr>
                <w:top w:val="none" w:color="000000" w:sz="4" w:space="0"/>
                <w:left w:val="none" w:color="000000" w:sz="4" w:space="0"/>
                <w:bottom w:val="none" w:color="000000" w:sz="4" w:space="0"/>
                <w:right w:val="none" w:color="000000" w:sz="4" w:space="0"/>
              </w:pBdr>
              <w:spacing w:after="0"/>
              <w:ind w:right="0" w:hanging="218" w:left="283"/>
              <w:jc w:val="both"/>
              <w:rPr>
                <w:rFonts w:ascii="Times New Roman" w:hAnsi="Times New Roman" w:eastAsia="Times New Roman" w:cs="Times New Roman"/>
                <w:color w:val="000000"/>
                <w:sz w:val="24"/>
                <w:szCs w:val="24"/>
              </w:rPr>
            </w:pPr>
            <w:r>
              <w:rPr>
                <w:highlight w:val="none"/>
              </w:rPr>
            </w:r>
            <w:r>
              <w:t xml:space="preserve">Hủy bỏ nội dung chỉnh lý “Đã Thu Hồi” ở trang 1 giấy chứng nhận.</w:t>
            </w:r>
            <w:r>
              <w:rPr>
                <w:highlight w:val="none"/>
              </w:rPr>
            </w:r>
            <w:r>
              <w:rPr>
                <w:rFonts w:ascii="Times New Roman" w:hAnsi="Times New Roman" w:eastAsia="Times New Roman" w:cs="Times New Roman"/>
                <w:color w:val="000000"/>
                <w:sz w:val="24"/>
                <w:szCs w:val="24"/>
              </w:rP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w:t>
            </w: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9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2.1</w:t>
            </w: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9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Đường tiếp giáp chính:</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Đường Nguyễn Thiện Thuật</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Số mặt tiền:</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Khoảng 5m+vỉa hè</w:t>
            </w:r>
            <w:r/>
          </w:p>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Khoảng 5m+vỉa hè</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Cách công viên Sa Đéc khoảng 1,3km</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9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 trên bản đồ vệ tinh: (10.305138888889, 105.74730555556)</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9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mc:AlternateContent>
                <mc:Choice Requires="wpg">
                  <w:drawing>
                    <wp:inline xmlns:wp="http://schemas.openxmlformats.org/drawingml/2006/wordprocessingDrawing" distT="0" distB="0" distL="0" distR="0">
                      <wp:extent cx="6048375" cy="335467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73592" name=""/>
                              <pic:cNvPicPr>
                                <a:picLocks noChangeAspect="1"/>
                              </pic:cNvPicPr>
                              <pic:nvPr/>
                            </pic:nvPicPr>
                            <pic:blipFill rotWithShape="1">
                              <a:blip r:embed="rId16"/>
                              <a:stretch/>
                            </pic:blipFill>
                            <pic:spPr bwMode="auto">
                              <a:xfrm>
                                <a:off x="0" y="0"/>
                                <a:ext cx="6048374" cy="33546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64.15pt;mso-wrap-distance-left:0.00pt;mso-wrap-distance-top:0.00pt;mso-wrap-distance-right:0.00pt;mso-wrap-distance-bottom:0.00pt;z-index:1;" stroked="false">
                      <v:imagedata r:id="rId16" o:title=""/>
                      <o:lock v:ext="edit" rotation="t"/>
                    </v:shape>
                  </w:pict>
                </mc:Fallback>
              </mc:AlternateConten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2.2.</w:t>
            </w: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9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bCs/>
                <w:i/>
              </w:rPr>
            </w:pPr>
            <w:r>
              <w:rPr>
                <w:rFonts w:ascii="Times New Roman" w:hAnsi="Times New Roman" w:eastAsia="Times New Roman" w:cs="Times New Roman"/>
                <w:b/>
                <w:bCs/>
                <w:i/>
                <w:iCs/>
                <w:color w:val="000000"/>
                <w:sz w:val="24"/>
              </w:rPr>
              <w:t xml:space="preserve">2.2.1</w:t>
            </w:r>
            <w:r>
              <w:rPr>
                <w:b/>
                <w:bCs/>
                <w:i/>
              </w:rPr>
            </w:r>
            <w:r>
              <w:rPr>
                <w:b/>
                <w:bCs/>
                <w:i/>
              </w:rP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9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i/>
              </w:rPr>
            </w:pPr>
            <w:r>
              <w:rPr>
                <w:rFonts w:ascii="Times New Roman" w:hAnsi="Times New Roman" w:eastAsia="Times New Roman" w:cs="Times New Roman"/>
                <w:b/>
                <w:bCs/>
                <w:i/>
                <w:iCs/>
                <w:color w:val="000000"/>
                <w:sz w:val="24"/>
              </w:rPr>
              <w:t xml:space="preserve">Tài sản 1</w:t>
            </w:r>
            <w:r>
              <w:rPr>
                <w:b/>
                <w:bCs/>
                <w:i/>
              </w:rPr>
            </w:r>
            <w:r>
              <w:rPr>
                <w:b/>
                <w:bCs/>
                <w:i/>
              </w:rP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861,8</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Mặt tiền (m):</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13,34</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Chiều sâu (m): </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99,33</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dáng:</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Đa giác khác</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Bắc</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bCs/>
                <w:i/>
              </w:rPr>
            </w:pPr>
            <w:r>
              <w:rPr>
                <w:rFonts w:ascii="Times New Roman" w:hAnsi="Times New Roman" w:eastAsia="Times New Roman" w:cs="Times New Roman"/>
                <w:b/>
                <w:bCs/>
                <w:i/>
                <w:iCs/>
                <w:color w:val="000000"/>
                <w:sz w:val="24"/>
              </w:rPr>
              <w:t xml:space="preserve">2.2.2</w:t>
            </w:r>
            <w:r>
              <w:rPr>
                <w:b/>
                <w:bCs/>
                <w:i/>
              </w:rPr>
            </w:r>
            <w:r>
              <w:rPr>
                <w:b/>
                <w:bCs/>
                <w:i/>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i/>
              </w:rPr>
            </w:pPr>
            <w:r>
              <w:rPr>
                <w:rFonts w:ascii="Times New Roman" w:hAnsi="Times New Roman" w:eastAsia="Times New Roman" w:cs="Times New Roman"/>
                <w:b/>
                <w:bCs/>
                <w:i/>
                <w:iCs/>
                <w:color w:val="000000"/>
                <w:sz w:val="24"/>
              </w:rPr>
              <w:t xml:space="preserve">Tài sản 2</w:t>
            </w:r>
            <w:r>
              <w:rPr>
                <w:b/>
                <w:bCs/>
                <w:i/>
              </w:rPr>
            </w:r>
            <w:r>
              <w:rPr>
                <w:b/>
                <w:bCs/>
                <w:i/>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405,2</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Mặt tiền (m):</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Không tiếp giáp với đường</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Chiều sâu (m): </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31+24,9</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dáng:</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Đa giác khác</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Thửa đất không có hướng tiếp giáp với đường</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2.3.</w:t>
            </w: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9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Cao/đông đúc</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Cao</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5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Khá</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3.</w:t>
            </w: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9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9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Tại thời điểm khảo sát, CTXD gắn liền với đất gồm 01 nhà ở và 01 nhà trọ xây dựng khoảng năm 2016. Các CTXD được xây dựng trên cả 2 thửa đất số 651 và thửa đất số 616. Các CTXD chưa được chứng nhận trên GCN. Ngoài ra, tổ thẩm định không thu thập được bất</w:t>
            </w:r>
            <w:r>
              <w:rPr>
                <w:rFonts w:ascii="Times New Roman" w:hAnsi="Times New Roman" w:eastAsia="Times New Roman" w:cs="Times New Roman"/>
                <w:color w:val="000000"/>
                <w:sz w:val="24"/>
              </w:rPr>
              <w:t xml:space="preserve"> kì hồ sơ pháp lí nào liên quan đến CTXD trên. </w:t>
            </w:r>
            <w:r>
              <w:rPr>
                <w:rFonts w:ascii="Times New Roman" w:hAnsi="Times New Roman" w:eastAsia="Times New Roman" w:cs="Times New Roman"/>
                <w:color w:val="000000"/>
                <w:sz w:val="24"/>
              </w:rPr>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3"/>
        <w:numPr>
          <w:ilvl w:val="0"/>
          <w:numId w:val="3"/>
        </w:numPr>
        <w:pBdr/>
        <w:tabs>
          <w:tab w:val="left" w:leader="none" w:pos="993"/>
        </w:tabs>
        <w:spacing w:after="120" w:before="120" w:line="264" w:lineRule="auto"/>
        <w:ind/>
        <w:jc w:val="both"/>
        <w:rPr>
          <w:spacing w:val="-2"/>
          <w:lang w:val="pt-BR"/>
        </w:rPr>
      </w:pPr>
      <w:r>
        <w:rPr>
          <w:spacing w:val="-2"/>
          <w:lang w:val="pt-BR"/>
        </w:rPr>
      </w:r>
      <w:r>
        <w:rPr>
          <w:rFonts w:ascii="Times New Roman" w:hAnsi="Times New Roman" w:eastAsia="Times New Roman" w:cs="Times New Roman"/>
          <w:color w:val="000000"/>
          <w:sz w:val="24"/>
        </w:rPr>
        <w:t xml:space="preserve">Tại thời điểm khảo sát, CTXD gắn liền với đất gồm 01 nhà ở và 01 nhà trọ xây dựng khoảng năm 2016. Các CTXD được xây dựng trên cả 2 thửa đất số 651 và thửa đất số 616. Các CTXD chưa được chứng nhận trên GCN. Ngoài ra, tổ thẩm định không thu thập được bất</w:t>
      </w:r>
      <w:r>
        <w:rPr>
          <w:rFonts w:ascii="Times New Roman" w:hAnsi="Times New Roman" w:eastAsia="Times New Roman" w:cs="Times New Roman"/>
          <w:color w:val="000000"/>
          <w:sz w:val="24"/>
        </w:rPr>
        <w:t xml:space="preserve"> kì hồ sơ pháp lí nào liên quan đến CTXD trên. Do vậy, theo đề nghị của Ngân hàng/Khách hàng, Tổ thẩm định không xác định giá trị của công trình xây dựng vào tổng giá trị, nhưng vẫn coi đó là phần không thể tách rời của tài sản thẩm định. Kính đề nghị đơn </w:t>
      </w:r>
      <w:r>
        <w:rPr>
          <w:rFonts w:ascii="Times New Roman" w:hAnsi="Times New Roman" w:eastAsia="Times New Roman" w:cs="Times New Roman"/>
          <w:color w:val="000000"/>
          <w:sz w:val="24"/>
        </w:rPr>
        <w:t xml:space="preserve">vị sử dụng kết quả lưu ý.</w:t>
      </w:r>
      <w:r>
        <w:rPr>
          <w:spacing w:val="-2"/>
          <w:lang w:val="pt-BR"/>
        </w:rPr>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2"/>
          <w:sz w:val="24"/>
        </w:rPr>
        <w:t xml:space="preserve">Tài sản thẩm định giá bao gồm </w:t>
      </w:r>
      <w:r>
        <w:rPr>
          <w:rFonts w:ascii="Times New Roman" w:hAnsi="Times New Roman" w:eastAsia="Times New Roman" w:cs="Times New Roman"/>
          <w:color w:val="000000"/>
          <w:sz w:val="24"/>
        </w:rPr>
        <w:t xml:space="preserve">thửa đất số 651 và thửa đất số 616 </w:t>
      </w:r>
      <w:r>
        <w:rPr>
          <w:rFonts w:ascii="Times New Roman" w:hAnsi="Times New Roman" w:eastAsia="Times New Roman" w:cs="Times New Roman"/>
          <w:color w:val="000000"/>
          <w:spacing w:val="-2"/>
          <w:sz w:val="24"/>
        </w:rPr>
        <w:t xml:space="preserve">nằm tiếp tiếp giáp liền cạnh, không có mốc giới giữa các thửa đất và có cùng chủ sở hữu, đồng thời có các công trình xây dựng trên các thửa đất. Thửa đất 616 hiện không tiếp giáp đường, nằm cạnh thửa đất số 651</w:t>
      </w:r>
      <w:r>
        <w:rPr>
          <w:rFonts w:ascii="Times New Roman" w:hAnsi="Times New Roman" w:eastAsia="Times New Roman" w:cs="Times New Roman"/>
          <w:color w:val="000000"/>
          <w:spacing w:val="-2"/>
          <w:sz w:val="24"/>
        </w:rPr>
        <w:t xml:space="preserve">. Kết quả thẩm định giá được nêu trong báo cáo này chỉ có giá trị trong trường hợp Ngân hàng nhận thế chấp/giải chấp đồng thời 02 (hai) thửa đất cấp tại 02 (hai) giấy chứng nhận nêu trên.</w:t>
      </w:r>
      <w:r>
        <w:rPr>
          <w:rFonts w:ascii="Times New Roman" w:hAnsi="Times New Roman" w:eastAsia="Times New Roman" w:cs="Times New Roman"/>
          <w:sz w:val="24"/>
        </w:rPr>
      </w:r>
      <w:r/>
    </w:p>
    <w:p>
      <w:pPr>
        <w:pStyle w:val="104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Bdr/>
        <w:spacing w:after="120" w:before="120" w:line="276" w:lineRule="auto"/>
        <w:ind w:firstLine="0" w:left="0"/>
        <w:jc w:val="both"/>
        <w:rPr>
          <w:b/>
          <w:bCs/>
        </w:rPr>
      </w:pPr>
      <w:r>
        <w:rPr>
          <w:b/>
          <w:highlight w:val="none"/>
          <w:lang w:val="pt-BR" w:bidi="pt-BR"/>
        </w:rPr>
        <w:t xml:space="preserve">1.1. Xác định</w:t>
      </w:r>
      <w:r>
        <w:rPr>
          <w:b/>
          <w:lang w:val="pt-BR"/>
        </w:rPr>
        <w:t xml:space="preserve"> đơn giá</w:t>
      </w:r>
      <w:r>
        <w:rPr>
          <w:b/>
          <w:lang w:val="pt-BR"/>
        </w:rPr>
        <w:t xml:space="preserve"> quyền sử dụng đ</w:t>
      </w:r>
      <w:r>
        <w:rPr>
          <w:b/>
          <w:bCs/>
          <w:lang w:val="pt-BR"/>
        </w:rPr>
        <w:t xml:space="preserve">ấ</w:t>
      </w:r>
      <w:r>
        <w:rPr>
          <w:b/>
          <w:bCs/>
          <w:lang w:val="pt-BR"/>
        </w:rPr>
        <w:t xml:space="preserve">t</w:t>
      </w:r>
      <w:r>
        <w:rPr>
          <w:b/>
          <w:bCs/>
        </w:rPr>
        <w:t xml:space="preserve"> của thửa đất </w:t>
      </w:r>
      <w:r>
        <w:rPr>
          <w:b/>
          <w:bCs/>
          <w:highlight w:val="none"/>
          <w:lang w:val="pt-BR"/>
        </w:rPr>
        <w:t xml:space="preserve">651, tờ bản đồ số 30: </w:t>
      </w:r>
      <w:r>
        <w:rPr>
          <w:b/>
          <w:bCs/>
        </w:rPr>
      </w:r>
      <w:r>
        <w:rPr>
          <w:b/>
          <w:bCs/>
        </w:rPr>
      </w:r>
    </w:p>
    <w:p>
      <w:pPr>
        <w:pStyle w:val="104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4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Khóm Tân An, phường Sa Đéc, tỉnh Đồng Tháp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Phố Nguyễn Thiện Thuật, </w:t>
            </w:r>
            <w:r>
              <w:rPr>
                <w:color w:val="000000" w:themeColor="text1"/>
                <w:sz w:val="22"/>
                <w:szCs w:val="22"/>
              </w:rPr>
              <w:t xml:space="preserve"> phường Sa Đéc, tỉnh Đồng Tháp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Phố Nguyễn Thiện Thuật, </w:t>
            </w:r>
            <w:r>
              <w:rPr>
                <w:color w:val="000000" w:themeColor="text1"/>
                <w:sz w:val="22"/>
                <w:szCs w:val="22"/>
              </w:rPr>
              <w:t xml:space="preserve">phường Sa Đéc, tỉnh Đồng Tháp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An Hòa, </w:t>
            </w:r>
            <w:r>
              <w:rPr>
                <w:color w:val="000000" w:themeColor="text1"/>
                <w:sz w:val="22"/>
                <w:szCs w:val="22"/>
              </w:rPr>
              <w:t xml:space="preserve">phường Sa Đéc, tỉnh Đồng Tháp</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w:t>
            </w:r>
            <w:r>
              <w:rPr>
                <w:color w:val="000000" w:themeColor="text1"/>
                <w:sz w:val="22"/>
                <w:szCs w:val="22"/>
              </w:rPr>
              <w:t xml:space="preserve">/589380481429738/posts/b%C3%A1n-g%E1%BA%A5p-c%C6%A1-h%E1%BB%99i-%C4%91%E1%BA%A7u-t%C6%B0-nh%C3%A0-1-tr%E1%BB%87t-1-l%E1%BA%A7u-m%E1%BA%B7t-ti%E1%BB%81n-%C4%91%C6%B0%E1%BB%9Dng-nguy%E1%BB%85n-thi%E1%BB%87n-thu%E1%BA%ADt-ph%C6%B0%E1%BB%9Dng/2616218988745867/</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0336538916</w:t>
            </w:r>
            <w:r>
              <w:rPr>
                <w:sz w:val="22"/>
                <w:szCs w:val="22"/>
              </w:rPr>
              <w:t xml:space="preserve"> </w:t>
            </w:r>
            <w:r>
              <w:rPr>
                <w:sz w:val="22"/>
                <w:szCs w:val="22"/>
              </w:rPr>
              <w:br/>
              <w:t xml:space="preserve">(</w:t>
            </w:r>
            <w:r>
              <w:rPr>
                <w:sz w:val="22"/>
                <w:szCs w:val="22"/>
              </w:rPr>
              <w:t xml:space="preserve">Anh 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0901.062.461</w:t>
            </w:r>
            <w:r>
              <w:rPr>
                <w:sz w:val="22"/>
                <w:szCs w:val="22"/>
              </w:rPr>
              <w:br/>
            </w:r>
            <w:r>
              <w:rPr>
                <w:sz w:val="22"/>
                <w:szCs w:val="22"/>
              </w:rPr>
              <w:t xml:space="preserve">(</w:t>
            </w:r>
            <w:r>
              <w:rPr>
                <w:sz w:val="22"/>
                <w:szCs w:val="22"/>
              </w:rPr>
              <w:t xml:space="preserve">Anh Quốc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0907935877</w:t>
            </w:r>
            <w:r>
              <w:rPr>
                <w:sz w:val="22"/>
                <w:szCs w:val="22"/>
              </w:rPr>
              <w:br/>
            </w:r>
            <w:r>
              <w:rPr>
                <w:sz w:val="22"/>
                <w:szCs w:val="22"/>
              </w:rPr>
              <w:t xml:space="preserve">(</w:t>
            </w:r>
            <w:r>
              <w:rPr>
                <w:sz w:val="22"/>
                <w:szCs w:val="22"/>
              </w:rPr>
              <w:t xml:space="preserve">Anh Tú</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Tháng 12/2025</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Tháng 12/2025</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14/10/2043)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292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tại:Phố Nguyễn Thiện Thuật, </w:t>
            </w:r>
            <w:r>
              <w:rPr>
                <w:color w:val="000000" w:themeColor="text1"/>
                <w:sz w:val="22"/>
                <w:szCs w:val="22"/>
              </w:rPr>
              <w:t xml:space="preserve">phường Sa Đéc, tỉnh Đồng Tháp</w:t>
            </w:r>
            <w:r>
              <w:rPr>
                <w:color w:val="000000" w:themeColor="text1"/>
                <w:sz w:val="22"/>
                <w:szCs w:val="22"/>
              </w:rPr>
              <w:t xml:space="preserve">. </w:t>
            </w:r>
            <w:r>
              <w:rPr>
                <w:color w:val="000000" w:themeColor="text1"/>
                <w:sz w:val="22"/>
                <w:szCs w:val="22"/>
              </w:rPr>
              <w:t xml:space="preserve">Cách công viên Sa Đéc khoảng 1,3km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Phố Nguyễn Thiện Thuật, Phường Sa Đéc, Tỉnh Đồng Tháp, Cách công viên Sa Đéc khoảng 500m,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Phố Nguyễn Thiện Thuật, Phường Sa Đéc, Tỉnh Đồng Tháp, Cách công viên Sa Đéc khoảng 500m,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Phố Nguyễn Thiện Thuật, Phường An Hòa, Thị xã Sa Đéc, Tỉnh Đồng Tháp, Cách Công viên Sa Đéc khoảng 500m,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C52665">
            <w:pPr>
              <w:pBdr/>
              <w:spacing/>
              <w:ind/>
              <w:jc w:val="center"/>
              <w:rPr/>
            </w:pPr>
            <w:r>
              <w:rPr>
                <w:color w:val="000000" w:themeColor="text1"/>
                <w:sz w:val="22"/>
                <w:szCs w:val="22"/>
              </w:rPr>
              <w:t xml:space="preserve">Khá</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5A1B3F">
            <w:pPr>
              <w:pBdr/>
              <w:spacing/>
              <w:ind/>
              <w:jc w:val="center"/>
              <w:rPr/>
            </w:pPr>
            <w:r>
              <w:rPr>
                <w:color w:val="000000" w:themeColor="text1"/>
                <w:sz w:val="22"/>
                <w:szCs w:val="22"/>
              </w:rPr>
              <w:t xml:space="preserve">Khá</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E1A007">
            <w:pPr>
              <w:pBdr/>
              <w:spacing/>
              <w:ind/>
              <w:jc w:val="center"/>
              <w:rPr/>
            </w:pPr>
            <w:r>
              <w:rPr>
                <w:color w:val="000000" w:themeColor="text1"/>
                <w:sz w:val="22"/>
                <w:szCs w:val="22"/>
              </w:rPr>
              <w:t xml:space="preserve">Khá</w:t>
            </w:r>
            <w:r>
              <w:rPr>
                <w:color w:val="000000"/>
                <w:sz w:val="22"/>
                <w:szCs w:val="22"/>
              </w:rPr>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22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2 tầng</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136</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879.067.064</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7.604.386</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2"/>
                <w:szCs w:val="22"/>
              </w:rPr>
              <w:t xml:space="preserve">1.325.932.978</w:t>
            </w:r>
            <w:r>
              <w:rPr>
                <w:color w:val="000000"/>
                <w:sz w:val="20"/>
                <w:szCs w:val="20"/>
              </w:rPr>
            </w:r>
            <w:r>
              <w:rPr>
                <w:color w:val="000000"/>
                <w:sz w:val="20"/>
                <w:szCs w:val="2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18.331.143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18.176.856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19.499.014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494"/>
        <w:gridCol w:w="1550"/>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1.395.000.000</w:t>
            </w:r>
            <w:r>
              <w:rPr>
                <w:color w:val="000000"/>
                <w:sz w:val="20"/>
                <w:szCs w:val="20"/>
              </w:rPr>
            </w:r>
            <w:r>
              <w:rPr>
                <w:color w:val="000000"/>
                <w:sz w:val="20"/>
                <w:szCs w:val="20"/>
              </w:rPr>
            </w:r>
          </w:p>
        </w:tc>
        <w:tc>
          <w:tcPr>
            <w:shd w:val="clear" w:color="000000" w:fill="ffffff"/>
            <w:tcBorders/>
            <w:tcW w:w="1494" w:type="dxa"/>
            <w:vAlign w:val="center"/>
            <w:textDirection w:val="lrTb"/>
            <w:noWrap w:val="false"/>
          </w:tcPr>
          <w:p>
            <w:pPr>
              <w:pBdr/>
              <w:spacing/>
              <w:ind/>
              <w:jc w:val="center"/>
              <w:rPr>
                <w:color w:val="000000"/>
                <w:sz w:val="20"/>
                <w:szCs w:val="20"/>
              </w:rPr>
            </w:pPr>
            <w:r>
              <w:rPr>
                <w:color w:val="000000" w:themeColor="text1"/>
                <w:sz w:val="22"/>
                <w:szCs w:val="22"/>
              </w:rPr>
              <w:t xml:space="preserve">1.665.000.000</w:t>
            </w:r>
            <w:r>
              <w:rPr>
                <w:color w:val="000000"/>
                <w:sz w:val="20"/>
                <w:szCs w:val="20"/>
              </w:rPr>
            </w:r>
            <w:r>
              <w:rPr>
                <w:color w:val="000000"/>
                <w:sz w:val="20"/>
                <w:szCs w:val="20"/>
              </w:rPr>
            </w:r>
          </w:p>
        </w:tc>
        <w:tc>
          <w:tcPr>
            <w:shd w:val="clear" w:color="000000" w:fill="ffffff"/>
            <w:tcBorders/>
            <w:tcW w:w="1550" w:type="dxa"/>
            <w:vAlign w:val="center"/>
            <w:textDirection w:val="lrTb"/>
            <w:noWrap w:val="false"/>
          </w:tcPr>
          <w:p>
            <w:pPr>
              <w:pBdr/>
              <w:spacing/>
              <w:ind/>
              <w:jc w:val="center"/>
              <w:rPr>
                <w:color w:val="000000"/>
                <w:sz w:val="20"/>
                <w:szCs w:val="20"/>
              </w:rPr>
            </w:pPr>
            <w:r>
              <w:rPr>
                <w:color w:val="000000" w:themeColor="text1"/>
                <w:sz w:val="22"/>
                <w:szCs w:val="22"/>
              </w:rPr>
              <w:t xml:space="preserve">1.325.932.978</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18.331.143</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18.176.856</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19.499.014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94"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0"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c>
          <w:tcPr>
            <w:shd w:val="clear" w:color="000000" w:fill="ffffff"/>
            <w:tcBorders/>
            <w:tcW w:w="1494"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50"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18.331.143</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18.176.856</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19.499.014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18.331.143</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18.176.856</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19.499.014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 (đến 14/10/2043, 18 năm)</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18.331.143</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18.176.856</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19.499.014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tại:Phố Nguyễn Thiện Thuật, </w:t>
            </w:r>
            <w:r>
              <w:rPr>
                <w:color w:val="000000" w:themeColor="text1"/>
                <w:sz w:val="22"/>
                <w:szCs w:val="22"/>
              </w:rPr>
              <w:t xml:space="preserve">phường Sa Đéc, tỉnh Đồng Tháp</w:t>
            </w:r>
            <w:r>
              <w:rPr>
                <w:color w:val="000000" w:themeColor="text1"/>
                <w:sz w:val="22"/>
                <w:szCs w:val="22"/>
              </w:rPr>
              <w:t xml:space="preserve">. </w:t>
            </w:r>
            <w:r>
              <w:rPr>
                <w:color w:val="000000" w:themeColor="text1"/>
                <w:sz w:val="22"/>
                <w:szCs w:val="22"/>
              </w:rPr>
              <w:t xml:space="preserve">Cách công viên Sa Đéc khoảng 1,3km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Phố Nguyễn Thiện Thuật, Phường Sa Đéc, Tỉnh Đồng Tháp, Cách công viên Sa Đéc khoảng 500m, </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Phố Nguyễn Thiện Thuật, Phường Sa Đéc, Tỉnh Đồng Tháp, Cách công viên Sa Đéc khoảng 500m, </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Phố Nguyễn Thiện Thuật, Phường An Hòa, Thị xã Sa Đéc, Tỉnh Đồng Tháp, Cách Công viên Sa Đéc khoảng 500m, </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-1.833.114</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-1.817.686</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-1.949.901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16.498.029</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16.359.170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17.549.113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16.498.029</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16.359.170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17.549.113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16.498.029</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16.359.170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17.549.113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16.498.029</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16.359.170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17.549.113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16.498.029</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16.359.170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17.549.113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16.498.029</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16.359.170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17.549.113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791,2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76,1</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91,6</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68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-2.749.671</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-2.726.528</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-2.924.852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13.748.358</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13.632.642</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14.624.261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14:paraId="2FBD4228">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1.466.491</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tcPr>
          <w:p w14:paraId="54243502">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1.454.148</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tcPr>
          <w:p w14:paraId="57F4D3C8">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1.559.921</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14:paraId="6CD308AF">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15.214.849</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tcPr>
          <w:p w14:paraId="3FDA344D">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15.086.790</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tcPr>
          <w:p w14:paraId="438D2C64">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16.184.182</w:t>
            </w:r>
            <w:r>
              <w:rPr>
                <w:color w:val="000000" w:themeColor="text1"/>
                <w:sz w:val="22"/>
                <w:szCs w:val="22"/>
              </w:rPr>
            </w:r>
            <w:r>
              <w:rPr>
                <w:color w:val="000000" w:themeColor="text1"/>
                <w:sz w:val="22"/>
                <w:szCs w:val="22"/>
                <w14:ligatures w14:val="none"/>
              </w:rPr>
            </w:r>
          </w:p>
        </w:tc>
      </w:tr>
      <w:tr>
        <w:trPr>
          <w:trHeight w:val="291"/>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99,33</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19,02</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22,9</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17</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-10%</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-10%</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-10%</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14:paraId="72D03732">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-1.833.114</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tcPr>
          <w:p w14:paraId="5DD42F26">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-1.817.686</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tcPr>
          <w:p w14:paraId="0E395E1D">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-1.949.901</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14:paraId="56527878">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13.381.735</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tcPr>
          <w:p w14:paraId="40F1AC2E">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13.269.104</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tcPr>
          <w:p w14:paraId="5C766A46">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14.234.281</w:t>
            </w:r>
            <w:r>
              <w:rPr>
                <w:color w:val="000000" w:themeColor="text1"/>
                <w:sz w:val="22"/>
                <w:szCs w:val="22"/>
              </w:rPr>
            </w:r>
            <w:r>
              <w:rPr>
                <w:color w:val="000000" w:themeColor="text1"/>
                <w:sz w:val="22"/>
                <w:szCs w:val="22"/>
                <w14:ligatures w14: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Tiếp giáp 1 mặt tiền</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Tiếp giáp 1 mặt tiền</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Tiếp giáp 1 mặt tiền</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Tiếp giáp 1 mặt tiền</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14:paraId="085CC436">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13.381.735</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tcPr>
          <w:p w14:paraId="57507FA2">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13.269.104</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tcPr>
          <w:p w14:paraId="3A250121">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14.234.281</w:t>
            </w:r>
            <w:r>
              <w:rPr>
                <w:color w:val="000000" w:themeColor="text1"/>
                <w:sz w:val="22"/>
                <w:szCs w:val="22"/>
              </w:rPr>
            </w:r>
            <w:r>
              <w:rPr>
                <w:color w:val="000000" w:themeColor="text1"/>
                <w:sz w:val="22"/>
                <w:szCs w:val="22"/>
                <w14:ligatures w14: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Đa giác khác</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Hình chữ nhật</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Hình chữ nhật</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Hình chữ nhật</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-15%</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-15%</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-15%</w:t>
            </w:r>
            <w:r>
              <w:rPr>
                <w:color w:val="000000" w:themeColor="text1"/>
                <w:sz w:val="22"/>
                <w:szCs w:val="22"/>
              </w:rPr>
            </w:r>
            <w:r>
              <w:rPr>
                <w:color w:val="000000" w:themeColor="text1"/>
                <w:sz w:val="22"/>
                <w:szCs w:val="22"/>
                <w14:ligatures w14:val="none"/>
              </w:rPr>
            </w:r>
          </w:p>
        </w:tc>
      </w:tr>
      <w:tr>
        <w:trPr>
          <w:trHeight w:val="377"/>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14:paraId="7158B1ED">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-2.749.671</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tcPr>
          <w:p w14:paraId="4B8109E2">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-2.726.528</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tcPr>
          <w:p w14:paraId="25C4AB0B">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-2.924.852</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14:paraId="52C55C10">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10.632.064</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tcPr>
          <w:p w14:paraId="7C9A1B75">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10.542.576</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tcPr>
          <w:p w14:paraId="1D4F5EBD">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11.309.429</w:t>
            </w:r>
            <w:r>
              <w:rPr>
                <w:color w:val="000000" w:themeColor="text1"/>
                <w:sz w:val="22"/>
                <w:szCs w:val="22"/>
              </w:rPr>
            </w:r>
            <w:r>
              <w:rPr>
                <w:color w:val="000000" w:themeColor="text1"/>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14:paraId="0A22A6AA">
            <w:pPr>
              <w:pBdr>
                <w:top w:val="single" w:color="e5e7eb" w:sz="0" w:space="0"/>
                <w:left w:val="single" w:color="e5e7eb" w:sz="0" w:space="0"/>
                <w:bottom w:val="single" w:color="e5e7eb" w:sz="0" w:space="0"/>
                <w:right w:val="single" w:color="e5e7eb" w:sz="0" w:space="0"/>
              </w:pBdr>
              <w:spacing/>
              <w:ind/>
              <w:jc w:val="center"/>
              <w:rPr>
                <w:b/>
                <w:bCs/>
                <w:color w:val="000000" w:themeColor="text1"/>
                <w:sz w:val="22"/>
                <w:szCs w:val="22"/>
                <w14:ligatures w14:val="none"/>
              </w:rPr>
            </w:pPr>
            <w:r>
              <w:rPr>
                <w:b/>
                <w:bCs/>
                <w:color w:val="000000" w:themeColor="text1"/>
                <w:sz w:val="22"/>
                <w:szCs w:val="22"/>
              </w:rPr>
              <w:t xml:space="preserve">10.632.064</w:t>
            </w:r>
            <w:r>
              <w:rPr>
                <w:b/>
                <w:bCs/>
                <w:color w:val="000000" w:themeColor="text1"/>
                <w:sz w:val="22"/>
                <w:szCs w:val="22"/>
              </w:rPr>
            </w:r>
            <w:r>
              <w:rPr>
                <w:b/>
                <w:bCs/>
                <w:color w:val="000000" w:themeColor="text1"/>
                <w:sz w:val="22"/>
                <w:szCs w:val="22"/>
                <w14:ligatures w14:val="none"/>
              </w:rPr>
            </w:r>
          </w:p>
        </w:tc>
        <w:tc>
          <w:tcPr>
            <w:shd w:val="clear" w:color="000000" w:fill="ffffff"/>
            <w:tcBorders/>
            <w:tcW w:w="1494" w:type="dxa"/>
            <w:vAlign w:val="center"/>
            <w:textDirection w:val="lrTb"/>
            <w:noWrap w:val="false"/>
          </w:tcPr>
          <w:p w14:paraId="68F89A59">
            <w:pPr>
              <w:pBdr>
                <w:top w:val="single" w:color="e5e7eb" w:sz="0" w:space="0"/>
                <w:left w:val="single" w:color="e5e7eb" w:sz="0" w:space="0"/>
                <w:bottom w:val="single" w:color="e5e7eb" w:sz="0" w:space="0"/>
                <w:right w:val="single" w:color="e5e7eb" w:sz="0" w:space="0"/>
              </w:pBdr>
              <w:spacing/>
              <w:ind/>
              <w:jc w:val="center"/>
              <w:rPr>
                <w:b/>
                <w:bCs/>
                <w:color w:val="000000" w:themeColor="text1"/>
                <w:sz w:val="22"/>
                <w:szCs w:val="22"/>
                <w14:ligatures w14:val="none"/>
              </w:rPr>
            </w:pPr>
            <w:r>
              <w:rPr>
                <w:b/>
                <w:bCs/>
                <w:color w:val="000000" w:themeColor="text1"/>
                <w:sz w:val="22"/>
                <w:szCs w:val="22"/>
              </w:rPr>
              <w:t xml:space="preserve">10.542.576</w:t>
            </w:r>
            <w:r>
              <w:rPr>
                <w:b/>
                <w:bCs/>
                <w:color w:val="000000" w:themeColor="text1"/>
                <w:sz w:val="22"/>
                <w:szCs w:val="22"/>
              </w:rPr>
            </w:r>
            <w:r>
              <w:rPr>
                <w:b/>
                <w:bCs/>
                <w:color w:val="000000" w:themeColor="text1"/>
                <w:sz w:val="22"/>
                <w:szCs w:val="22"/>
                <w14:ligatures w14:val="none"/>
              </w:rPr>
            </w:r>
          </w:p>
        </w:tc>
        <w:tc>
          <w:tcPr>
            <w:shd w:val="clear" w:color="000000" w:fill="ffffff"/>
            <w:tcBorders/>
            <w:tcW w:w="1550" w:type="dxa"/>
            <w:vAlign w:val="center"/>
            <w:textDirection w:val="lrTb"/>
            <w:noWrap w:val="false"/>
          </w:tcPr>
          <w:p w14:paraId="1D6F7057">
            <w:pPr>
              <w:pBdr>
                <w:top w:val="single" w:color="e5e7eb" w:sz="0" w:space="0"/>
                <w:left w:val="single" w:color="e5e7eb" w:sz="0" w:space="0"/>
                <w:bottom w:val="single" w:color="e5e7eb" w:sz="0" w:space="0"/>
                <w:right w:val="single" w:color="e5e7eb" w:sz="0" w:space="0"/>
              </w:pBdr>
              <w:spacing/>
              <w:ind/>
              <w:jc w:val="center"/>
              <w:rPr>
                <w:b/>
                <w:bCs/>
                <w:color w:val="000000" w:themeColor="text1"/>
                <w:sz w:val="22"/>
                <w:szCs w:val="22"/>
                <w14:ligatures w14:val="none"/>
              </w:rPr>
            </w:pPr>
            <w:r>
              <w:rPr>
                <w:b/>
                <w:bCs/>
                <w:color w:val="000000" w:themeColor="text1"/>
                <w:sz w:val="22"/>
                <w:szCs w:val="22"/>
              </w:rPr>
              <w:t xml:space="preserve">11.309.429</w:t>
            </w:r>
            <w:r>
              <w:rPr>
                <w:b/>
                <w:bCs/>
                <w:color w:val="000000" w:themeColor="text1"/>
                <w:sz w:val="22"/>
                <w:szCs w:val="22"/>
              </w:rPr>
            </w:r>
            <w:r>
              <w:rPr>
                <w:b/>
                <w:bCs/>
                <w:color w:val="000000" w:themeColor="text1"/>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10.828.023</w:t>
            </w:r>
            <w:r>
              <w:rPr>
                <w:color w:val="000000" w:themeColor="text1"/>
                <w:sz w:val="22"/>
                <w:szCs w:val="22"/>
              </w:rPr>
            </w:r>
            <w:r>
              <w:rPr>
                <w:color w:val="000000" w:themeColor="text1"/>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B8DA825">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-1,81%</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val="false"/>
          </w:tcPr>
          <w:p w14:paraId="07816277">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-2,64%</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val="false"/>
          </w:tcPr>
          <w:p w14:paraId="0C13AB12">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4,45%</w:t>
            </w:r>
            <w:r>
              <w:rPr>
                <w:color w:val="000000" w:themeColor="text1"/>
                <w:sz w:val="22"/>
                <w:szCs w:val="22"/>
              </w:rPr>
            </w:r>
            <w:r>
              <w:rPr>
                <w:color w:val="000000" w:themeColor="text1"/>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8ABE2BF">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10.632.061</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val="false"/>
          </w:tcPr>
          <w:p w14:paraId="2419C881">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10.542.576</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val="false"/>
          </w:tcPr>
          <w:p w14:paraId="52D676DA">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11.309.427</w:t>
            </w:r>
            <w:r>
              <w:rPr>
                <w:color w:val="000000" w:themeColor="text1"/>
                <w:sz w:val="22"/>
                <w:szCs w:val="22"/>
              </w:rPr>
            </w:r>
            <w:r>
              <w:rPr>
                <w:color w:val="000000" w:themeColor="text1"/>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5</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5</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5</w:t>
            </w:r>
            <w:r>
              <w:rPr>
                <w:color w:val="000000" w:themeColor="text1"/>
                <w:sz w:val="22"/>
                <w:szCs w:val="22"/>
              </w:rPr>
            </w:r>
            <w:r>
              <w:rPr>
                <w:color w:val="000000" w:themeColor="text1"/>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0% - 15%</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0% - 15%</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0% - 15%</w:t>
            </w:r>
            <w:r>
              <w:rPr>
                <w:color w:val="000000" w:themeColor="text1"/>
                <w:sz w:val="22"/>
                <w:szCs w:val="22"/>
              </w:rPr>
            </w:r>
            <w:r>
              <w:rPr>
                <w:color w:val="000000" w:themeColor="text1"/>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E77B3FF">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7.699.079</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tcPr>
          <w:p w14:paraId="511563A1">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7.634.280</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tcPr>
          <w:p w14:paraId="49C2B4D2">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8.189.585</w:t>
            </w:r>
            <w:r>
              <w:rPr>
                <w:color w:val="000000" w:themeColor="text1"/>
                <w:sz w:val="22"/>
                <w:szCs w:val="22"/>
              </w:rPr>
            </w:r>
            <w:r>
              <w:rPr>
                <w:color w:val="000000" w:themeColor="text1"/>
                <w:sz w:val="22"/>
                <w:szCs w:val="22"/>
                <w14:ligatures w14:val="none"/>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w:t>
      </w:r>
      <w:r>
        <w:rPr>
          <w:highlight w:val="white"/>
        </w:rPr>
        <w:t xml:space="preserve">ng </w:t>
      </w:r>
      <w:r>
        <w:rPr>
          <w:highlight w:val="white"/>
        </w:rPr>
        <w:t xml:space="preserve">từ </w:t>
      </w:r>
      <w:r>
        <w:rPr>
          <w:highlight w:val="white"/>
        </w:rPr>
        <w:t xml:space="preserve"> </w:t>
      </w:r>
      <w:r>
        <w:rPr>
          <w:highlight w:val="white"/>
        </w:rPr>
        <w:t xml:space="preserve">-2,64</w:t>
      </w:r>
      <w:r>
        <w:rPr>
          <w:highlight w:val="white"/>
        </w:rPr>
        <w:t xml:space="preserve">% đến</w:t>
      </w:r>
      <w:r>
        <w:rPr>
          <w:highlight w:val="white"/>
        </w:rPr>
        <w:t xml:space="preserve"> </w:t>
      </w:r>
      <w:r>
        <w:rPr>
          <w:highlight w:val="white"/>
        </w:rPr>
        <w:t xml:space="preserve"> </w:t>
      </w:r>
      <w:r>
        <w:rPr>
          <w:highlight w:val="white"/>
        </w:rPr>
        <w:t xml:space="preserve">4,45%, đ</w:t>
      </w:r>
      <w:r>
        <w:rPr>
          <w:highlight w:val="white"/>
        </w:rPr>
        <w:t xml:space="preserve">ảm bảo</w:t>
      </w:r>
      <w:r>
        <w:t xml:space="preserve">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14:ligatures w14:val="none"/>
              </w:rPr>
            </w:pPr>
            <w:r>
              <w:rPr>
                <w:color w:val="000000"/>
                <w:highlight w:val="white"/>
              </w:rPr>
            </w:r>
            <w:r>
              <w:rPr>
                <w:color w:val="000000"/>
                <w:highlight w:val="white"/>
              </w:rPr>
              <w:t xml:space="preserve">10.632.064</w:t>
            </w:r>
            <w:r>
              <w:rPr>
                <w:color w:val="000000"/>
                <w:highlight w:val="white"/>
              </w:rPr>
            </w:r>
            <w:r>
              <w:rPr>
                <w:color w:val="000000"/>
                <w:highlight w:val="white"/>
                <w14:ligatures w14: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14:ligatures w14:val="none"/>
              </w:rPr>
            </w:pPr>
            <w:r>
              <w:rPr>
                <w:color w:val="000000"/>
                <w:highlight w:val="white"/>
              </w:rPr>
            </w:r>
            <w:r>
              <w:rPr>
                <w:color w:val="000000"/>
                <w:highlight w:val="white"/>
              </w:rPr>
              <w:t xml:space="preserve">3.544.730</w:t>
            </w:r>
            <w:r>
              <w:rPr>
                <w:color w:val="000000"/>
                <w:highlight w:val="white"/>
              </w:rPr>
            </w:r>
            <w:r>
              <w:rPr>
                <w:color w:val="000000"/>
                <w:highlight w:val="white"/>
                <w14:ligatures w14: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14:ligatures w14:val="none"/>
              </w:rPr>
            </w:pPr>
            <w:r>
              <w:rPr>
                <w:color w:val="000000"/>
                <w:highlight w:val="white"/>
              </w:rPr>
            </w:r>
            <w:r>
              <w:rPr>
                <w:color w:val="000000"/>
                <w:highlight w:val="white"/>
              </w:rPr>
              <w:t xml:space="preserve">10.542.576</w:t>
            </w:r>
            <w:r>
              <w:rPr>
                <w:color w:val="000000"/>
                <w:highlight w:val="white"/>
              </w:rPr>
            </w:r>
            <w:r>
              <w:rPr>
                <w:color w:val="000000"/>
                <w:highlight w:val="white"/>
                <w14:ligatures w14: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14:ligatures w14:val="none"/>
              </w:rPr>
            </w:pPr>
            <w:r>
              <w:rPr>
                <w:color w:val="000000"/>
                <w:highlight w:val="white"/>
              </w:rPr>
            </w:r>
            <w:r>
              <w:rPr>
                <w:color w:val="000000"/>
                <w:highlight w:val="white"/>
              </w:rPr>
              <w:t xml:space="preserve">3.513.841</w:t>
            </w:r>
            <w:r>
              <w:rPr>
                <w:color w:val="000000"/>
                <w:highlight w:val="white"/>
              </w:rPr>
            </w:r>
            <w:r>
              <w:rPr>
                <w:color w:val="000000"/>
                <w:highlight w:val="white"/>
                <w14:ligatures w14: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14:ligatures w14:val="none"/>
              </w:rPr>
            </w:pPr>
            <w:r>
              <w:rPr>
                <w:color w:val="000000"/>
                <w:highlight w:val="white"/>
              </w:rPr>
            </w:r>
            <w:r>
              <w:rPr>
                <w:color w:val="000000"/>
                <w:highlight w:val="white"/>
              </w:rPr>
              <w:t xml:space="preserve">11.309.429</w:t>
            </w:r>
            <w:r>
              <w:rPr>
                <w:color w:val="000000"/>
                <w:highlight w:val="white"/>
              </w:rPr>
            </w:r>
            <w:r>
              <w:rPr>
                <w:color w:val="000000"/>
                <w:highlight w:val="white"/>
                <w14:ligatures w14: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14:ligatures w14:val="none"/>
              </w:rPr>
            </w:pPr>
            <w:r>
              <w:rPr>
                <w:color w:val="000000"/>
                <w:highlight w:val="white"/>
              </w:rPr>
            </w:r>
            <w:r>
              <w:rPr>
                <w:color w:val="000000"/>
                <w:highlight w:val="white"/>
              </w:rPr>
              <w:t xml:space="preserve">3.769.433</w:t>
            </w:r>
            <w:r>
              <w:rPr>
                <w:color w:val="000000"/>
                <w:highlight w:val="white"/>
              </w:rPr>
            </w:r>
            <w:r>
              <w:rPr>
                <w:color w:val="000000"/>
                <w:highlight w:val="white"/>
                <w14:ligatures w14: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14:ligatures w14:val="none"/>
              </w:rPr>
            </w:pPr>
            <w:r>
              <w:rPr>
                <w:color w:val="000000"/>
                <w:highlight w:val="white"/>
              </w:rPr>
            </w:r>
            <w:r>
              <w:rPr>
                <w:color w:val="000000"/>
                <w:highlight w:val="white"/>
              </w:rPr>
              <w:t xml:space="preserve">10.828.003</w:t>
            </w:r>
            <w:r>
              <w:rPr>
                <w:color w:val="000000"/>
                <w:highlight w:val="white"/>
              </w:rPr>
            </w:r>
            <w:r>
              <w:rPr>
                <w:color w:val="000000"/>
                <w:highlight w:val="white"/>
                <w14:ligatures w14: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10.800.000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10.800.000</w:t>
      </w:r>
      <w:r>
        <w:rPr>
          <w:b/>
          <w:bCs/>
          <w:color w:val="000000" w:themeColor="text1"/>
        </w:rPr>
        <w:t xml:space="preserve"> </w:t>
      </w:r>
      <w:r>
        <w:rPr>
          <w:b/>
          <w:bCs/>
        </w:rPr>
        <w:t xml:space="preserve">đồng/m².</w:t>
      </w:r>
      <w:r>
        <w:rPr>
          <w:b/>
          <w:bCs/>
          <w:highlight w:val="none"/>
        </w:rPr>
      </w:r>
      <w:r>
        <w:rPr>
          <w:b/>
          <w:bCs/>
          <w:highlight w:val="none"/>
        </w:rPr>
      </w:r>
    </w:p>
    <w:p>
      <w:pPr>
        <w:pBdr/>
        <w:spacing w:after="120" w:before="120" w:line="276" w:lineRule="auto"/>
        <w:ind/>
        <w:jc w:val="both"/>
        <w:rPr>
          <w:b/>
          <w:bCs/>
          <w:highlight w:val="none"/>
        </w:rPr>
      </w:pPr>
      <w:r>
        <w:rPr>
          <w:b/>
          <w:bCs/>
          <w:highlight w:val="none"/>
        </w:rPr>
      </w:r>
      <w:r>
        <w:rPr>
          <w:b/>
          <w:highlight w:val="none"/>
          <w:lang w:val="pt-BR" w:bidi="pt-BR"/>
        </w:rPr>
        <w:t xml:space="preserve">1.2. Xác định</w:t>
      </w:r>
      <w:r>
        <w:rPr>
          <w:b/>
          <w:lang w:val="pt-BR"/>
        </w:rPr>
        <w:t xml:space="preserve"> đơn giá</w:t>
      </w:r>
      <w:r>
        <w:rPr>
          <w:b/>
          <w:lang w:val="pt-BR"/>
        </w:rPr>
        <w:t xml:space="preserve"> quyền sử dụng đ</w:t>
      </w:r>
      <w:r>
        <w:rPr>
          <w:b/>
          <w:bCs/>
          <w:lang w:val="pt-BR"/>
        </w:rPr>
        <w:t xml:space="preserve">ấ</w:t>
      </w:r>
      <w:r>
        <w:rPr>
          <w:b/>
          <w:bCs/>
          <w:lang w:val="pt-BR"/>
        </w:rPr>
        <w:t xml:space="preserve">t</w:t>
      </w:r>
      <w:r>
        <w:rPr>
          <w:b/>
          <w:bCs/>
        </w:rPr>
        <w:t xml:space="preserve"> của thửa đất </w:t>
      </w:r>
      <w:r>
        <w:rPr>
          <w:b/>
          <w:bCs/>
          <w:highlight w:val="none"/>
          <w:lang w:val="pt-BR"/>
        </w:rPr>
        <w:t xml:space="preserve">616, tờ bản đồ số 30:</w:t>
      </w:r>
      <w:r>
        <w:rPr>
          <w:b/>
          <w:bCs/>
          <w:highlight w:val="none"/>
        </w:rPr>
      </w:r>
      <w:r>
        <w:rPr>
          <w:b/>
          <w:bCs/>
          <w:highlight w:val="none"/>
        </w:rPr>
      </w:r>
    </w:p>
    <w:p>
      <w:pPr>
        <w:pBdr/>
        <w:spacing w:after="120" w:before="120" w:line="276" w:lineRule="auto"/>
        <w:ind/>
        <w:jc w:val="both"/>
        <w:rPr>
          <w:b/>
          <w:bCs/>
          <w:highlight w:val="none"/>
        </w:rPr>
      </w:pPr>
      <w:r>
        <w:rPr>
          <w:b/>
          <w:bCs/>
          <w:highlight w:val="none"/>
        </w:rPr>
        <w:t xml:space="preserve">1.2.1 Xác định đơn giá quyền sử dụng đất ở tại đô thị: </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29" w:firstLine="0" w:left="0"/>
        <w:jc w:val="both"/>
        <w:rPr>
          <w:highlight w:val="none"/>
        </w:rPr>
      </w:pPr>
      <w:r>
        <w:rPr>
          <w:rFonts w:ascii="Times New Roman" w:hAnsi="Times New Roman" w:eastAsia="Times New Roman" w:cs="Times New Roman"/>
          <w:color w:val="000000"/>
          <w:spacing w:val="-2"/>
          <w:sz w:val="24"/>
        </w:rPr>
        <w:t xml:space="preserve">Thửa đất 616 hiện không tiếp giáp đường, nằm tiếp giáp bên cạnh thửa đất số 651,</w:t>
      </w:r>
      <w:r>
        <w:rPr>
          <w:rFonts w:ascii="Times New Roman" w:hAnsi="Times New Roman" w:eastAsia="Times New Roman" w:cs="Times New Roman"/>
          <w:color w:val="000000"/>
          <w:sz w:val="24"/>
        </w:rPr>
        <w:t xml:space="preserve"> có các đặc điểm tương đối tương đồng nhau, có cùng hạ tầng kỹ thuật. Dó đó, Tổ thẩm định lựa chọn Thửa đất theo thửa đất số 651 làm tài sản tham chiếu để điều chỉnh xác địn</w:t>
      </w:r>
      <w:r>
        <w:rPr>
          <w:rFonts w:ascii="Times New Roman" w:hAnsi="Times New Roman" w:eastAsia="Times New Roman" w:cs="Times New Roman"/>
          <w:color w:val="000000"/>
          <w:sz w:val="24"/>
        </w:rPr>
        <w:t xml:space="preserve">h đơn giá thửa đất 616. Cụ thể như sau:</w:t>
      </w:r>
      <w:r>
        <w:rPr>
          <w:highlight w:val="none"/>
        </w:rPr>
      </w:r>
      <w:r>
        <w:rPr>
          <w:highlight w:val="none"/>
        </w:rPr>
      </w:r>
    </w:p>
    <w:tbl>
      <w:tblPr>
        <w:tblStyle w:val="104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197"/>
        <w:gridCol w:w="1445"/>
        <w:gridCol w:w="1600"/>
        <w:gridCol w:w="1718"/>
        <w:gridCol w:w="1718"/>
        <w:gridCol w:w="1718"/>
        <w:gridCol w:w="1718"/>
      </w:tblGrid>
      <w:tr>
        <w:trPr>
          <w:trHeight w:val="312"/>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197"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Thông tin</w:t>
            </w:r>
            <w:r/>
          </w:p>
        </w:tc>
        <w:tc>
          <w:tcPr>
            <w:tcBorders>
              <w:top w:val="single" w:color="000000" w:sz="5" w:space="0"/>
              <w:bottom w:val="single" w:color="000000" w:sz="5" w:space="0"/>
              <w:right w:val="single" w:color="000000" w:sz="5" w:space="0"/>
            </w:tcBorders>
            <w:tcMar>
              <w:left w:w="0" w:type="dxa"/>
              <w:top w:w="0" w:type="dxa"/>
              <w:right w:w="0" w:type="dxa"/>
              <w:bottom w:w="0" w:type="dxa"/>
            </w:tcMar>
            <w:tcW w:w="1445"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TSTĐ</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00"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TSTC</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18"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Hệ số điều chỉnh</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18" w:type="dxa"/>
            <w:vAlign w:val="bottom"/>
            <w:textDirection w:val="lrTb"/>
            <w:noWrap/>
          </w:tcPr>
          <w:p>
            <w:pPr>
              <w:pBdr/>
              <w:spacing/>
              <w:ind/>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 Tổng tỷ lệ điều chỉnh</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18" w:type="dxa"/>
            <w:vAlign w:val="bottom"/>
            <w:textDirection w:val="lrTb"/>
            <w:noWrap/>
          </w:tcPr>
          <w:p>
            <w:pPr>
              <w:pBdr/>
              <w:spacing/>
              <w:ind/>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b/>
                <w:color w:val="000000"/>
                <w:sz w:val="24"/>
              </w:rPr>
              <w:t xml:space="preserve">Đơn giá tài sản tham chiếu (Đồng)</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18" w:type="dxa"/>
            <w:vAlign w:val="bottom"/>
            <w:textDirection w:val="lrTb"/>
            <w:noWrap/>
          </w:tcPr>
          <w:p>
            <w:pPr>
              <w:pBdr/>
              <w:spacing/>
              <w:ind/>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b/>
                <w:color w:val="000000"/>
                <w:sz w:val="24"/>
              </w:rPr>
              <w:t xml:space="preserve">Đơn giá tài sản thẩm định (Đồng)</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tc>
      </w:tr>
      <w:tr>
        <w:trPr>
          <w:trHeight w:val="294"/>
        </w:trPr>
        <w:tc>
          <w:tcPr>
            <w:tcBorders>
              <w:left w:val="single" w:color="000000" w:sz="5" w:space="0"/>
              <w:bottom w:val="single" w:color="000000" w:sz="5" w:space="0"/>
              <w:right w:val="single" w:color="000000" w:sz="5" w:space="0"/>
            </w:tcBorders>
            <w:tcMar>
              <w:left w:w="0" w:type="dxa"/>
              <w:top w:w="0" w:type="dxa"/>
              <w:right w:w="0" w:type="dxa"/>
              <w:bottom w:w="0" w:type="dxa"/>
            </w:tcMar>
            <w:tcW w:w="1197"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Diện tích</w:t>
            </w:r>
            <w:r/>
          </w:p>
        </w:tc>
        <w:tc>
          <w:tcPr>
            <w:tcBorders>
              <w:bottom w:val="single" w:color="000000" w:sz="5" w:space="0"/>
              <w:right w:val="single" w:color="000000" w:sz="5" w:space="0"/>
            </w:tcBorders>
            <w:tcMar>
              <w:left w:w="0" w:type="dxa"/>
              <w:top w:w="0" w:type="dxa"/>
              <w:right w:w="0" w:type="dxa"/>
              <w:bottom w:w="0" w:type="dxa"/>
            </w:tcMar>
            <w:tcW w:w="1445"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219,8</w:t>
            </w:r>
            <w:r/>
          </w:p>
        </w:tc>
        <w:tc>
          <w:tcPr>
            <w:tcBorders>
              <w:bottom w:val="single" w:color="000000" w:sz="5" w:space="0"/>
              <w:right w:val="single" w:color="000000" w:sz="5" w:space="0"/>
            </w:tcBorders>
            <w:tcMar>
              <w:left w:w="0" w:type="dxa"/>
              <w:top w:w="0" w:type="dxa"/>
              <w:right w:w="0" w:type="dxa"/>
              <w:bottom w:w="0" w:type="dxa"/>
            </w:tcMar>
            <w:tcW w:w="1600"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791,2</w:t>
            </w:r>
            <w:r/>
          </w:p>
        </w:tc>
        <w:tc>
          <w:tcPr>
            <w:tcBorders>
              <w:bottom w:val="single" w:color="000000" w:sz="5" w:space="0"/>
              <w:right w:val="single" w:color="000000" w:sz="5" w:space="0"/>
            </w:tcBorders>
            <w:tcMar>
              <w:left w:w="0" w:type="dxa"/>
              <w:top w:w="0" w:type="dxa"/>
              <w:right w:w="0" w:type="dxa"/>
              <w:bottom w:w="0" w:type="dxa"/>
            </w:tcMar>
            <w:tcW w:w="1718"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5" w:space="0"/>
              <w:right w:val="single" w:color="000000" w:sz="5" w:space="0"/>
            </w:tcBorders>
            <w:tcMar>
              <w:left w:w="0" w:type="dxa"/>
              <w:top w:w="0" w:type="dxa"/>
              <w:right w:w="0" w:type="dxa"/>
              <w:bottom w:w="0" w:type="dxa"/>
            </w:tcMar>
            <w:tcW w:w="1472" w:type="dxa"/>
            <w:vAlign w:val="bottom"/>
            <w:vMerge w:val="restart"/>
            <w:textDirection w:val="lrTb"/>
            <w:noWrap/>
          </w:tcPr>
          <w:p>
            <w:pPr>
              <w:pBdr/>
              <w:spacing/>
              <w:ind/>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-35%</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ind/>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ind/>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c>
          <w:tcPr>
            <w:tcBorders>
              <w:bottom w:val="single" w:color="000000" w:sz="5" w:space="0"/>
              <w:right w:val="single" w:color="000000" w:sz="5" w:space="0"/>
            </w:tcBorders>
            <w:tcMar>
              <w:left w:w="0" w:type="dxa"/>
              <w:top w:w="0" w:type="dxa"/>
              <w:right w:w="0" w:type="dxa"/>
              <w:bottom w:w="0" w:type="dxa"/>
            </w:tcMar>
            <w:tcW w:w="1718" w:type="dxa"/>
            <w:vAlign w:val="bottom"/>
            <w:textDirection w:val="lrTb"/>
            <w:noWrap/>
          </w:tcPr>
          <w:p>
            <w:pPr>
              <w:pBdr/>
              <w:spacing/>
              <w:ind/>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c>
          <w:tcPr>
            <w:tcBorders>
              <w:bottom w:val="single" w:color="000000" w:sz="5" w:space="0"/>
              <w:right w:val="single" w:color="000000" w:sz="5" w:space="0"/>
            </w:tcBorders>
            <w:tcMar>
              <w:left w:w="0" w:type="dxa"/>
              <w:top w:w="0" w:type="dxa"/>
              <w:right w:w="0" w:type="dxa"/>
              <w:bottom w:w="0" w:type="dxa"/>
            </w:tcMar>
            <w:tcW w:w="1718" w:type="dxa"/>
            <w:vAlign w:val="bottom"/>
            <w:textDirection w:val="lrTb"/>
            <w:noWrap/>
          </w:tcPr>
          <w:p>
            <w:pPr>
              <w:pBdr/>
              <w:spacing/>
              <w:ind/>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r>
        <w:trPr>
          <w:trHeight w:val="1872"/>
        </w:trPr>
        <w:tc>
          <w:tcPr>
            <w:tcBorders>
              <w:left w:val="single" w:color="000000" w:sz="5" w:space="0"/>
              <w:bottom w:val="single" w:color="000000" w:sz="5" w:space="0"/>
              <w:right w:val="single" w:color="000000" w:sz="5" w:space="0"/>
            </w:tcBorders>
            <w:tcMar>
              <w:left w:w="0" w:type="dxa"/>
              <w:top w:w="0" w:type="dxa"/>
              <w:right w:w="0" w:type="dxa"/>
              <w:bottom w:w="0" w:type="dxa"/>
            </w:tcMar>
            <w:tcW w:w="1197"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Mặt tiền</w:t>
            </w:r>
            <w:r/>
          </w:p>
        </w:tc>
        <w:tc>
          <w:tcPr>
            <w:tcBorders>
              <w:bottom w:val="single" w:color="000000" w:sz="5" w:space="0"/>
              <w:right w:val="single" w:color="000000" w:sz="5" w:space="0"/>
            </w:tcBorders>
            <w:tcMar>
              <w:left w:w="0" w:type="dxa"/>
              <w:top w:w="0" w:type="dxa"/>
              <w:right w:w="0" w:type="dxa"/>
              <w:bottom w:w="0" w:type="dxa"/>
            </w:tcMar>
            <w:tcW w:w="1445" w:type="dxa"/>
            <w:vAlign w:val="bottom"/>
            <w:textDirection w:val="lrTb"/>
            <w:noWrap w:val="false"/>
          </w:tcPr>
          <w:p w14:paraId="08768607">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Không có mặt tiền tiếp giáp với đường Nguyễn Thiện Thuật</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600" w:type="dxa"/>
            <w:vAlign w:val="bottom"/>
            <w:textDirection w:val="lrTb"/>
            <w:noWrap w:val="false"/>
          </w:tcPr>
          <w:p w14:paraId="16EF4654">
            <w:pPr>
              <w:pBdr/>
              <w:spacing w:after="0" w:before="0" w:line="240" w:lineRule="auto"/>
              <w:ind/>
              <w:jc w:val="center"/>
              <w:rPr>
                <w:highlight w:val="white"/>
              </w:rPr>
            </w:pPr>
            <w:r>
              <w:rPr>
                <w:highlight w:val="white"/>
              </w:rPr>
            </w:r>
            <w:r>
              <w:rPr>
                <w:rFonts w:ascii="Times New Roman" w:hAnsi="Times New Roman" w:eastAsia="Times New Roman" w:cs="Times New Roman"/>
                <w:color w:val="000000"/>
                <w:sz w:val="24"/>
                <w:highlight w:val="white"/>
              </w:rPr>
              <w:t xml:space="preserve">13,34m tiếp giáp với đường Nguyễn Thiện Thuậ</w:t>
            </w:r>
            <w:r>
              <w:rPr>
                <w:rFonts w:ascii="Times New Roman" w:hAnsi="Times New Roman" w:eastAsia="Times New Roman" w:cs="Times New Roman"/>
                <w:color w:val="000000"/>
                <w:sz w:val="24"/>
                <w:highlight w:val="white"/>
              </w:rPr>
              <w:t xml:space="preserve">t</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718"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-15%</w:t>
            </w:r>
            <w:r/>
          </w:p>
        </w:tc>
        <w:tc>
          <w:tcPr>
            <w:tcBorders>
              <w:bottom w:val="single" w:color="000000" w:sz="5" w:space="0"/>
              <w:right w:val="single" w:color="000000" w:sz="5" w:space="0"/>
            </w:tcBorders>
            <w:tcMar>
              <w:left w:w="0" w:type="dxa"/>
              <w:top w:w="0" w:type="dxa"/>
              <w:right w:w="0" w:type="dxa"/>
              <w:bottom w:w="0" w:type="dxa"/>
            </w:tcMar>
            <w:tcW w:w="1472" w:type="dxa"/>
            <w:vAlign w:val="bottom"/>
            <w:vMerge w:val="continue"/>
            <w:textDirection w:val="lrTb"/>
            <w:noWrap/>
          </w:tcPr>
          <w:p w14:paraId="75E40CB6">
            <w:pPr>
              <w:pBdr/>
              <w:spacing/>
              <w:ind/>
              <w:rPr/>
            </w:pPr>
            <w:r/>
            <w:r/>
          </w:p>
        </w:tc>
        <w:tc>
          <w:tcPr>
            <w:tcBorders>
              <w:bottom w:val="single" w:color="000000" w:sz="5" w:space="0"/>
              <w:right w:val="single" w:color="000000" w:sz="5" w:space="0"/>
            </w:tcBorders>
            <w:tcMar>
              <w:left w:w="0" w:type="dxa"/>
              <w:top w:w="0" w:type="dxa"/>
              <w:right w:w="0" w:type="dxa"/>
              <w:bottom w:w="0" w:type="dxa"/>
            </w:tcMar>
            <w:tcW w:w="1718" w:type="dxa"/>
            <w:vAlign w:val="bottom"/>
            <w:textDirection w:val="lrTb"/>
            <w:noWrap/>
          </w:tcPr>
          <w:p>
            <w:pPr>
              <w:pBdr/>
              <w:spacing/>
              <w:ind/>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10.800.000</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c>
          <w:tcPr>
            <w:tcBorders>
              <w:bottom w:val="single" w:color="000000" w:sz="5" w:space="0"/>
              <w:right w:val="single" w:color="000000" w:sz="5" w:space="0"/>
            </w:tcBorders>
            <w:tcMar>
              <w:left w:w="0" w:type="dxa"/>
              <w:top w:w="0" w:type="dxa"/>
              <w:right w:w="0" w:type="dxa"/>
              <w:bottom w:w="0" w:type="dxa"/>
            </w:tcMar>
            <w:tcW w:w="1718" w:type="dxa"/>
            <w:vAlign w:val="bottom"/>
            <w:textDirection w:val="lrTb"/>
            <w:noWrap/>
          </w:tcPr>
          <w:p w14:paraId="6E520579">
            <w:pPr>
              <w:pBdr/>
              <w:spacing w:after="0" w:before="0" w:line="240" w:lineRule="auto"/>
              <w:ind/>
              <w:rPr/>
            </w:pPr>
            <w:r>
              <w:rPr>
                <w:rFonts w:ascii="Times New Roman" w:hAnsi="Times New Roman" w:eastAsia="Times New Roman" w:cs="Times New Roman"/>
                <w:color w:val="000000"/>
                <w:sz w:val="24"/>
              </w:rPr>
              <w:t xml:space="preserve">    7.020.000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197"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1445"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Đa giác</w:t>
            </w:r>
            <w:r/>
          </w:p>
        </w:tc>
        <w:tc>
          <w:tcPr>
            <w:tcBorders>
              <w:bottom w:val="single" w:color="000000" w:sz="5" w:space="0"/>
              <w:right w:val="single" w:color="000000" w:sz="5" w:space="0"/>
            </w:tcBorders>
            <w:tcMar>
              <w:left w:w="0" w:type="dxa"/>
              <w:top w:w="0" w:type="dxa"/>
              <w:right w:w="0" w:type="dxa"/>
              <w:bottom w:w="0" w:type="dxa"/>
            </w:tcMar>
            <w:tcW w:w="1600"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Đa giác</w:t>
            </w:r>
            <w:r/>
          </w:p>
        </w:tc>
        <w:tc>
          <w:tcPr>
            <w:tcBorders>
              <w:bottom w:val="single" w:color="000000" w:sz="5" w:space="0"/>
              <w:right w:val="single" w:color="000000" w:sz="5" w:space="0"/>
            </w:tcBorders>
            <w:tcMar>
              <w:left w:w="0" w:type="dxa"/>
              <w:top w:w="0" w:type="dxa"/>
              <w:right w:w="0" w:type="dxa"/>
              <w:bottom w:w="0" w:type="dxa"/>
            </w:tcMar>
            <w:tcW w:w="1718"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1718" w:type="dxa"/>
            <w:vAlign w:val="bottom"/>
            <w:vMerge w:val="continue"/>
            <w:textDirection w:val="lrTb"/>
            <w:noWrap/>
          </w:tcPr>
          <w:p w14:paraId="58E680C2">
            <w:pPr>
              <w:pBdr/>
              <w:spacing/>
              <w:ind/>
              <w:rPr/>
            </w:pPr>
            <w:r/>
            <w:r/>
          </w:p>
        </w:tc>
        <w:tc>
          <w:tcPr>
            <w:tcBorders>
              <w:bottom w:val="single" w:color="000000" w:sz="5" w:space="0"/>
              <w:right w:val="single" w:color="000000" w:sz="5" w:space="0"/>
            </w:tcBorders>
            <w:tcMar>
              <w:left w:w="0" w:type="dxa"/>
              <w:top w:w="0" w:type="dxa"/>
              <w:right w:w="0" w:type="dxa"/>
              <w:bottom w:w="0" w:type="dxa"/>
            </w:tcMar>
            <w:tcW w:w="1718" w:type="dxa"/>
            <w:vAlign w:val="bottom"/>
            <w:textDirection w:val="lrTb"/>
            <w:noWrap/>
          </w:tcPr>
          <w:p>
            <w:pPr>
              <w:pBdr/>
              <w:spacing/>
              <w:ind/>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c>
          <w:tcPr>
            <w:tcBorders>
              <w:bottom w:val="single" w:color="000000" w:sz="5" w:space="0"/>
              <w:right w:val="single" w:color="000000" w:sz="5" w:space="0"/>
            </w:tcBorders>
            <w:tcMar>
              <w:left w:w="0" w:type="dxa"/>
              <w:top w:w="0" w:type="dxa"/>
              <w:right w:w="0" w:type="dxa"/>
              <w:bottom w:w="0" w:type="dxa"/>
            </w:tcMar>
            <w:tcW w:w="1718" w:type="dxa"/>
            <w:vAlign w:val="bottom"/>
            <w:textDirection w:val="lrTb"/>
            <w:noWrap/>
          </w:tcPr>
          <w:p>
            <w:pPr>
              <w:pBdr/>
              <w:spacing/>
              <w:ind/>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r>
        <w:trPr>
          <w:trHeight w:val="936"/>
        </w:trPr>
        <w:tc>
          <w:tcPr>
            <w:tcBorders>
              <w:left w:val="single" w:color="000000" w:sz="5" w:space="0"/>
              <w:bottom w:val="single" w:color="000000" w:sz="5" w:space="0"/>
              <w:right w:val="single" w:color="000000" w:sz="5" w:space="0"/>
            </w:tcBorders>
            <w:tcMar>
              <w:left w:w="0" w:type="dxa"/>
              <w:top w:w="0" w:type="dxa"/>
              <w:right w:w="0" w:type="dxa"/>
              <w:bottom w:w="0" w:type="dxa"/>
            </w:tcMar>
            <w:tcW w:w="1197"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Vị trí</w:t>
            </w:r>
            <w:r/>
          </w:p>
        </w:tc>
        <w:tc>
          <w:tcPr>
            <w:tcBorders>
              <w:bottom w:val="single" w:color="000000" w:sz="5" w:space="0"/>
              <w:right w:val="single" w:color="000000" w:sz="5" w:space="0"/>
            </w:tcBorders>
            <w:tcMar>
              <w:left w:w="0" w:type="dxa"/>
              <w:top w:w="0" w:type="dxa"/>
              <w:right w:w="0" w:type="dxa"/>
              <w:bottom w:w="0" w:type="dxa"/>
            </w:tcMar>
            <w:tcW w:w="1445"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Cách mặt đường 37,67m</w:t>
            </w:r>
            <w:r/>
          </w:p>
        </w:tc>
        <w:tc>
          <w:tcPr>
            <w:tcBorders>
              <w:bottom w:val="single" w:color="000000" w:sz="5" w:space="0"/>
              <w:right w:val="single" w:color="000000" w:sz="5" w:space="0"/>
            </w:tcBorders>
            <w:tcMar>
              <w:left w:w="0" w:type="dxa"/>
              <w:top w:w="0" w:type="dxa"/>
              <w:right w:w="0" w:type="dxa"/>
              <w:bottom w:w="0" w:type="dxa"/>
            </w:tcMar>
            <w:tcW w:w="1600"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Tiếp giáp với trục chính</w:t>
            </w:r>
            <w:r/>
          </w:p>
        </w:tc>
        <w:tc>
          <w:tcPr>
            <w:tcBorders>
              <w:bottom w:val="single" w:color="000000" w:sz="5" w:space="0"/>
              <w:right w:val="single" w:color="000000" w:sz="5" w:space="0"/>
            </w:tcBorders>
            <w:tcMar>
              <w:left w:w="0" w:type="dxa"/>
              <w:top w:w="0" w:type="dxa"/>
              <w:right w:w="0" w:type="dxa"/>
              <w:bottom w:w="0" w:type="dxa"/>
            </w:tcMar>
            <w:tcW w:w="1718"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-30%</w:t>
            </w:r>
            <w:r/>
          </w:p>
        </w:tc>
        <w:tc>
          <w:tcPr>
            <w:tcBorders>
              <w:bottom w:val="single" w:color="000000" w:sz="5" w:space="0"/>
              <w:right w:val="single" w:color="000000" w:sz="5" w:space="0"/>
            </w:tcBorders>
            <w:tcMar>
              <w:left w:w="0" w:type="dxa"/>
              <w:top w:w="0" w:type="dxa"/>
              <w:right w:w="0" w:type="dxa"/>
              <w:bottom w:w="0" w:type="dxa"/>
            </w:tcMar>
            <w:tcW w:w="1718" w:type="dxa"/>
            <w:vAlign w:val="bottom"/>
            <w:vMerge w:val="continue"/>
            <w:textDirection w:val="lrTb"/>
            <w:noWrap/>
          </w:tcPr>
          <w:p w14:paraId="5A9E84E9">
            <w:pPr>
              <w:pBdr/>
              <w:spacing/>
              <w:ind/>
              <w:rPr/>
            </w:pPr>
            <w:r/>
            <w:r/>
          </w:p>
        </w:tc>
        <w:tc>
          <w:tcPr>
            <w:tcBorders>
              <w:bottom w:val="single" w:color="000000" w:sz="5" w:space="0"/>
              <w:right w:val="single" w:color="000000" w:sz="5" w:space="0"/>
            </w:tcBorders>
            <w:tcMar>
              <w:left w:w="0" w:type="dxa"/>
              <w:top w:w="0" w:type="dxa"/>
              <w:right w:w="0" w:type="dxa"/>
              <w:bottom w:w="0" w:type="dxa"/>
            </w:tcMar>
            <w:tcW w:w="1718" w:type="dxa"/>
            <w:vAlign w:val="bottom"/>
            <w:textDirection w:val="lrTb"/>
            <w:noWrap/>
          </w:tcPr>
          <w:p>
            <w:pPr>
              <w:pBdr/>
              <w:spacing/>
              <w:ind/>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c>
          <w:tcPr>
            <w:tcBorders>
              <w:bottom w:val="single" w:color="000000" w:sz="5" w:space="0"/>
              <w:right w:val="single" w:color="000000" w:sz="5" w:space="0"/>
            </w:tcBorders>
            <w:tcMar>
              <w:left w:w="0" w:type="dxa"/>
              <w:top w:w="0" w:type="dxa"/>
              <w:right w:w="0" w:type="dxa"/>
              <w:bottom w:w="0" w:type="dxa"/>
            </w:tcMar>
            <w:tcW w:w="1718" w:type="dxa"/>
            <w:vAlign w:val="bottom"/>
            <w:textDirection w:val="lrTb"/>
            <w:noWrap/>
          </w:tcPr>
          <w:p>
            <w:pPr>
              <w:pBdr/>
              <w:spacing/>
              <w:ind/>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bl>
    <w:p>
      <w:pPr>
        <w:pBdr/>
        <w:spacing w:after="120" w:before="120" w:line="276" w:lineRule="auto"/>
        <w:ind/>
        <w:jc w:val="both"/>
        <w:rPr>
          <w:b/>
          <w:bCs/>
          <w:highlight w:val="none"/>
        </w:rPr>
      </w:pPr>
      <w:r>
        <w:rPr>
          <w:b/>
          <w:bCs/>
          <w:highlight w:val="none"/>
        </w:rPr>
        <w:t xml:space="preserve">1.2.2</w:t>
      </w:r>
      <w:r>
        <w:rPr>
          <w:b/>
          <w:bCs/>
          <w:highlight w:val="none"/>
        </w:rPr>
        <w:t xml:space="preserve"> Xác định đơn giá quyền sử dụng đất trồng cây lâu năm: </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hd w:val="clear" w:color="ffffff" w:fill="ffffff"/>
        <w:spacing w:after="150" w:before="0"/>
        <w:ind w:right="0" w:firstLine="0" w:left="0"/>
        <w:rPr>
          <w:b w:val="0"/>
          <w:bCs w:val="0"/>
          <w:highlight w:val="none"/>
          <w14:ligatures w14:val="none"/>
        </w:rPr>
      </w:pPr>
      <w:r>
        <w:rPr>
          <w:b/>
          <w:bCs/>
          <w:highlight w:val="none"/>
        </w:rPr>
        <w:t xml:space="preserve"> </w:t>
      </w:r>
      <w:r>
        <w:rPr>
          <w:b w:val="0"/>
          <w:bCs w:val="0"/>
          <w:highlight w:val="none"/>
        </w:rPr>
        <w:t xml:space="preserve">Căn cứ Quy</w:t>
      </w:r>
      <w:r>
        <w:rPr>
          <w:b w:val="0"/>
          <w:bCs w:val="0"/>
          <w:highlight w:val="none"/>
        </w:rPr>
        <w:t xml:space="preserve">ết định số </w:t>
      </w:r>
      <w:r>
        <w:rPr>
          <w:b w:val="0"/>
          <w:bCs w:val="0"/>
          <w:highlight w:val="none"/>
        </w:rPr>
        <w:t xml:space="preserve">36/2019/QĐ-UBND</w:t>
      </w:r>
      <w:r>
        <w:rPr>
          <w:b w:val="0"/>
          <w:bCs w:val="0"/>
          <w:highlight w:val="none"/>
        </w:rPr>
        <w:t xml:space="preserve"> của Ủy ban nhân dân tỉnh Đồng Tháp ngày </w:t>
      </w:r>
      <w:r>
        <w:rPr>
          <w:b w:val="0"/>
          <w:bCs w:val="0"/>
          <w:highlight w:val="none"/>
        </w:rPr>
        <w:t xml:space="preserve">19 tháng 12 năm 2019</w:t>
      </w:r>
      <w:r>
        <w:rPr>
          <w:b w:val="0"/>
          <w:bCs w:val="0"/>
          <w:highlight w:val="none"/>
        </w:rPr>
        <w:t xml:space="preserve"> v</w:t>
      </w:r>
      <w:r>
        <w:rPr>
          <w:b w:val="0"/>
          <w:bCs w:val="0"/>
          <w:highlight w:val="none"/>
        </w:rPr>
        <w:t xml:space="preserve">ề việc </w:t>
      </w:r>
      <w:r>
        <w:rPr>
          <w:b w:val="0"/>
          <w:bCs w:val="0"/>
          <w:highlight w:val="none"/>
        </w:rPr>
        <w:t xml:space="preserve">quy định về Bảng giá đất trên địa bàn tỉnh Đồng Tháp 05 năm (2020-2024)</w:t>
      </w:r>
      <w:r>
        <w:rPr>
          <w:b w:val="0"/>
          <w:bCs w:val="0"/>
          <w:highlight w:val="none"/>
        </w:rPr>
        <w:t xml:space="preserve"> và </w:t>
      </w:r>
      <w:r>
        <w:rPr>
          <w:b w:val="0"/>
          <w:bCs w:val="0"/>
          <w:highlight w:val="none"/>
        </w:rPr>
      </w:r>
      <w:hyperlink r:id="rId17" w:tooltip="https://thuvienphapluat.vn/van-ban/Bat-dong-san/Quyet-dinh-12-2024-QD-UBND-sua-doi-bang-gia-dat-o-Quyet-dinh-36-2019-QD-UBND-Dong-Thap-612647.aspx" w:history="1">
        <w:r>
          <w:rPr>
            <w:b w:val="0"/>
            <w:bCs w:val="0"/>
            <w:highlight w:val="none"/>
          </w:rPr>
          <w:t xml:space="preserve">Quyết định 12/2024/QĐ-UBND</w:t>
        </w:r>
      </w:hyperlink>
      <w:r>
        <w:rPr>
          <w:b w:val="0"/>
          <w:bCs w:val="0"/>
          <w:highlight w:val="none"/>
        </w:rPr>
        <w:t xml:space="preserve"> n</w:t>
      </w:r>
      <w:r>
        <w:rPr>
          <w:b w:val="0"/>
          <w:bCs w:val="0"/>
          <w:highlight w:val="none"/>
        </w:rPr>
        <w:t xml:space="preserve">gày 04/6/2024 sửa đổi bảng giá đất ở tại Khoản 2, Khoản 3 Điều 10 của Quy định kèm theo Quyết định 36/2019/QĐ-UBND quy định Bảng giá đất trên địa bàn tỉnh Đồng Tháp 05 năm (2020-2024)</w:t>
      </w:r>
      <w:r>
        <w:rPr>
          <w:b w:val="0"/>
          <w:bCs w:val="0"/>
          <w:highlight w:val="none"/>
        </w:rPr>
        <w:t xml:space="preserve">. Đơn giá đất trồng cây lâu năm tại vị trí 2 phường An Hòa là 110.000 đồng/m2.</w:t>
      </w:r>
      <w:r>
        <w:rPr>
          <w:b w:val="0"/>
          <w:bCs w:val="0"/>
          <w:highlight w:val="none"/>
          <w14:ligatures w14:val="none"/>
        </w:rPr>
      </w:r>
      <w:r>
        <w:rPr>
          <w:b w:val="0"/>
          <w:bCs w:val="0"/>
          <w:highlight w:val="none"/>
          <w14:ligatures w14:val="none"/>
        </w:rPr>
      </w:r>
    </w:p>
    <w:p>
      <w:pPr>
        <w:pStyle w:val="104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3"/>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Pr>
          <w:highlight w:val="none"/>
        </w:rPr>
      </w:r>
      <w:r>
        <w:rPr>
          <w:highlight w:val="none"/>
        </w:rPr>
      </w:r>
    </w:p>
    <w:tbl>
      <w:tblPr>
        <w:tblStyle w:val="1047"/>
        <w:tblInd w:w="0" w:type="dxa"/>
        <w:tblW w:w="0" w:type="auto"/>
        <w:tblCellMar>
          <w:left w:w="108" w:type="dxa"/>
          <w:top w:w="0" w:type="dxa"/>
          <w:right w:w="108" w:type="dxa"/>
          <w:bottom w:w="0" w:type="dxa"/>
        </w:tblCellMar>
        <w:tblBorders>
          <w:top w:val="single" w:color="000000" w:sz="8" w:space="0"/>
          <w:left w:val="single" w:color="000000" w:sz="8" w:space="0"/>
          <w:bottom w:val="single" w:color="000000" w:sz="5" w:space="0"/>
          <w:right w:val="single" w:color="000000" w:sz="5" w:space="0"/>
          <w:insideH w:val="single" w:color="000000" w:sz="4" w:space="0"/>
          <w:insideV w:val="single" w:color="000000" w:sz="4" w:space="0"/>
        </w:tblBorders>
        <w:tblLayout w:type="fixed"/>
        <w:tblLook w:val="04A0" w:firstRow="1" w:lastRow="0" w:firstColumn="1" w:lastColumn="0" w:noHBand="0" w:noVBand="1"/>
      </w:tblPr>
      <w:tblGrid>
        <w:gridCol w:w="528"/>
        <w:gridCol w:w="3043"/>
        <w:gridCol w:w="1559"/>
        <w:gridCol w:w="2235"/>
        <w:gridCol w:w="1984"/>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1</w:t>
            </w:r>
            <w:r/>
          </w:p>
        </w:tc>
        <w:tc>
          <w:tcPr>
            <w:gridSpan w:val="3"/>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68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b/>
                <w:color w:val="000000"/>
                <w:sz w:val="24"/>
              </w:rPr>
              <w:t xml:space="preserve">Quyền sử dụng đất tại thửa đất số: 651, tờ bản đồ số 30 có địa chỉ: Khóm Tân An, phường Sa Đéc, tỉnh Đồng Tháp theo Giấy chứng nhận quyền sử dụng đất quyền sở hữu nhà ở và tài sản khác gắn liền với đất </w:t>
            </w:r>
            <w:r>
              <w:rPr>
                <w:rFonts w:ascii="Times New Roman" w:hAnsi="Times New Roman" w:eastAsia="Times New Roman" w:cs="Times New Roman"/>
                <w:b/>
                <w:color w:val="000000"/>
                <w:sz w:val="24"/>
              </w:rPr>
              <w:t xml:space="preserve">số: BU 113570, số vào sổ cấp GCN: CH04066 do Ủy ban nhân dân thành phố Sa Đéc cấp ngày 29/07/2014; Chủ sử dụng đất là Ông Phan Văn Lĩnh.</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28" w:type="dxa"/>
            <w:vAlign w:val="center"/>
            <w:textDirection w:val="lrTb"/>
            <w:noWrap w:val="false"/>
          </w:tcPr>
          <w:p w14:paraId="661D683C">
            <w:pPr>
              <w:pBdr/>
              <w:spacing w:after="0" w:before="0" w:line="240" w:lineRule="auto"/>
              <w:ind/>
              <w:jc w:val="center"/>
              <w:rPr/>
            </w:pPr>
            <w:r>
              <w:rPr>
                <w:rFonts w:ascii="Times New Roman" w:hAnsi="Times New Roman" w:eastAsia="Times New Roman" w:cs="Times New Roman"/>
                <w:b/>
                <w:color w:val="000000"/>
                <w:sz w:val="24"/>
              </w:rPr>
              <w:t xml:space="preserve">-</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043" w:type="dxa"/>
            <w:vAlign w:val="center"/>
            <w:textDirection w:val="lrTb"/>
            <w:noWrap w:val="false"/>
          </w:tcPr>
          <w:p w14:paraId="58600BD0">
            <w:pPr>
              <w:pBdr/>
              <w:spacing w:after="0" w:before="0" w:line="240" w:lineRule="auto"/>
              <w:ind/>
              <w:rPr/>
            </w:pPr>
            <w:r>
              <w:rPr>
                <w:rFonts w:ascii="Times New Roman" w:hAnsi="Times New Roman" w:eastAsia="Times New Roman" w:cs="Times New Roman"/>
                <w:color w:val="000000"/>
                <w:sz w:val="24"/>
              </w:rPr>
              <w:t xml:space="preserve">Quyền sử dụng đất ở tại đô thị</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1B0A98A3">
            <w:pPr>
              <w:pBdr/>
              <w:spacing w:after="0" w:before="0" w:line="240" w:lineRule="auto"/>
              <w:ind/>
              <w:jc w:val="center"/>
              <w:rPr/>
            </w:pPr>
            <w:r>
              <w:rPr>
                <w:rFonts w:ascii="Times New Roman" w:hAnsi="Times New Roman" w:eastAsia="Times New Roman" w:cs="Times New Roman"/>
                <w:color w:val="000000"/>
                <w:sz w:val="24"/>
              </w:rPr>
              <w:t xml:space="preserve">791,2</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35" w:type="dxa"/>
            <w:vAlign w:val="center"/>
            <w:textDirection w:val="lrTb"/>
            <w:noWrap w:val="false"/>
          </w:tcPr>
          <w:p w14:paraId="70D5C374">
            <w:pPr>
              <w:pBdr/>
              <w:spacing w:after="0" w:before="0" w:line="240" w:lineRule="auto"/>
              <w:ind/>
              <w:jc w:val="center"/>
              <w:rPr/>
            </w:pPr>
            <w:r>
              <w:rPr>
                <w:rFonts w:ascii="Times New Roman" w:hAnsi="Times New Roman" w:eastAsia="Times New Roman" w:cs="Times New Roman"/>
                <w:color w:val="000000"/>
                <w:sz w:val="24"/>
              </w:rPr>
              <w:t xml:space="preserve">10.800.000</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14:paraId="4543FC14">
            <w:pPr>
              <w:pBdr/>
              <w:spacing w:after="0" w:before="0" w:line="240" w:lineRule="auto"/>
              <w:ind/>
              <w:jc w:val="center"/>
              <w:rPr/>
            </w:pPr>
            <w:r>
              <w:rPr>
                <w:rFonts w:ascii="Times New Roman" w:hAnsi="Times New Roman" w:eastAsia="Times New Roman" w:cs="Times New Roman"/>
                <w:color w:val="000000"/>
                <w:sz w:val="24"/>
              </w:rPr>
              <w:t xml:space="preserve">8.544.960.000</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2</w:t>
            </w:r>
            <w:r/>
          </w:p>
        </w:tc>
        <w:tc>
          <w:tcPr>
            <w:gridSpan w:val="3"/>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68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b/>
                <w:color w:val="000000"/>
                <w:sz w:val="24"/>
              </w:rPr>
              <w:t xml:space="preserve">Quyền sử dụng đất tại thửa đất số: 616, tờ bản đồ số 30 có địa chỉ: Khóm Tân An, phường Sa Đéc, tỉnh Đồng Tháp theo Giấy chứng nhận quyền sử dụng đất quyền sở hữu nhà ở và tài sản khác gắn liền với đất </w:t>
            </w:r>
            <w:r>
              <w:rPr>
                <w:rFonts w:ascii="Times New Roman" w:hAnsi="Times New Roman" w:eastAsia="Times New Roman" w:cs="Times New Roman"/>
                <w:b/>
                <w:color w:val="000000"/>
                <w:sz w:val="24"/>
              </w:rPr>
              <w:t xml:space="preserve">số: BL 359885, số vào sổ cấp GCN: CH02567 do Ủy ban nhân dân thị xã Sa Đéc cấp ngày 03/10/2012; Chủ sử dụng đất là Ông Phan Văn Lĩnh</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 </w:t>
            </w:r>
            <w:r/>
          </w:p>
        </w:tc>
      </w:tr>
      <w:tr>
        <w:trPr>
          <w:trHeight w:val="354"/>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28" w:type="dxa"/>
            <w:vAlign w:val="center"/>
            <w:textDirection w:val="lrTb"/>
            <w:noWrap w:val="false"/>
          </w:tcPr>
          <w:p w14:paraId="65A23A5D">
            <w:pPr>
              <w:pBdr/>
              <w:spacing w:after="0" w:before="0" w:line="240" w:lineRule="auto"/>
              <w:ind/>
              <w:jc w:val="center"/>
              <w:rPr/>
            </w:pPr>
            <w:r>
              <w:rPr>
                <w:rFonts w:ascii="Times New Roman" w:hAnsi="Times New Roman" w:eastAsia="Times New Roman" w:cs="Times New Roman"/>
                <w:b/>
                <w:color w:val="000000"/>
                <w:sz w:val="24"/>
              </w:rPr>
              <w:t xml:space="preserve">-</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043" w:type="dxa"/>
            <w:vAlign w:val="center"/>
            <w:textDirection w:val="lrTb"/>
            <w:noWrap w:val="false"/>
          </w:tcPr>
          <w:p w14:paraId="5A4CB940">
            <w:pPr>
              <w:pBdr/>
              <w:spacing w:after="0" w:before="0" w:line="240" w:lineRule="auto"/>
              <w:ind/>
              <w:rPr/>
            </w:pPr>
            <w:r>
              <w:rPr>
                <w:rFonts w:ascii="Times New Roman" w:hAnsi="Times New Roman" w:eastAsia="Times New Roman" w:cs="Times New Roman"/>
                <w:color w:val="000000"/>
                <w:sz w:val="24"/>
              </w:rPr>
              <w:t xml:space="preserve">Quyền sử dụng đất ở tại đô thị</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5ECCB744">
            <w:pPr>
              <w:pBdr/>
              <w:spacing w:after="0" w:before="0" w:line="240" w:lineRule="auto"/>
              <w:ind/>
              <w:jc w:val="center"/>
              <w:rPr/>
            </w:pPr>
            <w:r>
              <w:rPr>
                <w:rFonts w:ascii="Times New Roman" w:hAnsi="Times New Roman" w:eastAsia="Times New Roman" w:cs="Times New Roman"/>
                <w:color w:val="000000"/>
                <w:sz w:val="24"/>
              </w:rPr>
              <w:t xml:space="preserve">219,8</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35" w:type="dxa"/>
            <w:vAlign w:val="center"/>
            <w:textDirection w:val="lrTb"/>
            <w:noWrap w:val="false"/>
          </w:tcPr>
          <w:p w14:paraId="0D2EAAE7">
            <w:pPr>
              <w:pBdr/>
              <w:spacing w:after="0" w:before="0" w:line="240" w:lineRule="auto"/>
              <w:ind/>
              <w:jc w:val="center"/>
              <w:rPr/>
            </w:pPr>
            <w:r>
              <w:rPr>
                <w:rFonts w:ascii="Times New Roman" w:hAnsi="Times New Roman" w:eastAsia="Times New Roman" w:cs="Times New Roman"/>
                <w:color w:val="000000"/>
                <w:sz w:val="24"/>
              </w:rPr>
              <w:t xml:space="preserve">7.020.000</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14:paraId="184A743A">
            <w:pPr>
              <w:pBdr/>
              <w:spacing w:after="0" w:before="0" w:line="240" w:lineRule="auto"/>
              <w:ind/>
              <w:jc w:val="center"/>
              <w:rPr/>
            </w:pPr>
            <w:r>
              <w:rPr>
                <w:rFonts w:ascii="Times New Roman" w:hAnsi="Times New Roman" w:eastAsia="Times New Roman" w:cs="Times New Roman"/>
                <w:color w:val="000000"/>
                <w:sz w:val="24"/>
              </w:rPr>
              <w:t xml:space="preserve">1.542.996.000</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28" w:type="dxa"/>
            <w:vAlign w:val="center"/>
            <w:textDirection w:val="lrTb"/>
            <w:noWrap w:val="false"/>
          </w:tcPr>
          <w:p w14:paraId="343EFC4D">
            <w:pPr>
              <w:pBdr/>
              <w:spacing w:after="0" w:before="0" w:line="240" w:lineRule="auto"/>
              <w:ind/>
              <w:jc w:val="center"/>
              <w:rPr/>
            </w:pPr>
            <w:r>
              <w:rPr>
                <w:rFonts w:ascii="Times New Roman" w:hAnsi="Times New Roman" w:eastAsia="Times New Roman" w:cs="Times New Roman"/>
                <w:b/>
                <w:color w:val="000000"/>
                <w:sz w:val="24"/>
              </w:rPr>
              <w:t xml:space="preserve">-</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043" w:type="dxa"/>
            <w:vAlign w:val="center"/>
            <w:textDirection w:val="lrTb"/>
            <w:noWrap w:val="false"/>
          </w:tcPr>
          <w:p w14:paraId="197B0CBB">
            <w:pPr>
              <w:pBdr/>
              <w:spacing w:after="0" w:before="0" w:line="240" w:lineRule="auto"/>
              <w:ind/>
              <w:rPr/>
            </w:pPr>
            <w:r>
              <w:rPr>
                <w:rFonts w:ascii="Times New Roman" w:hAnsi="Times New Roman" w:eastAsia="Times New Roman" w:cs="Times New Roman"/>
                <w:color w:val="000000"/>
                <w:sz w:val="24"/>
              </w:rPr>
              <w:t xml:space="preserve">Quyền sử dụng đất trồng cây lâu năm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767F268D">
            <w:pPr>
              <w:pBdr/>
              <w:spacing w:after="0" w:before="0" w:line="240" w:lineRule="auto"/>
              <w:ind/>
              <w:jc w:val="center"/>
              <w:rPr/>
            </w:pPr>
            <w:r>
              <w:rPr>
                <w:rFonts w:ascii="Times New Roman" w:hAnsi="Times New Roman" w:eastAsia="Times New Roman" w:cs="Times New Roman"/>
                <w:color w:val="000000"/>
                <w:sz w:val="24"/>
              </w:rPr>
              <w:t xml:space="preserve">185,4</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35" w:type="dxa"/>
            <w:vAlign w:val="center"/>
            <w:textDirection w:val="lrTb"/>
            <w:noWrap w:val="false"/>
          </w:tcPr>
          <w:p w14:paraId="217BCB4C">
            <w:pPr>
              <w:pBdr/>
              <w:spacing w:after="0" w:before="0" w:line="240" w:lineRule="auto"/>
              <w:ind/>
              <w:jc w:val="center"/>
              <w:rPr/>
            </w:pPr>
            <w:r>
              <w:rPr>
                <w:rFonts w:ascii="Times New Roman" w:hAnsi="Times New Roman" w:eastAsia="Times New Roman" w:cs="Times New Roman"/>
                <w:color w:val="000000"/>
                <w:sz w:val="24"/>
              </w:rPr>
              <w:t xml:space="preserve">110.000</w:t>
            </w:r>
            <w:r/>
          </w:p>
        </w:tc>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14:paraId="1F59ED66">
            <w:pPr>
              <w:pBdr/>
              <w:spacing w:after="0" w:before="0" w:line="240" w:lineRule="auto"/>
              <w:ind/>
              <w:jc w:val="center"/>
              <w:rPr/>
            </w:pPr>
            <w:r>
              <w:rPr>
                <w:rFonts w:ascii="Times New Roman" w:hAnsi="Times New Roman" w:eastAsia="Times New Roman" w:cs="Times New Roman"/>
                <w:color w:val="000000"/>
                <w:sz w:val="24"/>
              </w:rPr>
              <w:t xml:space="preserve">20.394.000</w:t>
            </w:r>
            <w:r/>
          </w:p>
        </w:tc>
      </w:tr>
      <w:tr>
        <w:trPr>
          <w:trHeight w:val="20"/>
        </w:trPr>
        <w:tc>
          <w:tcPr>
            <w:gridSpan w:val="4"/>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366" w:type="dxa"/>
            <w:vAlign w:val="center"/>
            <w:textDirection w:val="lrTb"/>
            <w:noWrap w:val="false"/>
          </w:tcPr>
          <w:p w14:paraId="13158DDF">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14:paraId="1E231152">
            <w:pPr>
              <w:pBdr/>
              <w:spacing w:after="0" w:before="0" w:line="240" w:lineRule="auto"/>
              <w:ind/>
              <w:jc w:val="center"/>
              <w:rPr/>
            </w:pPr>
            <w:r>
              <w:rPr>
                <w:rFonts w:ascii="Times New Roman" w:hAnsi="Times New Roman" w:eastAsia="Times New Roman" w:cs="Times New Roman"/>
                <w:color w:val="000000"/>
                <w:sz w:val="24"/>
              </w:rPr>
              <w:t xml:space="preserve">10.108.350.000</w:t>
            </w:r>
            <w:r/>
          </w:p>
        </w:tc>
      </w:tr>
      <w:tr>
        <w:trPr>
          <w:trHeight w:val="20"/>
        </w:trPr>
        <w:tc>
          <w:tcPr>
            <w:gridSpan w:val="4"/>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366" w:type="dxa"/>
            <w:vAlign w:val="center"/>
            <w:textDirection w:val="lrTb"/>
            <w:noWrap w:val="false"/>
          </w:tcPr>
          <w:p w14:paraId="49A0D504">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14:paraId="3ECF511C">
            <w:pPr>
              <w:pBdr/>
              <w:spacing w:after="0" w:before="0" w:line="240" w:lineRule="auto"/>
              <w:ind/>
              <w:jc w:val="center"/>
              <w:rPr/>
            </w:pPr>
            <w:r>
              <w:rPr>
                <w:rFonts w:ascii="Times New Roman" w:hAnsi="Times New Roman" w:eastAsia="Times New Roman" w:cs="Times New Roman"/>
                <w:b/>
                <w:color w:val="000000"/>
                <w:sz w:val="24"/>
              </w:rPr>
              <w:t xml:space="preserve">10.108.000.000</w:t>
            </w:r>
            <w:r/>
          </w:p>
        </w:tc>
      </w:tr>
      <w:tr>
        <w:trPr>
          <w:trHeight w:val="20"/>
        </w:trPr>
        <w:tc>
          <w:tcPr>
            <w:gridSpan w:val="5"/>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9350" w:type="dxa"/>
            <w:vAlign w:val="center"/>
            <w:textDirection w:val="lrTb"/>
            <w:noWrap w:val="false"/>
          </w:tcPr>
          <w:p w14:paraId="2B82DEB2">
            <w:pPr>
              <w:pBdr/>
              <w:spacing w:after="0" w:before="0" w:line="240" w:lineRule="auto"/>
              <w:ind/>
              <w:jc w:val="center"/>
              <w:rPr/>
            </w:pPr>
            <w:r>
              <w:rPr>
                <w:rFonts w:ascii="Times New Roman" w:hAnsi="Times New Roman" w:eastAsia="Times New Roman" w:cs="Times New Roman"/>
                <w:b/>
                <w:i/>
                <w:color w:val="000000"/>
                <w:sz w:val="24"/>
              </w:rPr>
              <w:t xml:space="preserve">(Bằng chữ: Mười tỷ, một trăm linh tám triệu đồng ./.)</w:t>
            </w:r>
            <w:r/>
          </w:p>
        </w:tc>
      </w:tr>
    </w:tbl>
    <w:p>
      <w:pPr>
        <w:pStyle w:val="1043"/>
        <w:pBdr/>
        <w:tabs>
          <w:tab w:val="left" w:leader="none" w:pos="993"/>
        </w:tabs>
        <w:spacing w:after="120" w:before="120" w:line="276" w:lineRule="auto"/>
        <w:ind w:left="0"/>
        <w:jc w:val="both"/>
        <w:rPr/>
      </w:pPr>
      <w:r/>
      <w:r/>
    </w:p>
    <w:p>
      <w:pPr>
        <w:pBdr>
          <w:top w:val="none" w:color="000000" w:sz="4" w:space="0"/>
          <w:left w:val="none" w:color="000000" w:sz="4" w:space="0"/>
          <w:bottom w:val="none" w:color="000000" w:sz="4" w:space="0"/>
          <w:right w:val="none" w:color="000000" w:sz="4" w:space="0"/>
        </w:pBdr>
        <w:spacing w:before="120" w:line="360" w:lineRule="auto"/>
        <w:ind w:right="0" w:firstLine="0" w:left="0"/>
        <w:jc w:val="both"/>
        <w:rPr>
          <w:sz w:val="24"/>
        </w:rPr>
      </w:pPr>
      <w:r>
        <w:rPr>
          <w:rFonts w:ascii="Times New Roman" w:hAnsi="Times New Roman" w:eastAsia="Times New Roman" w:cs="Times New Roman"/>
          <w:i/>
          <w:color w:val="000000"/>
          <w:sz w:val="24"/>
          <w:u w:val="single"/>
        </w:rPr>
        <w:t xml:space="preserve"> Ghi chú</w:t>
      </w:r>
      <w:r>
        <w:rPr>
          <w:rFonts w:ascii="Times New Roman" w:hAnsi="Times New Roman" w:eastAsia="Times New Roman" w:cs="Times New Roman"/>
          <w:i/>
          <w:color w:val="000000"/>
          <w:sz w:val="24"/>
        </w:rPr>
        <w:t xml:space="preserve">: Kết quả thẩm định định giá theo phương án xác định giá trị trong điều kiện hợp thửa các thửa đất liền kề và không có ranh giới giữa các thửa đất, đề nghị ngân hàng nhận thế chấp và giải chấp đồng thời các thửa đất.</w:t>
      </w:r>
      <w:r>
        <w:rPr>
          <w:sz w:val="24"/>
        </w:rPr>
      </w:r>
      <w:r>
        <w:rPr>
          <w:sz w:val="24"/>
        </w:rPr>
      </w:r>
    </w:p>
    <w:p>
      <w:pPr>
        <w:pStyle w:val="104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4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3"/>
        <w:numPr>
          <w:ilvl w:val="0"/>
          <w:numId w:val="40"/>
        </w:numPr>
        <w:pBdr/>
        <w:tabs>
          <w:tab w:val="left" w:leader="none" w:pos="993"/>
        </w:tabs>
        <w:spacing w:after="120" w:before="120" w:line="264" w:lineRule="auto"/>
        <w:ind/>
        <w:jc w:val="both"/>
        <w:rPr>
          <w:spacing w:val="-2"/>
          <w:lang w:val="pt-BR"/>
        </w:rPr>
      </w:pPr>
      <w:r>
        <w:rPr>
          <w:spacing w:val="-2"/>
          <w:lang w:val="pt-BR"/>
        </w:rPr>
      </w:r>
      <w:r>
        <w:rPr>
          <w:rFonts w:ascii="Times New Roman" w:hAnsi="Times New Roman" w:eastAsia="Times New Roman" w:cs="Times New Roman"/>
          <w:color w:val="000000"/>
          <w:sz w:val="24"/>
        </w:rPr>
        <w:t xml:space="preserve">Tại thời điểm khảo sát, CTXD gắn liền với đất  gồm 01 nhà ở và 01 nhà trọ xây dựng khoảng năm 2016. Các CTXD được xây dựng trên cả 2 thửa đất số 651 và thửa đất số 616. Các CTXD chưa được chứng nhận trên GCN. Ngoài ra, tổ thẩm định không thu thập được bất</w:t>
      </w:r>
      <w:r>
        <w:rPr>
          <w:rFonts w:ascii="Times New Roman" w:hAnsi="Times New Roman" w:eastAsia="Times New Roman" w:cs="Times New Roman"/>
          <w:color w:val="000000"/>
          <w:sz w:val="24"/>
        </w:rPr>
        <w:t xml:space="preserve"> kì hồ sơ pháp lí nào liên quan đến CTXD trên. Do vậy, theo đề nghị của Ngân hàng/Khách hàng, Tổ thẩm định không xác định giá trị của công trình xây dựng vào tổng giá trị, nhưng vẫn coi đó là phần không thể tách rời của tài sản thẩm định. Kính đề nghị đơn </w:t>
      </w:r>
      <w:r>
        <w:rPr>
          <w:rFonts w:ascii="Times New Roman" w:hAnsi="Times New Roman" w:eastAsia="Times New Roman" w:cs="Times New Roman"/>
          <w:color w:val="000000"/>
          <w:sz w:val="24"/>
        </w:rPr>
        <w:t xml:space="preserve">vị sử dụng kết quả lưu ý.</w:t>
      </w:r>
      <w:r>
        <w:rPr>
          <w:spacing w:val="-2"/>
          <w:lang w:val="pt-BR"/>
        </w:rPr>
      </w:r>
      <w:r>
        <w:rPr>
          <w:spacing w:val="-2"/>
          <w:lang w:val="pt-BR"/>
        </w:rP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eastAsia="Times New Roman" w:cs="Times New Roman"/>
          <w:sz w:val="24"/>
        </w:rPr>
      </w:pPr>
      <w:r>
        <w:rPr>
          <w:rFonts w:ascii="Times New Roman" w:hAnsi="Times New Roman" w:eastAsia="Times New Roman" w:cs="Times New Roman"/>
          <w:color w:val="000000"/>
          <w:spacing w:val="-2"/>
          <w:sz w:val="24"/>
        </w:rPr>
        <w:t xml:space="preserve">Tài sản thẩm định giá bao gồm </w:t>
      </w:r>
      <w:r>
        <w:rPr>
          <w:rFonts w:ascii="Times New Roman" w:hAnsi="Times New Roman" w:eastAsia="Times New Roman" w:cs="Times New Roman"/>
          <w:color w:val="000000"/>
          <w:sz w:val="24"/>
        </w:rPr>
        <w:t xml:space="preserve">thửa đất số 651 và thửa đất số 616 </w:t>
      </w:r>
      <w:r>
        <w:rPr>
          <w:rFonts w:ascii="Times New Roman" w:hAnsi="Times New Roman" w:eastAsia="Times New Roman" w:cs="Times New Roman"/>
          <w:color w:val="000000"/>
          <w:spacing w:val="-2"/>
          <w:sz w:val="24"/>
        </w:rPr>
        <w:t xml:space="preserve">nằm tiếp tiếp giáp liền cạnh, không có mốc giới giữa các thửa đất và có cùng chủ sở hữu, đồng thời có các công trình xây dựng trên các thửa đất. Thửa đất 616 hiện không tiếp giáp đường, cạnh thửa đất số 651</w:t>
      </w:r>
      <w:r>
        <w:rPr>
          <w:rFonts w:ascii="Times New Roman" w:hAnsi="Times New Roman" w:eastAsia="Times New Roman" w:cs="Times New Roman"/>
          <w:color w:val="000000"/>
          <w:spacing w:val="-2"/>
          <w:sz w:val="24"/>
        </w:rPr>
        <w:t xml:space="preserve">. Kết quả thẩm định giá được nêu trong báo cáo này chỉ có giá trị trong trường hợp Ngân hàng nhận thế chấp/giải chấp đồng thời 02 (hai) thửa đất cấp tại 02 (hai) giấy chứng nhận nêu trên.</w:t>
      </w:r>
      <w:r>
        <w:rPr>
          <w:rFonts w:ascii="Times New Roman" w:hAnsi="Times New Roman" w:eastAsia="Times New Roman" w:cs="Times New Roman"/>
          <w:sz w:val="24"/>
        </w:rPr>
      </w:r>
      <w:r>
        <w:rPr>
          <w:rFonts w:ascii="Times New Roman" w:hAnsi="Times New Roman" w:eastAsia="Times New Roman" w:cs="Times New Roman"/>
          <w:sz w:val="24"/>
        </w:rPr>
      </w:r>
    </w:p>
    <w:p>
      <w:pPr>
        <w:pStyle w:val="104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43"/>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275/2025/1722/VFI-CT.39.A</w:t>
      </w:r>
      <w:r>
        <w:rPr>
          <w:color w:val="ff0000"/>
          <w:lang w:val="vi-VN"/>
        </w:rPr>
        <w:t xml:space="preserve"> </w:t>
      </w:r>
      <w:r>
        <w:rPr>
          <w:color w:val="000000" w:themeColor="text1"/>
        </w:rPr>
        <w:t xml:space="preserve">ngày 4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275/2025/1722/VFI-BC.39.A</w:t>
      </w:r>
      <w:r>
        <w:rPr>
          <w:i/>
          <w:lang w:val="pt-BR"/>
        </w:rPr>
        <w:t xml:space="preserve"> </w:t>
      </w:r>
      <w:r>
        <w:rPr>
          <w:i/>
          <w:lang w:val="pt-BR"/>
        </w:rPr>
        <w:t xml:space="preserve">ngày 4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70453" cy="207784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783204" name=""/>
                              <pic:cNvPicPr>
                                <a:picLocks noChangeAspect="1"/>
                              </pic:cNvPicPr>
                              <pic:nvPr/>
                            </pic:nvPicPr>
                            <pic:blipFill rotWithShape="1">
                              <a:blip r:embed="rId18"/>
                              <a:stretch/>
                            </pic:blipFill>
                            <pic:spPr bwMode="auto">
                              <a:xfrm flipH="0" flipV="0">
                                <a:off x="0" y="0"/>
                                <a:ext cx="2770453" cy="20778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8.15pt;height:163.6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644911" cy="198368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46326" name=""/>
                              <pic:cNvPicPr>
                                <a:picLocks noChangeAspect="1"/>
                              </pic:cNvPicPr>
                              <pic:nvPr/>
                            </pic:nvPicPr>
                            <pic:blipFill rotWithShape="1">
                              <a:blip r:embed="rId19"/>
                              <a:stretch/>
                            </pic:blipFill>
                            <pic:spPr bwMode="auto">
                              <a:xfrm flipH="0" flipV="0">
                                <a:off x="0" y="0"/>
                                <a:ext cx="2644910" cy="19836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8.26pt;height:156.2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675204" cy="200640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51196" name=""/>
                              <pic:cNvPicPr>
                                <a:picLocks noChangeAspect="1"/>
                              </pic:cNvPicPr>
                              <pic:nvPr/>
                            </pic:nvPicPr>
                            <pic:blipFill rotWithShape="1">
                              <a:blip r:embed="rId20"/>
                              <a:stretch/>
                            </pic:blipFill>
                            <pic:spPr bwMode="auto">
                              <a:xfrm flipH="0" flipV="0">
                                <a:off x="0" y="0"/>
                                <a:ext cx="2675203" cy="20064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0.65pt;height:157.9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23984" cy="204298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44042" name=""/>
                              <pic:cNvPicPr>
                                <a:picLocks noChangeAspect="1"/>
                              </pic:cNvPicPr>
                              <pic:nvPr/>
                            </pic:nvPicPr>
                            <pic:blipFill rotWithShape="1">
                              <a:blip r:embed="rId21"/>
                              <a:stretch/>
                            </pic:blipFill>
                            <pic:spPr bwMode="auto">
                              <a:xfrm flipH="0" flipV="0">
                                <a:off x="0" y="0"/>
                                <a:ext cx="2723983" cy="20429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4.49pt;height:160.8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86889" cy="194016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066984" name=""/>
                              <pic:cNvPicPr>
                                <a:picLocks noChangeAspect="1"/>
                              </pic:cNvPicPr>
                              <pic:nvPr/>
                            </pic:nvPicPr>
                            <pic:blipFill rotWithShape="1">
                              <a:blip r:embed="rId23"/>
                              <a:stretch/>
                            </pic:blipFill>
                            <pic:spPr bwMode="auto">
                              <a:xfrm flipH="0" flipV="0">
                                <a:off x="0" y="0"/>
                                <a:ext cx="2586889" cy="19401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3.69pt;height:152.77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hd w:val="nil" w:color="auto"/>
        <w:spacing/>
        <w:ind/>
        <w:rPr/>
      </w:pPr>
      <w:r>
        <w:rPr>
          <w:highlight w:val="none"/>
        </w:rPr>
        <w:br w:type="page" w:clear="all"/>
      </w:r>
      <w:r>
        <w:rPr>
          <w:highlight w:val="none"/>
        </w:rPr>
      </w:r>
      <w:r/>
    </w:p>
    <w:tbl>
      <w:tblPr>
        <w:tblStyle w:val="1047"/>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56620" cy="214246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13314" name=""/>
                              <pic:cNvPicPr>
                                <a:picLocks noChangeAspect="1"/>
                              </pic:cNvPicPr>
                              <pic:nvPr/>
                            </pic:nvPicPr>
                            <pic:blipFill rotWithShape="1">
                              <a:blip r:embed="rId24"/>
                              <a:stretch/>
                            </pic:blipFill>
                            <pic:spPr bwMode="auto">
                              <a:xfrm flipH="0" flipV="0">
                                <a:off x="0" y="0"/>
                                <a:ext cx="2856619" cy="21424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4.93pt;height:168.70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94831" cy="217112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50443" name=""/>
                              <pic:cNvPicPr>
                                <a:picLocks noChangeAspect="1"/>
                              </pic:cNvPicPr>
                              <pic:nvPr/>
                            </pic:nvPicPr>
                            <pic:blipFill rotWithShape="1">
                              <a:blip r:embed="rId25"/>
                              <a:stretch/>
                            </pic:blipFill>
                            <pic:spPr bwMode="auto">
                              <a:xfrm flipH="0" flipV="0">
                                <a:off x="0" y="0"/>
                                <a:ext cx="2894830" cy="21711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7.94pt;height:170.95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64385" cy="207328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71113" name=""/>
                              <pic:cNvPicPr>
                                <a:picLocks noChangeAspect="1"/>
                              </pic:cNvPicPr>
                              <pic:nvPr/>
                            </pic:nvPicPr>
                            <pic:blipFill rotWithShape="1">
                              <a:blip r:embed="rId26"/>
                              <a:stretch/>
                            </pic:blipFill>
                            <pic:spPr bwMode="auto">
                              <a:xfrm flipH="0" flipV="0">
                                <a:off x="0" y="0"/>
                                <a:ext cx="2764385" cy="20732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7.67pt;height:163.25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3038351" cy="227876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72175" name=""/>
                              <pic:cNvPicPr>
                                <a:picLocks noChangeAspect="1"/>
                              </pic:cNvPicPr>
                              <pic:nvPr/>
                            </pic:nvPicPr>
                            <pic:blipFill rotWithShape="1">
                              <a:blip r:embed="rId27"/>
                              <a:stretch/>
                            </pic:blipFill>
                            <pic:spPr bwMode="auto">
                              <a:xfrm flipH="0" flipV="0">
                                <a:off x="0" y="0"/>
                                <a:ext cx="3038351" cy="22787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9.24pt;height:179.43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r>
    </w:tbl>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275/2025/1722/VFI-BC.39.A</w:t>
      </w:r>
      <w:r>
        <w:rPr>
          <w:i/>
          <w:lang w:val="pt-BR"/>
        </w:rPr>
        <w:t xml:space="preserve"> ngày </w:t>
      </w:r>
      <w:r>
        <w:rPr>
          <w:i/>
          <w:lang w:val="pt-BR"/>
        </w:rPr>
        <w:t xml:space="preserve">4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Facebook</w:t>
            </w:r>
            <w:r>
              <w:rPr>
                <w:color w:val="000000" w:themeColor="text1"/>
                <w:sz w:val="22"/>
                <w:szCs w:val="22"/>
              </w:rPr>
              <w:br/>
              <w:t xml:space="preserve">0336538916</w:t>
            </w:r>
            <w:r>
              <w:rPr>
                <w:sz w:val="22"/>
                <w:szCs w:val="22"/>
              </w:rPr>
              <w:t xml:space="preserve"> </w:t>
            </w:r>
            <w:r>
              <w:rPr>
                <w:sz w:val="22"/>
                <w:szCs w:val="22"/>
              </w:rPr>
              <w:br/>
              <w:t xml:space="preserve">(Anh 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cửa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(76.1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Phố Nguyễn Thiện Thuật, Phường Sa Đéc, Tỉnh Đồng Tháp, đường Nguyễn Thiện Thuật, Cách công viên Sa Đéc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3400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3340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0.0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66153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66153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88.31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0901.062.461</w:t>
            </w:r>
            <w:r>
              <w:rPr>
                <w:sz w:val="22"/>
                <w:szCs w:val="22"/>
              </w:rPr>
              <w:t xml:space="preserve"> </w:t>
            </w:r>
            <w:r>
              <w:rPr>
                <w:sz w:val="22"/>
                <w:szCs w:val="22"/>
              </w:rPr>
              <w:br/>
              <w:t xml:space="preserve">(Anh Quốc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1.665.000.000</w:t>
            </w:r>
            <w:r>
              <w:rPr>
                <w:sz w:val="22"/>
                <w:szCs w:val="22"/>
              </w:rPr>
            </w:r>
            <w:r>
              <w:rPr>
                <w:sz w:val="22"/>
                <w:szCs w:val="22"/>
              </w:rPr>
            </w:r>
          </w:p>
        </w:tc>
      </w:tr>
      <w:tr>
        <w:trPr>
          <w:trHeight w:val="37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cửa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(81.5 m²), Đất trồng cây lâu năm (10.1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 (đến 14/10/2043, 18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Phố Nguyễn Thiện Thuật, Phường Sa Đéc, Tỉnh Đồng Tháp, đường Nguyễn Thiện Thuật, Cách công viên Sa Đéc khoảng 500m,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91,6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35995"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8359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80.79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hd w:val="nil" w:color="auto"/>
        <w:spacing/>
        <w:ind/>
        <w:rPr>
          <w:b/>
          <w:bCs/>
          <w:lang w:val="pt-BR"/>
        </w:rPr>
      </w:pPr>
      <w:r>
        <w:rPr>
          <w:b/>
          <w:bCs/>
          <w:iCs/>
          <w:highlight w:val="none"/>
          <w:lang w:val="pt-BR"/>
        </w:rPr>
        <w:br w:type="page" w:clear="all"/>
      </w:r>
      <w:r>
        <w:rPr>
          <w:b/>
          <w:bCs/>
          <w:lang w:val="pt-BR"/>
        </w:rPr>
      </w:r>
      <w:r>
        <w:rPr>
          <w:b/>
          <w:bCs/>
          <w:lang w:val="pt-BR"/>
        </w:rPr>
      </w:r>
    </w:p>
    <w:p>
      <w:pPr>
        <w:pBdr/>
        <w:spacing w:after="200" w:line="276" w:lineRule="auto"/>
        <w:ind/>
        <w:jc w:val="center"/>
        <w:rPr>
          <w:b/>
          <w:bCs/>
          <w:iCs/>
          <w:highlight w:val="none"/>
          <w:lang w:val="pt-BR"/>
        </w:rPr>
      </w:pPr>
      <w:r>
        <w:rPr>
          <w:b/>
          <w:bCs/>
          <w:iCs/>
          <w:lang w:val="pt-BR"/>
        </w:rPr>
        <w:t xml:space="preserve">TSSS 3</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w:t>
            </w:r>
            <w:r>
              <w:rPr>
                <w:color w:val="000000" w:themeColor="text1"/>
                <w:sz w:val="22"/>
                <w:szCs w:val="22"/>
              </w:rPr>
              <w:t xml:space="preserve">/589380481429738/posts/b%C3%A1n-g%E1%BA%A5p-c%C6%A1-h%E1%BB%99i-%C4%91%E1%BA%A7u-t%C6%B0-nh%C3%A0-1-tr%E1%BB%87t-1-l%E1%BA%A7u-m%E1%BA%B7t-ti%E1%BB%81n-%C4%91%C6%B0%E1%BB%9Dng-nguy%E1%BB%85n-thi%E1%BB%87n-thu%E1%BA%ADt-ph%C6%B0%E1%BB%9Dng/2616218988745867/</w:t>
            </w:r>
            <w:r>
              <w:rPr>
                <w:color w:val="000000" w:themeColor="text1"/>
                <w:sz w:val="22"/>
                <w:szCs w:val="22"/>
              </w:rPr>
              <w:br/>
            </w:r>
            <w:r>
              <w:rPr>
                <w:sz w:val="22"/>
                <w:szCs w:val="22"/>
              </w:rPr>
              <w:t xml:space="preserve">SĐT: </w:t>
            </w:r>
            <w:r>
              <w:rPr>
                <w:color w:val="000000" w:themeColor="text1"/>
                <w:sz w:val="22"/>
                <w:szCs w:val="22"/>
              </w:rPr>
              <w:t xml:space="preserve">0907935877</w:t>
            </w:r>
            <w:r>
              <w:rPr>
                <w:sz w:val="22"/>
                <w:szCs w:val="22"/>
              </w:rPr>
              <w:t xml:space="preserve"> </w:t>
            </w:r>
            <w:r>
              <w:rPr>
                <w:sz w:val="22"/>
                <w:szCs w:val="22"/>
              </w:rPr>
              <w:br/>
              <w:t xml:space="preserve">(Anh Tú</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Sa Đéc, Tỉnh Đồng Tháp, đường Đường Nguyễn Thiện Thuật, Cách Công viên Sa Đéc khoảng 500m,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41484"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394148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10.35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18978"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3189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8.82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00A20C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500A20C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1">
    <w:nsid w:val="500A20C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269CB563"/>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54D7FFC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267A75F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5">
    <w:nsid w:val="1B9B151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5">
    <w:name w:val="Table Grid Light"/>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1"/>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2"/>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3"/>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4"/>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5"/>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w:basedOn w:val="102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w:basedOn w:val="102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1"/>
    <w:basedOn w:val="102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2"/>
    <w:basedOn w:val="102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3"/>
    <w:basedOn w:val="102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4"/>
    <w:basedOn w:val="102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5"/>
    <w:basedOn w:val="102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6"/>
    <w:basedOn w:val="102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Accent 1"/>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2"/>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3"/>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Accent 4"/>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5"/>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6"/>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7">
    <w:name w:val="Grid Table 6 Colorful - Accent 1"/>
    <w:basedOn w:val="102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8">
    <w:name w:val="Grid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9">
    <w:name w:val="Grid Table 6 Colorful - Accent 3"/>
    <w:basedOn w:val="102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0">
    <w:name w:val="Grid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1">
    <w:name w:val="Grid Table 6 Colorful - Accent 5"/>
    <w:basedOn w:val="102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2">
    <w:name w:val="Grid Table 6 Colorful - Accent 6"/>
    <w:basedOn w:val="102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3">
    <w:name w:val="Grid Table 7 Colorful"/>
    <w:basedOn w:val="102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1"/>
    <w:basedOn w:val="102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5"/>
    <w:basedOn w:val="102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6"/>
    <w:basedOn w:val="102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1"/>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2"/>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3"/>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4"/>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5"/>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6"/>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w:basedOn w:val="102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1"/>
    <w:basedOn w:val="102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2"/>
    <w:basedOn w:val="102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3"/>
    <w:basedOn w:val="102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4"/>
    <w:basedOn w:val="102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5"/>
    <w:basedOn w:val="102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6"/>
    <w:basedOn w:val="102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1"/>
    <w:basedOn w:val="102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3"/>
    <w:basedOn w:val="102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5"/>
    <w:basedOn w:val="102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6"/>
    <w:basedOn w:val="102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1"/>
    <w:basedOn w:val="102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2"/>
    <w:basedOn w:val="102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3"/>
    <w:basedOn w:val="102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4"/>
    <w:basedOn w:val="102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5"/>
    <w:basedOn w:val="102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6"/>
    <w:basedOn w:val="102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5 Dark"/>
    <w:basedOn w:val="102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1"/>
    <w:basedOn w:val="102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2"/>
    <w:basedOn w:val="102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3"/>
    <w:basedOn w:val="102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4"/>
    <w:basedOn w:val="102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5"/>
    <w:basedOn w:val="102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6"/>
    <w:basedOn w:val="102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1"/>
    <w:basedOn w:val="102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3"/>
    <w:basedOn w:val="102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5"/>
    <w:basedOn w:val="102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6"/>
    <w:basedOn w:val="102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7 Colorful"/>
    <w:basedOn w:val="102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3">
    <w:name w:val="List Table 7 Colorful - Accent 1"/>
    <w:basedOn w:val="102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4">
    <w:name w:val="List Table 7 Colorful - Accent 2"/>
    <w:basedOn w:val="102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955">
    <w:name w:val="List Table 7 Colorful - Accent 3"/>
    <w:basedOn w:val="102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9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956">
    <w:name w:val="List Table 7 Colorful - Accent 4"/>
    <w:basedOn w:val="102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957">
    <w:name w:val="List Table 7 Colorful - Accent 5"/>
    <w:basedOn w:val="102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958">
    <w:name w:val="List Table 7 Colorful - Accent 6"/>
    <w:basedOn w:val="102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8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959">
    <w:name w:val="Lined - Accent"/>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1"/>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2"/>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3"/>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4"/>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5"/>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6"/>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w:basedOn w:val="102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1"/>
    <w:basedOn w:val="102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2"/>
    <w:basedOn w:val="102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3"/>
    <w:basedOn w:val="102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4"/>
    <w:basedOn w:val="102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5"/>
    <w:basedOn w:val="102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6"/>
    <w:basedOn w:val="102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w:basedOn w:val="102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0">
    <w:name w:val="Heading 5"/>
    <w:basedOn w:val="1021"/>
    <w:next w:val="1021"/>
    <w:link w:val="98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1">
    <w:name w:val="Heading 6"/>
    <w:basedOn w:val="1021"/>
    <w:next w:val="1021"/>
    <w:link w:val="98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2">
    <w:name w:val="Heading 7"/>
    <w:basedOn w:val="1021"/>
    <w:next w:val="1021"/>
    <w:link w:val="98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3">
    <w:name w:val="Heading 8"/>
    <w:basedOn w:val="1021"/>
    <w:next w:val="1021"/>
    <w:link w:val="98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4">
    <w:name w:val="Heading 9"/>
    <w:basedOn w:val="1021"/>
    <w:next w:val="1021"/>
    <w:link w:val="98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5">
    <w:name w:val="Heading 5 Char"/>
    <w:basedOn w:val="1026"/>
    <w:link w:val="980"/>
    <w:uiPriority w:val="9"/>
    <w:pPr>
      <w:pBdr/>
      <w:spacing/>
      <w:ind/>
    </w:pPr>
    <w:rPr>
      <w:rFonts w:ascii="Arial" w:hAnsi="Arial" w:eastAsia="Arial" w:cs="Arial"/>
      <w:color w:val="0f4761" w:themeColor="accent1" w:themeShade="BF"/>
    </w:rPr>
  </w:style>
  <w:style w:type="character" w:styleId="986">
    <w:name w:val="Heading 6 Char"/>
    <w:basedOn w:val="1026"/>
    <w:link w:val="981"/>
    <w:uiPriority w:val="9"/>
    <w:pPr>
      <w:pBdr/>
      <w:spacing/>
      <w:ind/>
    </w:pPr>
    <w:rPr>
      <w:rFonts w:ascii="Arial" w:hAnsi="Arial" w:eastAsia="Arial" w:cs="Arial"/>
      <w:i/>
      <w:iCs/>
      <w:color w:val="595959" w:themeColor="text1" w:themeTint="A6"/>
    </w:rPr>
  </w:style>
  <w:style w:type="character" w:styleId="987">
    <w:name w:val="Heading 7 Char"/>
    <w:basedOn w:val="1026"/>
    <w:link w:val="982"/>
    <w:uiPriority w:val="9"/>
    <w:pPr>
      <w:pBdr/>
      <w:spacing/>
      <w:ind/>
    </w:pPr>
    <w:rPr>
      <w:rFonts w:ascii="Arial" w:hAnsi="Arial" w:eastAsia="Arial" w:cs="Arial"/>
      <w:color w:val="595959" w:themeColor="text1" w:themeTint="A6"/>
    </w:rPr>
  </w:style>
  <w:style w:type="character" w:styleId="988">
    <w:name w:val="Heading 8 Char"/>
    <w:basedOn w:val="1026"/>
    <w:link w:val="983"/>
    <w:uiPriority w:val="9"/>
    <w:pPr>
      <w:pBdr/>
      <w:spacing/>
      <w:ind/>
    </w:pPr>
    <w:rPr>
      <w:rFonts w:ascii="Arial" w:hAnsi="Arial" w:eastAsia="Arial" w:cs="Arial"/>
      <w:i/>
      <w:iCs/>
      <w:color w:val="272727" w:themeColor="text1" w:themeTint="D8"/>
    </w:rPr>
  </w:style>
  <w:style w:type="character" w:styleId="989">
    <w:name w:val="Heading 9 Char"/>
    <w:basedOn w:val="1026"/>
    <w:link w:val="984"/>
    <w:uiPriority w:val="9"/>
    <w:pPr>
      <w:pBdr/>
      <w:spacing/>
      <w:ind/>
    </w:pPr>
    <w:rPr>
      <w:rFonts w:ascii="Arial" w:hAnsi="Arial" w:eastAsia="Arial" w:cs="Arial"/>
      <w:i/>
      <w:iCs/>
      <w:color w:val="272727" w:themeColor="text1" w:themeTint="D8"/>
    </w:rPr>
  </w:style>
  <w:style w:type="paragraph" w:styleId="990">
    <w:name w:val="Subtitle"/>
    <w:basedOn w:val="1021"/>
    <w:next w:val="1021"/>
    <w:link w:val="991"/>
    <w:uiPriority w:val="11"/>
    <w:qFormat/>
    <w:pPr>
      <w:numPr>
        <w:ilvl w:val="1"/>
      </w:numPr>
      <w:pBdr/>
      <w:spacing/>
      <w:ind/>
    </w:pPr>
    <w:rPr>
      <w:color w:val="595959" w:themeColor="text1" w:themeTint="A6"/>
      <w:spacing w:val="15"/>
      <w:sz w:val="28"/>
      <w:szCs w:val="28"/>
    </w:rPr>
  </w:style>
  <w:style w:type="character" w:styleId="991">
    <w:name w:val="Subtitle Char"/>
    <w:basedOn w:val="1026"/>
    <w:link w:val="990"/>
    <w:uiPriority w:val="11"/>
    <w:pPr>
      <w:pBdr/>
      <w:spacing/>
      <w:ind/>
    </w:pPr>
    <w:rPr>
      <w:color w:val="595959" w:themeColor="text1" w:themeTint="A6"/>
      <w:spacing w:val="15"/>
      <w:sz w:val="28"/>
      <w:szCs w:val="28"/>
    </w:rPr>
  </w:style>
  <w:style w:type="paragraph" w:styleId="992">
    <w:name w:val="Quote"/>
    <w:basedOn w:val="1021"/>
    <w:next w:val="1021"/>
    <w:link w:val="993"/>
    <w:uiPriority w:val="29"/>
    <w:qFormat/>
    <w:pPr>
      <w:pBdr/>
      <w:spacing w:before="160"/>
      <w:ind/>
      <w:jc w:val="center"/>
    </w:pPr>
    <w:rPr>
      <w:i/>
      <w:iCs/>
      <w:color w:val="404040" w:themeColor="text1" w:themeTint="BF"/>
    </w:rPr>
  </w:style>
  <w:style w:type="character" w:styleId="993">
    <w:name w:val="Quote Char"/>
    <w:basedOn w:val="1026"/>
    <w:link w:val="992"/>
    <w:uiPriority w:val="29"/>
    <w:pPr>
      <w:pBdr/>
      <w:spacing/>
      <w:ind/>
    </w:pPr>
    <w:rPr>
      <w:i/>
      <w:iCs/>
      <w:color w:val="404040" w:themeColor="text1" w:themeTint="BF"/>
    </w:rPr>
  </w:style>
  <w:style w:type="character" w:styleId="994">
    <w:name w:val="Intense Emphasis"/>
    <w:basedOn w:val="1026"/>
    <w:uiPriority w:val="21"/>
    <w:qFormat/>
    <w:pPr>
      <w:pBdr/>
      <w:spacing/>
      <w:ind/>
    </w:pPr>
    <w:rPr>
      <w:i/>
      <w:iCs/>
      <w:color w:val="0f4761" w:themeColor="accent1" w:themeShade="BF"/>
    </w:rPr>
  </w:style>
  <w:style w:type="paragraph" w:styleId="995">
    <w:name w:val="Intense Quote"/>
    <w:basedOn w:val="1021"/>
    <w:next w:val="1021"/>
    <w:link w:val="99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6">
    <w:name w:val="Intense Quote Char"/>
    <w:basedOn w:val="1026"/>
    <w:link w:val="995"/>
    <w:uiPriority w:val="30"/>
    <w:pPr>
      <w:pBdr/>
      <w:spacing/>
      <w:ind/>
    </w:pPr>
    <w:rPr>
      <w:i/>
      <w:iCs/>
      <w:color w:val="0f4761" w:themeColor="accent1" w:themeShade="BF"/>
    </w:rPr>
  </w:style>
  <w:style w:type="character" w:styleId="997">
    <w:name w:val="Intense Reference"/>
    <w:basedOn w:val="1026"/>
    <w:uiPriority w:val="32"/>
    <w:qFormat/>
    <w:pPr>
      <w:pBdr/>
      <w:spacing/>
      <w:ind/>
    </w:pPr>
    <w:rPr>
      <w:b/>
      <w:bCs/>
      <w:smallCaps/>
      <w:color w:val="0f4761" w:themeColor="accent1" w:themeShade="BF"/>
      <w:spacing w:val="5"/>
    </w:rPr>
  </w:style>
  <w:style w:type="paragraph" w:styleId="998">
    <w:name w:val="No Spacing"/>
    <w:basedOn w:val="1021"/>
    <w:uiPriority w:val="1"/>
    <w:qFormat/>
    <w:pPr>
      <w:pBdr/>
      <w:spacing w:after="0" w:line="240" w:lineRule="auto"/>
      <w:ind/>
    </w:pPr>
  </w:style>
  <w:style w:type="character" w:styleId="999">
    <w:name w:val="Subtle Emphasis"/>
    <w:basedOn w:val="1026"/>
    <w:uiPriority w:val="19"/>
    <w:qFormat/>
    <w:pPr>
      <w:pBdr/>
      <w:spacing/>
      <w:ind/>
    </w:pPr>
    <w:rPr>
      <w:i/>
      <w:iCs/>
      <w:color w:val="404040" w:themeColor="text1" w:themeTint="BF"/>
    </w:rPr>
  </w:style>
  <w:style w:type="character" w:styleId="1000">
    <w:name w:val="Subtle Reference"/>
    <w:basedOn w:val="1026"/>
    <w:uiPriority w:val="31"/>
    <w:qFormat/>
    <w:pPr>
      <w:pBdr/>
      <w:spacing/>
      <w:ind/>
    </w:pPr>
    <w:rPr>
      <w:smallCaps/>
      <w:color w:val="5a5a5a" w:themeColor="text1" w:themeTint="A5"/>
    </w:rPr>
  </w:style>
  <w:style w:type="character" w:styleId="1001">
    <w:name w:val="Book Title"/>
    <w:basedOn w:val="1026"/>
    <w:uiPriority w:val="33"/>
    <w:qFormat/>
    <w:pPr>
      <w:pBdr/>
      <w:spacing/>
      <w:ind/>
    </w:pPr>
    <w:rPr>
      <w:b/>
      <w:bCs/>
      <w:i/>
      <w:iCs/>
      <w:spacing w:val="5"/>
    </w:rPr>
  </w:style>
  <w:style w:type="paragraph" w:styleId="1002">
    <w:name w:val="Caption"/>
    <w:basedOn w:val="1021"/>
    <w:next w:val="1021"/>
    <w:uiPriority w:val="35"/>
    <w:unhideWhenUsed/>
    <w:qFormat/>
    <w:pPr>
      <w:pBdr/>
      <w:spacing w:after="200" w:line="240" w:lineRule="auto"/>
      <w:ind/>
    </w:pPr>
    <w:rPr>
      <w:i/>
      <w:iCs/>
      <w:color w:val="0e2841" w:themeColor="text2"/>
      <w:sz w:val="18"/>
      <w:szCs w:val="18"/>
    </w:rPr>
  </w:style>
  <w:style w:type="paragraph" w:styleId="1003">
    <w:name w:val="footnote text"/>
    <w:basedOn w:val="1021"/>
    <w:link w:val="1004"/>
    <w:uiPriority w:val="99"/>
    <w:semiHidden/>
    <w:unhideWhenUsed/>
    <w:pPr>
      <w:pBdr/>
      <w:spacing w:after="0" w:line="240" w:lineRule="auto"/>
      <w:ind/>
    </w:pPr>
    <w:rPr>
      <w:sz w:val="20"/>
      <w:szCs w:val="20"/>
    </w:rPr>
  </w:style>
  <w:style w:type="character" w:styleId="1004">
    <w:name w:val="Footnote Text Char"/>
    <w:basedOn w:val="1026"/>
    <w:link w:val="1003"/>
    <w:uiPriority w:val="99"/>
    <w:semiHidden/>
    <w:pPr>
      <w:pBdr/>
      <w:spacing/>
      <w:ind/>
    </w:pPr>
    <w:rPr>
      <w:sz w:val="20"/>
      <w:szCs w:val="20"/>
    </w:rPr>
  </w:style>
  <w:style w:type="character" w:styleId="1005">
    <w:name w:val="footnote reference"/>
    <w:basedOn w:val="1026"/>
    <w:uiPriority w:val="99"/>
    <w:semiHidden/>
    <w:unhideWhenUsed/>
    <w:pPr>
      <w:pBdr/>
      <w:spacing/>
      <w:ind/>
    </w:pPr>
    <w:rPr>
      <w:vertAlign w:val="superscript"/>
    </w:rPr>
  </w:style>
  <w:style w:type="paragraph" w:styleId="1006">
    <w:name w:val="endnote text"/>
    <w:basedOn w:val="1021"/>
    <w:link w:val="1007"/>
    <w:uiPriority w:val="99"/>
    <w:semiHidden/>
    <w:unhideWhenUsed/>
    <w:pPr>
      <w:pBdr/>
      <w:spacing w:after="0" w:line="240" w:lineRule="auto"/>
      <w:ind/>
    </w:pPr>
    <w:rPr>
      <w:sz w:val="20"/>
      <w:szCs w:val="20"/>
    </w:rPr>
  </w:style>
  <w:style w:type="character" w:styleId="1007">
    <w:name w:val="Endnote Text Char"/>
    <w:basedOn w:val="1026"/>
    <w:link w:val="1006"/>
    <w:uiPriority w:val="99"/>
    <w:semiHidden/>
    <w:pPr>
      <w:pBdr/>
      <w:spacing/>
      <w:ind/>
    </w:pPr>
    <w:rPr>
      <w:sz w:val="20"/>
      <w:szCs w:val="20"/>
    </w:rPr>
  </w:style>
  <w:style w:type="character" w:styleId="1008">
    <w:name w:val="endnote reference"/>
    <w:basedOn w:val="1026"/>
    <w:uiPriority w:val="99"/>
    <w:semiHidden/>
    <w:unhideWhenUsed/>
    <w:pPr>
      <w:pBdr/>
      <w:spacing/>
      <w:ind/>
    </w:pPr>
    <w:rPr>
      <w:vertAlign w:val="superscript"/>
    </w:rPr>
  </w:style>
  <w:style w:type="paragraph" w:styleId="1009">
    <w:name w:val="toc 1"/>
    <w:basedOn w:val="1021"/>
    <w:next w:val="1021"/>
    <w:uiPriority w:val="39"/>
    <w:unhideWhenUsed/>
    <w:pPr>
      <w:pBdr/>
      <w:spacing w:after="100"/>
      <w:ind/>
    </w:pPr>
  </w:style>
  <w:style w:type="paragraph" w:styleId="1010">
    <w:name w:val="toc 2"/>
    <w:basedOn w:val="1021"/>
    <w:next w:val="1021"/>
    <w:uiPriority w:val="39"/>
    <w:unhideWhenUsed/>
    <w:pPr>
      <w:pBdr/>
      <w:spacing w:after="100"/>
      <w:ind w:left="220"/>
    </w:pPr>
  </w:style>
  <w:style w:type="paragraph" w:styleId="1011">
    <w:name w:val="toc 3"/>
    <w:basedOn w:val="1021"/>
    <w:next w:val="1021"/>
    <w:uiPriority w:val="39"/>
    <w:unhideWhenUsed/>
    <w:pPr>
      <w:pBdr/>
      <w:spacing w:after="100"/>
      <w:ind w:left="440"/>
    </w:pPr>
  </w:style>
  <w:style w:type="paragraph" w:styleId="1012">
    <w:name w:val="toc 4"/>
    <w:basedOn w:val="1021"/>
    <w:next w:val="1021"/>
    <w:uiPriority w:val="39"/>
    <w:unhideWhenUsed/>
    <w:pPr>
      <w:pBdr/>
      <w:spacing w:after="100"/>
      <w:ind w:left="660"/>
    </w:pPr>
  </w:style>
  <w:style w:type="paragraph" w:styleId="1013">
    <w:name w:val="toc 5"/>
    <w:basedOn w:val="1021"/>
    <w:next w:val="1021"/>
    <w:uiPriority w:val="39"/>
    <w:unhideWhenUsed/>
    <w:pPr>
      <w:pBdr/>
      <w:spacing w:after="100"/>
      <w:ind w:left="880"/>
    </w:pPr>
  </w:style>
  <w:style w:type="paragraph" w:styleId="1014">
    <w:name w:val="toc 6"/>
    <w:basedOn w:val="1021"/>
    <w:next w:val="1021"/>
    <w:uiPriority w:val="39"/>
    <w:unhideWhenUsed/>
    <w:pPr>
      <w:pBdr/>
      <w:spacing w:after="100"/>
      <w:ind w:left="1100"/>
    </w:pPr>
  </w:style>
  <w:style w:type="paragraph" w:styleId="1015">
    <w:name w:val="toc 7"/>
    <w:basedOn w:val="1021"/>
    <w:next w:val="1021"/>
    <w:uiPriority w:val="39"/>
    <w:unhideWhenUsed/>
    <w:pPr>
      <w:pBdr/>
      <w:spacing w:after="100"/>
      <w:ind w:left="1320"/>
    </w:pPr>
  </w:style>
  <w:style w:type="paragraph" w:styleId="1016">
    <w:name w:val="toc 8"/>
    <w:basedOn w:val="1021"/>
    <w:next w:val="1021"/>
    <w:uiPriority w:val="39"/>
    <w:unhideWhenUsed/>
    <w:pPr>
      <w:pBdr/>
      <w:spacing w:after="100"/>
      <w:ind w:left="1540"/>
    </w:pPr>
  </w:style>
  <w:style w:type="paragraph" w:styleId="1017">
    <w:name w:val="toc 9"/>
    <w:basedOn w:val="1021"/>
    <w:next w:val="1021"/>
    <w:uiPriority w:val="39"/>
    <w:unhideWhenUsed/>
    <w:pPr>
      <w:pBdr/>
      <w:spacing w:after="100"/>
      <w:ind w:left="1760"/>
    </w:pPr>
  </w:style>
  <w:style w:type="character" w:styleId="1018">
    <w:name w:val="Placeholder Text"/>
    <w:basedOn w:val="1026"/>
    <w:uiPriority w:val="99"/>
    <w:semiHidden/>
    <w:pPr>
      <w:pBdr/>
      <w:spacing/>
      <w:ind/>
    </w:pPr>
    <w:rPr>
      <w:color w:val="666666"/>
    </w:rPr>
  </w:style>
  <w:style w:type="paragraph" w:styleId="1019">
    <w:name w:val="TOC Heading"/>
    <w:uiPriority w:val="39"/>
    <w:unhideWhenUsed/>
    <w:pPr>
      <w:pBdr/>
      <w:spacing/>
      <w:ind/>
    </w:pPr>
  </w:style>
  <w:style w:type="paragraph" w:styleId="1020">
    <w:name w:val="table of figures"/>
    <w:basedOn w:val="1021"/>
    <w:next w:val="1021"/>
    <w:uiPriority w:val="99"/>
    <w:unhideWhenUsed/>
    <w:pPr>
      <w:pBdr/>
      <w:spacing w:after="0" w:afterAutospacing="0"/>
      <w:ind/>
    </w:pPr>
  </w:style>
  <w:style w:type="paragraph" w:styleId="1021" w:default="1">
    <w:name w:val="Normal"/>
    <w:qFormat/>
    <w:pPr>
      <w:pBdr/>
      <w:spacing w:after="0" w:line="240" w:lineRule="auto"/>
      <w:ind/>
    </w:pPr>
    <w:rPr>
      <w:rFonts w:ascii="Times New Roman" w:hAnsi="Times New Roman" w:eastAsia="Times New Roman" w:cs="Times New Roman"/>
      <w:sz w:val="24"/>
      <w:szCs w:val="24"/>
    </w:rPr>
  </w:style>
  <w:style w:type="paragraph" w:styleId="1022">
    <w:name w:val="Heading 1"/>
    <w:basedOn w:val="1021"/>
    <w:next w:val="1021"/>
    <w:link w:val="1029"/>
    <w:qFormat/>
    <w:pPr>
      <w:keepNext w:val="true"/>
      <w:pBdr/>
      <w:spacing w:after="120" w:before="120"/>
      <w:ind/>
      <w:jc w:val="center"/>
      <w:outlineLvl w:val="0"/>
    </w:pPr>
    <w:rPr>
      <w:b/>
      <w:bCs/>
      <w:sz w:val="27"/>
      <w:szCs w:val="27"/>
    </w:rPr>
  </w:style>
  <w:style w:type="paragraph" w:styleId="1023">
    <w:name w:val="Heading 2"/>
    <w:basedOn w:val="1021"/>
    <w:next w:val="1021"/>
    <w:link w:val="103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4">
    <w:name w:val="Heading 3"/>
    <w:basedOn w:val="1021"/>
    <w:next w:val="1021"/>
    <w:link w:val="1031"/>
    <w:qFormat/>
    <w:pPr>
      <w:keepNext w:val="true"/>
      <w:pBdr/>
      <w:spacing w:before="60"/>
      <w:ind/>
      <w:outlineLvl w:val="2"/>
    </w:pPr>
    <w:rPr>
      <w:sz w:val="28"/>
      <w:szCs w:val="28"/>
    </w:rPr>
  </w:style>
  <w:style w:type="paragraph" w:styleId="1025">
    <w:name w:val="Heading 4"/>
    <w:basedOn w:val="1021"/>
    <w:next w:val="1021"/>
    <w:link w:val="1032"/>
    <w:qFormat/>
    <w:pPr>
      <w:keepNext w:val="true"/>
      <w:pBdr/>
      <w:spacing/>
      <w:ind/>
      <w:jc w:val="center"/>
      <w:outlineLvl w:val="3"/>
    </w:pPr>
    <w:rPr>
      <w:b/>
      <w:bCs/>
    </w:rPr>
  </w:style>
  <w:style w:type="character" w:styleId="1026" w:default="1">
    <w:name w:val="Default Paragraph Font"/>
    <w:uiPriority w:val="1"/>
    <w:semiHidden/>
    <w:unhideWhenUsed/>
    <w:pPr>
      <w:pBdr/>
      <w:spacing/>
      <w:ind/>
    </w:pPr>
  </w:style>
  <w:style w:type="table" w:styleId="102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8" w:default="1">
    <w:name w:val="No List"/>
    <w:uiPriority w:val="99"/>
    <w:semiHidden/>
    <w:unhideWhenUsed/>
    <w:pPr>
      <w:pBdr/>
      <w:spacing/>
      <w:ind/>
    </w:pPr>
  </w:style>
  <w:style w:type="character" w:styleId="1029" w:customStyle="1">
    <w:name w:val="Heading 1 Char"/>
    <w:basedOn w:val="1026"/>
    <w:link w:val="1022"/>
    <w:pPr>
      <w:pBdr/>
      <w:spacing/>
      <w:ind/>
    </w:pPr>
    <w:rPr>
      <w:rFonts w:ascii="Times New Roman" w:hAnsi="Times New Roman" w:eastAsia="Times New Roman" w:cs="Times New Roman"/>
      <w:b/>
      <w:bCs/>
      <w:sz w:val="27"/>
      <w:szCs w:val="27"/>
    </w:rPr>
  </w:style>
  <w:style w:type="character" w:styleId="1030" w:customStyle="1">
    <w:name w:val="Heading 2 Char"/>
    <w:basedOn w:val="1026"/>
    <w:link w:val="1023"/>
    <w:uiPriority w:val="9"/>
    <w:pPr>
      <w:pBdr/>
      <w:spacing/>
      <w:ind/>
    </w:pPr>
    <w:rPr>
      <w:rFonts w:asciiTheme="majorHAnsi" w:hAnsiTheme="majorHAnsi" w:eastAsiaTheme="majorEastAsia" w:cstheme="majorBidi"/>
      <w:color w:val="365f91" w:themeColor="accent1" w:themeShade="BF"/>
      <w:sz w:val="26"/>
      <w:szCs w:val="26"/>
    </w:rPr>
  </w:style>
  <w:style w:type="character" w:styleId="1031" w:customStyle="1">
    <w:name w:val="Heading 3 Char"/>
    <w:basedOn w:val="1026"/>
    <w:link w:val="1024"/>
    <w:pPr>
      <w:pBdr/>
      <w:spacing/>
      <w:ind/>
    </w:pPr>
    <w:rPr>
      <w:rFonts w:ascii="Times New Roman" w:hAnsi="Times New Roman" w:eastAsia="Times New Roman" w:cs="Times New Roman"/>
      <w:sz w:val="28"/>
      <w:szCs w:val="28"/>
    </w:rPr>
  </w:style>
  <w:style w:type="character" w:styleId="1032" w:customStyle="1">
    <w:name w:val="Heading 4 Char"/>
    <w:basedOn w:val="1026"/>
    <w:link w:val="1025"/>
    <w:pPr>
      <w:pBdr/>
      <w:spacing/>
      <w:ind/>
    </w:pPr>
    <w:rPr>
      <w:rFonts w:ascii="Times New Roman" w:hAnsi="Times New Roman" w:eastAsia="Times New Roman" w:cs="Times New Roman"/>
      <w:b/>
      <w:bCs/>
      <w:sz w:val="24"/>
      <w:szCs w:val="24"/>
    </w:rPr>
  </w:style>
  <w:style w:type="character" w:styleId="1033">
    <w:name w:val="Hyperlink"/>
    <w:uiPriority w:val="99"/>
    <w:pPr>
      <w:pBdr/>
      <w:spacing/>
      <w:ind/>
    </w:pPr>
    <w:rPr>
      <w:color w:val="000000"/>
      <w:u w:val="single"/>
    </w:rPr>
  </w:style>
  <w:style w:type="character" w:styleId="1034">
    <w:name w:val="Strong"/>
    <w:uiPriority w:val="22"/>
    <w:qFormat/>
    <w:pPr>
      <w:pBdr/>
      <w:spacing/>
      <w:ind/>
    </w:pPr>
    <w:rPr>
      <w:b/>
      <w:bCs/>
    </w:rPr>
  </w:style>
  <w:style w:type="paragraph" w:styleId="1035">
    <w:name w:val="Balloon Text"/>
    <w:basedOn w:val="1021"/>
    <w:link w:val="1036"/>
    <w:uiPriority w:val="99"/>
    <w:semiHidden/>
    <w:unhideWhenUsed/>
    <w:pPr>
      <w:pBdr/>
      <w:spacing/>
      <w:ind/>
    </w:pPr>
    <w:rPr>
      <w:rFonts w:ascii="Tahoma" w:hAnsi="Tahoma" w:cs="Tahoma"/>
      <w:sz w:val="16"/>
      <w:szCs w:val="16"/>
    </w:rPr>
  </w:style>
  <w:style w:type="character" w:styleId="1036" w:customStyle="1">
    <w:name w:val="Balloon Text Char"/>
    <w:basedOn w:val="1026"/>
    <w:link w:val="1035"/>
    <w:uiPriority w:val="99"/>
    <w:semiHidden/>
    <w:pPr>
      <w:pBdr/>
      <w:spacing/>
      <w:ind/>
    </w:pPr>
    <w:rPr>
      <w:rFonts w:ascii="Tahoma" w:hAnsi="Tahoma" w:eastAsia="Times New Roman" w:cs="Tahoma"/>
      <w:sz w:val="16"/>
      <w:szCs w:val="16"/>
    </w:rPr>
  </w:style>
  <w:style w:type="paragraph" w:styleId="1037">
    <w:name w:val="Header"/>
    <w:basedOn w:val="1021"/>
    <w:link w:val="1038"/>
    <w:unhideWhenUsed/>
    <w:pPr>
      <w:pBdr/>
      <w:tabs>
        <w:tab w:val="center" w:leader="none" w:pos="4680"/>
        <w:tab w:val="right" w:leader="none" w:pos="9360"/>
      </w:tabs>
      <w:spacing/>
      <w:ind/>
    </w:pPr>
  </w:style>
  <w:style w:type="character" w:styleId="1038" w:customStyle="1">
    <w:name w:val="Header Char"/>
    <w:basedOn w:val="1026"/>
    <w:link w:val="1037"/>
    <w:pPr>
      <w:pBdr/>
      <w:spacing/>
      <w:ind/>
    </w:pPr>
    <w:rPr>
      <w:rFonts w:ascii="Times New Roman" w:hAnsi="Times New Roman" w:eastAsia="Times New Roman" w:cs="Times New Roman"/>
      <w:sz w:val="24"/>
      <w:szCs w:val="24"/>
    </w:rPr>
  </w:style>
  <w:style w:type="paragraph" w:styleId="1039">
    <w:name w:val="Footer"/>
    <w:basedOn w:val="1021"/>
    <w:link w:val="1040"/>
    <w:uiPriority w:val="99"/>
    <w:unhideWhenUsed/>
    <w:pPr>
      <w:pBdr/>
      <w:tabs>
        <w:tab w:val="center" w:leader="none" w:pos="4680"/>
        <w:tab w:val="right" w:leader="none" w:pos="9360"/>
      </w:tabs>
      <w:spacing/>
      <w:ind/>
    </w:pPr>
  </w:style>
  <w:style w:type="character" w:styleId="1040" w:customStyle="1">
    <w:name w:val="Footer Char"/>
    <w:basedOn w:val="1026"/>
    <w:link w:val="1039"/>
    <w:uiPriority w:val="99"/>
    <w:pPr>
      <w:pBdr/>
      <w:spacing/>
      <w:ind/>
    </w:pPr>
    <w:rPr>
      <w:rFonts w:ascii="Times New Roman" w:hAnsi="Times New Roman" w:eastAsia="Times New Roman" w:cs="Times New Roman"/>
      <w:sz w:val="24"/>
      <w:szCs w:val="24"/>
    </w:rPr>
  </w:style>
  <w:style w:type="character" w:styleId="1041" w:customStyle="1">
    <w:name w:val="normal-h1"/>
    <w:pPr>
      <w:pBdr/>
      <w:spacing/>
      <w:ind/>
    </w:pPr>
    <w:rPr>
      <w:rFonts w:hint="default" w:ascii=".VnTime" w:hAnsi=".VnTime"/>
      <w:color w:val="0000ff"/>
      <w:sz w:val="24"/>
      <w:szCs w:val="24"/>
    </w:rPr>
  </w:style>
  <w:style w:type="paragraph" w:styleId="1042" w:customStyle="1">
    <w:name w:val="normal-p"/>
    <w:basedOn w:val="1021"/>
    <w:pPr>
      <w:pBdr/>
      <w:spacing/>
      <w:ind/>
      <w:jc w:val="both"/>
    </w:pPr>
    <w:rPr>
      <w:sz w:val="20"/>
      <w:szCs w:val="20"/>
    </w:rPr>
  </w:style>
  <w:style w:type="paragraph" w:styleId="1043">
    <w:name w:val="List Paragraph"/>
    <w:basedOn w:val="1021"/>
    <w:link w:val="1130"/>
    <w:uiPriority w:val="34"/>
    <w:qFormat/>
    <w:pPr>
      <w:pBdr/>
      <w:spacing/>
      <w:ind w:left="720"/>
    </w:pPr>
  </w:style>
  <w:style w:type="paragraph" w:styleId="1044">
    <w:name w:val="Normal (Web)"/>
    <w:basedOn w:val="1021"/>
    <w:uiPriority w:val="99"/>
    <w:pPr>
      <w:pBdr/>
      <w:spacing w:after="100" w:afterAutospacing="1" w:before="100" w:beforeAutospacing="1"/>
      <w:ind/>
    </w:pPr>
  </w:style>
  <w:style w:type="paragraph" w:styleId="1045">
    <w:name w:val="Body Text"/>
    <w:basedOn w:val="1021"/>
    <w:link w:val="1046"/>
    <w:pPr>
      <w:pBdr/>
      <w:spacing w:after="120"/>
      <w:ind/>
      <w:jc w:val="both"/>
    </w:pPr>
  </w:style>
  <w:style w:type="character" w:styleId="1046" w:customStyle="1">
    <w:name w:val="Body Text Char"/>
    <w:basedOn w:val="1026"/>
    <w:link w:val="1045"/>
    <w:pPr>
      <w:pBdr/>
      <w:spacing/>
      <w:ind/>
    </w:pPr>
    <w:rPr>
      <w:rFonts w:ascii="Times New Roman" w:hAnsi="Times New Roman" w:eastAsia="Times New Roman" w:cs="Times New Roman"/>
      <w:sz w:val="24"/>
      <w:szCs w:val="24"/>
    </w:rPr>
  </w:style>
  <w:style w:type="table" w:styleId="1047">
    <w:name w:val="Table Grid"/>
    <w:basedOn w:val="102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9">
    <w:name w:val="annotation reference"/>
    <w:basedOn w:val="1026"/>
    <w:uiPriority w:val="99"/>
    <w:semiHidden/>
    <w:unhideWhenUsed/>
    <w:pPr>
      <w:pBdr/>
      <w:spacing/>
      <w:ind/>
    </w:pPr>
    <w:rPr>
      <w:sz w:val="16"/>
      <w:szCs w:val="16"/>
    </w:rPr>
  </w:style>
  <w:style w:type="paragraph" w:styleId="1050">
    <w:name w:val="annotation text"/>
    <w:basedOn w:val="1021"/>
    <w:link w:val="1051"/>
    <w:uiPriority w:val="99"/>
    <w:unhideWhenUsed/>
    <w:pPr>
      <w:pBdr/>
      <w:spacing/>
      <w:ind/>
    </w:pPr>
    <w:rPr>
      <w:sz w:val="20"/>
      <w:szCs w:val="20"/>
    </w:rPr>
  </w:style>
  <w:style w:type="character" w:styleId="1051" w:customStyle="1">
    <w:name w:val="Comment Text Char"/>
    <w:basedOn w:val="1026"/>
    <w:link w:val="1050"/>
    <w:uiPriority w:val="99"/>
    <w:pPr>
      <w:pBdr/>
      <w:spacing/>
      <w:ind/>
    </w:pPr>
    <w:rPr>
      <w:rFonts w:ascii="Times New Roman" w:hAnsi="Times New Roman" w:eastAsia="Times New Roman" w:cs="Times New Roman"/>
      <w:sz w:val="20"/>
      <w:szCs w:val="20"/>
    </w:rPr>
  </w:style>
  <w:style w:type="paragraph" w:styleId="1052">
    <w:name w:val="annotation subject"/>
    <w:basedOn w:val="1050"/>
    <w:next w:val="1050"/>
    <w:link w:val="1053"/>
    <w:uiPriority w:val="99"/>
    <w:semiHidden/>
    <w:unhideWhenUsed/>
    <w:pPr>
      <w:pBdr/>
      <w:spacing/>
      <w:ind/>
    </w:pPr>
    <w:rPr>
      <w:b/>
      <w:bCs/>
    </w:rPr>
  </w:style>
  <w:style w:type="character" w:styleId="1053" w:customStyle="1">
    <w:name w:val="Comment Subject Char"/>
    <w:basedOn w:val="1051"/>
    <w:link w:val="1052"/>
    <w:uiPriority w:val="99"/>
    <w:semiHidden/>
    <w:pPr>
      <w:pBdr/>
      <w:spacing/>
      <w:ind/>
    </w:pPr>
    <w:rPr>
      <w:rFonts w:ascii="Times New Roman" w:hAnsi="Times New Roman" w:eastAsia="Times New Roman" w:cs="Times New Roman"/>
      <w:b/>
      <w:bCs/>
      <w:sz w:val="20"/>
      <w:szCs w:val="20"/>
    </w:rPr>
  </w:style>
  <w:style w:type="paragraph" w:styleId="1054" w:customStyle="1">
    <w:name w:val="font5"/>
    <w:basedOn w:val="1021"/>
    <w:pPr>
      <w:pBdr/>
      <w:spacing w:after="100" w:afterAutospacing="1" w:before="100" w:beforeAutospacing="1"/>
      <w:ind/>
    </w:pPr>
    <w:rPr>
      <w:rFonts w:ascii="Tahoma" w:hAnsi="Tahoma" w:cs="Tahoma"/>
      <w:color w:val="000000"/>
      <w:sz w:val="18"/>
      <w:szCs w:val="18"/>
    </w:rPr>
  </w:style>
  <w:style w:type="paragraph" w:styleId="1055" w:customStyle="1">
    <w:name w:val="font6"/>
    <w:basedOn w:val="1021"/>
    <w:pPr>
      <w:pBdr/>
      <w:spacing w:after="100" w:afterAutospacing="1" w:before="100" w:beforeAutospacing="1"/>
      <w:ind/>
    </w:pPr>
    <w:rPr>
      <w:rFonts w:ascii="Tahoma" w:hAnsi="Tahoma" w:cs="Tahoma"/>
      <w:b/>
      <w:bCs/>
      <w:color w:val="000000"/>
      <w:sz w:val="18"/>
      <w:szCs w:val="18"/>
    </w:rPr>
  </w:style>
  <w:style w:type="paragraph" w:styleId="1056" w:customStyle="1">
    <w:name w:val="xl23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34"/>
    <w:basedOn w:val="1021"/>
    <w:pPr>
      <w:pBdr/>
      <w:spacing w:after="100" w:afterAutospacing="1" w:before="100" w:beforeAutospacing="1"/>
      <w:ind/>
      <w:jc w:val="center"/>
    </w:pPr>
  </w:style>
  <w:style w:type="paragraph" w:styleId="1058" w:customStyle="1">
    <w:name w:val="xl235"/>
    <w:basedOn w:val="1021"/>
    <w:pPr>
      <w:pBdr/>
      <w:spacing w:after="100" w:afterAutospacing="1" w:before="100" w:beforeAutospacing="1"/>
      <w:ind/>
      <w:jc w:val="center"/>
    </w:pPr>
    <w:rPr>
      <w:b/>
      <w:bCs/>
    </w:rPr>
  </w:style>
  <w:style w:type="paragraph" w:styleId="1059" w:customStyle="1">
    <w:name w:val="xl236"/>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3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38"/>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3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3" w:customStyle="1">
    <w:name w:val="xl240"/>
    <w:basedOn w:val="1021"/>
    <w:pPr>
      <w:pBdr/>
      <w:spacing w:after="100" w:afterAutospacing="1" w:before="100" w:beforeAutospacing="1"/>
      <w:ind/>
    </w:pPr>
  </w:style>
  <w:style w:type="paragraph" w:styleId="1064" w:customStyle="1">
    <w:name w:val="xl241"/>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42"/>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43"/>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44"/>
    <w:basedOn w:val="1021"/>
    <w:pPr>
      <w:pBdr/>
      <w:spacing w:after="100" w:afterAutospacing="1" w:before="100" w:beforeAutospacing="1"/>
      <w:ind/>
    </w:pPr>
    <w:rPr>
      <w:b/>
      <w:bCs/>
    </w:rPr>
  </w:style>
  <w:style w:type="paragraph" w:styleId="1068" w:customStyle="1">
    <w:name w:val="xl245"/>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4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47"/>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1" w:customStyle="1">
    <w:name w:val="xl24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4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5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5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5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3"/>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4"/>
    <w:basedOn w:val="102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55"/>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9" w:customStyle="1">
    <w:name w:val="xl25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0" w:customStyle="1">
    <w:name w:val="xl25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8"/>
    <w:basedOn w:val="102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5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60"/>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61"/>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62"/>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3"/>
    <w:basedOn w:val="1021"/>
    <w:pPr>
      <w:pBdr/>
      <w:shd w:val="clear" w:color="000000" w:fill="ffffff"/>
      <w:spacing w:after="100" w:afterAutospacing="1" w:before="100" w:beforeAutospacing="1"/>
      <w:ind/>
    </w:pPr>
  </w:style>
  <w:style w:type="paragraph" w:styleId="1087" w:customStyle="1">
    <w:name w:val="xl264"/>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65"/>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6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0" w:customStyle="1">
    <w:name w:val="xl26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68"/>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2" w:customStyle="1">
    <w:name w:val="xl269"/>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3" w:customStyle="1">
    <w:name w:val="xl27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1"/>
    <w:basedOn w:val="102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5" w:customStyle="1">
    <w:name w:val="xl27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73"/>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74"/>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5"/>
    <w:basedOn w:val="1021"/>
    <w:pPr>
      <w:pBdr/>
      <w:spacing w:after="100" w:afterAutospacing="1" w:before="100" w:beforeAutospacing="1"/>
      <w:ind/>
    </w:pPr>
  </w:style>
  <w:style w:type="paragraph" w:styleId="1099" w:customStyle="1">
    <w:name w:val="xl27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77"/>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1" w:customStyle="1">
    <w:name w:val="xl27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7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4" w:customStyle="1">
    <w:name w:val="xl28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5" w:customStyle="1">
    <w:name w:val="xl28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6" w:customStyle="1">
    <w:name w:val="xl28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4"/>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85"/>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9" w:customStyle="1">
    <w:name w:val="xl28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customStyle="1">
    <w:name w:val="xl287"/>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8"/>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89"/>
    <w:basedOn w:val="1021"/>
    <w:pPr>
      <w:pBdr>
        <w:left w:val="single" w:color="000000" w:sz="4" w:space="0"/>
        <w:right w:val="single" w:color="000000" w:sz="4" w:space="0"/>
      </w:pBdr>
      <w:spacing w:after="100" w:afterAutospacing="1" w:before="100" w:beforeAutospacing="1"/>
      <w:ind/>
    </w:pPr>
    <w:rPr>
      <w:b/>
      <w:bCs/>
    </w:rPr>
  </w:style>
  <w:style w:type="paragraph" w:styleId="1113" w:customStyle="1">
    <w:name w:val="xl29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4" w:customStyle="1">
    <w:name w:val="xl291"/>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5" w:customStyle="1">
    <w:name w:val="xl292"/>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93"/>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94"/>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8">
    <w:name w:val="Title"/>
    <w:basedOn w:val="1021"/>
    <w:link w:val="1119"/>
    <w:qFormat/>
    <w:pPr>
      <w:pBdr/>
      <w:spacing/>
      <w:ind/>
      <w:jc w:val="center"/>
    </w:pPr>
    <w:rPr>
      <w:b/>
      <w:bCs/>
      <w:sz w:val="32"/>
      <w:szCs w:val="26"/>
    </w:rPr>
  </w:style>
  <w:style w:type="character" w:styleId="1119" w:customStyle="1">
    <w:name w:val="Title Char"/>
    <w:basedOn w:val="1026"/>
    <w:link w:val="1118"/>
    <w:pPr>
      <w:pBdr/>
      <w:spacing/>
      <w:ind/>
    </w:pPr>
    <w:rPr>
      <w:rFonts w:ascii="Times New Roman" w:hAnsi="Times New Roman" w:eastAsia="Times New Roman" w:cs="Times New Roman"/>
      <w:b/>
      <w:bCs/>
      <w:sz w:val="32"/>
      <w:szCs w:val="26"/>
    </w:rPr>
  </w:style>
  <w:style w:type="character" w:styleId="1120" w:customStyle="1">
    <w:name w:val="Unresolved Mention1"/>
    <w:basedOn w:val="1026"/>
    <w:uiPriority w:val="99"/>
    <w:semiHidden/>
    <w:unhideWhenUsed/>
    <w:pPr>
      <w:pBdr/>
      <w:spacing/>
      <w:ind/>
    </w:pPr>
    <w:rPr>
      <w:color w:val="605e5c"/>
      <w:shd w:val="clear" w:color="auto" w:fill="e1dfdd"/>
    </w:rPr>
  </w:style>
  <w:style w:type="character" w:styleId="1121" w:customStyle="1">
    <w:name w:val="Body text (3)_"/>
    <w:link w:val="1122"/>
    <w:pPr>
      <w:pBdr/>
      <w:spacing/>
      <w:ind/>
    </w:pPr>
    <w:rPr>
      <w:rFonts w:ascii="Times New Roman" w:hAnsi="Times New Roman" w:cs="Times New Roman"/>
      <w:i/>
      <w:iCs/>
      <w:spacing w:val="4"/>
      <w:shd w:val="clear" w:color="auto" w:fill="ffffff"/>
    </w:rPr>
  </w:style>
  <w:style w:type="paragraph" w:styleId="1122" w:customStyle="1">
    <w:name w:val="Body text (3)1"/>
    <w:basedOn w:val="1021"/>
    <w:link w:val="112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3" w:customStyle="1">
    <w:name w:val="t-j"/>
    <w:basedOn w:val="1021"/>
    <w:pPr>
      <w:pBdr/>
      <w:spacing w:after="100" w:afterAutospacing="1" w:before="100" w:beforeAutospacing="1"/>
      <w:ind/>
    </w:pPr>
  </w:style>
  <w:style w:type="character" w:styleId="1124" w:customStyle="1">
    <w:name w:val="Unresolved Mention2"/>
    <w:basedOn w:val="1026"/>
    <w:uiPriority w:val="99"/>
    <w:semiHidden/>
    <w:unhideWhenUsed/>
    <w:pPr>
      <w:pBdr/>
      <w:spacing/>
      <w:ind/>
    </w:pPr>
    <w:rPr>
      <w:color w:val="605e5c"/>
      <w:shd w:val="clear" w:color="auto" w:fill="e1dfdd"/>
    </w:rPr>
  </w:style>
  <w:style w:type="character" w:styleId="1125">
    <w:name w:val="FollowedHyperlink"/>
    <w:basedOn w:val="1026"/>
    <w:uiPriority w:val="99"/>
    <w:semiHidden/>
    <w:unhideWhenUsed/>
    <w:pPr>
      <w:pBdr/>
      <w:spacing/>
      <w:ind/>
    </w:pPr>
    <w:rPr>
      <w:color w:val="800080" w:themeColor="followedHyperlink"/>
      <w:u w:val="single"/>
    </w:rPr>
  </w:style>
  <w:style w:type="character" w:styleId="1126" w:customStyle="1">
    <w:name w:val="text"/>
    <w:basedOn w:val="1026"/>
    <w:pPr>
      <w:pBdr/>
      <w:spacing/>
      <w:ind/>
    </w:pPr>
  </w:style>
  <w:style w:type="character" w:styleId="1127" w:customStyle="1">
    <w:name w:val="card-send-time__sendtime"/>
    <w:basedOn w:val="1026"/>
    <w:pPr>
      <w:pBdr/>
      <w:spacing/>
      <w:ind/>
    </w:pPr>
  </w:style>
  <w:style w:type="character" w:styleId="1128" w:customStyle="1">
    <w:name w:val="Đề cập Chưa giải quyết1"/>
    <w:basedOn w:val="1026"/>
    <w:uiPriority w:val="99"/>
    <w:semiHidden/>
    <w:unhideWhenUsed/>
    <w:pPr>
      <w:pBdr/>
      <w:spacing/>
      <w:ind/>
    </w:pPr>
    <w:rPr>
      <w:color w:val="605e5c"/>
      <w:shd w:val="clear" w:color="auto" w:fill="e1dfdd"/>
    </w:rPr>
  </w:style>
  <w:style w:type="paragraph" w:styleId="1129" w:customStyle="1">
    <w:name w:val="nqtitle"/>
    <w:basedOn w:val="1021"/>
    <w:pPr>
      <w:pBdr/>
      <w:spacing w:after="100" w:afterAutospacing="1" w:before="100" w:beforeAutospacing="1"/>
      <w:ind/>
    </w:pPr>
    <w:rPr>
      <w:lang w:val="vi-VN" w:eastAsia="vi-VN"/>
    </w:rPr>
  </w:style>
  <w:style w:type="character" w:styleId="1130" w:customStyle="1">
    <w:name w:val="List Paragraph Char"/>
    <w:link w:val="1043"/>
    <w:uiPriority w:val="34"/>
    <w:qFormat/>
    <w:pPr>
      <w:pBdr/>
      <w:spacing/>
      <w:ind/>
    </w:pPr>
    <w:rPr>
      <w:rFonts w:ascii="Times New Roman" w:hAnsi="Times New Roman" w:eastAsia="Times New Roman" w:cs="Times New Roman"/>
      <w:sz w:val="24"/>
      <w:szCs w:val="24"/>
    </w:rPr>
  </w:style>
  <w:style w:type="character" w:styleId="1131" w:customStyle="1">
    <w:name w:val="Đề cập Chưa giải quyết2"/>
    <w:basedOn w:val="1026"/>
    <w:uiPriority w:val="99"/>
    <w:semiHidden/>
    <w:unhideWhenUsed/>
    <w:pPr>
      <w:pBdr/>
      <w:spacing/>
      <w:ind/>
    </w:pPr>
    <w:rPr>
      <w:color w:val="605e5c"/>
      <w:shd w:val="clear" w:color="auto" w:fill="e1dfdd"/>
    </w:rPr>
  </w:style>
  <w:style w:type="character" w:styleId="1132" w:customStyle="1">
    <w:name w:val="Unresolved Mention3"/>
    <w:basedOn w:val="1026"/>
    <w:uiPriority w:val="99"/>
    <w:semiHidden/>
    <w:unhideWhenUsed/>
    <w:pPr>
      <w:pBdr/>
      <w:spacing/>
      <w:ind/>
    </w:pPr>
    <w:rPr>
      <w:color w:val="605e5c"/>
      <w:shd w:val="clear" w:color="auto" w:fill="e1dfdd"/>
    </w:rPr>
  </w:style>
  <w:style w:type="character" w:styleId="1133" w:customStyle="1">
    <w:name w:val="copy"/>
    <w:basedOn w:val="1026"/>
    <w:pPr>
      <w:pBdr/>
      <w:spacing/>
      <w:ind/>
    </w:pPr>
  </w:style>
  <w:style w:type="paragraph" w:styleId="1134" w:customStyle="1">
    <w:name w:val="align-justify"/>
    <w:basedOn w:val="1021"/>
    <w:pPr>
      <w:pBdr/>
      <w:spacing w:after="100" w:afterAutospacing="1" w:before="100" w:beforeAutospacing="1"/>
      <w:ind/>
    </w:pPr>
  </w:style>
  <w:style w:type="character" w:styleId="1135" w:customStyle="1">
    <w:name w:val="btn"/>
    <w:basedOn w:val="1026"/>
    <w:pPr>
      <w:pBdr/>
      <w:spacing/>
      <w:ind/>
    </w:pPr>
  </w:style>
  <w:style w:type="character" w:styleId="1136" w:customStyle="1">
    <w:name w:val="hide_mobile"/>
    <w:basedOn w:val="1026"/>
    <w:pPr>
      <w:pBdr/>
      <w:spacing/>
      <w:ind/>
    </w:pPr>
  </w:style>
  <w:style w:type="character" w:styleId="1137">
    <w:name w:val="Emphasis"/>
    <w:basedOn w:val="1026"/>
    <w:uiPriority w:val="20"/>
    <w:qFormat/>
    <w:pPr>
      <w:pBdr/>
      <w:spacing/>
      <w:ind/>
    </w:pPr>
    <w:rPr>
      <w:i/>
      <w:iCs/>
    </w:rPr>
  </w:style>
  <w:style w:type="character" w:styleId="1138" w:customStyle="1">
    <w:name w:val="t1"/>
    <w:basedOn w:val="1026"/>
    <w:pPr>
      <w:pBdr/>
      <w:spacing/>
      <w:ind/>
    </w:pPr>
  </w:style>
  <w:style w:type="character" w:styleId="1139" w:customStyle="1">
    <w:name w:val="Unresolved Mention4"/>
    <w:basedOn w:val="1026"/>
    <w:uiPriority w:val="99"/>
    <w:semiHidden/>
    <w:unhideWhenUsed/>
    <w:pPr>
      <w:pBdr/>
      <w:spacing/>
      <w:ind/>
    </w:pPr>
    <w:rPr>
      <w:color w:val="605e5c"/>
      <w:shd w:val="clear" w:color="auto" w:fill="e1dfdd"/>
    </w:rPr>
  </w:style>
  <w:style w:type="character" w:styleId="1140">
    <w:name w:val="Unresolved Mention"/>
    <w:basedOn w:val="102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https://summerland.com.vn/thi-truong-mua-ban-nha-dat-thanh-pho-sa-dec-co-hoi-dau-tu)" TargetMode="External"/><Relationship Id="rId16" Type="http://schemas.openxmlformats.org/officeDocument/2006/relationships/image" Target="media/image3.png"/><Relationship Id="rId17" Type="http://schemas.openxmlformats.org/officeDocument/2006/relationships/hyperlink" Target="https://thuvienphapluat.vn/van-ban/Bat-dong-san/Quyet-dinh-12-2024-QD-UBND-sua-doi-bang-gia-dat-o-Quyet-dinh-36-2019-QD-UBND-Dong-Thap-612647.aspx" TargetMode="External"/><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276</cp:revision>
  <dcterms:created xsi:type="dcterms:W3CDTF">2025-09-15T09:58:00Z</dcterms:created>
  <dcterms:modified xsi:type="dcterms:W3CDTF">2025-12-25T08:12:57Z</dcterms:modified>
</cp:coreProperties>
</file>