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t xml:space="preserve"> </w:t>
      </w:r>
      <w:r>
        <w:rPr>
          <w:b/>
          <w:sz w:val="28"/>
          <w:lang w:val="vi-VN"/>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5441592"/>
                <wp:effectExtent l="12700" t="12700" r="31750" b="1968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a:off x="0" y="0"/>
                          <a:ext cx="5467350" cy="5441592"/>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HSTD-20250925-0006/CT-VFI</w:t>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Nguyễn Đình Tiến</w:t>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Giấy chứng nhận số 070, Số vào sổ cấp GCN C00101, Nơi cấp Hà Nội, Ngày cấp 31/08/2025, Số thửa 103, Tờ bản đồ 9, Địa chỉ trên sổ Đường Nhân Huệ, Phường Đồn</w:t>
                            </w:r>
                            <w:r>
                              <w:rPr>
                                <w:color w:val="000000"/>
                              </w:rPr>
                              <w:t xml:space="preserve">g Mai, Quận Hà Đông, Thành phố Hà Nội | Tài sản tại: Đường Nhân Huệ, Phường Đồng Mai, Quận Hà Đông, Thành phố Hà Nội, đường Đường Nhân Huệ, độ rộng đường trước mặt tài sản 10m, Dễ đi lại, ko ùn tắc, mặt tiền 3m, Cách chợ khoảng 270m, 20.9353768, 105.732032</w:t>
                            </w:r>
                            <w:r>
                              <w:rPr>
                                <w:bCs/>
                                <w:i/>
                                <w:iCs/>
                              </w:rPr>
                              <w:t xml:space="preserve">.</w:t>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11/2025</w:t>
                            </w:r>
                            <w:r>
                              <w:rPr>
                                <w:lang w:val="pt-BR"/>
                              </w:rPr>
                              <w:t xml:space="preserve">.</w:t>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428.47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HSTD-20250925-0006/CT-VFI</w:t>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Nguyễn Đình Tiến</w:t>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Giấy chứng nhận số 070, Số vào sổ cấp GCN C00101, Nơi cấp Hà Nội, Ngày cấp 31/08/2025, Số thửa 103, Tờ bản đồ 9, Địa chỉ trên sổ Đường Nhân Huệ, Phường Đồn</w:t>
                      </w:r>
                      <w:r>
                        <w:rPr>
                          <w:color w:val="000000"/>
                        </w:rPr>
                        <w:t xml:space="preserve">g Mai, Quận Hà Đông, Thành phố Hà Nội | Tài sản tại: Đường Nhân Huệ, Phường Đồng Mai, Quận Hà Đông, Thành phố Hà Nội, đường Đường Nhân Huệ, độ rộng đường trước mặt tài sản 10m, Dễ đi lại, ko ùn tắc, mặt tiền 3m, Cách chợ khoảng 270m, 20.9353768, 105.732032</w:t>
                      </w:r>
                      <w:r>
                        <w:rPr>
                          <w:bCs/>
                          <w:i/>
                          <w:iCs/>
                        </w:rPr>
                        <w:t xml:space="preserve">.</w:t>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11/2025</w:t>
                      </w:r>
                      <w:r>
                        <w:rPr>
                          <w:lang w:val="pt-BR"/>
                        </w:rPr>
                        <w:t xml:space="preserve">.</w:t>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v:textbox>
              </v:shape>
            </w:pict>
          </mc:Fallback>
        </mc:AlternateContent>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right"/>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p>
    <w:p>
      <w:pPr>
        <w:pBdr/>
        <w:spacing/>
        <w:ind w:right="-1"/>
        <w:jc w:val="center"/>
        <w:rPr>
          <w:sz w:val="28"/>
        </w:rPr>
      </w:pPr>
      <w:r>
        <w:rPr>
          <w:b/>
          <w:sz w:val="28"/>
        </w:rPr>
        <w:t xml:space="preserve">MỤC LỤC</w:t>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p>
        </w:tc>
      </w:tr>
      <w:tr>
        <w:trPr/>
        <w:tc>
          <w:tcPr>
            <w:tcBorders/>
            <w:tcMar>
              <w:left w:w="108" w:type="dxa"/>
              <w:right w:w="108" w:type="dxa"/>
            </w:tcMar>
            <w:tcW w:w="7280" w:type="dxa"/>
            <w:vAlign w:val="center"/>
            <w:textDirection w:val="lrTb"/>
            <w:noWrap w:val="false"/>
          </w:tcPr>
          <w:p>
            <w:pPr>
              <w:pStyle w:val="856"/>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p>
        </w:tc>
      </w:tr>
      <w:tr>
        <w:trPr/>
        <w:tc>
          <w:tcPr>
            <w:tcBorders/>
            <w:tcMar>
              <w:left w:w="108" w:type="dxa"/>
              <w:right w:w="108" w:type="dxa"/>
            </w:tcMar>
            <w:tcW w:w="7280" w:type="dxa"/>
            <w:vAlign w:val="center"/>
            <w:textDirection w:val="lrTb"/>
            <w:noWrap w:val="false"/>
          </w:tcPr>
          <w:p>
            <w:pPr>
              <w:pStyle w:val="856"/>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p>
        </w:tc>
      </w:tr>
    </w:tbl>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p>
    <w:tbl>
      <w:tblPr>
        <w:tblInd w:w="-34" w:type="dxa"/>
        <w:tblW w:w="9532" w:type="dxa"/>
        <w:tblCellMar>
          <w:left w:w="15" w:type="dxa"/>
          <w:top w:w="15" w:type="dxa"/>
          <w:right w:w="15" w:type="dxa"/>
          <w:bottom w:w="15" w:type="dxa"/>
        </w:tblCellMar>
        <w:tblBorders/>
        <w:tblLook w:val="0000" w:firstRow="0" w:lastRow="0" w:firstColumn="0" w:lastColumn="0" w:noHBand="0" w:noVBand="0"/>
      </w:tblPr>
      <w:tblGrid>
        <w:gridCol w:w="3996"/>
        <w:gridCol w:w="5536"/>
      </w:tblGrid>
      <w:tr>
        <w:trPr>
          <w:trHeight w:val="482"/>
        </w:trPr>
        <w:tc>
          <w:tcPr>
            <w:tcBorders/>
            <w:tcMar>
              <w:left w:w="108" w:type="dxa"/>
              <w:top w:w="0" w:type="dxa"/>
              <w:right w:w="108" w:type="dxa"/>
              <w:bottom w:w="0" w:type="dxa"/>
            </w:tcMar>
            <w:tcW w:w="3996" w:type="dxa"/>
            <w:textDirection w:val="lrTb"/>
            <w:noWrap w:val="false"/>
          </w:tcPr>
          <w:p>
            <w:pPr>
              <w:pStyle w:val="855"/>
              <w:pBdr/>
              <w:spacing w:after="60" w:before="200"/>
              <w:ind/>
              <w:rPr>
                <w:rStyle w:val="854"/>
                <w:rFonts w:ascii="Times New Roman" w:hAnsi="Times New Roman"/>
                <w:color w:val="auto"/>
                <w:lang w:val="pt-BR"/>
              </w:rPr>
            </w:pPr>
            <w:r>
              <w:rPr>
                <w:rFonts w:ascii="Times New Roman" w:hAnsi="Times New Roman"/>
                <w:color w:val="auto"/>
                <w:lang w:val="pt-BR"/>
              </w:rPr>
            </w:r>
            <w:r>
              <w:rPr>
                <w:rStyle w:val="854"/>
                <w:rFonts w:ascii="Times New Roman" w:hAnsi="Times New Roman"/>
                <w:color w:val="auto"/>
                <w:lang w:val="pt-BR"/>
              </w:rPr>
            </w:r>
          </w:p>
          <w:p>
            <w:pPr>
              <w:pStyle w:val="855"/>
              <w:pBdr/>
              <w:spacing w:after="60" w:before="200"/>
              <w:ind/>
              <w:rPr>
                <w:sz w:val="24"/>
                <w:szCs w:val="24"/>
              </w:rPr>
            </w:pPr>
            <w:r>
              <w:rPr>
                <w:rStyle w:val="854"/>
                <w:rFonts w:ascii="Times New Roman" w:hAnsi="Times New Roman"/>
                <w:color w:val="auto"/>
                <w:lang w:val="pt-BR"/>
              </w:rPr>
              <w:t xml:space="preserve">Số:</w:t>
            </w:r>
            <w:r>
              <w:rPr>
                <w:rStyle w:val="854"/>
                <w:rFonts w:ascii="Times New Roman" w:hAnsi="Times New Roman"/>
                <w:color w:val="auto"/>
                <w:lang w:val="pt-BR"/>
              </w:rPr>
              <w:t xml:space="preserve"> </w:t>
            </w:r>
            <w:r>
              <w:rPr>
                <w:rStyle w:val="854"/>
                <w:rFonts w:ascii="Times New Roman" w:hAnsi="Times New Roman"/>
                <w:color w:val="000000" w:themeColor="text1"/>
                <w:lang w:val="pt-BR"/>
              </w:rPr>
              <w:t xml:space="preserve">HSTD-20250925-0006/CT-VFI</w:t>
            </w:r>
            <w:r>
              <w:rPr>
                <w:sz w:val="24"/>
                <w:szCs w:val="24"/>
              </w:rPr>
            </w:r>
          </w:p>
        </w:tc>
        <w:tc>
          <w:tcPr>
            <w:tcBorders/>
            <w:tcMar>
              <w:left w:w="108" w:type="dxa"/>
              <w:top w:w="0" w:type="dxa"/>
              <w:right w:w="108" w:type="dxa"/>
              <w:bottom w:w="0" w:type="dxa"/>
            </w:tcMar>
            <w:tcW w:w="5536" w:type="dxa"/>
            <w:textDirection w:val="lrTb"/>
            <w:noWrap w:val="false"/>
          </w:tcPr>
          <w:p>
            <w:pPr>
              <w:pStyle w:val="855"/>
              <w:pBdr/>
              <w:spacing w:after="60" w:before="200"/>
              <w:ind w:right="-56"/>
              <w:rPr>
                <w:rStyle w:val="854"/>
                <w:rFonts w:ascii="Times New Roman" w:hAnsi="Times New Roman"/>
                <w:i/>
                <w:color w:val="auto"/>
              </w:rPr>
            </w:pPr>
            <w:r>
              <w:rPr>
                <w:rFonts w:ascii="Times New Roman" w:hAnsi="Times New Roman"/>
                <w:i/>
                <w:color w:val="auto"/>
              </w:rPr>
            </w:r>
            <w:r>
              <w:rPr>
                <w:rStyle w:val="854"/>
                <w:rFonts w:ascii="Times New Roman" w:hAnsi="Times New Roman"/>
                <w:i/>
                <w:color w:val="auto"/>
              </w:rPr>
            </w:r>
          </w:p>
          <w:p>
            <w:pPr>
              <w:pStyle w:val="855"/>
              <w:pBdr/>
              <w:spacing w:after="60" w:before="200"/>
              <w:ind w:right="-56"/>
              <w:jc w:val="right"/>
              <w:rPr>
                <w:sz w:val="24"/>
                <w:szCs w:val="24"/>
                <w:lang w:val="vi-VN"/>
              </w:rPr>
            </w:pPr>
            <w:r>
              <w:rPr>
                <w:rStyle w:val="854"/>
                <w:rFonts w:ascii="Times New Roman" w:hAnsi="Times New Roman"/>
                <w:i/>
                <w:color w:val="auto"/>
              </w:rPr>
              <w:t xml:space="preserve">TP. </w:t>
            </w:r>
            <w:r>
              <w:rPr>
                <w:rStyle w:val="854"/>
                <w:rFonts w:ascii="Times New Roman" w:hAnsi="Times New Roman"/>
                <w:i/>
                <w:color w:val="auto"/>
              </w:rPr>
              <w:t xml:space="preserve">Hà Nội</w:t>
            </w:r>
            <w:r>
              <w:rPr>
                <w:rStyle w:val="854"/>
                <w:rFonts w:ascii="Times New Roman" w:hAnsi="Times New Roman"/>
                <w:i/>
                <w:color w:val="auto"/>
                <w:lang w:val="vi-VN"/>
              </w:rPr>
              <w:t xml:space="preserve">, </w:t>
            </w:r>
            <w:r>
              <w:rPr>
                <w:rStyle w:val="854"/>
                <w:rFonts w:ascii="Times New Roman" w:hAnsi="Times New Roman"/>
                <w:i/>
                <w:color w:val="000000" w:themeColor="text1"/>
                <w:lang w:val="vi-VN"/>
              </w:rPr>
              <w:t xml:space="preserve">26/11/2025</w:t>
            </w:r>
            <w:r>
              <w:rPr>
                <w:rStyle w:val="854"/>
                <w:rFonts w:ascii="Times New Roman" w:hAnsi="Times New Roman"/>
                <w:i/>
                <w:color w:val="auto"/>
                <w:lang w:val="vi-VN"/>
              </w:rPr>
              <w:t xml:space="preserve">   </w:t>
            </w:r>
            <w:r>
              <w:rPr>
                <w:rStyle w:val="854"/>
                <w:rFonts w:ascii="Times New Roman" w:hAnsi="Times New Roman"/>
                <w:i/>
                <w:color w:val="auto"/>
                <w:lang w:val="vi-VN"/>
              </w:rPr>
              <w:t xml:space="preserve">  </w:t>
            </w:r>
            <w:r>
              <w:rPr>
                <w:sz w:val="24"/>
                <w:szCs w:val="24"/>
                <w:lang w:val="vi-VN"/>
              </w:rPr>
            </w:r>
          </w:p>
        </w:tc>
      </w:tr>
    </w:tbl>
    <w:p>
      <w:pPr>
        <w:pStyle w:val="855"/>
        <w:pBdr/>
        <w:spacing w:after="120" w:before="200" w:line="288" w:lineRule="auto"/>
        <w:ind/>
        <w:jc w:val="center"/>
        <w:rPr>
          <w:rStyle w:val="854"/>
          <w:rFonts w:ascii="Times New Roman" w:hAnsi="Times New Roman"/>
          <w:b/>
          <w:bCs/>
          <w:color w:val="auto"/>
          <w:sz w:val="30"/>
          <w:szCs w:val="30"/>
          <w:lang w:val="vi-VN"/>
        </w:rPr>
      </w:pPr>
      <w:r>
        <mc:AlternateContent>
          <mc:Choice Requires="wpg">
            <w:drawing>
              <wp:anchor xmlns:wp="http://schemas.openxmlformats.org/drawingml/2006/wordprocessingDrawing" xmlns:wp14="http://schemas.microsoft.com/office/word/2010/wordprocessingDrawing" distT="0" distB="0" distL="114300" distR="114300" simplePos="0" relativeHeight="251649024" behindDoc="0" locked="0" layoutInCell="1" allowOverlap="1">
                <wp:simplePos x="0" y="0"/>
                <wp:positionH relativeFrom="margin">
                  <wp:posOffset>-998220</wp:posOffset>
                </wp:positionH>
                <wp:positionV relativeFrom="margin">
                  <wp:posOffset>-705485</wp:posOffset>
                </wp:positionV>
                <wp:extent cx="7758113" cy="925836"/>
                <wp:effectExtent l="0" t="0" r="0" b="762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a:blip r:embed="rId14"/>
                        <a:stretch/>
                      </pic:blipFill>
                      <pic:spPr bwMode="auto">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49024;o:allowoverlap:true;o:allowincell:true;mso-position-horizontal-relative:margin;margin-left:-78.60pt;mso-position-horizontal:absolute;mso-position-vertical-relative:margin;margin-top:-55.55pt;mso-position-vertical:absolute;width:610.88pt;height:72.90pt;mso-wrap-distance-left:9.00pt;mso-wrap-distance-top:0.00pt;mso-wrap-distance-right:9.00pt;mso-wrap-distance-bottom:0.00pt;z-index:1;" stroked="false">
                <v:imagedata r:id="rId14" o:title=""/>
                <o:lock v:ext="edit" rotation="t"/>
              </v:shape>
            </w:pict>
          </mc:Fallback>
        </mc:AlternateContent>
      </w:r>
      <w:r>
        <w:rPr>
          <w:rStyle w:val="854"/>
          <w:rFonts w:ascii="Times New Roman" w:hAnsi="Times New Roman"/>
          <w:b/>
          <w:bCs/>
          <w:color w:val="auto"/>
          <w:sz w:val="30"/>
          <w:szCs w:val="30"/>
          <w:lang w:val="vi-VN"/>
        </w:rPr>
        <w:t xml:space="preserve">CHỨNG THƯ THẨM ĐỊNH GIÁ</w:t>
      </w:r>
      <w:r>
        <w:rPr>
          <w:rStyle w:val="854"/>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Nguyễn Đình Tiến</w:t>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HSTD-20250925-0006/HĐTĐ-VFI</w:t>
      </w:r>
      <w:r>
        <w:rPr>
          <w:spacing w:val="-4"/>
          <w:lang w:val="vi-VN"/>
        </w:rPr>
        <w:t xml:space="preserve"> ký ngày </w:t>
      </w:r>
      <w:r>
        <w:rPr>
          <w:color w:val="000000" w:themeColor="text1"/>
          <w:spacing w:val="-4"/>
        </w:rPr>
        <w:t xml:space="preserve">25/09/2025</w:t>
      </w:r>
      <w:r>
        <w:rPr>
          <w:spacing w:val="-4"/>
          <w:lang w:val="vi-VN"/>
        </w:rPr>
        <w:t xml:space="preserve"> </w:t>
      </w:r>
      <w:r>
        <w:rPr>
          <w:spacing w:val="-4"/>
          <w:lang w:val="vi-VN"/>
        </w:rPr>
        <w:t xml:space="preserve">giữa </w:t>
      </w:r>
      <w:r>
        <w:rPr>
          <w:color w:val="000000" w:themeColor="text1"/>
          <w:spacing w:val="-4"/>
        </w:rPr>
        <w:t xml:space="preserve">Ông Nguyễn Đình Tiến</w:t>
      </w:r>
      <w:r>
        <w:rPr>
          <w:bCs/>
        </w:rPr>
        <w:t xml:space="preserve"> </w:t>
      </w:r>
      <w:r>
        <w:rPr>
          <w:spacing w:val="-6"/>
        </w:rPr>
        <w:t xml:space="preserve">v</w:t>
      </w:r>
      <w:r>
        <w:rPr>
          <w:spacing w:val="-6"/>
        </w:rPr>
        <w:t xml:space="preserve">ới</w:t>
      </w:r>
      <w:r>
        <w:rPr>
          <w:spacing w:val="-6"/>
        </w:rPr>
        <w:t xml:space="preserve"> </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HSTD-20250925-0006/BC-VFI</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10/11/2025</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ind/>
              <w:rPr/>
            </w:pPr>
            <w:r>
              <w:rPr>
                <w:b/>
                <w:bCs/>
              </w:rPr>
              <w:t xml:space="preserve">Ông Nguyễn Đình Tiến</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BT5-23 Khu đô Thị mới Văn Phú, Phường Kiến Hưng, Thành phố Hà Nội, Việt Nam</w:t>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jc w:val="both"/>
              <w:rPr>
                <w:bCs/>
              </w:rPr>
            </w:pPr>
            <w:r>
              <w:rPr>
                <w:bCs/>
              </w:rPr>
              <w:t xml:space="preserve">Số 1271/TB-BTC ngày 31/12/2024 về việc doanh nghiệp đủ điều kiện kinh doanh Dịch vụ thẩm định giá.</w:t>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 </w:t>
            </w:r>
            <w:r>
              <w:rPr>
                <w:b/>
                <w:bCs/>
              </w:rPr>
              <w:t xml:space="preserve">Vũ Văn Quân </w:t>
            </w:r>
            <w:r>
              <w:rPr>
                <w:b/>
                <w:bCs/>
                <w:lang w:val="vi-VN"/>
              </w:rPr>
              <w:tab/>
              <w:t xml:space="preserve">Chức vụ: </w:t>
            </w:r>
            <w:r>
              <w:rPr>
                <w:b/>
                <w:bCs/>
              </w:rPr>
              <w:t xml:space="preserve">Chủ Tịch HĐQT</w:t>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Giấy chứng nhận số 070, Số vào sổ cấp GCN C00101, Nơi cấp Hà Nội, Ngày cấp 31/08/2025, Số thửa 103, Tờ bản đồ 9, Địa chỉ trên sổ Đường Nhân Huệ, Phường Đồn</w:t>
      </w:r>
      <w:r>
        <w:rPr>
          <w:color w:val="000000" w:themeColor="text1"/>
        </w:rPr>
        <w:t xml:space="preserve">g Mai, Quận Hà Đông, Thành phố Hà Nội | Tài sản tại: Đường Nhân Huệ, Phường Đồng Mai, Quận Hà Đông, Thành phố Hà Nội, đường Đường Nhân Huệ, độ rộng đường trước mặt tài sản 10m, Dễ đi lại, ko ùn tắc, mặt tiền 3m, Cách chợ khoảng 270m, 20.9353768, 105.732032</w:t>
      </w:r>
      <w:r>
        <w:rPr>
          <w:i/>
          <w:iCs/>
        </w:rPr>
        <w:t xml:space="preserve">.</w:t>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11/2025</w:t>
      </w:r>
      <w:r>
        <w:rPr>
          <w:bCs/>
          <w:lang w:val="nl-NL"/>
        </w:rPr>
        <w:t xml:space="preserve">.</w:t>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bookmarkEnd w:id="1"/>
      <w:bookmarkEnd w:id="2"/>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11/2025</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 sản</w:t>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 tích (m²)</w:t>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 giá (đồng/m²)</w:t>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 tiền (đồng)</w:t>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color w:val="000000"/>
              </w:rPr>
              <w:t xml:space="preserve">Giấy chứng nhận số 070, Số vào sổ cấp GCN C00101, Nơi cấp Hà Nội, Ngày cấp 31/08/2025, Số thửa 103, Tờ bản đồ 9, Địa chỉ trên sổ Đường Nhân Huệ, Phường Đồn</w:t>
            </w:r>
            <w:r>
              <w:rPr>
                <w:color w:val="000000"/>
              </w:rPr>
              <w:t xml:space="preserve">g Mai, Quận Hà Đông, Thành phố Hà Nội | Tài sản tại: Đường Nhân Huệ, Phường Đồng Mai, Quận Hà Đông, Thành phố Hà Nội, đường Đường Nhân Huệ, độ rộng đường trước mặt tài sản 10m, Dễ đi lại, ko ùn tắc, mặt tiền 3m, Cách chợ khoảng 270m, 20.9353768, 105.732032</w:t>
            </w:r>
            <w:r>
              <w:rPr>
                <w:b/>
                <w:bCs/>
              </w:rPr>
              <w:t xml:space="preserve">.</w:t>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pPr>
              <w:pBdr/>
              <w:spacing w:after="40" w:before="40" w:line="288" w:lineRule="auto"/>
              <w:ind/>
              <w:rPr/>
            </w:pPr>
            <w:r>
              <w:rPr>
                <w:b/>
                <w:bCs/>
              </w:rPr>
              <w:t xml:space="preserve">Đất ở tại đô thị</w:t>
            </w: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120</w:t>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50.336.354</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6.040.362.538</w:t>
            </w: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pPr>
            <w:r>
              <w:rPr>
                <w:b/>
                <w:bCs/>
              </w:rPr>
              <w:t xml:space="preserve">2</w:t>
            </w:r>
            <w:r/>
          </w:p>
        </w:tc>
        <w:tc>
          <w:tcPr>
            <w:shd w:val="clear" w:color="000000" w:fill="ffffff"/>
            <w:tcBorders/>
            <w:tcW w:w="1063" w:type="pct"/>
            <w:vAlign w:val="center"/>
            <w:textDirection w:val="lrTb"/>
            <w:noWrap w:val="false"/>
          </w:tcPr>
          <w:p>
            <w:pPr>
              <w:pBdr/>
              <w:spacing w:after="40" w:before="40" w:line="288" w:lineRule="auto"/>
              <w:ind/>
              <w:rPr/>
            </w:pPr>
            <w:r>
              <w:rPr>
                <w:b/>
                <w:bCs/>
              </w:rPr>
              <w:t xml:space="preserve">Đất khu công nghiệp</w:t>
            </w: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22</w:t>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9.438.066</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207.637.462</w:t>
            </w: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pPr>
            <w:r>
              <w:rPr>
                <w:b/>
                <w:bCs/>
              </w:rPr>
              <w:t xml:space="preserve">3</w:t>
            </w:r>
            <w:r/>
          </w:p>
        </w:tc>
        <w:tc>
          <w:tcPr>
            <w:shd w:val="clear" w:color="000000" w:fill="ffffff"/>
            <w:tcBorders/>
            <w:tcW w:w="1063" w:type="pct"/>
            <w:vAlign w:val="center"/>
            <w:textDirection w:val="lrTb"/>
            <w:noWrap w:val="false"/>
          </w:tcPr>
          <w:p>
            <w:pPr>
              <w:pBdr/>
              <w:spacing w:after="40" w:before="40" w:line="288" w:lineRule="auto"/>
              <w:ind/>
              <w:rPr/>
            </w:pPr>
            <w:r>
              <w:rPr>
                <w:b/>
                <w:bCs/>
              </w:rPr>
              <w:t xml:space="preserve">Nhà ở trên đất</w:t>
            </w: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240</w:t>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7.062.109</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1.393.551.845</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t xml:space="preserve">7.641.551.845</w:t>
            </w:r>
            <w:r>
              <w:rPr>
                <w:b/>
                <w:bCs/>
                <w:color w:val="000000"/>
              </w:rP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color w:val="000000"/>
              </w:rPr>
              <w:t xml:space="preserve">7.641.600.000</w:t>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Bảy tỷ sáu trăm bốn mươi mốt triệu sáu trăm nghìn</w:t>
            </w:r>
            <w:r>
              <w:rPr>
                <w:b/>
                <w:bCs/>
                <w:i/>
                <w:iCs/>
                <w:color w:val="000000"/>
              </w:rPr>
              <w:t xml:space="preserve">./.)</w:t>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spacing w:val="-4"/>
          <w:lang w:val="pt-BR"/>
        </w:rPr>
      </w:pPr>
      <w:r>
        <w:rPr>
          <w:lang w:val="pt-BR"/>
        </w:rPr>
        <w:t xml:space="preserve">- </w:t>
      </w:r>
      <w:r>
        <w:rPr>
          <w:lang w:val="pt-BR"/>
        </w:rPr>
        <w:t xml:space="preserve">Chi tiết như Báo cáo kèm theo.</w:t>
      </w:r>
      <w:r>
        <w:rPr>
          <w:rFonts w:eastAsia="Calibri"/>
          <w:b/>
          <w:spacing w:val="-4"/>
          <w:lang w:val="pt-BR"/>
        </w:rPr>
      </w:r>
    </w:p>
    <w:p>
      <w:pPr>
        <w:pBdr/>
        <w:spacing w:after="120" w:before="120" w:line="312" w:lineRule="auto"/>
        <w:ind/>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p>
    <w:tbl>
      <w:tblPr>
        <w:tblW w:w="4898" w:type="pct"/>
        <w:tblBorders/>
        <w:tblLook w:val="01E0" w:firstRow="1" w:lastRow="1" w:firstColumn="1" w:lastColumn="1" w:noHBand="0" w:noVBand="0"/>
      </w:tblPr>
      <w:tblGrid>
        <w:gridCol w:w="4768"/>
        <w:gridCol w:w="4563"/>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w:t>
            </w:r>
            <w:r>
              <w:rPr>
                <w:rFonts w:eastAsia="Calibri"/>
                <w:b/>
                <w:lang w:val="pt-BR"/>
              </w:rPr>
            </w:r>
          </w:p>
        </w:tc>
      </w:tr>
      <w:tr>
        <w:trPr>
          <w:trHeight w:val="1454"/>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Vũ Thị Kiều Nguyệt Nga</w:t>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XII17.1802</w:t>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w:t>
            </w:r>
            <w:r>
              <w:rPr>
                <w:rFonts w:eastAsia="Calibri"/>
                <w:lang w:val="pt-BR"/>
              </w:rPr>
              <w:t xml:space="preserve">XII17.1825</w:t>
            </w:r>
            <w:r>
              <w:rPr>
                <w:rFonts w:eastAsia="Calibri"/>
                <w:b/>
                <w:lang w:val="pt-BR"/>
              </w:rPr>
            </w:r>
          </w:p>
        </w:tc>
      </w:tr>
    </w:tbl>
    <w:p>
      <w:pPr>
        <w:pBdr/>
        <w:spacing w:after="200" w:line="276" w:lineRule="auto"/>
        <w:ind/>
        <w:rPr/>
      </w:pPr>
      <w:r>
        <w:br w:type="page" w:clear="all"/>
      </w:r>
      <w:r/>
    </w:p>
    <w:tbl>
      <w:tblPr>
        <w:tblW w:w="0" w:type="auto"/>
        <w:tblBorders/>
        <w:tblpPr w:horzAnchor="margin" w:tblpXSpec="left" w:vertAnchor="text" w:tblpY="73" w:leftFromText="180" w:topFromText="0" w:rightFromText="180" w:bottomFromText="0"/>
        <w:tblLook w:val="04A0" w:firstRow="1" w:lastRow="0" w:firstColumn="1" w:lastColumn="0" w:noHBand="0" w:noVBand="1"/>
      </w:tblPr>
      <w:tblGrid>
        <w:gridCol w:w="4851"/>
        <w:gridCol w:w="4674"/>
      </w:tblGrid>
      <w:tr>
        <w:trPr>
          <w:trHeight w:val="373"/>
        </w:trPr>
        <w:tc>
          <w:tcPr>
            <w:tcBorders/>
            <w:tcW w:w="4966" w:type="dxa"/>
            <w:textDirection w:val="lrTb"/>
            <w:noWrap w:val="false"/>
          </w:tcPr>
          <w:p>
            <w:pPr>
              <w:pStyle w:val="855"/>
              <w:pBdr/>
              <w:tabs>
                <w:tab w:val="left" w:leader="none" w:pos="5103"/>
              </w:tabs>
              <w:spacing w:before="100" w:line="360" w:lineRule="auto"/>
              <w:ind/>
              <w:jc w:val="left"/>
              <w:rPr>
                <w:sz w:val="24"/>
                <w:szCs w:val="24"/>
              </w:rPr>
            </w:pPr>
            <w:r>
              <w:rPr>
                <w:sz w:val="24"/>
                <w:szCs w:val="24"/>
              </w:rPr>
            </w:r>
            <w:r>
              <w:rPr>
                <w:sz w:val="24"/>
                <w:szCs w:val="24"/>
              </w:rPr>
            </w:r>
          </w:p>
          <w:p>
            <w:pPr>
              <w:pStyle w:val="855"/>
              <w:pBdr/>
              <w:tabs>
                <w:tab w:val="left" w:leader="none" w:pos="5103"/>
              </w:tabs>
              <w:spacing w:before="100" w:line="360" w:lineRule="auto"/>
              <w:ind/>
              <w:jc w:val="left"/>
              <w:rPr>
                <w:sz w:val="24"/>
                <w:szCs w:val="24"/>
              </w:rPr>
            </w:pPr>
            <w:r>
              <w:rPr>
                <w:sz w:val="24"/>
                <w:szCs w:val="24"/>
              </w:rPr>
              <w:t xml:space="preserve">Số:</w:t>
            </w:r>
            <w:r>
              <w:rPr>
                <w:sz w:val="24"/>
                <w:szCs w:val="24"/>
              </w:rPr>
              <w:t xml:space="preserve"> </w:t>
            </w:r>
            <w:r>
              <w:rPr>
                <w:color w:val="000000" w:themeColor="text1"/>
                <w:sz w:val="24"/>
                <w:szCs w:val="24"/>
              </w:rPr>
              <w:t xml:space="preserve">HSTD-20250925-0006/BC-VFI</w:t>
            </w:r>
            <w:r>
              <w:rPr>
                <w:sz w:val="24"/>
                <w:szCs w:val="24"/>
              </w:rPr>
            </w:r>
          </w:p>
        </w:tc>
        <w:tc>
          <w:tcPr>
            <w:tcBorders/>
            <w:tcW w:w="4781" w:type="dxa"/>
            <w:textDirection w:val="lrTb"/>
            <w:noWrap w:val="false"/>
          </w:tcPr>
          <w:p>
            <w:pPr>
              <w:pStyle w:val="855"/>
              <w:pBdr/>
              <w:tabs>
                <w:tab w:val="left" w:leader="none" w:pos="5103"/>
              </w:tabs>
              <w:spacing w:before="100" w:line="360" w:lineRule="auto"/>
              <w:ind/>
              <w:jc w:val="right"/>
              <w:rPr>
                <w:rStyle w:val="854"/>
                <w:rFonts w:ascii="Times New Roman" w:hAnsi="Times New Roman"/>
                <w:i/>
                <w:color w:val="auto"/>
              </w:rPr>
            </w:pPr>
            <w:r>
              <w:rPr>
                <w:rFonts w:ascii="Times New Roman" w:hAnsi="Times New Roman"/>
                <w:i/>
                <w:color w:val="auto"/>
              </w:rPr>
            </w:r>
            <w:r>
              <w:rPr>
                <w:rStyle w:val="854"/>
                <w:rFonts w:ascii="Times New Roman" w:hAnsi="Times New Roman"/>
                <w:i/>
                <w:color w:val="auto"/>
              </w:rPr>
            </w:r>
          </w:p>
          <w:p>
            <w:pPr>
              <w:pStyle w:val="855"/>
              <w:pBdr/>
              <w:tabs>
                <w:tab w:val="left" w:leader="none" w:pos="5103"/>
              </w:tabs>
              <w:spacing w:before="100" w:line="360" w:lineRule="auto"/>
              <w:ind/>
              <w:jc w:val="right"/>
              <w:rPr>
                <w:i/>
                <w:iCs/>
                <w:sz w:val="24"/>
                <w:szCs w:val="24"/>
              </w:rPr>
            </w:pPr>
            <w:r>
              <w:rPr>
                <w:rStyle w:val="854"/>
                <w:rFonts w:ascii="Times New Roman" w:hAnsi="Times New Roman"/>
                <w:i/>
                <w:color w:val="auto"/>
              </w:rPr>
              <w:t xml:space="preserve">TP</w:t>
            </w:r>
            <w:r>
              <w:rPr>
                <w:rStyle w:val="854"/>
                <w:rFonts w:ascii="Times New Roman" w:hAnsi="Times New Roman"/>
                <w:color w:val="auto"/>
              </w:rPr>
              <w:t xml:space="preserve">. </w:t>
            </w:r>
            <w:r>
              <w:rPr>
                <w:rStyle w:val="854"/>
                <w:rFonts w:ascii="Times New Roman" w:hAnsi="Times New Roman"/>
                <w:i/>
                <w:color w:val="auto"/>
              </w:rPr>
              <w:t xml:space="preserve">Hà Nội</w:t>
            </w:r>
            <w:r>
              <w:rPr>
                <w:rStyle w:val="854"/>
                <w:rFonts w:ascii="Times New Roman" w:hAnsi="Times New Roman"/>
                <w:i/>
                <w:color w:val="auto"/>
                <w:lang w:val="vi-VN"/>
              </w:rPr>
              <w:t xml:space="preserve">, </w:t>
            </w:r>
            <w:r>
              <w:rPr>
                <w:i/>
                <w:iCs/>
                <w:color w:val="000000" w:themeColor="text1"/>
                <w:sz w:val="24"/>
                <w:szCs w:val="24"/>
                <w:lang w:val="pt-BR"/>
              </w:rPr>
              <w:t xml:space="preserve">26/11/2025</w:t>
            </w:r>
            <w:r>
              <w:rPr>
                <w:rStyle w:val="854"/>
                <w:rFonts w:ascii="Times New Roman" w:hAnsi="Times New Roman"/>
                <w:i/>
                <w:color w:val="auto"/>
                <w:lang w:val="vi-VN"/>
              </w:rPr>
              <w:t xml:space="preserve">   </w:t>
            </w:r>
            <w:r>
              <w:rPr>
                <w:rStyle w:val="854"/>
                <w:rFonts w:ascii="Times New Roman" w:hAnsi="Times New Roman"/>
                <w:i/>
                <w:color w:val="auto"/>
                <w:lang w:val="vi-VN"/>
              </w:rPr>
              <w:t xml:space="preserve">  </w:t>
            </w:r>
            <w:r>
              <w:rPr>
                <w:i/>
                <w:iCs/>
                <w:sz w:val="24"/>
                <w:szCs w:val="24"/>
              </w:rPr>
            </w:r>
          </w:p>
        </w:tc>
      </w:tr>
    </w:tbl>
    <w:p>
      <w:pPr>
        <w:pStyle w:val="855"/>
        <w:pBdr/>
        <w:tabs>
          <w:tab w:val="left" w:leader="none" w:pos="5103"/>
        </w:tabs>
        <w:spacing w:before="200" w:line="340" w:lineRule="atLeast"/>
        <w:ind/>
        <w:jc w:val="center"/>
        <w:rPr>
          <w:i/>
          <w:iCs/>
          <w:sz w:val="30"/>
          <w:szCs w:val="30"/>
          <w:lang w:val="pt-BR"/>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page">
                  <wp:align>left</wp:align>
                </wp:positionH>
                <wp:positionV relativeFrom="page">
                  <wp:align>top</wp:align>
                </wp:positionV>
                <wp:extent cx="7797800" cy="930572"/>
                <wp:effectExtent l="0" t="0" r="0" b="3175"/>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a:blip r:embed="rId14"/>
                        <a:stretch/>
                      </pic:blipFill>
                      <pic:spPr bwMode="auto">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58240;o:allowoverlap:true;o:allowincell:true;mso-position-horizontal-relative:page;mso-position-horizontal:left;mso-position-vertical-relative:page;mso-position-vertical:top;width:614.00pt;height:73.27pt;mso-wrap-distance-left:9.00pt;mso-wrap-distance-top:0.00pt;mso-wrap-distance-right:9.00pt;mso-wrap-distance-bottom:0.00pt;z-index:1;" stroked="false">
                <v:imagedata r:id="rId14" o:title=""/>
                <o:lock v:ext="edit" rotation="t"/>
              </v:shape>
            </w:pict>
          </mc:Fallback>
        </mc:AlternateContent>
      </w:r>
      <w:r>
        <w:rPr>
          <w:b/>
          <w:sz w:val="30"/>
          <w:szCs w:val="30"/>
          <w:lang w:val="pt-BR"/>
        </w:rPr>
        <w:t xml:space="preserve">BÁO CÁO KẾT QUẢ THẨM ĐỊNH GIÁ</w:t>
      </w:r>
      <w:r>
        <w:rPr>
          <w:i/>
          <w:iCs/>
          <w:sz w:val="30"/>
          <w:szCs w:val="30"/>
          <w:lang w:val="pt-BR"/>
        </w:rPr>
      </w:r>
    </w:p>
    <w:p>
      <w:pPr>
        <w:pStyle w:val="835"/>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HSTD-20250925-0006/CT-VFI</w:t>
      </w:r>
      <w:r>
        <w:rPr>
          <w:b w:val="0"/>
          <w:i/>
          <w:color w:val="000000" w:themeColor="text1"/>
          <w:spacing w:val="-6"/>
          <w:sz w:val="24"/>
          <w:szCs w:val="24"/>
          <w:lang w:val="pt-BR"/>
        </w:rPr>
        <w:t xml:space="preserve"> </w:t>
      </w:r>
      <w:r>
        <w:rPr>
          <w:b w:val="0"/>
          <w:i/>
          <w:color w:val="000000" w:themeColor="text1"/>
          <w:spacing w:val="-6"/>
          <w:sz w:val="24"/>
          <w:szCs w:val="24"/>
          <w:lang w:val="pt-BR"/>
        </w:rPr>
        <w:t xml:space="preserve">26/11/2025</w:t>
      </w:r>
      <w:r>
        <w:rPr>
          <w:b w:val="0"/>
          <w:i/>
          <w:spacing w:val="-6"/>
          <w:sz w:val="24"/>
          <w:szCs w:val="24"/>
          <w:lang w:val="pt-BR"/>
        </w:rPr>
        <w:t xml:space="preserve">)</w:t>
      </w:r>
      <w:r>
        <w:rPr>
          <w:b w:val="0"/>
          <w:i/>
          <w:spacing w:val="-6"/>
          <w:sz w:val="24"/>
          <w:szCs w:val="24"/>
          <w:lang w:val="pt-BR"/>
        </w:rPr>
      </w:r>
    </w:p>
    <w:p>
      <w:pPr>
        <w:pStyle w:val="835"/>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BT5-23 Khu đô Thị mới Văn Phú, Phường Kiến Hưng, Thành phố Hà Nội, Việt Nam</w:t>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p>
        </w:tc>
        <w:tc>
          <w:tcPr>
            <w:tcBorders/>
            <w:tcW w:w="6940" w:type="dxa"/>
            <w:vAlign w:val="center"/>
            <w:textDirection w:val="lrTb"/>
            <w:noWrap w:val="false"/>
          </w:tcPr>
          <w:p>
            <w:pPr>
              <w:pBdr/>
              <w:spacing w:after="60" w:before="60" w:line="276" w:lineRule="auto"/>
              <w:ind/>
              <w:rPr>
                <w:spacing w:val="-4"/>
              </w:rPr>
            </w:pPr>
            <w:r>
              <w:rPr>
                <w:spacing w:val="-4"/>
              </w:rPr>
              <w:t xml:space="preserve">1505112366666 tại Agribank Chi nhánh Hà Nội II</w:t>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 </w:t>
            </w:r>
            <w:r>
              <w:rPr>
                <w:b/>
                <w:bCs/>
              </w:rPr>
              <w:t xml:space="preserve">Vũ Văn Quân </w:t>
            </w:r>
            <w:r>
              <w:rPr>
                <w:b/>
                <w:bCs/>
                <w:lang w:val="vi-VN"/>
              </w:rPr>
              <w:tab/>
              <w:t xml:space="preserve">Chức vụ: </w:t>
            </w:r>
            <w:r>
              <w:rPr>
                <w:b/>
                <w:bCs/>
              </w:rPr>
              <w:t xml:space="preserve">Chủ Tịch HĐQT</w:t>
            </w:r>
            <w:r>
              <w:rPr>
                <w:b/>
                <w:bCs/>
                <w:lang w:val="vi-VN"/>
              </w:rPr>
            </w:r>
          </w:p>
        </w:tc>
      </w:tr>
    </w:tbl>
    <w:p>
      <w:pPr>
        <w:pStyle w:val="856"/>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ind/>
              <w:rPr/>
            </w:pPr>
            <w:r>
              <w:rPr>
                <w:b/>
                <w:bCs/>
              </w:rPr>
              <w:t xml:space="preserve">Ông Nguyễn Đình Tiến</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MST/CMTND/CCCD:</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Giấy chứng nhận số 070, Số vào sổ cấp GCN C00101, Nơi cấp Hà Nội, Ngày cấp 31/08/2025, Số thửa 103, Tờ bản đồ 9, Địa chỉ trên sổ Đường Nhân Huệ, Phường Đồn</w:t>
            </w:r>
            <w:r>
              <w:rPr>
                <w:bCs/>
                <w:color w:val="000000" w:themeColor="text1"/>
                <w:lang w:val="pt-BR"/>
              </w:rPr>
              <w:t xml:space="preserve">g Mai, Quận Hà Đông, Thành phố Hà Nội | Tài sản tại: Đường Nhân Huệ, Phường Đồng Mai, Quận Hà Đông, Thành phố Hà Nội, đường Đường Nhân Huệ, độ rộng đường trước mặt tài sản 10m, Dễ đi lại, ko ùn tắc, mặt tiền 3m, Cách chợ khoảng 270m, 20.9353768, 105.732032</w:t>
            </w:r>
            <w:r>
              <w:rPr>
                <w:bCs/>
                <w:spacing w:val="2"/>
              </w:rPr>
              <w:t xml:space="preserve">.</w:t>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11/2025</w:t>
            </w:r>
            <w:r>
              <w:rPr>
                <w:lang w:val="pt-BR"/>
              </w:rPr>
              <w:t xml:space="preserve">.</w:t>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Đường Nhân Huệ, Phường Đồng Mai, Quận Hà Đông, Thành phố Hà Nội</w:t>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Style w:val="836"/>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20.9353768, 105.732032</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11/2025</w:t>
            </w:r>
            <w:r>
              <w:rPr>
                <w:lang w:val="pt-BR"/>
              </w:rPr>
              <w:t xml:space="preserve">.</w:t>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p>
    <w:p>
      <w:pPr>
        <w:pStyle w:val="856"/>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p>
    <w:p>
      <w:pPr>
        <w:pStyle w:val="856"/>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p>
    <w:p>
      <w:pPr>
        <w:pStyle w:val="856"/>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p>
    <w:p>
      <w:pPr>
        <w:pStyle w:val="856"/>
        <w:pBdr/>
        <w:tabs>
          <w:tab w:val="left" w:leader="none" w:pos="993"/>
        </w:tabs>
        <w:spacing w:after="120" w:before="120" w:line="276" w:lineRule="auto"/>
        <w:ind w:left="0"/>
        <w:jc w:val="both"/>
        <w:rPr>
          <w:lang w:val="pt-BR"/>
        </w:rPr>
      </w:pPr>
      <w:r>
        <w:rPr>
          <w:bCs/>
          <w:color w:val="000000" w:themeColor="text1"/>
          <w:lang w:val="pt-BR"/>
        </w:rPr>
        <w:t xml:space="preserve">-  </w:t>
      </w:r>
      <w:r>
        <w:rPr>
          <w:b/>
          <w:color w:val="000000" w:themeColor="text1"/>
          <w:lang w:val="pt-BR"/>
        </w:rPr>
        <w:t xml:space="preserve"> </w:t>
      </w:r>
      <w:r>
        <w:rPr>
          <w:lang w:val="pt-BR"/>
        </w:rPr>
        <w:t xml:space="preserve">Luật Giá số 16/2023/QH15 ngày 19/6/2023;</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p>
    <w:p>
      <w:pPr>
        <w:pStyle w:val="856"/>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p>
    <w:p>
      <w:pPr>
        <w:pStyle w:val="856"/>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p>
    <w:p>
      <w:pPr>
        <w:pStyle w:val="856"/>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p>
    <w:p>
      <w:pPr>
        <w:pStyle w:val="856"/>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p>
    <w:p>
      <w:pPr>
        <w:pStyle w:val="856"/>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p>
    <w:p>
      <w:pPr>
        <w:pStyle w:val="856"/>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p>
    <w:p>
      <w:pPr>
        <w:pStyle w:val="856"/>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số 070, Số vào sổ cấp GCN C00101, Nơi cấp Hà Nội, Ngày cấp 31/08/2025, Số thửa 103, Tờ bản đồ 9, Địa chỉ trên sổ Đường Nhân Huệ, Phường Đồn</w:t>
      </w:r>
      <w:r>
        <w:rPr>
          <w:bCs/>
          <w:color w:val="000000" w:themeColor="text1"/>
          <w:lang w:val="pt-BR"/>
        </w:rPr>
        <w:t xml:space="preserve">g Mai, Quận Hà Đông, Thành phố Hà Nội | Tài sản tại: Đường Nhân Huệ, Phường Đồng Mai, Quận Hà Đông, Thành phố Hà Nội, đường Đường Nhân Huệ, độ rộng đường trước mặt tài sản 10m, Dễ đi lại, ko ùn tắc, mặt tiền 3m, Cách chợ khoảng 270m, 20.9353768, 105.732032</w:t>
      </w:r>
      <w:r>
        <w:rPr>
          <w:lang w:val="pt-BR"/>
        </w:rPr>
        <w:t xml:space="preserve">.</w:t>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p>
    <w:p>
      <w:pPr>
        <w:pStyle w:val="856"/>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HSTD-20250925-0006/HĐTĐ-VFI ngày 25/09/2025 giữa Nguyễn Đình Tiến với Công ty Cổ phần Thẩm định và Đầu tư Tài chính Hoa Sen.</w:t>
      </w:r>
      <w:r>
        <w:rPr>
          <w:b/>
          <w:lang w:val="pt-BR"/>
        </w:rPr>
      </w:r>
    </w:p>
    <w:p>
      <w:pPr>
        <w:pStyle w:val="856"/>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p>
    <w:p>
      <w:pPr>
        <w:pBdr/>
        <w:tabs>
          <w:tab w:val="left" w:leader="none" w:pos="426"/>
        </w:tabs>
        <w:spacing w:after="120" w:before="120" w:line="276" w:lineRule="auto"/>
        <w:ind/>
        <w:rPr>
          <w:i/>
          <w:iCs/>
          <w:lang w:val="pt-BR"/>
        </w:rPr>
      </w:pPr>
      <w:r>
        <w:rPr>
          <w:shd w:val="clear" w:color="auto" w:fill="ffffff"/>
        </w:rPr>
      </w:r>
      <w:r>
        <w:rPr>
          <w:i/>
          <w:iCs/>
          <w:lang w:val="pt-BR"/>
        </w:rPr>
      </w:r>
    </w:p>
    <w:p>
      <w:pPr>
        <w:pStyle w:val="856"/>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Giấy chứng nhận số 070, Số vào sổ cấp GCN C00101, Nơi cấp Hà Nội, Ngày cấp 31/08/2025, Số thửa 103, Tờ bản đồ 9, Địa chỉ trên sổ Đường Nhân Huệ, Phường Đồn</w:t>
            </w:r>
            <w:r>
              <w:rPr>
                <w:b/>
                <w:bCs/>
                <w:color w:val="000000"/>
              </w:rPr>
              <w:t xml:space="preserve">g Mai, Quận Hà Đông, Thành phố Hà Nội | Tài sản tại: Đường Nhân Huệ, Phường Đồng Mai, Quận Hà Đông, Thành phố Hà Nội, đường Đường Nhân Huệ, độ rộng đường trước mặt tài sản 10m, Dễ đi lại, ko ùn tắc, mặt tiền 3m, Cách chợ khoảng 270m, 20.9353768, 105.732032</w:t>
            </w:r>
            <w:r>
              <w:rPr>
                <w:b/>
                <w:bCs/>
                <w:color w:val="000000"/>
              </w:rPr>
              <w:t xml:space="preserve">.</w:t>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103</w:t>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9</w:t>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Đường Nhân Huệ, Phường Đồng Mai, Quận Hà Đông, Thành phố Hà Nội</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171</w:t>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chung: 171 m2, Sử dụng riêng: 169 m2</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Có thời hạn</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w:t>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p>
        </w:tc>
        <w:tc>
          <w:tcPr>
            <w:tcBorders/>
            <w:tcW w:w="2126" w:type="dxa"/>
            <w:vAlign w:val="center"/>
            <w:textDirection w:val="lrTb"/>
            <w:noWrap w:val="false"/>
          </w:tcPr>
          <w:p>
            <w:pPr>
              <w:pBdr/>
              <w:spacing/>
              <w:ind/>
              <w:jc w:val="center"/>
              <w:rPr>
                <w:color w:val="000000"/>
              </w:rPr>
            </w:pP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2 mặt đường trước sau</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3</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2</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 </w:t>
            </w:r>
            <w:r>
              <w:rPr>
                <w:color w:val="000000"/>
              </w:rPr>
            </w:r>
          </w:p>
        </w:tc>
        <w:tc>
          <w:tcPr>
            <w:gridSpan w:val="3"/>
            <w:tcBorders/>
            <w:tcW w:w="6259" w:type="dxa"/>
            <w:vAlign w:val="center"/>
            <w:textDirection w:val="lrTb"/>
            <w:noWrap w:val="false"/>
          </w:tcPr>
          <w:p>
            <w:pPr>
              <w:pBdr/>
              <w:spacing/>
              <w:ind/>
              <w:rPr>
                <w:color w:val="000000" w:themeColor="text1"/>
              </w:rPr>
            </w:pP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20.9353768</w:t>
            </w:r>
            <w:r>
              <w:rPr>
                <w:color w:val="000000"/>
              </w:rPr>
              <w:t xml:space="preserve">, </w:t>
            </w:r>
            <w:r>
              <w:rPr>
                <w:color w:val="000000"/>
              </w:rPr>
              <w:t xml:space="preserve">105.732032</w:t>
            </w:r>
            <w:r>
              <w:rPr>
                <w:color w:val="000000"/>
              </w:rPr>
              <w:t xml:space="preserve">)</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5665107"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a:blip r:embed="rId15"/>
                              <a:stretch/>
                            </pic:blipFill>
                            <pic:spPr bwMode="auto">
                              <a:xfrm>
                                <a:off x="0" y="0"/>
                                <a:ext cx="5665107"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46.07pt;height:200.00pt;mso-wrap-distance-left:0.00pt;mso-wrap-distance-top:0.00pt;mso-wrap-distance-right:0.00pt;mso-wrap-distance-bottom:0.00pt;z-index:1;" stroked="false">
                      <v:imagedata r:id="rId15" o:title=""/>
                      <o:lock v:ext="edit" rotation="t"/>
                    </v:shape>
                  </w:pict>
                </mc:Fallback>
              </mc:AlternateContent>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169</w:t>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171</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w:t>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17</w:t>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Nam</w:t>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xây, Hạ tầng cấp điện: Trạm riêng, Hạ tầng thông tin liên lạc: Mạng internet</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Trung tâm hành chính</w:t>
            </w:r>
            <w:r>
              <w:rPr>
                <w:color w:val="000000"/>
              </w:rPr>
              <w:t xml:space="preserve">: Cách ủy ban nhân dân 200m, Trung tâm thương mại, chợ: Cách chợ 50m, Cơ sở giáo dục: Cách trường tiểu học 1km, Cơ sở thể dục thể thao: Cách sân bóng 2km, Cơ sở y tế: Cách trạm xá 2km, Công viên, khu vui chơi giải trí: Không có cơ sở nào quanh bán kính 5km</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Trung bình</w:t>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Khá</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Khá</w:t>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Khá</w:t>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p>
        </w:tc>
        <w:tc>
          <w:tcPr>
            <w:gridSpan w:val="4"/>
            <w:tcBorders/>
            <w:tcW w:w="8781" w:type="dxa"/>
            <w:textDirection w:val="lrTb"/>
            <w:noWrap w:val="false"/>
          </w:tcPr>
          <w:p>
            <w:pPr>
              <w:pBdr/>
              <w:spacing/>
              <w:ind/>
              <w:jc w:val="both"/>
              <w:rPr>
                <w:color w:val="000000"/>
              </w:rPr>
            </w:pPr>
            <w:r>
              <w:rPr>
                <w:color w:val="000000"/>
              </w:rPr>
              <w:t xml:space="preserve">+ </w:t>
            </w:r>
            <w:r>
              <w:rPr>
                <w:color w:val="000000"/>
              </w:rPr>
              <w:t xml:space="preserve">Tại thời điểm khảo sát dưới sự hướng dẫn của Khách hàng, CTXD gắn liền với đất là Nhà ở trên đất, hoàn thiện năm 2019, diện tích xây dựng 169m², diện tích sàn 169m²</w:t>
            </w:r>
            <w:r>
              <w:rPr>
                <w:color w:val="000000"/>
              </w:rPr>
            </w:r>
          </w:p>
        </w:tc>
      </w:tr>
    </w:tbl>
    <w:p>
      <w:pPr>
        <w:pBdr/>
        <w:spacing w:line="235" w:lineRule="auto"/>
        <w:ind w:left="646"/>
        <w:jc w:val="both"/>
        <w:rPr>
          <w:u w:val="single"/>
        </w:rPr>
      </w:pPr>
      <w:r>
        <w:rPr>
          <w:u w:val="single"/>
        </w:rPr>
      </w:r>
      <w:r>
        <w:rPr>
          <w:u w:val="single"/>
        </w:rPr>
      </w:r>
    </w:p>
    <w:p>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p>
    <w:tbl>
      <w:tblPr>
        <w:tblStyle w:val="860"/>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p>
        </w:tc>
        <w:tc>
          <w:tcPr>
            <w:tcBorders/>
            <w:tcW w:w="1663" w:type="dxa"/>
            <w:vAlign w:val="center"/>
            <w:textDirection w:val="lrTb"/>
            <w:noWrap w:val="false"/>
          </w:tcPr>
          <w:p>
            <w:pPr>
              <w:pBdr/>
              <w:spacing/>
              <w:ind/>
              <w:jc w:val="center"/>
              <w:rPr>
                <w:b/>
                <w:bCs/>
              </w:rPr>
            </w:pPr>
            <w:r>
              <w:rPr>
                <w:b/>
                <w:bCs/>
              </w:rPr>
              <w:t xml:space="preserve">Các yếu tố</w:t>
            </w:r>
            <w:r>
              <w:rPr>
                <w:b/>
                <w:bCs/>
              </w:rPr>
            </w:r>
          </w:p>
        </w:tc>
        <w:tc>
          <w:tcPr>
            <w:tcBorders/>
            <w:tcW w:w="1560" w:type="dxa"/>
            <w:vAlign w:val="center"/>
            <w:textDirection w:val="lrTb"/>
            <w:noWrap w:val="false"/>
          </w:tcPr>
          <w:p>
            <w:pPr>
              <w:pBdr/>
              <w:spacing/>
              <w:ind/>
              <w:jc w:val="center"/>
              <w:rPr>
                <w:b/>
                <w:bCs/>
              </w:rPr>
            </w:pPr>
            <w:r>
              <w:rPr>
                <w:b/>
                <w:bCs/>
              </w:rPr>
              <w:t xml:space="preserve">Thông tin TSTĐ</w:t>
            </w:r>
            <w:r>
              <w:rPr>
                <w:b/>
                <w:bCs/>
              </w:rPr>
            </w:r>
          </w:p>
        </w:tc>
        <w:tc>
          <w:tcPr>
            <w:tcBorders/>
            <w:tcW w:w="1605" w:type="dxa"/>
            <w:vAlign w:val="center"/>
            <w:textDirection w:val="lrTb"/>
            <w:noWrap w:val="false"/>
          </w:tcPr>
          <w:p>
            <w:pPr>
              <w:pBdr/>
              <w:spacing/>
              <w:ind/>
              <w:jc w:val="center"/>
              <w:rPr>
                <w:b/>
                <w:bCs/>
              </w:rPr>
            </w:pPr>
            <w:r>
              <w:rPr>
                <w:b/>
                <w:bCs/>
              </w:rPr>
              <w:t xml:space="preserve">Thông tin khảo sát</w:t>
            </w:r>
            <w:r>
              <w:rPr>
                <w:b/>
                <w:bCs/>
              </w:rPr>
            </w:r>
          </w:p>
        </w:tc>
        <w:tc>
          <w:tcPr>
            <w:tcBorders/>
            <w:tcW w:w="1371" w:type="dxa"/>
            <w:vAlign w:val="center"/>
            <w:textDirection w:val="lrTb"/>
            <w:noWrap w:val="false"/>
          </w:tcPr>
          <w:p>
            <w:pPr>
              <w:pBdr/>
              <w:spacing/>
              <w:ind/>
              <w:jc w:val="center"/>
              <w:rPr>
                <w:b/>
                <w:bCs/>
              </w:rPr>
            </w:pPr>
            <w:r>
              <w:rPr>
                <w:b/>
                <w:bCs/>
              </w:rPr>
              <w:t xml:space="preserve">Chênh lệch</w:t>
            </w:r>
            <w:r>
              <w:rPr>
                <w:b/>
                <w:bCs/>
              </w:rPr>
            </w:r>
          </w:p>
        </w:tc>
        <w:tc>
          <w:tcPr>
            <w:tcBorders/>
            <w:tcW w:w="2149" w:type="dxa"/>
            <w:vAlign w:val="center"/>
            <w:textDirection w:val="lrTb"/>
            <w:noWrap w:val="false"/>
          </w:tcPr>
          <w:p>
            <w:pPr>
              <w:pBdr/>
              <w:spacing/>
              <w:ind/>
              <w:jc w:val="center"/>
              <w:rPr>
                <w:b/>
                <w:bCs/>
              </w:rPr>
            </w:pPr>
            <w:r>
              <w:rPr>
                <w:b/>
                <w:bCs/>
              </w:rPr>
              <w:t xml:space="preserve">Nguyên nhân</w:t>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1560" w:type="dxa"/>
            <w:vAlign w:val="center"/>
            <w:textDirection w:val="lrTb"/>
            <w:noWrap w:val="false"/>
          </w:tcPr>
          <w:p>
            <w:pPr>
              <w:pBdr/>
              <w:spacing/>
              <w:ind/>
              <w:jc w:val="center"/>
              <w:rPr/>
            </w:pPr>
            <w:r>
              <w:t xml:space="preserve">Đường Nhân Huệ, Phường Đồng Mai, Quận Hà Đông, Thành phố Hà Nội</w:t>
            </w:r>
            <w:r/>
          </w:p>
        </w:tc>
        <w:tc>
          <w:tcPr>
            <w:tcBorders/>
            <w:tcW w:w="1605" w:type="dxa"/>
            <w:vAlign w:val="center"/>
            <w:textDirection w:val="lrTb"/>
            <w:noWrap w:val="false"/>
          </w:tcPr>
          <w:p>
            <w:pPr>
              <w:pBdr/>
              <w:spacing/>
              <w:ind/>
              <w:jc w:val="center"/>
              <w:rPr/>
            </w:pPr>
            <w:r>
              <w:t xml:space="preserve">Đường Nhân Huệ, Phường Đồng Mai, Quận Hà Đông, Thành phố Hà Nội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Địa chỉ thực tế</w:t>
            </w:r>
            <w:r/>
          </w:p>
        </w:tc>
        <w:tc>
          <w:tcPr>
            <w:tcBorders/>
            <w:tcW w:w="1560" w:type="dxa"/>
            <w:vAlign w:val="center"/>
            <w:textDirection w:val="lrTb"/>
            <w:noWrap w:val="false"/>
          </w:tcPr>
          <w:p>
            <w:pPr>
              <w:pBdr/>
              <w:spacing/>
              <w:ind/>
              <w:jc w:val="center"/>
              <w:rPr/>
            </w:pPr>
            <w:r>
              <w:t xml:space="preserve">Đường Nhân Huệ, Phường Đồng Mai, Quận Hà Đông, Thành phố Hà Nội</w:t>
            </w:r>
            <w:r/>
          </w:p>
        </w:tc>
        <w:tc>
          <w:tcPr>
            <w:tcBorders/>
            <w:tcW w:w="1605" w:type="dxa"/>
            <w:vAlign w:val="center"/>
            <w:textDirection w:val="lrTb"/>
            <w:noWrap w:val="false"/>
          </w:tcPr>
          <w:p>
            <w:pPr>
              <w:pBdr/>
              <w:spacing/>
              <w:ind/>
              <w:jc w:val="center"/>
              <w:rPr/>
            </w:pPr>
            <w:r>
              <w:t xml:space="preserve">Đường Nhân Huệ, Phường Đồng Mai, Quận Hà Đông, Thành phố Hà Nội</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 quyền sở hữu nhà cửa và tài sản gắn liền với đất</w:t>
            </w:r>
            <w:r/>
          </w:p>
        </w:tc>
        <w:tc>
          <w:tcPr>
            <w:tcBorders/>
            <w:tcW w:w="1605" w:type="dxa"/>
            <w:vAlign w:val="center"/>
            <w:textDirection w:val="lrTb"/>
            <w:noWrap w:val="false"/>
          </w:tcPr>
          <w:p>
            <w:pPr>
              <w:pBdr/>
              <w:spacing/>
              <w:ind/>
              <w:jc w:val="center"/>
              <w:rPr/>
            </w:pPr>
            <w:r>
              <w:t xml:space="preserve">Giấy chứng nhận quyền sử dụng đất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Mặt cắt đường trước nhà</w:t>
            </w:r>
            <w:r/>
          </w:p>
        </w:tc>
        <w:tc>
          <w:tcPr>
            <w:tcBorders/>
            <w:tcW w:w="1560" w:type="dxa"/>
            <w:vAlign w:val="center"/>
            <w:textDirection w:val="lrTb"/>
            <w:noWrap w:val="false"/>
          </w:tcPr>
          <w:p>
            <w:pPr>
              <w:pBdr/>
              <w:spacing/>
              <w:ind/>
              <w:jc w:val="center"/>
              <w:rPr/>
            </w:pPr>
            <w:r>
              <w:t xml:space="preserve">10 ✔</w:t>
            </w:r>
            <w:r/>
          </w:p>
        </w:tc>
        <w:tc>
          <w:tcPr>
            <w:tcBorders/>
            <w:tcW w:w="1605" w:type="dxa"/>
            <w:vAlign w:val="center"/>
            <w:textDirection w:val="lrTb"/>
            <w:noWrap w:val="false"/>
          </w:tcPr>
          <w:p>
            <w:pPr>
              <w:pBdr/>
              <w:spacing/>
              <w:ind/>
              <w:jc w:val="center"/>
              <w:rPr/>
            </w:pPr>
            <w:r>
              <w:t xml:space="preserve">2</w:t>
            </w:r>
            <w:r/>
          </w:p>
        </w:tc>
        <w:tc>
          <w:tcPr>
            <w:tcBorders/>
            <w:tcW w:w="1371" w:type="dxa"/>
            <w:vAlign w:val="center"/>
            <w:textDirection w:val="lrTb"/>
            <w:noWrap w:val="false"/>
          </w:tcPr>
          <w:p>
            <w:pPr>
              <w:pBdr/>
              <w:spacing/>
              <w:ind/>
              <w:jc w:val="center"/>
              <w:rPr/>
            </w:pPr>
            <w:r>
              <w:t xml:space="preserve">-8</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120</w:t>
            </w:r>
            <w:r/>
          </w:p>
        </w:tc>
        <w:tc>
          <w:tcPr>
            <w:tcBorders/>
            <w:tcW w:w="1605" w:type="dxa"/>
            <w:vAlign w:val="center"/>
            <w:textDirection w:val="lrTb"/>
            <w:noWrap w:val="false"/>
          </w:tcPr>
          <w:p>
            <w:pPr>
              <w:pBdr/>
              <w:spacing/>
              <w:ind/>
              <w:jc w:val="center"/>
              <w:rPr/>
            </w:pPr>
            <w:r>
              <w:t xml:space="preserve">171 ✔</w:t>
            </w:r>
            <w:r/>
          </w:p>
        </w:tc>
        <w:tc>
          <w:tcPr>
            <w:tcBorders/>
            <w:tcW w:w="1371" w:type="dxa"/>
            <w:vAlign w:val="center"/>
            <w:textDirection w:val="lrTb"/>
            <w:noWrap w:val="false"/>
          </w:tcPr>
          <w:p>
            <w:pPr>
              <w:pBdr/>
              <w:spacing/>
              <w:ind/>
              <w:jc w:val="center"/>
              <w:rPr/>
            </w:pPr>
            <w:r>
              <w:t xml:space="preserve">51</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3 ✔</w:t>
            </w:r>
            <w:r/>
          </w:p>
        </w:tc>
        <w:tc>
          <w:tcPr>
            <w:tcBorders/>
            <w:tcW w:w="1605" w:type="dxa"/>
            <w:vAlign w:val="center"/>
            <w:textDirection w:val="lrTb"/>
            <w:noWrap w:val="false"/>
          </w:tcPr>
          <w:p>
            <w:pPr>
              <w:pBdr/>
              <w:spacing/>
              <w:ind/>
              <w:jc w:val="center"/>
              <w:rPr/>
            </w:pPr>
            <w:r>
              <w:t xml:space="preserve">10</w:t>
            </w:r>
            <w:r/>
          </w:p>
        </w:tc>
        <w:tc>
          <w:tcPr>
            <w:tcBorders/>
            <w:tcW w:w="1371" w:type="dxa"/>
            <w:vAlign w:val="center"/>
            <w:textDirection w:val="lrTb"/>
            <w:noWrap w:val="false"/>
          </w:tcPr>
          <w:p>
            <w:pPr>
              <w:pBdr/>
              <w:spacing/>
              <w:ind/>
              <w:jc w:val="center"/>
              <w:rPr/>
            </w:pPr>
            <w:r>
              <w:t xml:space="preserve">7</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Chiều sâu</w:t>
            </w:r>
            <w:r/>
          </w:p>
        </w:tc>
        <w:tc>
          <w:tcPr>
            <w:tcBorders/>
            <w:tcW w:w="1560" w:type="dxa"/>
            <w:vAlign w:val="center"/>
            <w:textDirection w:val="lrTb"/>
            <w:noWrap w:val="false"/>
          </w:tcPr>
          <w:p>
            <w:pPr>
              <w:pBdr/>
              <w:spacing/>
              <w:ind/>
              <w:jc w:val="center"/>
              <w:rPr/>
            </w:pPr>
            <w:r>
              <w:t xml:space="preserve">40</w:t>
            </w:r>
            <w:r/>
          </w:p>
        </w:tc>
        <w:tc>
          <w:tcPr>
            <w:tcBorders/>
            <w:tcW w:w="1605" w:type="dxa"/>
            <w:vAlign w:val="center"/>
            <w:textDirection w:val="lrTb"/>
            <w:noWrap w:val="false"/>
          </w:tcPr>
          <w:p>
            <w:pPr>
              <w:pBdr/>
              <w:spacing/>
              <w:ind/>
              <w:jc w:val="center"/>
              <w:rPr/>
            </w:pPr>
            <w:r>
              <w:t xml:space="preserve">17 ✔</w:t>
            </w:r>
            <w:r/>
          </w:p>
        </w:tc>
        <w:tc>
          <w:tcPr>
            <w:tcBorders/>
            <w:tcW w:w="1371" w:type="dxa"/>
            <w:vAlign w:val="center"/>
            <w:textDirection w:val="lrTb"/>
            <w:noWrap w:val="false"/>
          </w:tcPr>
          <w:p>
            <w:pPr>
              <w:pBdr/>
              <w:spacing/>
              <w:ind/>
              <w:jc w:val="center"/>
              <w:rPr/>
            </w:pPr>
            <w:r>
              <w:t xml:space="preserve">-23</w:t>
            </w:r>
            <w:r/>
          </w:p>
        </w:tc>
        <w:tc>
          <w:tcPr>
            <w:tcBorders/>
            <w:tcW w:w="2149" w:type="dxa"/>
            <w:vAlign w:val="center"/>
            <w:textDirection w:val="lrTb"/>
            <w:noWrap w:val="false"/>
          </w:tcPr>
          <w:p>
            <w:pPr>
              <w:pBdr/>
              <w:spacing/>
              <w:ind/>
              <w:jc w:val="center"/>
              <w:rPr/>
            </w:pPr>
            <w:r/>
            <w:r/>
          </w:p>
        </w:tc>
      </w:tr>
    </w:tbl>
    <w:p>
      <w:pPr>
        <w:pBdr/>
        <w:spacing/>
        <w:ind/>
        <w:rPr>
          <w:b/>
          <w:bCs/>
        </w:rPr>
      </w:pPr>
      <w:r>
        <w:rPr>
          <w:b/>
          <w:bCs/>
        </w:rPr>
      </w:r>
      <w:r>
        <w:rPr>
          <w:b/>
          <w:bCs/>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p>
    <w:p>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bl>
    <w:p>
      <w:pPr>
        <w:pBdr/>
        <w:spacing w:line="235" w:lineRule="auto"/>
        <w:ind w:left="646"/>
        <w:jc w:val="both"/>
        <w:rPr>
          <w:u w:val="single"/>
        </w:rPr>
      </w:pPr>
      <w:r>
        <w:rPr>
          <w:u w:val="single"/>
        </w:rPr>
      </w:r>
      <w:r>
        <w:rPr>
          <w:u w:val="single"/>
        </w:rPr>
      </w:r>
    </w:p>
    <w:p>
      <w:pPr>
        <w:pBdr/>
        <w:spacing w:line="235" w:lineRule="auto"/>
        <w:ind/>
        <w:jc w:val="both"/>
        <w:rPr>
          <w:u w:val="single"/>
        </w:rPr>
      </w:pPr>
      <w:r>
        <w:rPr>
          <w:u w:val="single"/>
        </w:rPr>
      </w:r>
      <w:r>
        <w:rPr>
          <w:u w:val="single"/>
        </w:rPr>
      </w:r>
    </w:p>
    <w:p>
      <w:pPr>
        <w:pBdr/>
        <w:spacing w:line="235" w:lineRule="auto"/>
        <w:ind w:left="646"/>
        <w:jc w:val="both"/>
        <w:rPr>
          <w:u w:val="single"/>
        </w:rPr>
      </w:pP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p>
    <w:p>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Có</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Có</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bl>
    <w:p>
      <w:pPr>
        <w:pBdr/>
        <w:spacing w:line="235" w:lineRule="auto"/>
        <w:ind w:left="646"/>
        <w:jc w:val="both"/>
        <w:rPr>
          <w:u w:val="single"/>
        </w:rPr>
      </w:pPr>
      <w:r>
        <w:rPr>
          <w:u w:val="single"/>
        </w:rPr>
      </w:r>
      <w:r>
        <w:rPr>
          <w:u w:val="single"/>
        </w:rPr>
      </w:r>
    </w:p>
    <w:p>
      <w:pPr>
        <w:pStyle w:val="856"/>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p>
    <w:p>
      <w:pPr>
        <w:pStyle w:val="856"/>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p>
    <w:p>
      <w:pPr>
        <w:pStyle w:val="856"/>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p>
    <w:p>
      <w:pPr>
        <w:pStyle w:val="856"/>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p>
    <w:p>
      <w:pPr>
        <w:pStyle w:val="856"/>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p>
    <w:p>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p>
    <w:p>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p>
    <w:p>
      <w:pPr>
        <w:pStyle w:val="856"/>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p>
    <w:p>
      <w:pPr>
        <w:pStyle w:val="856"/>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p>
    <w:p>
      <w:pPr>
        <w:pStyle w:val="856"/>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p>
    <w:p>
      <w:pPr>
        <w:pStyle w:val="856"/>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p>
    <w:p>
      <w:pPr>
        <w:pStyle w:val="856"/>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lang w:val="pt-BR"/>
        </w:rPr>
        <w:t xml:space="preserve">tài sản so sánh và </w:t>
      </w:r>
      <w:r>
        <w:rPr>
          <w:spacing w:val="-4"/>
          <w:lang w:val="pt-BR"/>
        </w:rPr>
        <w:t xml:space="preserve">tài sản thẩm định</w:t>
      </w:r>
      <w:r>
        <w:rPr>
          <w:spacing w:val="-2"/>
          <w:lang w:val="pt-BR"/>
        </w:rPr>
        <w:t xml:space="preserve">.</w:t>
      </w:r>
      <w:r>
        <w:rPr>
          <w:lang w:val="de-DE"/>
        </w:rPr>
      </w:r>
    </w:p>
    <w:p>
      <w:pPr>
        <w:pStyle w:val="856"/>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p>
    <w:p>
      <w:pPr>
        <w:pStyle w:val="856"/>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p>
    <w:p>
      <w:pPr>
        <w:pStyle w:val="856"/>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p>
    <w:p>
      <w:pPr>
        <w:pStyle w:val="856"/>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Đường Nhân Huệ, Phường Đồng Mai, Quận Hà Đông, Thành phố Hà Nội</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Đường Nhân Huệ, Phường Đồng Mai, Quận Hà Đông, Thành phố Hà Nội</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Đường Nhân Huệ, Phường Đồng Mai, Quận Hà Đông, Thành phố Hà Nội</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Đường Nhân Huệ, Phường Đồng Mai, Quận Hà Đông, Thành phố Hà Nội</w:t>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Zalo</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Facebook</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Facebook</w:t>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SĐT: </w:t>
            </w:r>
            <w:r>
              <w:rPr>
                <w:color w:val="000000" w:themeColor="text1"/>
                <w:sz w:val="22"/>
                <w:szCs w:val="22"/>
              </w:rPr>
              <w:t xml:space="preserve">0382391291</w:t>
            </w:r>
            <w:r>
              <w:rPr>
                <w:sz w:val="22"/>
                <w:szCs w:val="22"/>
              </w:rPr>
              <w:t xml:space="preserve"> </w:t>
            </w:r>
            <w:r>
              <w:rPr>
                <w:sz w:val="22"/>
                <w:szCs w:val="22"/>
              </w:rPr>
              <w:br/>
              <w:t xml:space="preserve">(</w:t>
            </w:r>
            <w:r>
              <w:rPr>
                <w:sz w:val="22"/>
                <w:szCs w:val="22"/>
              </w:rPr>
              <w:t xml:space="preserve">Vũ Văn Vinh</w:t>
            </w:r>
            <w:r>
              <w:rPr>
                <w:sz w:val="22"/>
                <w:szCs w:val="22"/>
              </w:rPr>
              <w:t xml:space="preserve">)</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SĐT: </w:t>
            </w:r>
            <w:r>
              <w:rPr>
                <w:color w:val="000000" w:themeColor="text1"/>
                <w:sz w:val="22"/>
                <w:szCs w:val="22"/>
              </w:rPr>
              <w:t xml:space="preserve">0378219941</w:t>
            </w:r>
            <w:r>
              <w:rPr>
                <w:sz w:val="22"/>
                <w:szCs w:val="22"/>
              </w:rPr>
              <w:br/>
            </w:r>
            <w:r>
              <w:rPr>
                <w:sz w:val="22"/>
                <w:szCs w:val="22"/>
              </w:rPr>
              <w:t xml:space="preserve">(</w:t>
            </w:r>
            <w:r>
              <w:rPr>
                <w:sz w:val="22"/>
                <w:szCs w:val="22"/>
              </w:rPr>
              <w:t xml:space="preserve">Lê Văn Vinh</w:t>
            </w:r>
            <w:r>
              <w:rPr>
                <w:sz w:val="22"/>
                <w:szCs w:val="22"/>
              </w:rPr>
              <w:t xml:space="preserve">)</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SĐT: </w:t>
            </w:r>
            <w:r>
              <w:rPr>
                <w:color w:val="000000" w:themeColor="text1"/>
                <w:sz w:val="22"/>
                <w:szCs w:val="22"/>
              </w:rPr>
              <w:t xml:space="preserve">0378219941</w:t>
            </w:r>
            <w:r>
              <w:rPr>
                <w:sz w:val="22"/>
                <w:szCs w:val="22"/>
              </w:rPr>
              <w:br/>
            </w:r>
            <w:r>
              <w:rPr>
                <w:sz w:val="22"/>
                <w:szCs w:val="22"/>
              </w:rPr>
              <w:t xml:space="preserve">(</w:t>
            </w:r>
            <w:r>
              <w:rPr>
                <w:sz w:val="22"/>
                <w:szCs w:val="22"/>
              </w:rPr>
              <w:t xml:space="preserve">Nguyễn Mai Anh</w:t>
            </w:r>
            <w:r>
              <w:rPr>
                <w:sz w:val="22"/>
                <w:szCs w:val="22"/>
              </w:rPr>
              <w:t xml:space="preserve">)</w:t>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09/2025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09/2025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09/2025</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cửa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cửa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cửa và tài sản gắn liền với đất</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Đường Nhân Huệ, Phường Đồng Mai, Quận Hà Đông, Thành phố Hà Nội, đường Đường Nhân Huệ, độ rộng đường trước mặt tài sản 10m, Dễ đi lại, ko ùn tắc, mặt tiền 3m, Cách chợ khoảng 270m, 20.9353768, 105.732032</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Đồng Mai, Quận Hà Đông, Thành phố Hà Nội, đường Đường Nhân Huệ, độ rộng đường trước mặt tài sản 15m, Thuận lợi, không ùn tắc, mặt tiền 3m, Cách chợ khoảng 500m, 20.93505614168698, 105.73306196826175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Đồng Mai, Quận Hà Đông, Thành phố Hà Nội, đường Đường Nhân Huệ, độ rộng đường trước mặt tài sản 11m, Giao thông dễ đi lại, mặt tiền 2.7m, Cách chợ khoảng 651m, 20.93505614168698, 105.73357695239261</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Đồng Mai, Quận Hà Đông, Thành phố Hà Nội, đường Đường Nhân Huệ, độ rộng đường trước mặt tài sản 10m, Giao thông đôi lúc ùn tắc, mặt tiền 2.9m, Cách tường C3 khoảng 350m, 20.934735482687405, 105.73512190478519</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đá dăm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7.5</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Khá</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Trung bình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Khá</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Các yếu tố quy hoạch xây dựng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Hệ số sử dụng đất : 2</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Hệ số sử dụng đất : 3</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Hệ số sử dụng đất : 2.5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Hệ số sử dụng đất : 3</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171</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105</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2.7</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2.9</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38.33</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48.15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36.21</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hậu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2.7</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góc 2 mặt đường, phố</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đường, phố + 1 mặt ngõ</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đường, phố + 1 mặt ngõ</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Nở hậu</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Nở hậu</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Hướng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Đông Bắc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Nam</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Cảnh quan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View khu dân cư</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View khu dân cư</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View công viên, vườn hoa, quảng trường</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Khá</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Khá</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thương mại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Nguồn nước bị ô nhiễm (gần cống rãnh xả thải, sông suối ô nhiễm nặng gây mùi hôi thối khó chịu hoặc ngập úng giao thông không thể qua lại khi mưa lớn, bão, thủy triều)</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Môi trường ô nhiễm không khí 'Khu gần nhà máy, lò gạch, bãi rác, khu công nghiệp nặng, sinh hóa ô nhiễm, mùi hóa chất'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Nguồn nước bị ô nhiễm (gần cống rãnh xả thải, sông suối ô nhiễm nặng gây mùi hôi thối khó chịu hoặc ngập úng giao thông không thể qua lại khi mưa lớn, bão, thủy triều)</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Hiện trạng môi trường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Nguồn nước bị ô nhiễm (gần cống rãnh xả thải, sông suối ô nhiễm nặng gây mùi hôi thối khó chịu hoặc ngập úng giao thông không thể qua lại khi mưa lớn, bão, thủy triều)</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Nguồn nước bị ô nhiễm (gần cống rãnh xả thải, sông suối ô nhiễm nặng gây mùi hôi thối khó chịu hoặc ngập úng giao thông không thể qua lại khi mưa lớn, bão, thủy triều)</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Môi trường ô nhiễm không khí 'Khu gần nhà máy, lò gạch, bãi rác, khu công nghiệp nặng, sinh hóa ô nhiễm, mùi hóa chất'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Nguồn nước bị ô nhiễm (gần cống rãnh xả thải, sông suối ô nhiễm nặng gây mùi hôi thối khó chịu hoặc ngập úng giao thông không thể qua lại khi mưa lớn, bão, thủy triều)</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Khả năng chuyển nhượng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Khá</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Trung bình</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Các yếu tố khác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Nằm trong khu du lịch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11.500.000.000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12.500.000.000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11.000.000.000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10.925.000.000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11.875.000.000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10.450.000.000</w:t>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sz w:val="22"/>
                <w:szCs w:val="22"/>
              </w:rPr>
              <w:t xml:space="preserve"> </w:t>
            </w:r>
            <w:r>
              <w:rPr>
                <w:color w:val="000000" w:themeColor="text1"/>
                <w:sz w:val="22"/>
                <w:szCs w:val="22"/>
              </w:rPr>
              <w:t xml:space="preserve">1.393.551.845</w:t>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1.413.777.725</w:t>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1.538.663.696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1.203.897.223</w:t>
            </w:r>
            <w:r>
              <w:rPr>
                <w:color w:val="000000"/>
                <w:sz w:val="22"/>
                <w:szCs w:val="22"/>
              </w:rPr>
            </w:r>
          </w:p>
        </w:tc>
      </w:tr>
      <w:tr>
        <w:trPr>
          <w:trHeight w:val="138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Đơn giá xây dựng theo Quyết định số 409/QĐ-BXD ngày 11/4/2025 của Bộ Xây Dựng (đồng/m²)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7.062.109</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7.062.109</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6.121.793</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6.709.004</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 Tỷ lệ % CLCL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82.22</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87.04</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96.67</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85.45</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tcPr>
          <w:p>
            <w:pPr>
              <w:pBdr/>
              <w:spacing/>
              <w:ind/>
              <w:rPr>
                <w:color w:val="000000"/>
                <w:sz w:val="22"/>
                <w:szCs w:val="22"/>
              </w:rPr>
            </w:pPr>
            <w:r>
              <w:rPr>
                <w:color w:val="000000"/>
                <w:sz w:val="22"/>
                <w:szCs w:val="22"/>
              </w:rPr>
              <w:t xml:space="preserve">Tỷ lệ % hoàn thiện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100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95</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9.511.222.275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10.336.336.304</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9.246.102.777</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82.706.281</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79.510.279</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88.058.122</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Các yếu tố quy hoạch xây dựng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hậu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Thẩm định viên không điều chỉnh vì đã được điều chỉnh tổng hợp ở các yếu tố diện tích và hình dáng (nở hậu, thóp hậu)</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Thẩm định viên không điều chỉnh vì đã được điều chỉnh tổng hợp ở các yếu tố diện tích và hình dáng (nở hậu, thóp hậu)</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Thẩm định viên không điều chỉnh vì đã được điều chỉnh tổng hợp ở các yếu tố diện tích và hình dáng (nở hậu, thóp hậu)</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Hướng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Cảnh quan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Thẩm định viên không điều chỉnh vì đã được điều chỉnh ở các yếu tố Lợi thế thương mại và Bất lợi thương mại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Thẩm định viên không điều chỉnh vì đã được điều chỉnh ở các yếu tố Lợi thế thương mại và Bất lợi thương mại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Thẩm định viên không điều chỉnh vì đã được điều chỉnh ở các yếu tố Lợi thế thương mại và Bất lợi thương mại</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thương mại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Hiện trạng môi trường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Khả năng chuyển nhượng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Thẩm định viên không điều chỉnh vì đã được điều chỉnh tổng hợp ở các yếu tố: Pháp lý, diện tích, hình dáng, lợi thế, bất lợi thửa đất, lợi thế thương mại, môi trường…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Thẩm định viên không điều chỉnh vì đã được điều chỉnh tổng hợp ở các yếu tố: Pháp lý, diện tích, hình dáng, lợi thế, bất lợi thửa đất, lợi thế thương mại, môi trường…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Thẩm định viên không điều chỉnh vì đã được điều chỉnh tổng hợp ở các yếu tố: Pháp lý, diện tích, hình dáng, lợi thế, bất lợi thửa đất, lợi thế thương mại, môi trường…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Các yếu tố khác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dựa trên ba tài sản so sánh tương đồng với tài sản thẩm định giá, Tổ thẩm định phân tích các </w:t>
      </w:r>
      <w:r>
        <w:rPr>
          <w:lang w:val="it-IT"/>
        </w:rPr>
        <w:t xml:space="preserve">yếu tố giống và khác nhau giữa TSTĐ và TSSS, sau đó điều chỉnh giá của các tài sản so sánh theo các yếu tố điều chỉnh trên để đưa ra giá trị của tài sản thẩm định.</w:t>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p>
    <w:p>
      <w:pPr>
        <w:pStyle w:val="856"/>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9.511.222.275</w:t>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10.336.336.304</w:t>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9.246.102.777</w:t>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82.706.281</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79.510.279</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88.058.122</w:t>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5.1</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cửa và tài sản gắn liền với đất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cửa và tài sản gắn liền với đất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cửa và tài sản gắn liền với đất</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82.706.281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79.510.279</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88.058.122</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5.2</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(115 m²)</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(130 m²)</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(105 m²)</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82.706.281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79.510.279</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88.058.122</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5.3</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82.706.281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79.510.279</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88.058.122</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5.4</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Đường Nhân Huệ, Phường Đồng Mai, Quận Hà Đông, Thành phố Hà Nội, đường Đường Nhân Huệ, độ rộng đường trước mặt tài sản 10m, Dễ đi lại, ko ùn tắc, mặt tiền 3m, Cách chợ khoảng 270m, 20.9353768, 105.732032</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Phường Đồng Mai, Quận Hà Đông, Thành phố Hà Nội, đường Đường Nhân Huệ, độ rộng đường trước mặt tài sản 15m, Thuận lợi, không ùn tắc, mặt tiền 3m, Cách chợ khoảng 500m, 20.93505614168698, 105.73306196826175</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Phường Đồng Mai, Quận Hà Đông, Thành phố Hà Nội, đường Đường Nhân Huệ, độ rộng đường trước mặt tài sản 11m, Giao thông dễ đi lại, mặt tiền 2.7m, Cách chợ khoảng 651m, 20.93505614168698, 105.73357695239261</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Phường Đồng Mai, Quận Hà Đông, Thành phố Hà Nội, đường Đường Nhân Huệ, độ rộng đường trước mặt tài sản 10m, Giao thông đôi lúc ùn tắc, mặt tiền 2.9m, Cách tường C3 khoảng 350m, 20.934735482687405, 105.73512190478519</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-8.270.628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-7.951.028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-8.805.812</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74.435.653</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71.559.251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79.252.310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5.5</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đá dăm</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8.270.628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15.902.056</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-10.566.975</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82.706.281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87.461.307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68.685.335</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5.6</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15</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11</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-20.676.570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-11.926.542</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62.029.711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75.534.765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68.685.335</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5.7</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nhỏ nhất từ đường chính vào tài sản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7.5</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-18%</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-16.541.256</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-14.311.850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-13.208.718</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45.488.455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61.222.915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55.476.617</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5.8</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45.488.455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61.222.915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55.476.617</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5.9</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Điều kiện môi trường an ninh</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Khá</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Khá</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Trung bình</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Khá</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1.590.206</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45.488.455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62.813.121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55.476.617</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5.10</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Các yếu tố quy hoạch xây dựng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Hệ số sử dụng đất : 2</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Hệ số sử dụng đất : 3</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Hệ số sử dụng đất : 2.5</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Hệ số sử dụng đất : 3</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20.676.570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7.951.028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22.014.531</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66.165.025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70.764.149</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77.491.148</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5.11</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171</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115</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130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105</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-12.405.942</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-11.926.542</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-13.208.718</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53.759.083</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58.837.607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64.282.430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5.12</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2.7</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2.9</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53.759.083</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58.837.607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64.282.430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5.13</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17</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38.33</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48.15</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36.21</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8.270.628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7.951.028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8.805.812</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62.029.711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66.788.635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73.088.242</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5.14</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hậu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62.029.711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66.788.635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73.088.242</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5.15</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đường trước sau</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góc 2 mặt đường, phố</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đường, phố + 1 mặt ngõ</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đường, phố + 1 mặt ngõ</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-4.135.314</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3.975.514</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4.402.906</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57.894.397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70.764.149</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77.491.148</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5.16</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Nở hậu</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Nở hậu</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-3.975.514</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-4.402.906</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57.894.397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66.788.635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73.088.242</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5.17</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Hướng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Nam</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Đông Bắc</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Đông</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Nam</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2.481.188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60.375.585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66.788.635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73.088.242</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5.18</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Cảnh quan</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View công viên, vườn hoa, quảng trường</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View khu dân cư</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View khu dân cư</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View công viên, vườn hoa, quảng trường</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60.375.585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66.788.635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73.088.242</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5.19</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Lợi thế kinh doanh</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Khá</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Khá</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Khá</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-3.975.514</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60.375.585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62.813.121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73.088.242</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5.20</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Bất lợi thương mại</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gần khu vực tâm linh, có âm, sát khí (Nhà tang lễ, nghĩa trang, nhà xác…) [50m:&lt;=150m]</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gần khu vực tâm linh, có âm, sát khí (Nhà tang lễ, nghĩa trang, nhà xác…) [50m:&lt;=150m]</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gần khu vực tâm linh, có âm, sát khí (Nhà tang lễ, nghĩa trang, nhà xác…) [300m:&lt;=500m]</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-16.541.256</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-15.902.056</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-2.641.744</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43.834.329</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46.911.065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70.446.498</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5.21</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Hiện trạng môi trường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Nguồn nước bị ô nhiễm (gần cống rãnh xả thải, sông suối ô nhiễm nặng gây mùi hôi thối khó chịu hoặc ngập úng giao thông không thể qua lại khi mưa lớn, bão, thủy triều)</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Nguồn nước bị ô nhiễm (gần cống rãnh xả thải, sông suối ô nhiễm nặng gây mùi hôi thối khó chịu hoặc ngập úng giao thông không thể qua lại khi mưa lớn, bão, thủy triều)</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Môi trường ô nhiễm không khí 'Khu gần nhà máy, lò gạch, bãi rác, khu công nghiệp nặng, sinh hóa ô nhiễm, mùi hóa chất'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Nguồn nước bị ô nhiễm (gần cống rãnh xả thải, sông suối ô nhiễm nặng gây mùi hôi thối khó chịu hoặc ngập úng giao thông không thể qua lại khi mưa lớn, bão, thủy triều)</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-11.926.542</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43.834.329</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34.984.523</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70.446.498</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5.22</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Khả năng chuyển nhượng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Khá</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Khá</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Trung bình</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43.834.329</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34.984.523</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70.446.498</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5.23</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Các yếu tố khác</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${bdc_var1#23}</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3.975.514</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-22.014.531</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43.834.329</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38.960.037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48.431.967</w:t>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43.834.329</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38.960.037</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48.431.967</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43.742.111</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0.21%</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-10.93%</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10.72%</w:t>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118.269.980</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123.240.934</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110.072.653</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10</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14</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10</w:t>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- 25%</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- 20%</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- 25%</w:t>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38.871.952</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40.550.242</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39.626.155</w:t>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w:t>
      </w:r>
      <w:r>
        <w:t xml:space="preserve">-10.93</w:t>
      </w:r>
      <w:r>
        <w:t xml:space="preserve">% đến </w:t>
      </w:r>
      <w:r>
        <w:t xml:space="preserve">10.72</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p>
    <w:p>
      <w:pPr>
        <w:pBdr/>
        <w:spacing/>
        <w:ind/>
        <w:jc w:val="right"/>
        <w:rPr>
          <w:i/>
          <w:iCs/>
        </w:rPr>
      </w:pPr>
      <w:r>
        <w:rPr>
          <w:i/>
          <w:iCs/>
        </w:rPr>
        <w:t xml:space="preserve">Đơn vị tính: Đồng/m²</w:t>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43.834.329</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14.614.365</w:t>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38.960.037</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12.985.380</w:t>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48.431.967</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16.142.375</w:t>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43.742.120</w:t>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44.000.000</w:t>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44.000.000</w:t>
      </w:r>
      <w:r>
        <w:rPr>
          <w:b/>
          <w:bCs/>
          <w:color w:val="000000" w:themeColor="text1"/>
        </w:rPr>
        <w:t xml:space="preserve"> </w:t>
      </w:r>
      <w:r>
        <w:rPr>
          <w:b/>
          <w:bCs/>
        </w:rPr>
        <w:t xml:space="preserve">đồng/m².</w:t>
      </w:r>
      <w:r>
        <w:rPr>
          <w:b/>
          <w:bCs/>
        </w:rPr>
      </w:r>
    </w:p>
    <w:p>
      <w:pPr>
        <w:pStyle w:val="856"/>
        <w:numPr>
          <w:ilvl w:val="0"/>
          <w:numId w:val="26"/>
        </w:numPr>
        <w:pBdr/>
        <w:spacing w:after="120" w:before="120" w:line="276" w:lineRule="auto"/>
        <w:ind w:hanging="357" w:left="357"/>
        <w:jc w:val="both"/>
        <w:rPr>
          <w:b/>
          <w:bCs/>
        </w:rPr>
      </w:pPr>
      <w:r>
        <w:rPr>
          <w:b/>
          <w:bCs/>
        </w:rPr>
        <w:t xml:space="preserve">Xác định giá trị tài sản gắn liền với đất</w:t>
      </w:r>
      <w:r>
        <w:rPr>
          <w:b/>
          <w:bCs/>
        </w:rPr>
      </w:r>
    </w:p>
    <w:tbl>
      <w:tblPr>
        <w:tblInd w:w="-714" w:type="dxa"/>
        <w:tblW w:w="106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418"/>
        <w:gridCol w:w="1275"/>
        <w:gridCol w:w="1560"/>
        <w:gridCol w:w="1701"/>
        <w:gridCol w:w="1139"/>
        <w:gridCol w:w="1559"/>
        <w:gridCol w:w="1968"/>
      </w:tblGrid>
      <w:tr>
        <w:trPr>
          <w:trHeight w:val="936"/>
        </w:trPr>
        <w:tc>
          <w:tcPr>
            <w:shd w:val="clear" w:color="000000" w:fill="ffffff"/>
            <w:tcBorders/>
            <w:tcW w:w="1418" w:type="dxa"/>
            <w:vAlign w:val="center"/>
            <w:textDirection w:val="lrTb"/>
            <w:noWrap w:val="false"/>
          </w:tcPr>
          <w:p>
            <w:pPr>
              <w:pBdr/>
              <w:spacing w:after="60" w:before="60"/>
              <w:ind/>
              <w:jc w:val="center"/>
              <w:rPr>
                <w:b/>
                <w:bCs/>
                <w:sz w:val="22"/>
                <w:szCs w:val="22"/>
              </w:rPr>
            </w:pPr>
            <w:r>
              <w:rPr>
                <w:b/>
                <w:bCs/>
                <w:sz w:val="22"/>
                <w:szCs w:val="22"/>
              </w:rPr>
              <w:t xml:space="preserve">Tài sản</w:t>
            </w:r>
            <w:r>
              <w:rPr>
                <w:b/>
                <w:bCs/>
                <w:sz w:val="22"/>
                <w:szCs w:val="22"/>
              </w:rPr>
            </w:r>
          </w:p>
        </w:tc>
        <w:tc>
          <w:tcPr>
            <w:shd w:val="clear" w:color="000000" w:fill="ffffff"/>
            <w:tcBorders/>
            <w:tcW w:w="1275" w:type="dxa"/>
            <w:vAlign w:val="center"/>
            <w:textDirection w:val="lrTb"/>
            <w:noWrap w:val="false"/>
          </w:tcPr>
          <w:p>
            <w:pPr>
              <w:pBdr/>
              <w:spacing w:after="60" w:before="60"/>
              <w:ind/>
              <w:jc w:val="center"/>
              <w:rPr>
                <w:b/>
                <w:bCs/>
                <w:sz w:val="22"/>
                <w:szCs w:val="22"/>
              </w:rPr>
            </w:pPr>
            <w:r>
              <w:rPr>
                <w:b/>
                <w:bCs/>
                <w:sz w:val="22"/>
                <w:szCs w:val="22"/>
              </w:rPr>
              <w:t xml:space="preserve">Diện tích sàn (m²)</w:t>
            </w:r>
            <w:r>
              <w:rPr>
                <w:b/>
                <w:bCs/>
                <w:sz w:val="22"/>
                <w:szCs w:val="22"/>
              </w:rPr>
            </w:r>
          </w:p>
        </w:tc>
        <w:tc>
          <w:tcPr>
            <w:shd w:val="clear" w:color="000000" w:fill="ffffff"/>
            <w:tcBorders/>
            <w:tcW w:w="1560" w:type="dxa"/>
            <w:vAlign w:val="center"/>
            <w:textDirection w:val="lrTb"/>
            <w:noWrap w:val="false"/>
          </w:tcPr>
          <w:p>
            <w:pPr>
              <w:pBdr/>
              <w:spacing w:after="60" w:before="60"/>
              <w:ind/>
              <w:jc w:val="center"/>
              <w:rPr>
                <w:b/>
                <w:bCs/>
                <w:sz w:val="22"/>
                <w:szCs w:val="22"/>
              </w:rPr>
            </w:pPr>
            <w:r>
              <w:rPr>
                <w:b/>
                <w:bCs/>
                <w:sz w:val="22"/>
                <w:szCs w:val="22"/>
              </w:rPr>
              <w:t xml:space="preserve">Đơn giá xây dựng mới (đồng/m² sàn)</w:t>
            </w:r>
            <w:r>
              <w:rPr>
                <w:b/>
                <w:bCs/>
                <w:sz w:val="22"/>
                <w:szCs w:val="22"/>
              </w:rPr>
            </w:r>
          </w:p>
        </w:tc>
        <w:tc>
          <w:tcPr>
            <w:shd w:val="clear" w:color="000000" w:fill="ffffff"/>
            <w:tcBorders/>
            <w:tcW w:w="1701" w:type="dxa"/>
            <w:vAlign w:val="center"/>
            <w:textDirection w:val="lrTb"/>
            <w:noWrap w:val="false"/>
          </w:tcPr>
          <w:p>
            <w:pPr>
              <w:pBdr/>
              <w:spacing w:after="60" w:before="60"/>
              <w:ind/>
              <w:jc w:val="center"/>
              <w:rPr>
                <w:b/>
                <w:bCs/>
                <w:sz w:val="22"/>
                <w:szCs w:val="22"/>
              </w:rPr>
            </w:pPr>
            <w:r>
              <w:rPr>
                <w:b/>
                <w:bCs/>
                <w:sz w:val="22"/>
                <w:szCs w:val="22"/>
              </w:rPr>
              <w:t xml:space="preserve">Chi phí thay thế (đồng)</w:t>
            </w:r>
            <w:r>
              <w:rPr>
                <w:b/>
                <w:bCs/>
                <w:sz w:val="22"/>
                <w:szCs w:val="22"/>
              </w:rPr>
            </w:r>
          </w:p>
        </w:tc>
        <w:tc>
          <w:tcPr>
            <w:shd w:val="clear" w:color="000000" w:fill="ffffff"/>
            <w:tcBorders/>
            <w:tcW w:w="1139" w:type="dxa"/>
            <w:vAlign w:val="center"/>
            <w:textDirection w:val="lrTb"/>
            <w:noWrap w:val="false"/>
          </w:tcPr>
          <w:p>
            <w:pPr>
              <w:pBdr/>
              <w:spacing w:after="60" w:before="60"/>
              <w:ind/>
              <w:jc w:val="center"/>
              <w:rPr>
                <w:b/>
                <w:bCs/>
                <w:sz w:val="22"/>
                <w:szCs w:val="22"/>
              </w:rPr>
            </w:pPr>
            <w:r>
              <w:rPr>
                <w:b/>
                <w:bCs/>
                <w:sz w:val="22"/>
                <w:szCs w:val="22"/>
              </w:rPr>
              <w:t xml:space="preserve">Tỷ lệ hao mòn (%)</w:t>
            </w:r>
            <w:r>
              <w:rPr>
                <w:b/>
                <w:bCs/>
                <w:sz w:val="22"/>
                <w:szCs w:val="22"/>
              </w:rPr>
            </w:r>
          </w:p>
        </w:tc>
        <w:tc>
          <w:tcPr>
            <w:shd w:val="clear" w:color="000000" w:fill="ffffff"/>
            <w:tcBorders/>
            <w:tcW w:w="1559" w:type="dxa"/>
            <w:vAlign w:val="center"/>
            <w:textDirection w:val="lrTb"/>
            <w:noWrap w:val="false"/>
          </w:tcPr>
          <w:p>
            <w:pPr>
              <w:pBdr/>
              <w:spacing w:after="60" w:before="60"/>
              <w:ind/>
              <w:jc w:val="center"/>
              <w:rPr>
                <w:b/>
                <w:bCs/>
                <w:sz w:val="22"/>
                <w:szCs w:val="22"/>
              </w:rPr>
            </w:pPr>
            <w:r>
              <w:rPr>
                <w:b/>
                <w:bCs/>
                <w:sz w:val="22"/>
                <w:szCs w:val="22"/>
              </w:rPr>
              <w:t xml:space="preserve">Giá trị hao mòn (đồng)</w:t>
            </w:r>
            <w:r>
              <w:rPr>
                <w:b/>
                <w:bCs/>
                <w:sz w:val="22"/>
                <w:szCs w:val="22"/>
              </w:rPr>
            </w:r>
          </w:p>
        </w:tc>
        <w:tc>
          <w:tcPr>
            <w:shd w:val="clear" w:color="000000" w:fill="ffffff"/>
            <w:tcBorders/>
            <w:tcW w:w="1968" w:type="dxa"/>
            <w:vAlign w:val="center"/>
            <w:textDirection w:val="lrTb"/>
            <w:noWrap w:val="false"/>
          </w:tcPr>
          <w:p>
            <w:pPr>
              <w:pBdr/>
              <w:spacing w:after="60" w:before="60"/>
              <w:ind/>
              <w:jc w:val="center"/>
              <w:rPr>
                <w:b/>
                <w:bCs/>
                <w:sz w:val="22"/>
                <w:szCs w:val="22"/>
              </w:rPr>
            </w:pPr>
            <w:r>
              <w:rPr>
                <w:b/>
                <w:bCs/>
                <w:sz w:val="22"/>
                <w:szCs w:val="22"/>
              </w:rPr>
              <w:t xml:space="preserve">Giá trị thẩm định tại thời điểm thẩm định giá (đồng)</w:t>
            </w:r>
            <w:r>
              <w:rPr>
                <w:b/>
                <w:bCs/>
                <w:sz w:val="22"/>
                <w:szCs w:val="22"/>
              </w:rPr>
            </w:r>
          </w:p>
        </w:tc>
      </w:tr>
      <w:tr>
        <w:trPr>
          <w:trHeight w:val="300"/>
        </w:trPr>
        <w:tc>
          <w:tcPr>
            <w:shd w:val="clear" w:color="000000" w:fill="ffffff"/>
            <w:tcBorders/>
            <w:tcW w:w="1418" w:type="dxa"/>
            <w:vAlign w:val="center"/>
            <w:textDirection w:val="lrTb"/>
            <w:noWrap w:val="false"/>
          </w:tcPr>
          <w:p>
            <w:pPr>
              <w:pBdr/>
              <w:spacing w:after="60" w:before="60"/>
              <w:ind/>
              <w:jc w:val="center"/>
              <w:rPr>
                <w:b/>
                <w:bCs/>
                <w:sz w:val="22"/>
                <w:szCs w:val="22"/>
              </w:rPr>
            </w:pPr>
            <w:r>
              <w:rPr>
                <w:b/>
                <w:bCs/>
                <w:sz w:val="22"/>
                <w:szCs w:val="22"/>
              </w:rPr>
              <w:t xml:space="preserve">(1)</w:t>
            </w:r>
            <w:r>
              <w:rPr>
                <w:b/>
                <w:bCs/>
                <w:sz w:val="22"/>
                <w:szCs w:val="22"/>
              </w:rPr>
            </w:r>
          </w:p>
        </w:tc>
        <w:tc>
          <w:tcPr>
            <w:shd w:val="clear" w:color="000000" w:fill="ffffff"/>
            <w:tcBorders/>
            <w:tcW w:w="1275" w:type="dxa"/>
            <w:vAlign w:val="center"/>
            <w:textDirection w:val="lrTb"/>
            <w:noWrap w:val="false"/>
          </w:tcPr>
          <w:p>
            <w:pPr>
              <w:pBdr/>
              <w:spacing w:after="60" w:before="60"/>
              <w:ind/>
              <w:jc w:val="center"/>
              <w:rPr>
                <w:b/>
                <w:bCs/>
                <w:sz w:val="22"/>
                <w:szCs w:val="22"/>
              </w:rPr>
            </w:pPr>
            <w:r>
              <w:rPr>
                <w:b/>
                <w:bCs/>
                <w:sz w:val="22"/>
                <w:szCs w:val="22"/>
              </w:rPr>
              <w:t xml:space="preserve">(2)</w:t>
            </w:r>
            <w:r>
              <w:rPr>
                <w:b/>
                <w:bCs/>
                <w:sz w:val="22"/>
                <w:szCs w:val="22"/>
              </w:rPr>
            </w:r>
          </w:p>
        </w:tc>
        <w:tc>
          <w:tcPr>
            <w:shd w:val="clear" w:color="000000" w:fill="ffffff"/>
            <w:tcBorders/>
            <w:tcW w:w="1560" w:type="dxa"/>
            <w:vAlign w:val="center"/>
            <w:textDirection w:val="lrTb"/>
            <w:noWrap w:val="false"/>
          </w:tcPr>
          <w:p>
            <w:pPr>
              <w:pBdr/>
              <w:spacing w:after="60" w:before="60"/>
              <w:ind/>
              <w:jc w:val="center"/>
              <w:rPr>
                <w:b/>
                <w:bCs/>
                <w:sz w:val="22"/>
                <w:szCs w:val="22"/>
              </w:rPr>
            </w:pPr>
            <w:r>
              <w:rPr>
                <w:b/>
                <w:bCs/>
                <w:sz w:val="22"/>
                <w:szCs w:val="22"/>
              </w:rPr>
              <w:t xml:space="preserve">(3)</w:t>
            </w:r>
            <w:r>
              <w:rPr>
                <w:b/>
                <w:bCs/>
                <w:sz w:val="22"/>
                <w:szCs w:val="22"/>
              </w:rPr>
            </w:r>
          </w:p>
        </w:tc>
        <w:tc>
          <w:tcPr>
            <w:shd w:val="clear" w:color="000000" w:fill="ffffff"/>
            <w:tcBorders/>
            <w:tcW w:w="1701" w:type="dxa"/>
            <w:vAlign w:val="center"/>
            <w:textDirection w:val="lrTb"/>
            <w:noWrap w:val="false"/>
          </w:tcPr>
          <w:p>
            <w:pPr>
              <w:pBdr/>
              <w:spacing w:after="60" w:before="60"/>
              <w:ind/>
              <w:jc w:val="center"/>
              <w:rPr>
                <w:b/>
                <w:bCs/>
                <w:sz w:val="22"/>
                <w:szCs w:val="22"/>
              </w:rPr>
            </w:pPr>
            <w:r>
              <w:rPr>
                <w:b/>
                <w:bCs/>
                <w:sz w:val="22"/>
                <w:szCs w:val="22"/>
              </w:rPr>
              <w:t xml:space="preserve">(4) = (2) * (3)</w:t>
            </w:r>
            <w:r>
              <w:rPr>
                <w:b/>
                <w:bCs/>
                <w:sz w:val="22"/>
                <w:szCs w:val="22"/>
              </w:rPr>
            </w:r>
          </w:p>
        </w:tc>
        <w:tc>
          <w:tcPr>
            <w:shd w:val="clear" w:color="000000" w:fill="ffffff"/>
            <w:tcBorders/>
            <w:tcW w:w="1139" w:type="dxa"/>
            <w:vAlign w:val="center"/>
            <w:textDirection w:val="lrTb"/>
            <w:noWrap w:val="false"/>
          </w:tcPr>
          <w:p>
            <w:pPr>
              <w:pBdr/>
              <w:spacing w:after="60" w:before="60"/>
              <w:ind/>
              <w:jc w:val="center"/>
              <w:rPr>
                <w:b/>
                <w:bCs/>
                <w:sz w:val="22"/>
                <w:szCs w:val="22"/>
              </w:rPr>
            </w:pPr>
            <w:r>
              <w:rPr>
                <w:b/>
                <w:bCs/>
                <w:sz w:val="22"/>
                <w:szCs w:val="22"/>
              </w:rPr>
              <w:t xml:space="preserve">(5)</w:t>
            </w:r>
            <w:r>
              <w:rPr>
                <w:b/>
                <w:bCs/>
                <w:sz w:val="22"/>
                <w:szCs w:val="22"/>
              </w:rPr>
            </w:r>
          </w:p>
        </w:tc>
        <w:tc>
          <w:tcPr>
            <w:shd w:val="clear" w:color="000000" w:fill="ffffff"/>
            <w:tcBorders/>
            <w:tcW w:w="1559" w:type="dxa"/>
            <w:vAlign w:val="center"/>
            <w:textDirection w:val="lrTb"/>
            <w:noWrap w:val="false"/>
          </w:tcPr>
          <w:p>
            <w:pPr>
              <w:pBdr/>
              <w:spacing w:after="60" w:before="60"/>
              <w:ind/>
              <w:jc w:val="center"/>
              <w:rPr>
                <w:b/>
                <w:bCs/>
                <w:sz w:val="22"/>
                <w:szCs w:val="22"/>
              </w:rPr>
            </w:pPr>
            <w:r>
              <w:rPr>
                <w:b/>
                <w:bCs/>
                <w:sz w:val="22"/>
                <w:szCs w:val="22"/>
              </w:rPr>
              <w:t xml:space="preserve">(</w:t>
            </w:r>
            <w:r>
              <w:rPr>
                <w:b/>
                <w:bCs/>
                <w:sz w:val="22"/>
                <w:szCs w:val="22"/>
              </w:rPr>
              <w:t xml:space="preserve">6</w:t>
            </w:r>
            <w:r>
              <w:rPr>
                <w:b/>
                <w:bCs/>
                <w:sz w:val="22"/>
                <w:szCs w:val="22"/>
              </w:rPr>
              <w:t xml:space="preserve">)</w:t>
            </w:r>
            <w:r>
              <w:rPr>
                <w:b/>
                <w:bCs/>
                <w:sz w:val="22"/>
                <w:szCs w:val="22"/>
              </w:rPr>
              <w:t xml:space="preserve">=</w:t>
            </w:r>
            <w:r>
              <w:rPr>
                <w:b/>
                <w:bCs/>
                <w:sz w:val="22"/>
                <w:szCs w:val="22"/>
              </w:rPr>
              <w:t xml:space="preserve">(4)*(5)</w:t>
            </w:r>
            <w:r>
              <w:rPr>
                <w:b/>
                <w:bCs/>
                <w:sz w:val="22"/>
                <w:szCs w:val="22"/>
              </w:rPr>
            </w:r>
          </w:p>
        </w:tc>
        <w:tc>
          <w:tcPr>
            <w:shd w:val="clear" w:color="000000" w:fill="ffffff"/>
            <w:tcBorders/>
            <w:tcW w:w="1968" w:type="dxa"/>
            <w:vAlign w:val="center"/>
            <w:textDirection w:val="lrTb"/>
            <w:noWrap w:val="false"/>
          </w:tcPr>
          <w:p>
            <w:pPr>
              <w:pBdr/>
              <w:spacing w:after="60" w:before="60"/>
              <w:ind/>
              <w:jc w:val="center"/>
              <w:rPr>
                <w:b/>
                <w:bCs/>
                <w:sz w:val="22"/>
                <w:szCs w:val="22"/>
              </w:rPr>
            </w:pPr>
            <w:r>
              <w:rPr>
                <w:b/>
                <w:bCs/>
                <w:sz w:val="22"/>
                <w:szCs w:val="22"/>
              </w:rPr>
              <w:t xml:space="preserve">(</w:t>
            </w:r>
            <w:r>
              <w:rPr>
                <w:b/>
                <w:bCs/>
                <w:sz w:val="22"/>
                <w:szCs w:val="22"/>
              </w:rPr>
              <w:t xml:space="preserve">7</w:t>
            </w:r>
            <w:r>
              <w:rPr>
                <w:b/>
                <w:bCs/>
                <w:sz w:val="22"/>
                <w:szCs w:val="22"/>
              </w:rPr>
              <w:t xml:space="preserve">) = (4) - (</w:t>
            </w:r>
            <w:r>
              <w:rPr>
                <w:b/>
                <w:bCs/>
                <w:sz w:val="22"/>
                <w:szCs w:val="22"/>
              </w:rPr>
              <w:t xml:space="preserve">6</w:t>
            </w:r>
            <w:r>
              <w:rPr>
                <w:b/>
                <w:bCs/>
                <w:sz w:val="22"/>
                <w:szCs w:val="22"/>
              </w:rPr>
              <w:t xml:space="preserve">)</w:t>
            </w:r>
            <w:r>
              <w:rPr>
                <w:b/>
                <w:bCs/>
                <w:sz w:val="22"/>
                <w:szCs w:val="22"/>
              </w:rPr>
            </w:r>
          </w:p>
        </w:tc>
      </w:tr>
      <w:tr>
        <w:trPr>
          <w:trHeight w:val="312"/>
        </w:trPr>
        <w:tc>
          <w:tcPr>
            <w:tcBorders/>
            <w:tcW w:w="1418" w:type="dxa"/>
            <w:vAlign w:val="center"/>
            <w:textDirection w:val="lrTb"/>
            <w:noWrap w:val="false"/>
          </w:tcPr>
          <w:p>
            <w:pPr>
              <w:pBdr/>
              <w:spacing w:after="60" w:before="60"/>
              <w:ind/>
              <w:jc w:val="center"/>
              <w:rPr>
                <w:sz w:val="22"/>
                <w:szCs w:val="22"/>
              </w:rPr>
            </w:pPr>
            <w:r>
              <w:rPr>
                <w:sz w:val="22"/>
                <w:szCs w:val="22"/>
              </w:rPr>
              <w:t xml:space="preserve">Nhà ở trên đất</w:t>
            </w:r>
            <w:r>
              <w:rPr>
                <w:sz w:val="22"/>
                <w:szCs w:val="22"/>
              </w:rPr>
            </w:r>
          </w:p>
        </w:tc>
        <w:tc>
          <w:tcPr>
            <w:tcBorders/>
            <w:tcW w:w="1275" w:type="dxa"/>
            <w:vAlign w:val="center"/>
            <w:textDirection w:val="lrTb"/>
            <w:noWrap/>
          </w:tcPr>
          <w:p>
            <w:pPr>
              <w:pBdr/>
              <w:spacing w:after="60" w:before="60"/>
              <w:ind/>
              <w:jc w:val="center"/>
              <w:rPr>
                <w:sz w:val="22"/>
                <w:szCs w:val="22"/>
              </w:rPr>
            </w:pPr>
            <w:r>
              <w:rPr>
                <w:sz w:val="22"/>
                <w:szCs w:val="22"/>
              </w:rPr>
              <w:t xml:space="preserve">240</w:t>
            </w:r>
            <w:r>
              <w:rPr>
                <w:sz w:val="22"/>
                <w:szCs w:val="22"/>
              </w:rPr>
            </w:r>
          </w:p>
        </w:tc>
        <w:tc>
          <w:tcPr>
            <w:tcBorders/>
            <w:tcW w:w="1560" w:type="dxa"/>
            <w:vAlign w:val="center"/>
            <w:textDirection w:val="lrTb"/>
            <w:noWrap/>
          </w:tcPr>
          <w:p>
            <w:pPr>
              <w:pBdr/>
              <w:spacing w:after="60" w:before="60"/>
              <w:ind/>
              <w:jc w:val="center"/>
              <w:rPr>
                <w:sz w:val="22"/>
                <w:szCs w:val="22"/>
              </w:rPr>
            </w:pPr>
            <w:r>
              <w:rPr>
                <w:sz w:val="22"/>
                <w:szCs w:val="22"/>
              </w:rPr>
              <w:t xml:space="preserve">7.062.109</w:t>
            </w:r>
            <w:r>
              <w:rPr>
                <w:sz w:val="22"/>
                <w:szCs w:val="22"/>
              </w:rPr>
            </w:r>
          </w:p>
        </w:tc>
        <w:tc>
          <w:tcPr>
            <w:tcBorders/>
            <w:tcW w:w="1701" w:type="dxa"/>
            <w:vAlign w:val="center"/>
            <w:textDirection w:val="lrTb"/>
            <w:noWrap/>
          </w:tcPr>
          <w:p>
            <w:pPr>
              <w:pBdr/>
              <w:spacing w:after="60" w:before="60"/>
              <w:ind/>
              <w:jc w:val="center"/>
              <w:rPr>
                <w:sz w:val="22"/>
                <w:szCs w:val="22"/>
              </w:rPr>
            </w:pPr>
            <w:r>
              <w:rPr>
                <w:sz w:val="22"/>
                <w:szCs w:val="22"/>
              </w:rPr>
              <w:t xml:space="preserve">1.694.906.160</w:t>
            </w:r>
            <w:r>
              <w:rPr>
                <w:sz w:val="22"/>
                <w:szCs w:val="22"/>
              </w:rPr>
            </w:r>
          </w:p>
        </w:tc>
        <w:tc>
          <w:tcPr>
            <w:tcBorders/>
            <w:tcW w:w="1139" w:type="dxa"/>
            <w:vAlign w:val="center"/>
            <w:textDirection w:val="lrTb"/>
            <w:noWrap w:val="false"/>
          </w:tcPr>
          <w:p>
            <w:pPr>
              <w:pBdr/>
              <w:spacing w:after="60" w:before="60"/>
              <w:ind/>
              <w:jc w:val="center"/>
              <w:rPr>
                <w:sz w:val="22"/>
                <w:szCs w:val="22"/>
              </w:rPr>
            </w:pPr>
            <w:r>
              <w:rPr>
                <w:sz w:val="22"/>
                <w:szCs w:val="22"/>
              </w:rPr>
              <w:t xml:space="preserve">17.78</w:t>
            </w:r>
            <w:r>
              <w:rPr>
                <w:sz w:val="22"/>
                <w:szCs w:val="22"/>
              </w:rPr>
            </w:r>
          </w:p>
        </w:tc>
        <w:tc>
          <w:tcPr>
            <w:tcBorders/>
            <w:tcW w:w="1559" w:type="dxa"/>
            <w:vAlign w:val="center"/>
            <w:textDirection w:val="lrTb"/>
            <w:noWrap/>
          </w:tcPr>
          <w:p>
            <w:pPr>
              <w:pBdr/>
              <w:spacing w:after="60" w:before="60"/>
              <w:ind/>
              <w:jc w:val="center"/>
              <w:rPr>
                <w:sz w:val="22"/>
                <w:szCs w:val="22"/>
              </w:rPr>
            </w:pPr>
            <w:r>
              <w:rPr>
                <w:sz w:val="22"/>
                <w:szCs w:val="22"/>
              </w:rPr>
              <w:t xml:space="preserve">301.354.315</w:t>
            </w:r>
            <w:r>
              <w:rPr>
                <w:sz w:val="22"/>
                <w:szCs w:val="22"/>
              </w:rPr>
            </w:r>
          </w:p>
        </w:tc>
        <w:tc>
          <w:tcPr>
            <w:tcBorders/>
            <w:tcW w:w="1968" w:type="dxa"/>
            <w:vAlign w:val="center"/>
            <w:textDirection w:val="lrTb"/>
            <w:noWrap w:val="false"/>
          </w:tcPr>
          <w:p>
            <w:pPr>
              <w:pBdr/>
              <w:spacing w:after="60" w:before="60"/>
              <w:ind/>
              <w:jc w:val="center"/>
              <w:rPr>
                <w:sz w:val="22"/>
                <w:szCs w:val="22"/>
              </w:rPr>
            </w:pPr>
            <w:r>
              <w:rPr>
                <w:sz w:val="22"/>
                <w:szCs w:val="22"/>
              </w:rPr>
              <w:t xml:space="preserve">1.393.551.845</w:t>
            </w:r>
            <w:r>
              <w:rPr>
                <w:sz w:val="22"/>
                <w:szCs w:val="22"/>
              </w:rPr>
            </w:r>
          </w:p>
        </w:tc>
      </w:tr>
    </w:tbl>
    <w:p>
      <w:pPr>
        <w:pStyle w:val="856"/>
        <w:pBdr/>
        <w:spacing w:after="120" w:before="120" w:line="276" w:lineRule="auto"/>
        <w:ind w:left="357"/>
        <w:jc w:val="both"/>
        <w:rPr>
          <w:b/>
          <w:lang w:val="pt-BR"/>
        </w:rPr>
      </w:pPr>
      <w:r>
        <w:rPr>
          <w:b/>
          <w:lang w:val="pt-BR"/>
        </w:rPr>
      </w:r>
      <w:r>
        <w:rPr>
          <w:b/>
          <w:lang w:val="pt-BR"/>
        </w:rPr>
      </w:r>
    </w:p>
    <w:p>
      <w:pPr>
        <w:pStyle w:val="856"/>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p>
    <w:p>
      <w:pPr>
        <w:pStyle w:val="856"/>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rPr>
          <w:color w:val="000000" w:themeColor="text1"/>
          <w:lang w:val="pt-BR"/>
        </w:rPr>
        <w:t xml:space="preserve">Tháng 11/2025</w:t>
      </w:r>
      <w:r>
        <w:t xml:space="preserve"> </w:t>
      </w:r>
      <w:r>
        <w:t xml:space="preserve">ước tính </w:t>
      </w:r>
      <w:r>
        <w:t xml:space="preserve">như sau</w:t>
      </w:r>
      <w:r>
        <w:t xml:space="preserve">:</w:t>
      </w:r>
      <w:r/>
    </w:p>
    <w:p>
      <w:pPr>
        <w:pStyle w:val="856"/>
        <w:pBdr/>
        <w:tabs>
          <w:tab w:val="left" w:leader="none" w:pos="993"/>
        </w:tabs>
        <w:spacing w:after="120" w:before="120" w:line="276" w:lineRule="auto"/>
        <w:ind w:left="0"/>
        <w:jc w:val="both"/>
        <w:rPr/>
      </w:pPr>
      <w:r/>
      <w:r/>
    </w:p>
    <w:p>
      <w:pPr>
        <w:pStyle w:val="856"/>
        <w:pBdr/>
        <w:tabs>
          <w:tab w:val="left" w:leader="none" w:pos="993"/>
        </w:tabs>
        <w:spacing w:after="120" w:before="120" w:line="276" w:lineRule="auto"/>
        <w:ind w:left="0"/>
        <w:jc w:val="both"/>
        <w:rPr/>
      </w:pPr>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 sản</w:t>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 tích (m²)</w:t>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 giá (đồng/m²)</w:t>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 tiền (đồng)</w:t>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color w:val="000000"/>
              </w:rPr>
              <w:t xml:space="preserve">Giấy chứng nhận số 070, Số vào sổ cấp GCN C00101, Nơi cấp Hà Nội, Ngày cấp 31/08/2025, Số thửa 103, Tờ bản đồ 9, Địa chỉ trên sổ Đường Nhân Huệ, Phường Đồn</w:t>
            </w:r>
            <w:r>
              <w:rPr>
                <w:color w:val="000000"/>
              </w:rPr>
              <w:t xml:space="preserve">g Mai, Quận Hà Đông, Thành phố Hà Nội | Tài sản tại: Đường Nhân Huệ, Phường Đồng Mai, Quận Hà Đông, Thành phố Hà Nội, đường Đường Nhân Huệ, độ rộng đường trước mặt tài sản 10m, Dễ đi lại, ko ùn tắc, mặt tiền 3m, Cách chợ khoảng 270m, 20.9353768, 105.732032</w:t>
            </w:r>
            <w:r>
              <w:rPr>
                <w:b/>
                <w:bCs/>
              </w:rPr>
              <w:t xml:space="preserve">.</w:t>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97" w:type="pct"/>
            <w:vAlign w:val="center"/>
            <w:textDirection w:val="lrTb"/>
            <w:noWrap w:val="false"/>
          </w:tcPr>
          <w:p>
            <w:pPr>
              <w:pBdr/>
              <w:spacing w:after="40" w:before="40" w:line="288" w:lineRule="auto"/>
              <w:ind/>
              <w:rPr/>
            </w:pPr>
            <w:r>
              <w:rPr>
                <w:b/>
                <w:bCs/>
              </w:rPr>
              <w:t xml:space="preserve">Đất ở tại đô thị</w:t>
            </w: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120</w:t>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50.336.354</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6.040.362.538</w:t>
            </w: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pPr>
            <w:r>
              <w:rPr>
                <w:b/>
                <w:bCs/>
              </w:rPr>
              <w:t xml:space="preserve">2</w:t>
            </w:r>
            <w:r/>
          </w:p>
        </w:tc>
        <w:tc>
          <w:tcPr>
            <w:shd w:val="clear" w:color="000000" w:fill="ffffff"/>
            <w:tcBorders/>
            <w:tcW w:w="1097" w:type="pct"/>
            <w:vAlign w:val="center"/>
            <w:textDirection w:val="lrTb"/>
            <w:noWrap w:val="false"/>
          </w:tcPr>
          <w:p>
            <w:pPr>
              <w:pBdr/>
              <w:spacing w:after="40" w:before="40" w:line="288" w:lineRule="auto"/>
              <w:ind/>
              <w:rPr/>
            </w:pPr>
            <w:r>
              <w:rPr>
                <w:b/>
                <w:bCs/>
              </w:rPr>
              <w:t xml:space="preserve">Đất khu công nghiệp</w:t>
            </w: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22</w:t>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9.438.066</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207.637.462</w:t>
            </w: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pPr>
            <w:r>
              <w:rPr>
                <w:b/>
                <w:bCs/>
              </w:rPr>
              <w:t xml:space="preserve">3</w:t>
            </w:r>
            <w:r/>
          </w:p>
        </w:tc>
        <w:tc>
          <w:tcPr>
            <w:shd w:val="clear" w:color="000000" w:fill="ffffff"/>
            <w:tcBorders/>
            <w:tcW w:w="1097" w:type="pct"/>
            <w:vAlign w:val="center"/>
            <w:textDirection w:val="lrTb"/>
            <w:noWrap w:val="false"/>
          </w:tcPr>
          <w:p>
            <w:pPr>
              <w:pBdr/>
              <w:spacing w:after="40" w:before="40" w:line="288" w:lineRule="auto"/>
              <w:ind/>
              <w:rPr/>
            </w:pPr>
            <w:r>
              <w:rPr>
                <w:b/>
                <w:bCs/>
              </w:rPr>
              <w:t xml:space="preserve">Nhà ở trên đất</w:t>
            </w: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240</w:t>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7.062.109</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1.393.551.845</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t xml:space="preserve">7.641.551.845</w:t>
            </w:r>
            <w:r>
              <w:rPr>
                <w:b/>
                <w:bCs/>
                <w:color w:val="000000"/>
              </w:rP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color w:val="000000"/>
              </w:rPr>
              <w:t xml:space="preserve">7.641.600.000</w:t>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Bảy tỷ sáu trăm bốn mươi mốt triệu sáu trăm nghìn</w:t>
            </w:r>
            <w:r>
              <w:rPr>
                <w:b/>
                <w:bCs/>
                <w:i/>
                <w:iCs/>
                <w:color w:val="000000"/>
              </w:rPr>
              <w:t xml:space="preserve">./.)</w:t>
            </w:r>
            <w:r>
              <w:rPr>
                <w:b/>
                <w:bCs/>
                <w:i/>
                <w:iCs/>
                <w:color w:val="000000"/>
              </w:rPr>
            </w:r>
          </w:p>
        </w:tc>
      </w:tr>
    </w:tbl>
    <w:p>
      <w:pPr>
        <w:pStyle w:val="856"/>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p>
    <w:p>
      <w:pPr>
        <w:pStyle w:val="856"/>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p>
    <w:p>
      <w:pPr>
        <w:pStyle w:val="856"/>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w:t>
      </w:r>
      <w:r>
        <w:rPr>
          <w:lang w:val="pt-BR"/>
        </w:rPr>
        <w:t xml:space="preserve">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p>
    <w:p>
      <w:pPr>
        <w:pStyle w:val="856"/>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p>
    <w:p>
      <w:pPr>
        <w:pStyle w:val="856"/>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p>
    <w:p>
      <w:pPr>
        <w:pStyle w:val="856"/>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p>
    <w:p>
      <w:pPr>
        <w:pStyle w:val="856"/>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p>
    <w:p>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p>
    <w:p>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p>
    <w:p>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p>
    <w:p>
      <w:pPr>
        <w:pStyle w:val="856"/>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p>
    <w:p>
      <w:pPr>
        <w:pStyle w:val="856"/>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p>
    <w:p>
      <w:pPr>
        <w:pStyle w:val="856"/>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p>
    <w:p>
      <w:pPr>
        <w:pStyle w:val="856"/>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p>
    <w:p>
      <w:pPr>
        <w:pStyle w:val="856"/>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p>
    <w:p>
      <w:pPr>
        <w:pStyle w:val="856"/>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p>
    <w:p>
      <w:pPr>
        <w:pStyle w:val="856"/>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w:t>
      </w:r>
      <w:r>
        <w:rPr>
          <w:bCs/>
          <w:spacing w:val="-2"/>
          <w:lang w:val="pt-BR"/>
        </w:rPr>
        <w:t xml:space="preserve">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w:t>
      </w:r>
      <w:r>
        <w:rPr>
          <w:bCs/>
          <w:spacing w:val="-2"/>
          <w:lang w:val="pt-BR"/>
        </w:rPr>
        <w:t xml:space="preserve">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p>
    <w:p>
      <w:pPr>
        <w:pStyle w:val="856"/>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p>
    <w:p>
      <w:pPr>
        <w:pStyle w:val="856"/>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p>
    <w:p>
      <w:pPr>
        <w:pStyle w:val="856"/>
        <w:numPr>
          <w:ilvl w:val="0"/>
          <w:numId w:val="5"/>
        </w:numPr>
        <w:pBdr/>
        <w:tabs>
          <w:tab w:val="left" w:leader="none" w:pos="993"/>
        </w:tabs>
        <w:spacing w:after="120" w:before="120" w:line="288" w:lineRule="auto"/>
        <w:ind w:hanging="357" w:left="357"/>
        <w:jc w:val="both"/>
        <w:rPr>
          <w:lang w:val="pt-BR"/>
        </w:rPr>
      </w:pPr>
      <w:r/>
      <w:bookmarkStart w:id="3"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3"/>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p>
    <w:p>
      <w:pPr>
        <w:pStyle w:val="856"/>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p>
    <w:p>
      <w:pPr>
        <w:pStyle w:val="856"/>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p>
    <w:p>
      <w:pPr>
        <w:pStyle w:val="856"/>
        <w:pBdr/>
        <w:tabs>
          <w:tab w:val="left" w:leader="none" w:pos="993"/>
        </w:tabs>
        <w:spacing w:after="120" w:before="120" w:line="288" w:lineRule="auto"/>
        <w:ind w:left="0"/>
        <w:jc w:val="both"/>
        <w:rPr>
          <w:lang w:val="pt-BR"/>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HSTD-20250925-0006/CT-VFI</w:t>
      </w:r>
      <w:r>
        <w:rPr>
          <w:color w:val="ff0000"/>
          <w:lang w:val="vi-VN"/>
        </w:rPr>
        <w:t xml:space="preserve"> </w:t>
      </w:r>
      <w:r>
        <w:rPr>
          <w:color w:val="000000" w:themeColor="text1"/>
        </w:rPr>
        <w:t xml:space="preserve">10/11/2025</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Vũ Thị Kiều Nguyệt Nga</w:t>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XII17.1802</w:t>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Đoàn Thị Xinh</w:t>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Thị Thơm</w:t>
            </w:r>
            <w:r>
              <w:rPr>
                <w:rFonts w:eastAsia="Calibri"/>
                <w:b/>
              </w:rPr>
            </w:r>
          </w:p>
          <w:p>
            <w:pPr>
              <w:pBdr/>
              <w:spacing w:line="276" w:lineRule="auto"/>
              <w:ind/>
              <w:rPr>
                <w:rFonts w:eastAsia="Calibri"/>
                <w:b/>
                <w:lang w:val="pt-BR"/>
              </w:rPr>
            </w:pP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HSTD-20250925-0006/BC-VFI</w:t>
      </w:r>
      <w:r>
        <w:rPr>
          <w:i/>
        </w:rPr>
        <w:t xml:space="preserve"> ngày</w:t>
      </w:r>
      <w:r>
        <w:rPr>
          <w:i/>
          <w:lang w:val="pt-BR"/>
        </w:rPr>
        <w:t xml:space="preserve"> </w:t>
      </w:r>
      <w:r>
        <w:rPr>
          <w:i/>
          <w:lang w:val="pt-BR"/>
        </w:rPr>
        <w:t xml:space="preserve">10/11/2025</w:t>
      </w:r>
      <w:r>
        <w:rPr>
          <w:i/>
          <w:lang w:val="pt-BR"/>
        </w:rPr>
        <w:t xml:space="preserve"> </w:t>
      </w:r>
      <w:r>
        <w:rPr>
          <w:i/>
          <w:lang w:val="pt-BR"/>
        </w:rPr>
        <w:t xml:space="preserve">của </w:t>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p>
    <w:tbl>
      <w:tblPr>
        <w:tblStyle w:val="86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p>
    <w:p>
      <w:pPr>
        <w:pBdr/>
        <w:spacing/>
        <w:ind/>
        <w:jc w:val="center"/>
        <w:rPr>
          <w:i/>
          <w:lang w:val="pt-BR"/>
        </w:rPr>
      </w:pPr>
      <w:r>
        <w:rPr>
          <w:i/>
          <w:lang w:val="pt-BR"/>
        </w:rPr>
        <w:t xml:space="preserve">(Kèm theo Báo cáo thẩm định số </w:t>
      </w:r>
      <w:r>
        <w:rPr>
          <w:i/>
        </w:rPr>
        <w:t xml:space="preserve">HSTD-20250925-0006/BC-VFI</w:t>
      </w:r>
      <w:r>
        <w:rPr>
          <w:i/>
        </w:rPr>
        <w:t xml:space="preserve"> ngày</w:t>
      </w:r>
      <w:r>
        <w:rPr>
          <w:i/>
          <w:lang w:val="pt-BR"/>
        </w:rPr>
        <w:t xml:space="preserve"> </w:t>
      </w:r>
      <w:r>
        <w:rPr>
          <w:i/>
          <w:lang w:val="pt-BR"/>
        </w:rPr>
        <w:t xml:space="preserve">10/11/2025</w:t>
      </w:r>
      <w:r>
        <w:rPr>
          <w:i/>
          <w:lang w:val="pt-BR"/>
        </w:rPr>
        <w:t xml:space="preserve"> </w:t>
      </w:r>
      <w:r>
        <w:rPr>
          <w:i/>
          <w:lang w:val="pt-BR"/>
        </w:rPr>
        <w:t xml:space="preserve">của </w:t>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p>
    <w:p>
      <w:pPr>
        <w:pBdr/>
        <w:spacing w:after="120"/>
        <w:ind/>
        <w:jc w:val="center"/>
        <w:rPr>
          <w:b/>
          <w:bCs/>
          <w:iCs/>
          <w:lang w:val="pt-BR"/>
        </w:rPr>
      </w:pPr>
      <w:r>
        <w:rPr>
          <w:b/>
          <w:bCs/>
          <w:iCs/>
          <w:lang w:val="pt-BR"/>
        </w:rPr>
        <w:t xml:space="preserve">TSSS1</w:t>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Zalo</w:t>
            </w:r>
            <w:r>
              <w:rPr>
                <w:color w:val="000000" w:themeColor="text1"/>
                <w:sz w:val="22"/>
                <w:szCs w:val="22"/>
              </w:rPr>
              <w:br/>
              <w:t xml:space="preserve">0382391291</w:t>
            </w:r>
            <w:r>
              <w:rPr>
                <w:sz w:val="22"/>
                <w:szCs w:val="22"/>
              </w:rPr>
              <w:t xml:space="preserve"> </w:t>
            </w:r>
            <w:r>
              <w:rPr>
                <w:sz w:val="22"/>
                <w:szCs w:val="22"/>
              </w:rPr>
              <w:br/>
              <w:t xml:space="preserve">(Vũ Văn Vinh</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11.500.000.000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10.925.000.000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09/2025</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cửa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(115 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Phường Đồng Mai, Quận Hà Đông, Thành phố Hà Nội, đường Đường Nhân Huệ, độ rộng đường trước mặt tài sản 15m, Thuận lợi, không ùn tắc, mặt tiền 3m, Cách chợ khoảng 500m, 20.93505614168698, 105.73306196826175</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115</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góc 2 mặt đường, phố</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Khá</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gần khu vực tâm linh, có âm, sát khí (Nhà tang lễ, nghĩa trang, nhà xác…) [50m:&lt;=150m]</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233333" cy="3175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a:blip r:embed="rId16"/>
                              <a:stretch/>
                            </pic:blipFill>
                            <pic:spPr bwMode="auto">
                              <a:xfrm>
                                <a:off x="0" y="0"/>
                                <a:ext cx="4233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333.33pt;height:250.00pt;mso-wrap-distance-left:0.00pt;mso-wrap-distance-top:0.00pt;mso-wrap-distance-right:0.00pt;mso-wrap-distance-bottom:0.00pt;z-index:1;" stroked="false">
                      <v:imagedata r:id="rId1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p>
    <w:tbl>
      <w:tblPr>
        <w:jc w:val="center"/>
        <w:tblW w:w="8488" w:type="dxa"/>
        <w:tblBorders/>
        <w:tblLook w:val="04A0" w:firstRow="1" w:lastRow="0" w:firstColumn="1" w:lastColumn="0" w:noHBand="0" w:noVBand="1"/>
      </w:tblPr>
      <w:tblGrid>
        <w:gridCol w:w="3812"/>
        <w:gridCol w:w="4676"/>
      </w:tblGrid>
      <w:tr>
        <w:trPr>
          <w:jc w:val="center"/>
          <w:trHeight w:val="283"/>
        </w:trPr>
        <w:tc>
          <w:tcPr>
            <w:tcBorders/>
            <w:tcW w:w="3812" w:type="dxa"/>
            <w:vAlign w:val="center"/>
            <w:textDirection w:val="lrTb"/>
            <w:noWrap w:val="false"/>
          </w:tcPr>
          <w:p>
            <w:pPr>
              <w:pBdr/>
              <w:spacing/>
              <w:ind/>
              <w:jc w:val="center"/>
              <w:rPr>
                <w:b/>
                <w:bCs/>
              </w:rPr>
            </w:pPr>
            <w:r>
              <w:rPr>
                <w:b/>
                <w:bCs/>
              </w:rPr>
            </w:r>
            <w:r>
              <w:rPr>
                <w:b/>
                <w:bCs/>
              </w:rPr>
            </w:r>
          </w:p>
        </w:tc>
        <w:tc>
          <w:tcPr>
            <w:tcBorders/>
            <w:tcW w:w="4676" w:type="dxa"/>
            <w:vAlign w:val="center"/>
            <w:textDirection w:val="lrTb"/>
            <w:noWrap/>
          </w:tcPr>
          <w:p>
            <w:pPr>
              <w:pBdr/>
              <w:spacing/>
              <w:ind/>
              <w:jc w:val="center"/>
              <w:rPr>
                <w:b/>
                <w:bCs/>
              </w:rPr>
            </w:pPr>
            <w:r>
              <w:rPr>
                <w:b/>
                <w:bCs/>
              </w:rPr>
              <w:t xml:space="preserve">Người thu thập thông tin</w:t>
            </w:r>
            <w:r>
              <w:rPr>
                <w:b/>
                <w:bCs/>
              </w:rPr>
            </w:r>
          </w:p>
        </w:tc>
      </w:tr>
      <w:tr>
        <w:trPr>
          <w:jc w:val="center"/>
          <w:trHeight w:val="293"/>
        </w:trPr>
        <w:tc>
          <w:tcPr>
            <w:tcBorders/>
            <w:tcW w:w="3812" w:type="dxa"/>
            <w:vAlign w:val="center"/>
            <w:textDirection w:val="lrTb"/>
            <w:noWrap w:val="false"/>
          </w:tcPr>
          <w:p>
            <w:pPr>
              <w:pBdr/>
              <w:spacing/>
              <w:ind/>
              <w:jc w:val="center"/>
              <w:rPr>
                <w:b/>
                <w:bCs/>
              </w:rPr>
            </w:pPr>
            <w:r>
              <w:rPr>
                <w:b/>
                <w:bCs/>
              </w:rPr>
            </w:r>
            <w:r>
              <w:rPr>
                <w:b/>
                <w:bCs/>
              </w:rPr>
            </w:r>
          </w:p>
        </w:tc>
        <w:tc>
          <w:tcPr>
            <w:tcBorders/>
            <w:tcW w:w="4676"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t xml:space="preserve">Đoàn Thị Xinh</w:t>
            </w:r>
            <w:r/>
          </w:p>
          <w:p>
            <w:pPr>
              <w:pBdr/>
              <w:spacing/>
              <w:ind/>
              <w:jc w:val="center"/>
              <w:rPr/>
            </w:pPr>
            <w:r/>
            <w:r/>
          </w:p>
        </w:tc>
      </w:tr>
    </w:tbl>
    <w:p>
      <w:pPr>
        <w:pBdr/>
        <w:spacing/>
        <w:ind/>
        <w:rPr/>
      </w:pPr>
      <w:r>
        <w:br w:type="page" w:clear="all"/>
      </w:r>
      <w:r/>
    </w:p>
    <w:p>
      <w:pPr>
        <w:pBdr/>
        <w:spacing w:after="200" w:line="276" w:lineRule="auto"/>
        <w:ind/>
        <w:jc w:val="center"/>
        <w:rPr>
          <w:b/>
          <w:bCs/>
          <w:iCs/>
          <w:lang w:val="pt-BR"/>
        </w:rPr>
      </w:pPr>
      <w:r>
        <w:rPr>
          <w:b/>
          <w:bCs/>
          <w:iCs/>
          <w:lang w:val="pt-BR"/>
        </w:rPr>
        <w:t xml:space="preserve">TSSS2</w:t>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Facebook</w:t>
            </w:r>
            <w:r>
              <w:rPr>
                <w:color w:val="000000" w:themeColor="text1"/>
                <w:sz w:val="22"/>
                <w:szCs w:val="22"/>
              </w:rPr>
              <w:br/>
              <w:t xml:space="preserve">0378219941</w:t>
            </w:r>
            <w:r>
              <w:rPr>
                <w:sz w:val="22"/>
                <w:szCs w:val="22"/>
              </w:rPr>
              <w:t xml:space="preserve"> </w:t>
            </w:r>
            <w:r>
              <w:rPr>
                <w:sz w:val="22"/>
                <w:szCs w:val="22"/>
              </w:rPr>
              <w:br/>
              <w:t xml:space="preserve">(Lê Văn Vinh</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12.500.000.000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11.875.000.000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09/2025</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cửa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(130 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Phường Đồng Mai, Quận Hà Đông, Thành phố Hà Nội, đường Đường Nhân Huệ, độ rộng đường trước mặt tài sản 11m, Giao thông dễ đi lại, mặt tiền 2.7m, Cách chợ khoảng 651m, 20.93505614168698, 105.73357695239261</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đá dăm</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130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2.7</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2 mặt đường, phố + 1 mặt ngõ</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Nở hậu</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gần khu vực tâm linh, có âm, sát khí (Nhà tang lễ, nghĩa trang, nhà xác…) [50m:&lt;=150m]</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Trung bình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b/>
                <w:bCs/>
                <w:sz w:val="22"/>
                <w:szCs w:val="22"/>
              </w:rPr>
            </w:r>
          </w:p>
        </w:tc>
      </w:tr>
    </w:tbl>
    <w:p>
      <w:pPr>
        <w:pBdr/>
        <w:spacing w:after="200" w:line="276" w:lineRule="auto"/>
        <w:ind/>
        <w:jc w:val="center"/>
        <w:rPr>
          <w:i/>
          <w:lang w:val="pt-BR"/>
        </w:rPr>
      </w:pP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p>
        </w:tc>
        <w:tc>
          <w:tcPr>
            <w:tcBorders/>
            <w:tcW w:w="4701"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pPr>
            <w:r>
              <w:t xml:space="preserve">Đoàn Thị Xinh</w:t>
            </w:r>
            <w:r/>
          </w:p>
        </w:tc>
      </w:tr>
      <w:tr>
        <w:trPr>
          <w:trHeight w:val="298"/>
        </w:trPr>
        <w:tc>
          <w:tcPr>
            <w:tcBorders/>
            <w:tcW w:w="4358" w:type="dxa"/>
            <w:vAlign w:val="bottom"/>
            <w:textDirection w:val="lrTb"/>
            <w:noWrap w:val="false"/>
          </w:tcPr>
          <w:p>
            <w:pPr>
              <w:pBdr/>
              <w:spacing/>
              <w:ind/>
              <w:rPr>
                <w:b/>
                <w:bCs/>
              </w:rPr>
            </w:pPr>
            <w:r>
              <w:rPr>
                <w:b/>
                <w:bCs/>
              </w:rPr>
            </w:r>
            <w:r>
              <w:rPr>
                <w:b/>
                <w:bCs/>
              </w:rPr>
            </w:r>
          </w:p>
        </w:tc>
        <w:tc>
          <w:tcPr>
            <w:tcBorders/>
            <w:tcW w:w="4701" w:type="dxa"/>
            <w:vAlign w:val="center"/>
            <w:textDirection w:val="lrTb"/>
            <w:noWrap/>
          </w:tcPr>
          <w:p>
            <w:pPr>
              <w:pBdr/>
              <w:spacing/>
              <w:ind/>
              <w:rPr>
                <w:b/>
                <w:bCs/>
              </w:rPr>
            </w:pPr>
            <w:r>
              <w:rPr>
                <w:b/>
                <w:bCs/>
              </w:rPr>
            </w:r>
            <w:r>
              <w:rPr>
                <w:b/>
                <w:bCs/>
              </w:rPr>
            </w:r>
          </w:p>
        </w:tc>
      </w:tr>
    </w:tbl>
    <w:p>
      <w:pPr>
        <w:pBdr/>
        <w:spacing w:after="200" w:line="276" w:lineRule="auto"/>
        <w:ind/>
        <w:rPr>
          <w:iCs/>
          <w:lang w:val="pt-BR"/>
        </w:rPr>
      </w:pPr>
      <w:r>
        <w:rPr>
          <w:iCs/>
          <w:lang w:val="pt-BR"/>
        </w:rPr>
      </w:r>
      <w:r>
        <w:rPr>
          <w:iCs/>
          <w:lang w:val="pt-BR"/>
        </w:rPr>
      </w:r>
    </w:p>
    <w:p>
      <w:pPr>
        <w:pBdr/>
        <w:spacing w:after="200" w:line="276" w:lineRule="auto"/>
        <w:ind/>
        <w:rPr>
          <w:iCs/>
          <w:lang w:val="pt-BR"/>
        </w:rPr>
      </w:pPr>
      <w:r>
        <w:rPr>
          <w:iCs/>
          <w:lang w:val="pt-BR"/>
        </w:rPr>
        <w:br w:type="page" w:clear="all"/>
      </w:r>
      <w:r>
        <w:rPr>
          <w:iCs/>
          <w:lang w:val="pt-BR"/>
        </w:rPr>
      </w:r>
    </w:p>
    <w:p>
      <w:pPr>
        <w:pBdr/>
        <w:spacing w:after="200" w:line="276" w:lineRule="auto"/>
        <w:ind/>
        <w:jc w:val="center"/>
        <w:rPr>
          <w:b/>
          <w:bCs/>
          <w:iCs/>
          <w:lang w:val="pt-BR"/>
        </w:rPr>
      </w:pPr>
      <w:r>
        <w:rPr>
          <w:b/>
          <w:bCs/>
          <w:iCs/>
          <w:lang w:val="pt-BR"/>
        </w:rPr>
        <w:t xml:space="preserve">TSSS 3</w:t>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Facebook</w:t>
            </w:r>
            <w:r>
              <w:rPr>
                <w:color w:val="000000" w:themeColor="text1"/>
                <w:sz w:val="22"/>
                <w:szCs w:val="22"/>
              </w:rPr>
              <w:br/>
            </w:r>
            <w:r>
              <w:rPr>
                <w:sz w:val="22"/>
                <w:szCs w:val="22"/>
              </w:rPr>
              <w:t xml:space="preserve">SĐT: </w:t>
            </w:r>
            <w:r>
              <w:rPr>
                <w:color w:val="000000" w:themeColor="text1"/>
                <w:sz w:val="22"/>
                <w:szCs w:val="22"/>
              </w:rPr>
              <w:t xml:space="preserve">0378219941</w:t>
            </w:r>
            <w:r>
              <w:rPr>
                <w:sz w:val="22"/>
                <w:szCs w:val="22"/>
              </w:rPr>
              <w:t xml:space="preserve"> </w:t>
            </w:r>
            <w:r>
              <w:rPr>
                <w:sz w:val="22"/>
                <w:szCs w:val="22"/>
              </w:rPr>
              <w:br/>
              <w:t xml:space="preserve">(Nguyễn Mai Anh</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11.000.000.000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10.450.000.000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09/2025</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cửa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(105 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Phường Đồng Mai, Quận Hà Đông, Thành phố Hà Nội, đường Đường Nhân Huệ, độ rộng đường trước mặt tài sản 10m, Giao thông đôi lúc ùn tắc, mặt tiền 2.9m, Cách tường C3 khoảng 350m, 20.934735482687405, 105.73512190478519</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105</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2.9</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2 mặt đường, phố + 1 mặt ngõ</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Nở hậu</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Khá</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gần khu vực tâm linh, có âm, sát khí (Nhà tang lễ, nghĩa trang, nhà xác…) [300m:&lt;=500m]</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Khá</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color w:val="000000"/>
                <w:sz w:val="22"/>
                <w:szCs w:val="22"/>
              </w:rPr>
              <w:t xml:space="preserve">Hình ảnh đăng bán:</w:t>
            </w:r>
            <w:r>
              <w:rPr>
                <w:b/>
                <w:bCs/>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t xml:space="preserve">Đoàn Thị Xinh</w:t>
            </w:r>
            <w:r/>
          </w:p>
        </w:tc>
      </w:tr>
      <w:tr>
        <w:trPr>
          <w:trHeight w:val="312"/>
        </w:trPr>
        <w:tc>
          <w:tcPr>
            <w:tcBorders/>
            <w:tcW w:w="4427" w:type="dxa"/>
            <w:vAlign w:val="bottom"/>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b/>
                <w:bCs/>
              </w:rPr>
            </w:pPr>
            <w:r>
              <w:rPr>
                <w:b/>
                <w:bCs/>
              </w:rPr>
            </w:r>
            <w:r>
              <w:rPr>
                <w:b/>
                <w:bCs/>
              </w:rPr>
            </w:r>
          </w:p>
        </w:tc>
      </w:tr>
    </w:tbl>
    <w:p>
      <w:pPr>
        <w:pBdr/>
        <w:spacing w:after="200" w:line="276" w:lineRule="auto"/>
        <w:ind/>
        <w:rPr>
          <w:iCs/>
          <w:lang w:val="pt-BR"/>
        </w:rPr>
      </w:pP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p>
  <w:p>
    <w:pPr>
      <w:pStyle w:val="852"/>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0"/>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840"/>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840"/>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840"/>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840"/>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840"/>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840"/>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840"/>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840"/>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840"/>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a38" w:themeColor="accent2" w:themeTint="97" w:themeShade="95"/>
      </w:rPr>
      <w:pPr>
        <w:pBdr/>
        <w:spacing/>
        <w:ind/>
      </w:pPr>
      <w:tblPr>
        <w:tblBorders/>
      </w:tblPr>
      <w:tcPr>
        <w:tcBorders/>
      </w:tcPr>
    </w:tblStylePr>
    <w:tblStylePr w:type="firstRow">
      <w:rPr>
        <w:b/>
        <w:color w:val="9f3a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a38" w:themeColor="accent2" w:themeTint="97" w:themeShade="95"/>
      </w:rPr>
      <w:pPr>
        <w:pBdr/>
        <w:spacing/>
        <w:ind/>
      </w:pPr>
      <w:tblPr>
        <w:tblBorders/>
      </w:tblPr>
      <w:tcPr>
        <w:tcBorders/>
      </w:tcPr>
    </w:tblStylePr>
    <w:tblStylePr w:type="lastRow">
      <w:rPr>
        <w:b/>
        <w:color w:val="9f3a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840"/>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c732f" w:themeColor="accent3" w:themeTint="FE" w:themeShade="95"/>
      </w:rPr>
      <w:pPr>
        <w:pBdr/>
        <w:spacing/>
        <w:ind/>
      </w:pPr>
      <w:tblPr>
        <w:tblBorders/>
      </w:tblPr>
      <w:tcPr>
        <w:tcBorders/>
      </w:tcPr>
    </w:tblStylePr>
    <w:tblStylePr w:type="firstRow">
      <w:rPr>
        <w:b/>
        <w:color w:val="5c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c732f" w:themeColor="accent3" w:themeTint="FE" w:themeShade="95"/>
      </w:rPr>
      <w:pPr>
        <w:pBdr/>
        <w:spacing/>
        <w:ind/>
      </w:pPr>
      <w:tblPr>
        <w:tblBorders/>
      </w:tblPr>
      <w:tcPr>
        <w:tcBorders/>
      </w:tcPr>
    </w:tblStylePr>
    <w:tblStylePr w:type="lastRow">
      <w:rPr>
        <w:b/>
        <w:color w:val="5c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4" w:themeColor="accent4" w:themeTint="9A" w:themeShade="95"/>
      </w:rPr>
      <w:pPr>
        <w:pBdr/>
        <w:spacing/>
        <w:ind/>
      </w:pPr>
      <w:tblPr>
        <w:tblBorders/>
      </w:tblPr>
      <w:tcPr>
        <w:tcBorders/>
      </w:tcPr>
    </w:tblStylePr>
    <w:tblStylePr w:type="firstRow">
      <w:rPr>
        <w:b/>
        <w:color w:val="66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64f84" w:themeColor="accent4" w:themeTint="9A" w:themeShade="95"/>
      </w:rPr>
      <w:pPr>
        <w:pBdr/>
        <w:spacing/>
        <w:ind/>
      </w:pPr>
      <w:tblPr>
        <w:tblBorders/>
      </w:tblPr>
      <w:tcPr>
        <w:tcBorders/>
      </w:tcPr>
    </w:tblStylePr>
    <w:tblStylePr w:type="lastRow">
      <w:rPr>
        <w:b/>
        <w:color w:val="66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840"/>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840"/>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840"/>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840"/>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6da5"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a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a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a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f3a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a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f3a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c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c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c73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c73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c73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c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6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6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6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6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840"/>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879"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840"/>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25408"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840"/>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840"/>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840"/>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840"/>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840"/>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840"/>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840"/>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840"/>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840"/>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840"/>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840"/>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840"/>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840"/>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840"/>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840"/>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840"/>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840"/>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840"/>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840"/>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840"/>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840"/>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840"/>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840"/>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840"/>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840"/>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a38" w:themeColor="accent2" w:themeTint="97" w:themeShade="95"/>
      </w:rPr>
      <w:pPr>
        <w:pBdr/>
        <w:spacing/>
        <w:ind/>
      </w:pPr>
      <w:tblPr>
        <w:tblBorders/>
      </w:tblPr>
      <w:tcPr>
        <w:tcBorders/>
      </w:tcPr>
    </w:tblStylePr>
    <w:tblStylePr w:type="firstRow">
      <w:rPr>
        <w:b/>
        <w:color w:val="9f3a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a38" w:themeColor="accent2" w:themeTint="97" w:themeShade="95"/>
      </w:rPr>
      <w:pPr>
        <w:pBdr/>
        <w:spacing/>
        <w:ind/>
      </w:pPr>
      <w:tblPr>
        <w:tblBorders/>
      </w:tblPr>
      <w:tcPr>
        <w:tcBorders/>
      </w:tcPr>
    </w:tblStylePr>
    <w:tblStylePr w:type="lastRow">
      <w:rPr>
        <w:b/>
        <w:color w:val="9f3a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840"/>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93f" w:themeColor="accent3" w:themeTint="98" w:themeShade="95"/>
      </w:rPr>
      <w:pPr>
        <w:pBdr/>
        <w:spacing/>
        <w:ind/>
      </w:pPr>
      <w:tblPr>
        <w:tblBorders/>
      </w:tblPr>
      <w:tcPr>
        <w:tcBorders/>
      </w:tcPr>
    </w:tblStylePr>
    <w:tblStylePr w:type="firstRow">
      <w:rPr>
        <w:b/>
        <w:color w:val="7c99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93f" w:themeColor="accent3" w:themeTint="98" w:themeShade="95"/>
      </w:rPr>
      <w:pPr>
        <w:pBdr/>
        <w:spacing/>
        <w:ind/>
      </w:pPr>
      <w:tblPr>
        <w:tblBorders/>
      </w:tblPr>
      <w:tcPr>
        <w:tcBorders/>
      </w:tcPr>
    </w:tblStylePr>
    <w:tblStylePr w:type="lastRow">
      <w:rPr>
        <w:b/>
        <w:color w:val="7c99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4" w:themeColor="accent4" w:themeTint="9A" w:themeShade="95"/>
      </w:rPr>
      <w:pPr>
        <w:pBdr/>
        <w:spacing/>
        <w:ind/>
      </w:pPr>
      <w:tblPr>
        <w:tblBorders/>
      </w:tblPr>
      <w:tcPr>
        <w:tcBorders/>
      </w:tcPr>
    </w:tblStylePr>
    <w:tblStylePr w:type="firstRow">
      <w:rPr>
        <w:b/>
        <w:color w:val="66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64f84" w:themeColor="accent4" w:themeTint="9A" w:themeShade="95"/>
      </w:rPr>
      <w:pPr>
        <w:pBdr/>
        <w:spacing/>
        <w:ind/>
      </w:pPr>
      <w:tblPr>
        <w:tblBorders/>
      </w:tblPr>
      <w:tcPr>
        <w:tcBorders/>
      </w:tcPr>
    </w:tblStylePr>
    <w:tblStylePr w:type="lastRow">
      <w:rPr>
        <w:b/>
        <w:color w:val="66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840"/>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8ba3" w:themeColor="accent5" w:themeTint="9A" w:themeShade="95"/>
      </w:rPr>
      <w:pPr>
        <w:pBdr/>
        <w:spacing/>
        <w:ind/>
      </w:pPr>
      <w:tblPr>
        <w:tblBorders/>
      </w:tblPr>
      <w:tcPr>
        <w:tcBorders/>
      </w:tcPr>
    </w:tblStylePr>
    <w:tblStylePr w:type="firstRow">
      <w:rPr>
        <w:b/>
        <w:color w:val="33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38ba3" w:themeColor="accent5" w:themeTint="9A" w:themeShade="95"/>
      </w:rPr>
      <w:pPr>
        <w:pBdr/>
        <w:spacing/>
        <w:ind/>
      </w:pPr>
      <w:tblPr>
        <w:tblBorders/>
      </w:tblPr>
      <w:tcPr>
        <w:tcBorders/>
      </w:tcPr>
    </w:tblStylePr>
    <w:tblStylePr w:type="lastRow">
      <w:rPr>
        <w:b/>
        <w:color w:val="33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840"/>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80a" w:themeColor="accent6" w:themeTint="98" w:themeShade="95"/>
      </w:rPr>
      <w:pPr>
        <w:pBdr/>
        <w:spacing/>
        <w:ind/>
      </w:pPr>
      <w:tblPr>
        <w:tblBorders/>
      </w:tblPr>
      <w:tcPr>
        <w:tcBorders/>
      </w:tcPr>
    </w:tblStylePr>
    <w:tblStylePr w:type="firstRow">
      <w:rPr>
        <w:b/>
        <w:color w:val="dd68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80a" w:themeColor="accent6" w:themeTint="98" w:themeShade="95"/>
      </w:rPr>
      <w:pPr>
        <w:pBdr/>
        <w:spacing/>
        <w:ind/>
      </w:pPr>
      <w:tblPr>
        <w:tblBorders/>
      </w:tblPr>
      <w:tcPr>
        <w:tcBorders/>
      </w:tcPr>
    </w:tblStylePr>
    <w:tblStylePr w:type="lastRow">
      <w:rPr>
        <w:b/>
        <w:color w:val="dd68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840"/>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840"/>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b4b72"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112">
    <w:name w:val="List Table 7 Colorful - Accent 2"/>
    <w:basedOn w:val="840"/>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a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a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a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f3a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a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f3a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a38" w:themeColor="accent2" w:themeTint="97" w:themeShade="95"/>
        <w:sz w:val="22"/>
      </w:rPr>
      <w:pPr>
        <w:pBdr/>
        <w:spacing/>
        <w:ind/>
      </w:pPr>
      <w:tblPr>
        <w:tblBorders/>
      </w:tblPr>
      <w:tcPr>
        <w:tcBorders/>
      </w:tcPr>
    </w:tblStylePr>
  </w:style>
  <w:style w:type="table" w:styleId="113">
    <w:name w:val="List Table 7 Colorful - Accent 3"/>
    <w:basedOn w:val="840"/>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9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9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9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9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9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9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93f" w:themeColor="accent3" w:themeTint="98" w:themeShade="95"/>
        <w:sz w:val="22"/>
      </w:rPr>
      <w:pPr>
        <w:pBdr/>
        <w:spacing/>
        <w:ind/>
      </w:pPr>
      <w:tblPr>
        <w:tblBorders/>
      </w:tblPr>
      <w:tcPr>
        <w:tcBorders/>
      </w:tcPr>
    </w:tblStylePr>
  </w:style>
  <w:style w:type="table" w:styleId="114">
    <w:name w:val="List Table 7 Colorful - Accent 4"/>
    <w:basedOn w:val="840"/>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6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6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6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6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64f84" w:themeColor="accent4" w:themeTint="9A" w:themeShade="95"/>
        <w:sz w:val="22"/>
      </w:rPr>
      <w:pPr>
        <w:pBdr/>
        <w:spacing/>
        <w:ind/>
      </w:pPr>
      <w:tblPr>
        <w:tblBorders/>
      </w:tblPr>
      <w:tcPr>
        <w:tcBorders/>
      </w:tcPr>
    </w:tblStylePr>
  </w:style>
  <w:style w:type="table" w:styleId="115">
    <w:name w:val="List Table 7 Colorful - Accent 5"/>
    <w:basedOn w:val="840"/>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3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8ba3"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38ba3"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8ba3"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3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8ba3" w:themeColor="accent5" w:themeTint="9A" w:themeShade="95"/>
        <w:sz w:val="22"/>
      </w:rPr>
      <w:pPr>
        <w:pBdr/>
        <w:spacing/>
        <w:ind/>
      </w:pPr>
      <w:tblPr>
        <w:tblBorders/>
      </w:tblPr>
      <w:tcPr>
        <w:tcBorders/>
      </w:tcPr>
    </w:tblStylePr>
  </w:style>
  <w:style w:type="table" w:styleId="116">
    <w:name w:val="List Table 7 Colorful - Accent 6"/>
    <w:basedOn w:val="840"/>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8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8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80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d680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d680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d68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80a" w:themeColor="accent6" w:themeTint="98" w:themeShade="95"/>
        <w:sz w:val="22"/>
      </w:rPr>
      <w:pPr>
        <w:pBdr/>
        <w:spacing/>
        <w:ind/>
      </w:pPr>
      <w:tblPr>
        <w:tblBorders/>
      </w:tblPr>
      <w:tcPr>
        <w:tcBorders/>
      </w:tcPr>
    </w:tblStylePr>
  </w:style>
  <w:style w:type="table" w:styleId="117">
    <w:name w:val="Lined - Accent"/>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840"/>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840"/>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840"/>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840"/>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840"/>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840"/>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840"/>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840"/>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43">
    <w:name w:val="Heading 5"/>
    <w:basedOn w:val="834"/>
    <w:next w:val="834"/>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834"/>
    <w:next w:val="834"/>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834"/>
    <w:next w:val="834"/>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834"/>
    <w:next w:val="834"/>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834"/>
    <w:next w:val="834"/>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4">
    <w:name w:val="Heading 5 Char"/>
    <w:basedOn w:val="839"/>
    <w:link w:val="143"/>
    <w:uiPriority w:val="9"/>
    <w:pPr>
      <w:pBdr/>
      <w:spacing/>
      <w:ind/>
    </w:pPr>
    <w:rPr>
      <w:rFonts w:ascii="Arial" w:hAnsi="Arial" w:eastAsia="Arial" w:cs="Arial"/>
      <w:color w:val="0f4761" w:themeColor="accent1" w:themeShade="BF"/>
    </w:rPr>
  </w:style>
  <w:style w:type="character" w:styleId="155">
    <w:name w:val="Heading 6 Char"/>
    <w:basedOn w:val="839"/>
    <w:link w:val="144"/>
    <w:uiPriority w:val="9"/>
    <w:pPr>
      <w:pBdr/>
      <w:spacing/>
      <w:ind/>
    </w:pPr>
    <w:rPr>
      <w:rFonts w:ascii="Arial" w:hAnsi="Arial" w:eastAsia="Arial" w:cs="Arial"/>
      <w:i/>
      <w:iCs/>
      <w:color w:val="595959" w:themeColor="text1" w:themeTint="A6"/>
    </w:rPr>
  </w:style>
  <w:style w:type="character" w:styleId="156">
    <w:name w:val="Heading 7 Char"/>
    <w:basedOn w:val="839"/>
    <w:link w:val="145"/>
    <w:uiPriority w:val="9"/>
    <w:pPr>
      <w:pBdr/>
      <w:spacing/>
      <w:ind/>
    </w:pPr>
    <w:rPr>
      <w:rFonts w:ascii="Arial" w:hAnsi="Arial" w:eastAsia="Arial" w:cs="Arial"/>
      <w:color w:val="595959" w:themeColor="text1" w:themeTint="A6"/>
    </w:rPr>
  </w:style>
  <w:style w:type="character" w:styleId="157">
    <w:name w:val="Heading 8 Char"/>
    <w:basedOn w:val="839"/>
    <w:link w:val="146"/>
    <w:uiPriority w:val="9"/>
    <w:pPr>
      <w:pBdr/>
      <w:spacing/>
      <w:ind/>
    </w:pPr>
    <w:rPr>
      <w:rFonts w:ascii="Arial" w:hAnsi="Arial" w:eastAsia="Arial" w:cs="Arial"/>
      <w:i/>
      <w:iCs/>
      <w:color w:val="272727" w:themeColor="text1" w:themeTint="D8"/>
    </w:rPr>
  </w:style>
  <w:style w:type="character" w:styleId="158">
    <w:name w:val="Heading 9 Char"/>
    <w:basedOn w:val="839"/>
    <w:link w:val="147"/>
    <w:uiPriority w:val="9"/>
    <w:pPr>
      <w:pBdr/>
      <w:spacing/>
      <w:ind/>
    </w:pPr>
    <w:rPr>
      <w:rFonts w:ascii="Arial" w:hAnsi="Arial" w:eastAsia="Arial" w:cs="Arial"/>
      <w:i/>
      <w:iCs/>
      <w:color w:val="272727" w:themeColor="text1" w:themeTint="D8"/>
    </w:rPr>
  </w:style>
  <w:style w:type="paragraph" w:styleId="161">
    <w:name w:val="Subtitle"/>
    <w:basedOn w:val="834"/>
    <w:next w:val="834"/>
    <w:link w:val="162"/>
    <w:uiPriority w:val="11"/>
    <w:qFormat/>
    <w:pPr>
      <w:numPr>
        <w:ilvl w:val="1"/>
      </w:numPr>
      <w:pBdr/>
      <w:spacing/>
      <w:ind/>
    </w:pPr>
    <w:rPr>
      <w:color w:val="595959" w:themeColor="text1" w:themeTint="A6"/>
      <w:spacing w:val="15"/>
      <w:sz w:val="28"/>
      <w:szCs w:val="28"/>
    </w:rPr>
  </w:style>
  <w:style w:type="character" w:styleId="162">
    <w:name w:val="Subtitle Char"/>
    <w:basedOn w:val="839"/>
    <w:link w:val="161"/>
    <w:uiPriority w:val="11"/>
    <w:pPr>
      <w:pBdr/>
      <w:spacing/>
      <w:ind/>
    </w:pPr>
    <w:rPr>
      <w:color w:val="595959" w:themeColor="text1" w:themeTint="A6"/>
      <w:spacing w:val="15"/>
      <w:sz w:val="28"/>
      <w:szCs w:val="28"/>
    </w:rPr>
  </w:style>
  <w:style w:type="paragraph" w:styleId="163">
    <w:name w:val="Quote"/>
    <w:basedOn w:val="834"/>
    <w:next w:val="834"/>
    <w:link w:val="164"/>
    <w:uiPriority w:val="29"/>
    <w:qFormat/>
    <w:pPr>
      <w:pBdr/>
      <w:spacing w:before="160"/>
      <w:ind/>
      <w:jc w:val="center"/>
    </w:pPr>
    <w:rPr>
      <w:i/>
      <w:iCs/>
      <w:color w:val="404040" w:themeColor="text1" w:themeTint="BF"/>
    </w:rPr>
  </w:style>
  <w:style w:type="character" w:styleId="164">
    <w:name w:val="Quote Char"/>
    <w:basedOn w:val="839"/>
    <w:link w:val="163"/>
    <w:uiPriority w:val="29"/>
    <w:pPr>
      <w:pBdr/>
      <w:spacing/>
      <w:ind/>
    </w:pPr>
    <w:rPr>
      <w:i/>
      <w:iCs/>
      <w:color w:val="404040" w:themeColor="text1" w:themeTint="BF"/>
    </w:rPr>
  </w:style>
  <w:style w:type="character" w:styleId="166">
    <w:name w:val="Intense Emphasis"/>
    <w:basedOn w:val="839"/>
    <w:uiPriority w:val="21"/>
    <w:qFormat/>
    <w:pPr>
      <w:pBdr/>
      <w:spacing/>
      <w:ind/>
    </w:pPr>
    <w:rPr>
      <w:i/>
      <w:iCs/>
      <w:color w:val="0f4761" w:themeColor="accent1" w:themeShade="BF"/>
    </w:rPr>
  </w:style>
  <w:style w:type="paragraph" w:styleId="167">
    <w:name w:val="Intense Quote"/>
    <w:basedOn w:val="834"/>
    <w:next w:val="834"/>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839"/>
    <w:link w:val="167"/>
    <w:uiPriority w:val="30"/>
    <w:pPr>
      <w:pBdr/>
      <w:spacing/>
      <w:ind/>
    </w:pPr>
    <w:rPr>
      <w:i/>
      <w:iCs/>
      <w:color w:val="0f4761" w:themeColor="accent1" w:themeShade="BF"/>
    </w:rPr>
  </w:style>
  <w:style w:type="character" w:styleId="169">
    <w:name w:val="Intense Reference"/>
    <w:basedOn w:val="839"/>
    <w:uiPriority w:val="32"/>
    <w:qFormat/>
    <w:pPr>
      <w:pBdr/>
      <w:spacing/>
      <w:ind/>
    </w:pPr>
    <w:rPr>
      <w:b/>
      <w:bCs/>
      <w:smallCaps/>
      <w:color w:val="0f4761" w:themeColor="accent1" w:themeShade="BF"/>
      <w:spacing w:val="5"/>
    </w:rPr>
  </w:style>
  <w:style w:type="paragraph" w:styleId="170">
    <w:name w:val="No Spacing"/>
    <w:basedOn w:val="834"/>
    <w:uiPriority w:val="1"/>
    <w:qFormat/>
    <w:pPr>
      <w:pBdr/>
      <w:spacing w:after="0" w:line="240" w:lineRule="auto"/>
      <w:ind/>
    </w:pPr>
  </w:style>
  <w:style w:type="character" w:styleId="171">
    <w:name w:val="Subtle Emphasis"/>
    <w:basedOn w:val="839"/>
    <w:uiPriority w:val="19"/>
    <w:qFormat/>
    <w:pPr>
      <w:pBdr/>
      <w:spacing/>
      <w:ind/>
    </w:pPr>
    <w:rPr>
      <w:i/>
      <w:iCs/>
      <w:color w:val="404040" w:themeColor="text1" w:themeTint="BF"/>
    </w:rPr>
  </w:style>
  <w:style w:type="character" w:styleId="174">
    <w:name w:val="Subtle Reference"/>
    <w:basedOn w:val="839"/>
    <w:uiPriority w:val="31"/>
    <w:qFormat/>
    <w:pPr>
      <w:pBdr/>
      <w:spacing/>
      <w:ind/>
    </w:pPr>
    <w:rPr>
      <w:smallCaps/>
      <w:color w:val="5a5a5a" w:themeColor="text1" w:themeTint="A5"/>
    </w:rPr>
  </w:style>
  <w:style w:type="character" w:styleId="175">
    <w:name w:val="Book Title"/>
    <w:basedOn w:val="839"/>
    <w:uiPriority w:val="33"/>
    <w:qFormat/>
    <w:pPr>
      <w:pBdr/>
      <w:spacing/>
      <w:ind/>
    </w:pPr>
    <w:rPr>
      <w:b/>
      <w:bCs/>
      <w:i/>
      <w:iCs/>
      <w:spacing w:val="5"/>
    </w:rPr>
  </w:style>
  <w:style w:type="paragraph" w:styleId="180">
    <w:name w:val="Caption"/>
    <w:basedOn w:val="834"/>
    <w:next w:val="834"/>
    <w:uiPriority w:val="35"/>
    <w:unhideWhenUsed/>
    <w:qFormat/>
    <w:pPr>
      <w:pBdr/>
      <w:spacing w:after="200" w:line="240" w:lineRule="auto"/>
      <w:ind/>
    </w:pPr>
    <w:rPr>
      <w:i/>
      <w:iCs/>
      <w:color w:val="0e2841" w:themeColor="text2"/>
      <w:sz w:val="18"/>
      <w:szCs w:val="18"/>
    </w:rPr>
  </w:style>
  <w:style w:type="paragraph" w:styleId="181">
    <w:name w:val="footnote text"/>
    <w:basedOn w:val="834"/>
    <w:link w:val="182"/>
    <w:uiPriority w:val="99"/>
    <w:semiHidden/>
    <w:unhideWhenUsed/>
    <w:pPr>
      <w:pBdr/>
      <w:spacing w:after="0" w:line="240" w:lineRule="auto"/>
      <w:ind/>
    </w:pPr>
    <w:rPr>
      <w:sz w:val="20"/>
      <w:szCs w:val="20"/>
    </w:rPr>
  </w:style>
  <w:style w:type="character" w:styleId="182">
    <w:name w:val="Footnote Text Char"/>
    <w:basedOn w:val="839"/>
    <w:link w:val="181"/>
    <w:uiPriority w:val="99"/>
    <w:semiHidden/>
    <w:pPr>
      <w:pBdr/>
      <w:spacing/>
      <w:ind/>
    </w:pPr>
    <w:rPr>
      <w:sz w:val="20"/>
      <w:szCs w:val="20"/>
    </w:rPr>
  </w:style>
  <w:style w:type="character" w:styleId="183">
    <w:name w:val="footnote reference"/>
    <w:basedOn w:val="839"/>
    <w:uiPriority w:val="99"/>
    <w:semiHidden/>
    <w:unhideWhenUsed/>
    <w:pPr>
      <w:pBdr/>
      <w:spacing/>
      <w:ind/>
    </w:pPr>
    <w:rPr>
      <w:vertAlign w:val="superscript"/>
    </w:rPr>
  </w:style>
  <w:style w:type="paragraph" w:styleId="184">
    <w:name w:val="endnote text"/>
    <w:basedOn w:val="834"/>
    <w:link w:val="185"/>
    <w:uiPriority w:val="99"/>
    <w:semiHidden/>
    <w:unhideWhenUsed/>
    <w:pPr>
      <w:pBdr/>
      <w:spacing w:after="0" w:line="240" w:lineRule="auto"/>
      <w:ind/>
    </w:pPr>
    <w:rPr>
      <w:sz w:val="20"/>
      <w:szCs w:val="20"/>
    </w:rPr>
  </w:style>
  <w:style w:type="character" w:styleId="185">
    <w:name w:val="Endnote Text Char"/>
    <w:basedOn w:val="839"/>
    <w:link w:val="184"/>
    <w:uiPriority w:val="99"/>
    <w:semiHidden/>
    <w:pPr>
      <w:pBdr/>
      <w:spacing/>
      <w:ind/>
    </w:pPr>
    <w:rPr>
      <w:sz w:val="20"/>
      <w:szCs w:val="20"/>
    </w:rPr>
  </w:style>
  <w:style w:type="character" w:styleId="186">
    <w:name w:val="endnote reference"/>
    <w:basedOn w:val="839"/>
    <w:uiPriority w:val="99"/>
    <w:semiHidden/>
    <w:unhideWhenUsed/>
    <w:pPr>
      <w:pBdr/>
      <w:spacing/>
      <w:ind/>
    </w:pPr>
    <w:rPr>
      <w:vertAlign w:val="superscript"/>
    </w:rPr>
  </w:style>
  <w:style w:type="paragraph" w:styleId="189">
    <w:name w:val="toc 1"/>
    <w:basedOn w:val="834"/>
    <w:next w:val="834"/>
    <w:uiPriority w:val="39"/>
    <w:unhideWhenUsed/>
    <w:pPr>
      <w:pBdr/>
      <w:spacing w:after="100"/>
      <w:ind/>
    </w:pPr>
  </w:style>
  <w:style w:type="paragraph" w:styleId="190">
    <w:name w:val="toc 2"/>
    <w:basedOn w:val="834"/>
    <w:next w:val="834"/>
    <w:uiPriority w:val="39"/>
    <w:unhideWhenUsed/>
    <w:pPr>
      <w:pBdr/>
      <w:spacing w:after="100"/>
      <w:ind w:left="220"/>
    </w:pPr>
  </w:style>
  <w:style w:type="paragraph" w:styleId="191">
    <w:name w:val="toc 3"/>
    <w:basedOn w:val="834"/>
    <w:next w:val="834"/>
    <w:uiPriority w:val="39"/>
    <w:unhideWhenUsed/>
    <w:pPr>
      <w:pBdr/>
      <w:spacing w:after="100"/>
      <w:ind w:left="440"/>
    </w:pPr>
  </w:style>
  <w:style w:type="paragraph" w:styleId="192">
    <w:name w:val="toc 4"/>
    <w:basedOn w:val="834"/>
    <w:next w:val="834"/>
    <w:uiPriority w:val="39"/>
    <w:unhideWhenUsed/>
    <w:pPr>
      <w:pBdr/>
      <w:spacing w:after="100"/>
      <w:ind w:left="660"/>
    </w:pPr>
  </w:style>
  <w:style w:type="paragraph" w:styleId="193">
    <w:name w:val="toc 5"/>
    <w:basedOn w:val="834"/>
    <w:next w:val="834"/>
    <w:uiPriority w:val="39"/>
    <w:unhideWhenUsed/>
    <w:pPr>
      <w:pBdr/>
      <w:spacing w:after="100"/>
      <w:ind w:left="880"/>
    </w:pPr>
  </w:style>
  <w:style w:type="paragraph" w:styleId="194">
    <w:name w:val="toc 6"/>
    <w:basedOn w:val="834"/>
    <w:next w:val="834"/>
    <w:uiPriority w:val="39"/>
    <w:unhideWhenUsed/>
    <w:pPr>
      <w:pBdr/>
      <w:spacing w:after="100"/>
      <w:ind w:left="1100"/>
    </w:pPr>
  </w:style>
  <w:style w:type="paragraph" w:styleId="195">
    <w:name w:val="toc 7"/>
    <w:basedOn w:val="834"/>
    <w:next w:val="834"/>
    <w:uiPriority w:val="39"/>
    <w:unhideWhenUsed/>
    <w:pPr>
      <w:pBdr/>
      <w:spacing w:after="100"/>
      <w:ind w:left="1320"/>
    </w:pPr>
  </w:style>
  <w:style w:type="paragraph" w:styleId="196">
    <w:name w:val="toc 8"/>
    <w:basedOn w:val="834"/>
    <w:next w:val="834"/>
    <w:uiPriority w:val="39"/>
    <w:unhideWhenUsed/>
    <w:pPr>
      <w:pBdr/>
      <w:spacing w:after="100"/>
      <w:ind w:left="1540"/>
    </w:pPr>
  </w:style>
  <w:style w:type="paragraph" w:styleId="197">
    <w:name w:val="toc 9"/>
    <w:basedOn w:val="834"/>
    <w:next w:val="834"/>
    <w:uiPriority w:val="39"/>
    <w:unhideWhenUsed/>
    <w:pPr>
      <w:pBdr/>
      <w:spacing w:after="100"/>
      <w:ind w:left="1760"/>
    </w:pPr>
  </w:style>
  <w:style w:type="character" w:styleId="198">
    <w:name w:val="Placeholder Text"/>
    <w:basedOn w:val="839"/>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834"/>
    <w:next w:val="834"/>
    <w:uiPriority w:val="99"/>
    <w:unhideWhenUsed/>
    <w:pPr>
      <w:pBdr/>
      <w:spacing w:after="0" w:afterAutospacing="0"/>
      <w:ind/>
    </w:pPr>
  </w:style>
  <w:style w:type="paragraph" w:styleId="834" w:default="1">
    <w:name w:val="Normal"/>
    <w:qFormat/>
    <w:pPr>
      <w:pBdr/>
      <w:spacing w:after="0" w:line="240" w:lineRule="auto"/>
      <w:ind/>
    </w:pPr>
    <w:rPr>
      <w:rFonts w:ascii="Times New Roman" w:hAnsi="Times New Roman" w:eastAsia="Times New Roman" w:cs="Times New Roman"/>
      <w:sz w:val="24"/>
      <w:szCs w:val="24"/>
    </w:rPr>
  </w:style>
  <w:style w:type="paragraph" w:styleId="835">
    <w:name w:val="Heading 1"/>
    <w:basedOn w:val="834"/>
    <w:next w:val="834"/>
    <w:link w:val="842"/>
    <w:qFormat/>
    <w:pPr>
      <w:keepNext w:val="true"/>
      <w:pBdr/>
      <w:spacing w:after="120" w:before="120"/>
      <w:ind/>
      <w:jc w:val="center"/>
      <w:outlineLvl w:val="0"/>
    </w:pPr>
    <w:rPr>
      <w:b/>
      <w:bCs/>
      <w:sz w:val="27"/>
      <w:szCs w:val="27"/>
    </w:rPr>
  </w:style>
  <w:style w:type="paragraph" w:styleId="836">
    <w:name w:val="Heading 2"/>
    <w:basedOn w:val="834"/>
    <w:next w:val="834"/>
    <w:link w:val="843"/>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837">
    <w:name w:val="Heading 3"/>
    <w:basedOn w:val="834"/>
    <w:next w:val="834"/>
    <w:link w:val="844"/>
    <w:qFormat/>
    <w:pPr>
      <w:keepNext w:val="true"/>
      <w:pBdr/>
      <w:spacing w:before="60"/>
      <w:ind/>
      <w:outlineLvl w:val="2"/>
    </w:pPr>
    <w:rPr>
      <w:sz w:val="28"/>
      <w:szCs w:val="28"/>
    </w:rPr>
  </w:style>
  <w:style w:type="paragraph" w:styleId="838">
    <w:name w:val="Heading 4"/>
    <w:basedOn w:val="834"/>
    <w:next w:val="834"/>
    <w:link w:val="845"/>
    <w:qFormat/>
    <w:pPr>
      <w:keepNext w:val="true"/>
      <w:pBdr/>
      <w:spacing/>
      <w:ind/>
      <w:jc w:val="center"/>
      <w:outlineLvl w:val="3"/>
    </w:pPr>
    <w:rPr>
      <w:b/>
      <w:bCs/>
    </w:rPr>
  </w:style>
  <w:style w:type="character" w:styleId="839" w:default="1">
    <w:name w:val="Default Paragraph Font"/>
    <w:uiPriority w:val="1"/>
    <w:semiHidden/>
    <w:unhideWhenUsed/>
    <w:pPr>
      <w:pBdr/>
      <w:spacing/>
      <w:ind/>
    </w:pPr>
  </w:style>
  <w:style w:type="table" w:styleId="840"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41" w:default="1">
    <w:name w:val="No List"/>
    <w:uiPriority w:val="99"/>
    <w:semiHidden/>
    <w:unhideWhenUsed/>
    <w:pPr>
      <w:pBdr/>
      <w:spacing/>
      <w:ind/>
    </w:pPr>
  </w:style>
  <w:style w:type="character" w:styleId="842" w:customStyle="1">
    <w:name w:val="Heading 1 Char"/>
    <w:basedOn w:val="839"/>
    <w:link w:val="835"/>
    <w:pPr>
      <w:pBdr/>
      <w:spacing/>
      <w:ind/>
    </w:pPr>
    <w:rPr>
      <w:rFonts w:ascii="Times New Roman" w:hAnsi="Times New Roman" w:eastAsia="Times New Roman" w:cs="Times New Roman"/>
      <w:b/>
      <w:bCs/>
      <w:sz w:val="27"/>
      <w:szCs w:val="27"/>
    </w:rPr>
  </w:style>
  <w:style w:type="character" w:styleId="843" w:customStyle="1">
    <w:name w:val="Heading 2 Char"/>
    <w:basedOn w:val="839"/>
    <w:link w:val="836"/>
    <w:uiPriority w:val="9"/>
    <w:pPr>
      <w:pBdr/>
      <w:spacing/>
      <w:ind/>
    </w:pPr>
    <w:rPr>
      <w:rFonts w:asciiTheme="majorHAnsi" w:hAnsiTheme="majorHAnsi" w:eastAsiaTheme="majorEastAsia" w:cstheme="majorBidi"/>
      <w:color w:val="365f91" w:themeColor="accent1" w:themeShade="BF"/>
      <w:sz w:val="26"/>
      <w:szCs w:val="26"/>
    </w:rPr>
  </w:style>
  <w:style w:type="character" w:styleId="844" w:customStyle="1">
    <w:name w:val="Heading 3 Char"/>
    <w:basedOn w:val="839"/>
    <w:link w:val="837"/>
    <w:pPr>
      <w:pBdr/>
      <w:spacing/>
      <w:ind/>
    </w:pPr>
    <w:rPr>
      <w:rFonts w:ascii="Times New Roman" w:hAnsi="Times New Roman" w:eastAsia="Times New Roman" w:cs="Times New Roman"/>
      <w:sz w:val="28"/>
      <w:szCs w:val="28"/>
    </w:rPr>
  </w:style>
  <w:style w:type="character" w:styleId="845" w:customStyle="1">
    <w:name w:val="Heading 4 Char"/>
    <w:basedOn w:val="839"/>
    <w:link w:val="838"/>
    <w:pPr>
      <w:pBdr/>
      <w:spacing/>
      <w:ind/>
    </w:pPr>
    <w:rPr>
      <w:rFonts w:ascii="Times New Roman" w:hAnsi="Times New Roman" w:eastAsia="Times New Roman" w:cs="Times New Roman"/>
      <w:b/>
      <w:bCs/>
      <w:sz w:val="24"/>
      <w:szCs w:val="24"/>
    </w:rPr>
  </w:style>
  <w:style w:type="character" w:styleId="846">
    <w:name w:val="Hyperlink"/>
    <w:uiPriority w:val="99"/>
    <w:pPr>
      <w:pBdr/>
      <w:spacing/>
      <w:ind/>
    </w:pPr>
    <w:rPr>
      <w:color w:val="000000"/>
      <w:u w:val="single"/>
    </w:rPr>
  </w:style>
  <w:style w:type="character" w:styleId="847">
    <w:name w:val="Strong"/>
    <w:uiPriority w:val="22"/>
    <w:qFormat/>
    <w:pPr>
      <w:pBdr/>
      <w:spacing/>
      <w:ind/>
    </w:pPr>
    <w:rPr>
      <w:b/>
      <w:bCs/>
    </w:rPr>
  </w:style>
  <w:style w:type="paragraph" w:styleId="848">
    <w:name w:val="Balloon Text"/>
    <w:basedOn w:val="834"/>
    <w:link w:val="849"/>
    <w:uiPriority w:val="99"/>
    <w:semiHidden/>
    <w:unhideWhenUsed/>
    <w:pPr>
      <w:pBdr/>
      <w:spacing/>
      <w:ind/>
    </w:pPr>
    <w:rPr>
      <w:rFonts w:ascii="Tahoma" w:hAnsi="Tahoma" w:cs="Tahoma"/>
      <w:sz w:val="16"/>
      <w:szCs w:val="16"/>
    </w:rPr>
  </w:style>
  <w:style w:type="character" w:styleId="849" w:customStyle="1">
    <w:name w:val="Balloon Text Char"/>
    <w:basedOn w:val="839"/>
    <w:link w:val="848"/>
    <w:uiPriority w:val="99"/>
    <w:semiHidden/>
    <w:pPr>
      <w:pBdr/>
      <w:spacing/>
      <w:ind/>
    </w:pPr>
    <w:rPr>
      <w:rFonts w:ascii="Tahoma" w:hAnsi="Tahoma" w:eastAsia="Times New Roman" w:cs="Tahoma"/>
      <w:sz w:val="16"/>
      <w:szCs w:val="16"/>
    </w:rPr>
  </w:style>
  <w:style w:type="paragraph" w:styleId="850">
    <w:name w:val="Header"/>
    <w:basedOn w:val="834"/>
    <w:link w:val="851"/>
    <w:unhideWhenUsed/>
    <w:pPr>
      <w:pBdr/>
      <w:tabs>
        <w:tab w:val="center" w:leader="none" w:pos="4680"/>
        <w:tab w:val="right" w:leader="none" w:pos="9360"/>
      </w:tabs>
      <w:spacing/>
      <w:ind/>
    </w:pPr>
  </w:style>
  <w:style w:type="character" w:styleId="851" w:customStyle="1">
    <w:name w:val="Header Char"/>
    <w:basedOn w:val="839"/>
    <w:link w:val="850"/>
    <w:pPr>
      <w:pBdr/>
      <w:spacing/>
      <w:ind/>
    </w:pPr>
    <w:rPr>
      <w:rFonts w:ascii="Times New Roman" w:hAnsi="Times New Roman" w:eastAsia="Times New Roman" w:cs="Times New Roman"/>
      <w:sz w:val="24"/>
      <w:szCs w:val="24"/>
    </w:rPr>
  </w:style>
  <w:style w:type="paragraph" w:styleId="852">
    <w:name w:val="Footer"/>
    <w:basedOn w:val="834"/>
    <w:link w:val="853"/>
    <w:uiPriority w:val="99"/>
    <w:unhideWhenUsed/>
    <w:pPr>
      <w:pBdr/>
      <w:tabs>
        <w:tab w:val="center" w:leader="none" w:pos="4680"/>
        <w:tab w:val="right" w:leader="none" w:pos="9360"/>
      </w:tabs>
      <w:spacing/>
      <w:ind/>
    </w:pPr>
  </w:style>
  <w:style w:type="character" w:styleId="853" w:customStyle="1">
    <w:name w:val="Footer Char"/>
    <w:basedOn w:val="839"/>
    <w:link w:val="852"/>
    <w:uiPriority w:val="99"/>
    <w:pPr>
      <w:pBdr/>
      <w:spacing/>
      <w:ind/>
    </w:pPr>
    <w:rPr>
      <w:rFonts w:ascii="Times New Roman" w:hAnsi="Times New Roman" w:eastAsia="Times New Roman" w:cs="Times New Roman"/>
      <w:sz w:val="24"/>
      <w:szCs w:val="24"/>
    </w:rPr>
  </w:style>
  <w:style w:type="character" w:styleId="854" w:customStyle="1">
    <w:name w:val="normal-h1"/>
    <w:pPr>
      <w:pBdr/>
      <w:spacing/>
      <w:ind/>
    </w:pPr>
    <w:rPr>
      <w:rFonts w:hint="default" w:ascii=".VnTime" w:hAnsi=".VnTime"/>
      <w:color w:val="0000ff"/>
      <w:sz w:val="24"/>
      <w:szCs w:val="24"/>
    </w:rPr>
  </w:style>
  <w:style w:type="paragraph" w:styleId="855" w:customStyle="1">
    <w:name w:val="normal-p"/>
    <w:basedOn w:val="834"/>
    <w:pPr>
      <w:pBdr/>
      <w:spacing/>
      <w:ind/>
      <w:jc w:val="both"/>
    </w:pPr>
    <w:rPr>
      <w:sz w:val="20"/>
      <w:szCs w:val="20"/>
    </w:rPr>
  </w:style>
  <w:style w:type="paragraph" w:styleId="856">
    <w:name w:val="List Paragraph"/>
    <w:basedOn w:val="834"/>
    <w:link w:val="943"/>
    <w:uiPriority w:val="34"/>
    <w:qFormat/>
    <w:pPr>
      <w:pBdr/>
      <w:spacing/>
      <w:ind w:left="720"/>
    </w:pPr>
  </w:style>
  <w:style w:type="paragraph" w:styleId="857">
    <w:name w:val="Normal (Web)"/>
    <w:basedOn w:val="834"/>
    <w:uiPriority w:val="99"/>
    <w:pPr>
      <w:pBdr/>
      <w:spacing w:after="100" w:afterAutospacing="1" w:before="100" w:beforeAutospacing="1"/>
      <w:ind/>
    </w:pPr>
  </w:style>
  <w:style w:type="paragraph" w:styleId="858">
    <w:name w:val="Body Text"/>
    <w:basedOn w:val="834"/>
    <w:link w:val="859"/>
    <w:pPr>
      <w:pBdr/>
      <w:spacing w:after="120"/>
      <w:ind/>
      <w:jc w:val="both"/>
    </w:pPr>
  </w:style>
  <w:style w:type="character" w:styleId="859" w:customStyle="1">
    <w:name w:val="Body Text Char"/>
    <w:basedOn w:val="839"/>
    <w:link w:val="858"/>
    <w:pPr>
      <w:pBdr/>
      <w:spacing/>
      <w:ind/>
    </w:pPr>
    <w:rPr>
      <w:rFonts w:ascii="Times New Roman" w:hAnsi="Times New Roman" w:eastAsia="Times New Roman" w:cs="Times New Roman"/>
      <w:sz w:val="24"/>
      <w:szCs w:val="24"/>
    </w:rPr>
  </w:style>
  <w:style w:type="table" w:styleId="860">
    <w:name w:val="Table Grid"/>
    <w:basedOn w:val="840"/>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61"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862">
    <w:name w:val="annotation reference"/>
    <w:basedOn w:val="839"/>
    <w:uiPriority w:val="99"/>
    <w:semiHidden/>
    <w:unhideWhenUsed/>
    <w:pPr>
      <w:pBdr/>
      <w:spacing/>
      <w:ind/>
    </w:pPr>
    <w:rPr>
      <w:sz w:val="16"/>
      <w:szCs w:val="16"/>
    </w:rPr>
  </w:style>
  <w:style w:type="paragraph" w:styleId="863">
    <w:name w:val="annotation text"/>
    <w:basedOn w:val="834"/>
    <w:link w:val="864"/>
    <w:uiPriority w:val="99"/>
    <w:unhideWhenUsed/>
    <w:pPr>
      <w:pBdr/>
      <w:spacing/>
      <w:ind/>
    </w:pPr>
    <w:rPr>
      <w:sz w:val="20"/>
      <w:szCs w:val="20"/>
    </w:rPr>
  </w:style>
  <w:style w:type="character" w:styleId="864" w:customStyle="1">
    <w:name w:val="Comment Text Char"/>
    <w:basedOn w:val="839"/>
    <w:link w:val="863"/>
    <w:uiPriority w:val="99"/>
    <w:pPr>
      <w:pBdr/>
      <w:spacing/>
      <w:ind/>
    </w:pPr>
    <w:rPr>
      <w:rFonts w:ascii="Times New Roman" w:hAnsi="Times New Roman" w:eastAsia="Times New Roman" w:cs="Times New Roman"/>
      <w:sz w:val="20"/>
      <w:szCs w:val="20"/>
    </w:rPr>
  </w:style>
  <w:style w:type="paragraph" w:styleId="865">
    <w:name w:val="annotation subject"/>
    <w:basedOn w:val="863"/>
    <w:next w:val="863"/>
    <w:link w:val="866"/>
    <w:uiPriority w:val="99"/>
    <w:semiHidden/>
    <w:unhideWhenUsed/>
    <w:pPr>
      <w:pBdr/>
      <w:spacing/>
      <w:ind/>
    </w:pPr>
    <w:rPr>
      <w:b/>
      <w:bCs/>
    </w:rPr>
  </w:style>
  <w:style w:type="character" w:styleId="866" w:customStyle="1">
    <w:name w:val="Comment Subject Char"/>
    <w:basedOn w:val="864"/>
    <w:link w:val="865"/>
    <w:uiPriority w:val="99"/>
    <w:semiHidden/>
    <w:pPr>
      <w:pBdr/>
      <w:spacing/>
      <w:ind/>
    </w:pPr>
    <w:rPr>
      <w:rFonts w:ascii="Times New Roman" w:hAnsi="Times New Roman" w:eastAsia="Times New Roman" w:cs="Times New Roman"/>
      <w:b/>
      <w:bCs/>
      <w:sz w:val="20"/>
      <w:szCs w:val="20"/>
    </w:rPr>
  </w:style>
  <w:style w:type="paragraph" w:styleId="867" w:customStyle="1">
    <w:name w:val="font5"/>
    <w:basedOn w:val="834"/>
    <w:pPr>
      <w:pBdr/>
      <w:spacing w:after="100" w:afterAutospacing="1" w:before="100" w:beforeAutospacing="1"/>
      <w:ind/>
    </w:pPr>
    <w:rPr>
      <w:rFonts w:ascii="Tahoma" w:hAnsi="Tahoma" w:cs="Tahoma"/>
      <w:color w:val="000000"/>
      <w:sz w:val="18"/>
      <w:szCs w:val="18"/>
    </w:rPr>
  </w:style>
  <w:style w:type="paragraph" w:styleId="868" w:customStyle="1">
    <w:name w:val="font6"/>
    <w:basedOn w:val="834"/>
    <w:pPr>
      <w:pBdr/>
      <w:spacing w:after="100" w:afterAutospacing="1" w:before="100" w:beforeAutospacing="1"/>
      <w:ind/>
    </w:pPr>
    <w:rPr>
      <w:rFonts w:ascii="Tahoma" w:hAnsi="Tahoma" w:cs="Tahoma"/>
      <w:b/>
      <w:bCs/>
      <w:color w:val="000000"/>
      <w:sz w:val="18"/>
      <w:szCs w:val="18"/>
    </w:rPr>
  </w:style>
  <w:style w:type="paragraph" w:styleId="869" w:customStyle="1">
    <w:name w:val="xl23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70" w:customStyle="1">
    <w:name w:val="xl234"/>
    <w:basedOn w:val="834"/>
    <w:pPr>
      <w:pBdr/>
      <w:spacing w:after="100" w:afterAutospacing="1" w:before="100" w:beforeAutospacing="1"/>
      <w:ind/>
      <w:jc w:val="center"/>
    </w:pPr>
  </w:style>
  <w:style w:type="paragraph" w:styleId="871" w:customStyle="1">
    <w:name w:val="xl235"/>
    <w:basedOn w:val="834"/>
    <w:pPr>
      <w:pBdr/>
      <w:spacing w:after="100" w:afterAutospacing="1" w:before="100" w:beforeAutospacing="1"/>
      <w:ind/>
      <w:jc w:val="center"/>
    </w:pPr>
    <w:rPr>
      <w:b/>
      <w:bCs/>
    </w:rPr>
  </w:style>
  <w:style w:type="paragraph" w:styleId="872" w:customStyle="1">
    <w:name w:val="xl236"/>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73" w:customStyle="1">
    <w:name w:val="xl23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4" w:customStyle="1">
    <w:name w:val="xl238"/>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75" w:customStyle="1">
    <w:name w:val="xl23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876" w:customStyle="1">
    <w:name w:val="xl240"/>
    <w:basedOn w:val="834"/>
    <w:pPr>
      <w:pBdr/>
      <w:spacing w:after="100" w:afterAutospacing="1" w:before="100" w:beforeAutospacing="1"/>
      <w:ind/>
    </w:pPr>
  </w:style>
  <w:style w:type="paragraph" w:styleId="877" w:customStyle="1">
    <w:name w:val="xl241"/>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8" w:customStyle="1">
    <w:name w:val="xl242"/>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79" w:customStyle="1">
    <w:name w:val="xl243"/>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80" w:customStyle="1">
    <w:name w:val="xl244"/>
    <w:basedOn w:val="834"/>
    <w:pPr>
      <w:pBdr/>
      <w:spacing w:after="100" w:afterAutospacing="1" w:before="100" w:beforeAutospacing="1"/>
      <w:ind/>
    </w:pPr>
    <w:rPr>
      <w:b/>
      <w:bCs/>
    </w:rPr>
  </w:style>
  <w:style w:type="paragraph" w:styleId="881" w:customStyle="1">
    <w:name w:val="xl245"/>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82" w:customStyle="1">
    <w:name w:val="xl24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83" w:customStyle="1">
    <w:name w:val="xl247"/>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84" w:customStyle="1">
    <w:name w:val="xl24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885" w:customStyle="1">
    <w:name w:val="xl24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86" w:customStyle="1">
    <w:name w:val="xl25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887" w:customStyle="1">
    <w:name w:val="xl25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888" w:customStyle="1">
    <w:name w:val="xl25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89" w:customStyle="1">
    <w:name w:val="xl253"/>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0" w:customStyle="1">
    <w:name w:val="xl254"/>
    <w:basedOn w:val="834"/>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91" w:customStyle="1">
    <w:name w:val="xl255"/>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892" w:customStyle="1">
    <w:name w:val="xl25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93" w:customStyle="1">
    <w:name w:val="xl25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4" w:customStyle="1">
    <w:name w:val="xl258"/>
    <w:basedOn w:val="834"/>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95" w:customStyle="1">
    <w:name w:val="xl25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6" w:customStyle="1">
    <w:name w:val="xl260"/>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7" w:customStyle="1">
    <w:name w:val="xl261"/>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98" w:customStyle="1">
    <w:name w:val="xl262"/>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99" w:customStyle="1">
    <w:name w:val="xl263"/>
    <w:basedOn w:val="834"/>
    <w:pPr>
      <w:pBdr/>
      <w:shd w:val="clear" w:color="000000" w:fill="ffffff"/>
      <w:spacing w:after="100" w:afterAutospacing="1" w:before="100" w:beforeAutospacing="1"/>
      <w:ind/>
    </w:pPr>
  </w:style>
  <w:style w:type="paragraph" w:styleId="900" w:customStyle="1">
    <w:name w:val="xl264"/>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01" w:customStyle="1">
    <w:name w:val="xl265"/>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02" w:customStyle="1">
    <w:name w:val="xl26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903" w:customStyle="1">
    <w:name w:val="xl26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904" w:customStyle="1">
    <w:name w:val="xl268"/>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5" w:customStyle="1">
    <w:name w:val="xl269"/>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6" w:customStyle="1">
    <w:name w:val="xl27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07" w:customStyle="1">
    <w:name w:val="xl271"/>
    <w:basedOn w:val="834"/>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908" w:customStyle="1">
    <w:name w:val="xl27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909" w:customStyle="1">
    <w:name w:val="xl273"/>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10" w:customStyle="1">
    <w:name w:val="xl274"/>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11" w:customStyle="1">
    <w:name w:val="xl275"/>
    <w:basedOn w:val="834"/>
    <w:pPr>
      <w:pBdr/>
      <w:spacing w:after="100" w:afterAutospacing="1" w:before="100" w:beforeAutospacing="1"/>
      <w:ind/>
    </w:pPr>
  </w:style>
  <w:style w:type="paragraph" w:styleId="912" w:customStyle="1">
    <w:name w:val="xl27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13" w:customStyle="1">
    <w:name w:val="xl277"/>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914" w:customStyle="1">
    <w:name w:val="xl27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5" w:customStyle="1">
    <w:name w:val="xl27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6" w:customStyle="1">
    <w:name w:val="xl28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17" w:customStyle="1">
    <w:name w:val="xl28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918" w:customStyle="1">
    <w:name w:val="xl28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19" w:customStyle="1">
    <w:name w:val="xl28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0" w:customStyle="1">
    <w:name w:val="xl284"/>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21" w:customStyle="1">
    <w:name w:val="xl285"/>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22" w:customStyle="1">
    <w:name w:val="xl28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23" w:customStyle="1">
    <w:name w:val="xl287"/>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4" w:customStyle="1">
    <w:name w:val="xl288"/>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5" w:customStyle="1">
    <w:name w:val="xl289"/>
    <w:basedOn w:val="834"/>
    <w:pPr>
      <w:pBdr>
        <w:left w:val="single" w:color="000000" w:sz="4" w:space="0"/>
        <w:right w:val="single" w:color="000000" w:sz="4" w:space="0"/>
      </w:pBdr>
      <w:spacing w:after="100" w:afterAutospacing="1" w:before="100" w:beforeAutospacing="1"/>
      <w:ind/>
    </w:pPr>
    <w:rPr>
      <w:b/>
      <w:bCs/>
    </w:rPr>
  </w:style>
  <w:style w:type="paragraph" w:styleId="926" w:customStyle="1">
    <w:name w:val="xl29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27" w:customStyle="1">
    <w:name w:val="xl291"/>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28" w:customStyle="1">
    <w:name w:val="xl292"/>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9" w:customStyle="1">
    <w:name w:val="xl293"/>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30" w:customStyle="1">
    <w:name w:val="xl294"/>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31">
    <w:name w:val="Title"/>
    <w:basedOn w:val="834"/>
    <w:link w:val="932"/>
    <w:qFormat/>
    <w:pPr>
      <w:pBdr/>
      <w:spacing/>
      <w:ind/>
      <w:jc w:val="center"/>
    </w:pPr>
    <w:rPr>
      <w:b/>
      <w:bCs/>
      <w:sz w:val="32"/>
      <w:szCs w:val="26"/>
    </w:rPr>
  </w:style>
  <w:style w:type="character" w:styleId="932" w:customStyle="1">
    <w:name w:val="Title Char"/>
    <w:basedOn w:val="839"/>
    <w:link w:val="931"/>
    <w:pPr>
      <w:pBdr/>
      <w:spacing/>
      <w:ind/>
    </w:pPr>
    <w:rPr>
      <w:rFonts w:ascii="Times New Roman" w:hAnsi="Times New Roman" w:eastAsia="Times New Roman" w:cs="Times New Roman"/>
      <w:b/>
      <w:bCs/>
      <w:sz w:val="32"/>
      <w:szCs w:val="26"/>
    </w:rPr>
  </w:style>
  <w:style w:type="character" w:styleId="933" w:customStyle="1">
    <w:name w:val="Unresolved Mention1"/>
    <w:basedOn w:val="839"/>
    <w:uiPriority w:val="99"/>
    <w:semiHidden/>
    <w:unhideWhenUsed/>
    <w:pPr>
      <w:pBdr/>
      <w:spacing/>
      <w:ind/>
    </w:pPr>
    <w:rPr>
      <w:color w:val="605e5c"/>
      <w:shd w:val="clear" w:color="auto" w:fill="e1dfdd"/>
    </w:rPr>
  </w:style>
  <w:style w:type="character" w:styleId="934" w:customStyle="1">
    <w:name w:val="Body text (3)_"/>
    <w:link w:val="935"/>
    <w:pPr>
      <w:pBdr/>
      <w:spacing/>
      <w:ind/>
    </w:pPr>
    <w:rPr>
      <w:rFonts w:ascii="Times New Roman" w:hAnsi="Times New Roman" w:cs="Times New Roman"/>
      <w:i/>
      <w:iCs/>
      <w:spacing w:val="4"/>
      <w:shd w:val="clear" w:color="auto" w:fill="ffffff"/>
    </w:rPr>
  </w:style>
  <w:style w:type="paragraph" w:styleId="935" w:customStyle="1">
    <w:name w:val="Body text (3)1"/>
    <w:basedOn w:val="834"/>
    <w:link w:val="934"/>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936" w:customStyle="1">
    <w:name w:val="t-j"/>
    <w:basedOn w:val="834"/>
    <w:pPr>
      <w:pBdr/>
      <w:spacing w:after="100" w:afterAutospacing="1" w:before="100" w:beforeAutospacing="1"/>
      <w:ind/>
    </w:pPr>
  </w:style>
  <w:style w:type="character" w:styleId="937" w:customStyle="1">
    <w:name w:val="Unresolved Mention2"/>
    <w:basedOn w:val="839"/>
    <w:uiPriority w:val="99"/>
    <w:semiHidden/>
    <w:unhideWhenUsed/>
    <w:pPr>
      <w:pBdr/>
      <w:spacing/>
      <w:ind/>
    </w:pPr>
    <w:rPr>
      <w:color w:val="605e5c"/>
      <w:shd w:val="clear" w:color="auto" w:fill="e1dfdd"/>
    </w:rPr>
  </w:style>
  <w:style w:type="character" w:styleId="938">
    <w:name w:val="FollowedHyperlink"/>
    <w:basedOn w:val="839"/>
    <w:uiPriority w:val="99"/>
    <w:semiHidden/>
    <w:unhideWhenUsed/>
    <w:pPr>
      <w:pBdr/>
      <w:spacing/>
      <w:ind/>
    </w:pPr>
    <w:rPr>
      <w:color w:val="800080" w:themeColor="followedHyperlink"/>
      <w:u w:val="single"/>
    </w:rPr>
  </w:style>
  <w:style w:type="character" w:styleId="939" w:customStyle="1">
    <w:name w:val="text"/>
    <w:basedOn w:val="839"/>
    <w:pPr>
      <w:pBdr/>
      <w:spacing/>
      <w:ind/>
    </w:pPr>
  </w:style>
  <w:style w:type="character" w:styleId="940" w:customStyle="1">
    <w:name w:val="card-send-time__sendtime"/>
    <w:basedOn w:val="839"/>
    <w:pPr>
      <w:pBdr/>
      <w:spacing/>
      <w:ind/>
    </w:pPr>
  </w:style>
  <w:style w:type="character" w:styleId="941" w:customStyle="1">
    <w:name w:val="Đề cập Chưa giải quyết1"/>
    <w:basedOn w:val="839"/>
    <w:uiPriority w:val="99"/>
    <w:semiHidden/>
    <w:unhideWhenUsed/>
    <w:pPr>
      <w:pBdr/>
      <w:spacing/>
      <w:ind/>
    </w:pPr>
    <w:rPr>
      <w:color w:val="605e5c"/>
      <w:shd w:val="clear" w:color="auto" w:fill="e1dfdd"/>
    </w:rPr>
  </w:style>
  <w:style w:type="paragraph" w:styleId="942" w:customStyle="1">
    <w:name w:val="nqtitle"/>
    <w:basedOn w:val="834"/>
    <w:pPr>
      <w:pBdr/>
      <w:spacing w:after="100" w:afterAutospacing="1" w:before="100" w:beforeAutospacing="1"/>
      <w:ind/>
    </w:pPr>
    <w:rPr>
      <w:lang w:val="vi-VN" w:eastAsia="vi-VN"/>
    </w:rPr>
  </w:style>
  <w:style w:type="character" w:styleId="943" w:customStyle="1">
    <w:name w:val="List Paragraph Char"/>
    <w:link w:val="856"/>
    <w:uiPriority w:val="34"/>
    <w:qFormat/>
    <w:pPr>
      <w:pBdr/>
      <w:spacing/>
      <w:ind/>
    </w:pPr>
    <w:rPr>
      <w:rFonts w:ascii="Times New Roman" w:hAnsi="Times New Roman" w:eastAsia="Times New Roman" w:cs="Times New Roman"/>
      <w:sz w:val="24"/>
      <w:szCs w:val="24"/>
    </w:rPr>
  </w:style>
  <w:style w:type="character" w:styleId="944" w:customStyle="1">
    <w:name w:val="Đề cập Chưa giải quyết2"/>
    <w:basedOn w:val="839"/>
    <w:uiPriority w:val="99"/>
    <w:semiHidden/>
    <w:unhideWhenUsed/>
    <w:pPr>
      <w:pBdr/>
      <w:spacing/>
      <w:ind/>
    </w:pPr>
    <w:rPr>
      <w:color w:val="605e5c"/>
      <w:shd w:val="clear" w:color="auto" w:fill="e1dfdd"/>
    </w:rPr>
  </w:style>
  <w:style w:type="character" w:styleId="945" w:customStyle="1">
    <w:name w:val="Unresolved Mention3"/>
    <w:basedOn w:val="839"/>
    <w:uiPriority w:val="99"/>
    <w:semiHidden/>
    <w:unhideWhenUsed/>
    <w:pPr>
      <w:pBdr/>
      <w:spacing/>
      <w:ind/>
    </w:pPr>
    <w:rPr>
      <w:color w:val="605e5c"/>
      <w:shd w:val="clear" w:color="auto" w:fill="e1dfdd"/>
    </w:rPr>
  </w:style>
  <w:style w:type="character" w:styleId="946" w:customStyle="1">
    <w:name w:val="copy"/>
    <w:basedOn w:val="839"/>
    <w:pPr>
      <w:pBdr/>
      <w:spacing/>
      <w:ind/>
    </w:pPr>
  </w:style>
  <w:style w:type="paragraph" w:styleId="947" w:customStyle="1">
    <w:name w:val="align-justify"/>
    <w:basedOn w:val="834"/>
    <w:pPr>
      <w:pBdr/>
      <w:spacing w:after="100" w:afterAutospacing="1" w:before="100" w:beforeAutospacing="1"/>
      <w:ind/>
    </w:pPr>
  </w:style>
  <w:style w:type="character" w:styleId="948" w:customStyle="1">
    <w:name w:val="btn"/>
    <w:basedOn w:val="839"/>
    <w:pPr>
      <w:pBdr/>
      <w:spacing/>
      <w:ind/>
    </w:pPr>
  </w:style>
  <w:style w:type="character" w:styleId="949" w:customStyle="1">
    <w:name w:val="hide_mobile"/>
    <w:basedOn w:val="839"/>
    <w:pPr>
      <w:pBdr/>
      <w:spacing/>
      <w:ind/>
    </w:pPr>
  </w:style>
  <w:style w:type="character" w:styleId="950">
    <w:name w:val="Emphasis"/>
    <w:basedOn w:val="839"/>
    <w:uiPriority w:val="20"/>
    <w:qFormat/>
    <w:pPr>
      <w:pBdr/>
      <w:spacing/>
      <w:ind/>
    </w:pPr>
    <w:rPr>
      <w:i/>
      <w:iCs/>
    </w:rPr>
  </w:style>
  <w:style w:type="character" w:styleId="951" w:customStyle="1">
    <w:name w:val="t1"/>
    <w:basedOn w:val="839"/>
    <w:pPr>
      <w:pBdr/>
      <w:spacing/>
      <w:ind/>
    </w:pPr>
  </w:style>
  <w:style w:type="character" w:styleId="952" w:customStyle="1">
    <w:name w:val="Unresolved Mention4"/>
    <w:basedOn w:val="839"/>
    <w:uiPriority w:val="99"/>
    <w:semiHidden/>
    <w:unhideWhenUsed/>
    <w:pPr>
      <w:pBdr/>
      <w:spacing/>
      <w:ind/>
    </w:pPr>
    <w:rPr>
      <w:color w:val="605e5c"/>
      <w:shd w:val="clear" w:color="auto" w:fill="e1dfdd"/>
    </w:rPr>
  </w:style>
  <w:style w:type="character" w:styleId="953">
    <w:name w:val="Unresolved Mention"/>
    <w:basedOn w:val="839"/>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image" Target="media/image3.png"/><Relationship Id="rId16" Type="http://schemas.openxmlformats.org/officeDocument/2006/relationships/image" Target="media/image4.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onlyoffice/9.0.4.50</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Đoàn Thị Xinh</cp:lastModifiedBy>
  <cp:revision>486</cp:revision>
  <dcterms:created xsi:type="dcterms:W3CDTF">2025-09-15T02:01:00Z</dcterms:created>
  <dcterms:modified xsi:type="dcterms:W3CDTF">2025-11-26T01:43:14Z</dcterms:modified>
</cp:coreProperties>
</file>