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right"/>
        <w:rPr>
          <w:b/>
          <w:sz w:val="28"/>
          <w:lang w:val="vi-VN"/>
        </w:rPr>
      </w:pPr>
      <w:r>
        <w:rPr>
          <w:b/>
          <w:sz w:val="28"/>
          <w:lang w:val="vi-VN"/>
        </w:rPr>
      </w:r>
      <w:r>
        <w:rPr>
          <w:b/>
          <w:sz w:val="28"/>
          <w:lang w:val="vi-VN"/>
        </w:rPr>
      </w:r>
      <w:r>
        <w:rPr>
          <w:b/>
          <w:sz w:val="28"/>
          <w:lang w:val="vi-VN"/>
        </w:rPr>
      </w:r>
    </w:p>
    <w:p>
      <w:pPr>
        <w:pBdr/>
        <w:spacing/>
        <w:ind w:right="-1"/>
        <w:jc w:val="lef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41592"/>
                <wp:effectExtent l="12700" t="12700" r="3175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HSTD-20250804-0003/CT-VFI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Trương Thị Diệp</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right"/>
                              <w:rPr>
                                <w:bCs/>
                                <w:i/>
                                <w:iCs/>
                                <w:highlight w:val="none"/>
                              </w:rPr>
                            </w:pPr>
                            <w:r>
                              <w:rPr>
                                <w:b/>
                              </w:rPr>
                              <w:t xml:space="preserve">Tài sản thẩm </w:t>
                            </w:r>
                            <w:r>
                              <w:rPr>
                                <w:b/>
                              </w:rPr>
                              <w:t xml:space="preserve">định: </w:t>
                            </w:r>
                            <w:r>
                              <w:rPr>
                                <w:color w:val="000000"/>
                              </w:rPr>
                              <w:t xml:space="preserve">Giá trị quyền sử dụng đất tại thửa đất số: 1011 + 2353, tờ bản đồ số 21 có địa chỉ: Thôn Khoang Sau, xã Sơn Đông, Thị xã Sơn Tây, Thành phố Hà Nội (Nay là xã Đo</w:t>
                            </w:r>
                            <w:r>
                              <w:rPr>
                                <w:color w:val="000000"/>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w:t>
                            </w:r>
                            <w:r>
                              <w:rPr>
                                <w:i/>
                                <w:iCs/>
                                <w:highlight w:val="none"/>
                              </w:rPr>
                            </w:r>
                            <w:r>
                              <w:rPr>
                                <w:bCs/>
                                <w:i/>
                                <w:iCs/>
                                <w:highlight w:val="none"/>
                              </w:rPr>
                            </w:r>
                          </w:p>
                          <w:p>
                            <w:pPr>
                              <w:pBdr/>
                              <w:spacing w:after="120" w:before="120" w:line="360" w:lineRule="auto"/>
                              <w:ind/>
                              <w:jc w:val="center"/>
                              <w:rPr>
                                <w:bCs/>
                                <w:i/>
                              </w:rPr>
                            </w:pPr>
                            <w:r>
                              <w:rPr>
                                <w:highlight w:val="none"/>
                                <w:lang w:val="pt-BR"/>
                              </w:rPr>
                            </w:r>
                            <w:r>
                              <w:rPr>
                                <w:highlight w:val="none"/>
                                <w:lang w:val="pt-BR"/>
                              </w:rPr>
                            </w:r>
                            <w:r>
                              <w:rPr>
                                <w:bCs/>
                                <w:i/>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iCs/>
                                <w:highlight w:val="none"/>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28.4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HSTD-20250804-0003/CT-VFI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Trương Thị Diệp</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right"/>
                        <w:rPr>
                          <w:bCs/>
                          <w:i/>
                          <w:iCs/>
                          <w:highlight w:val="none"/>
                        </w:rPr>
                      </w:pPr>
                      <w:r>
                        <w:rPr>
                          <w:b/>
                        </w:rPr>
                        <w:t xml:space="preserve">Tài sản thẩm </w:t>
                      </w:r>
                      <w:r>
                        <w:rPr>
                          <w:b/>
                        </w:rPr>
                        <w:t xml:space="preserve">định: </w:t>
                      </w:r>
                      <w:r>
                        <w:rPr>
                          <w:color w:val="000000"/>
                        </w:rPr>
                        <w:t xml:space="preserve">Giá trị quyền sử dụng đất tại thửa đất số: 1011 + 2353, tờ bản đồ số 21 có địa chỉ: Thôn Khoang Sau, xã Sơn Đông, Thị xã Sơn Tây, Thành phố Hà Nội (Nay là xã Đo</w:t>
                      </w:r>
                      <w:r>
                        <w:rPr>
                          <w:color w:val="000000"/>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w:t>
                      </w:r>
                      <w:r>
                        <w:rPr>
                          <w:i/>
                          <w:iCs/>
                          <w:highlight w:val="none"/>
                        </w:rPr>
                      </w:r>
                      <w:r>
                        <w:rPr>
                          <w:bCs/>
                          <w:i/>
                          <w:iCs/>
                          <w:highlight w:val="none"/>
                        </w:rPr>
                      </w:r>
                    </w:p>
                    <w:p>
                      <w:pPr>
                        <w:pBdr/>
                        <w:spacing w:after="120" w:before="120" w:line="360" w:lineRule="auto"/>
                        <w:ind/>
                        <w:jc w:val="center"/>
                        <w:rPr>
                          <w:bCs/>
                          <w:i/>
                        </w:rPr>
                      </w:pPr>
                      <w:r>
                        <w:rPr>
                          <w:highlight w:val="none"/>
                          <w:lang w:val="pt-BR"/>
                        </w:rPr>
                      </w:r>
                      <w:r>
                        <w:rPr>
                          <w:highlight w:val="none"/>
                          <w:lang w:val="pt-BR"/>
                        </w:rPr>
                      </w:r>
                      <w:r>
                        <w:rPr>
                          <w:bCs/>
                          <w:i/>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iCs/>
                          <w:highlight w:val="none"/>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32"/>
              <w:pBdr/>
              <w:spacing w:after="60" w:before="200"/>
              <w:ind/>
              <w:rPr>
                <w:rStyle w:val="1031"/>
                <w:rFonts w:ascii="Times New Roman" w:hAnsi="Times New Roman"/>
                <w:color w:val="auto"/>
                <w:lang w:val="pt-BR"/>
              </w:rPr>
            </w:pPr>
            <w:r>
              <w:rPr>
                <w:rFonts w:ascii="Times New Roman" w:hAnsi="Times New Roman"/>
                <w:color w:val="auto"/>
                <w:lang w:val="pt-BR"/>
              </w:rPr>
            </w:r>
            <w:r>
              <w:rPr>
                <w:rStyle w:val="1031"/>
                <w:rFonts w:ascii="Times New Roman" w:hAnsi="Times New Roman"/>
                <w:color w:val="auto"/>
                <w:lang w:val="pt-BR"/>
              </w:rPr>
            </w:r>
            <w:r>
              <w:rPr>
                <w:rStyle w:val="1031"/>
                <w:rFonts w:ascii="Times New Roman" w:hAnsi="Times New Roman"/>
                <w:color w:val="auto"/>
                <w:lang w:val="pt-BR"/>
              </w:rPr>
            </w:r>
          </w:p>
          <w:p>
            <w:pPr>
              <w:pStyle w:val="1032"/>
              <w:pBdr/>
              <w:spacing w:after="60" w:before="200"/>
              <w:ind/>
              <w:rPr>
                <w:sz w:val="24"/>
                <w:szCs w:val="24"/>
              </w:rPr>
            </w:pPr>
            <w:r>
              <w:rPr>
                <w:rStyle w:val="1031"/>
                <w:rFonts w:ascii="Times New Roman" w:hAnsi="Times New Roman"/>
                <w:color w:val="auto"/>
                <w:lang w:val="pt-BR"/>
              </w:rPr>
              <w:t xml:space="preserve">Số:</w:t>
            </w:r>
            <w:r>
              <w:rPr>
                <w:rStyle w:val="1031"/>
                <w:rFonts w:ascii="Times New Roman" w:hAnsi="Times New Roman"/>
                <w:color w:val="auto"/>
                <w:lang w:val="pt-BR"/>
              </w:rPr>
              <w:t xml:space="preserve"> </w:t>
            </w:r>
            <w:r>
              <w:rPr>
                <w:rStyle w:val="1031"/>
                <w:rFonts w:ascii="Times New Roman" w:hAnsi="Times New Roman"/>
                <w:color w:val="000000" w:themeColor="text1"/>
                <w:lang w:val="pt-BR"/>
              </w:rPr>
              <w:t xml:space="preserve">HSTD-20250804-0003/CT-VFI</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32"/>
              <w:pBdr/>
              <w:spacing w:after="60" w:before="200"/>
              <w:ind w:right="-56"/>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pPr>
              <w:pStyle w:val="1032"/>
              <w:pBdr/>
              <w:spacing w:after="60" w:before="200"/>
              <w:ind w:right="-56"/>
              <w:jc w:val="right"/>
              <w:rPr>
                <w:sz w:val="24"/>
                <w:szCs w:val="24"/>
                <w:lang w:val="vi-VN"/>
              </w:rPr>
            </w:pPr>
            <w:r>
              <w:rPr>
                <w:rStyle w:val="1031"/>
                <w:rFonts w:ascii="Times New Roman" w:hAnsi="Times New Roman"/>
                <w:i/>
                <w:color w:val="auto"/>
              </w:rPr>
              <w:t xml:space="preserve">TP. </w:t>
            </w:r>
            <w:r>
              <w:rPr>
                <w:rStyle w:val="1031"/>
                <w:rFonts w:ascii="Times New Roman" w:hAnsi="Times New Roman"/>
                <w:i/>
                <w:color w:val="auto"/>
              </w:rPr>
              <w:t xml:space="preserve">Hà 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01/12/2025</w:t>
            </w:r>
            <w:r>
              <w:rPr>
                <w:rStyle w:val="1031"/>
                <w:rFonts w:ascii="Times New Roman" w:hAnsi="Times New Roman"/>
                <w:i/>
                <w:color w:val="auto"/>
                <w:lang w:val="vi-VN"/>
              </w:rPr>
              <w:t xml:space="preserve">   </w:t>
            </w:r>
            <w:r>
              <w:rPr>
                <w:rStyle w:val="1031"/>
                <w:rFonts w:ascii="Times New Roman" w:hAnsi="Times New Roman"/>
                <w:i/>
                <w:color w:val="auto"/>
                <w:lang w:val="vi-VN"/>
              </w:rPr>
              <w:t xml:space="preserve">  </w:t>
            </w:r>
            <w:r>
              <w:rPr>
                <w:sz w:val="24"/>
                <w:szCs w:val="24"/>
                <w:lang w:val="vi-VN"/>
              </w:rPr>
            </w:r>
            <w:r>
              <w:rPr>
                <w:sz w:val="24"/>
                <w:szCs w:val="24"/>
                <w:lang w:val="vi-VN"/>
              </w:rPr>
            </w:r>
          </w:p>
        </w:tc>
      </w:tr>
    </w:tbl>
    <w:p>
      <w:pPr>
        <w:pStyle w:val="1032"/>
        <w:pBdr/>
        <w:spacing w:after="120" w:before="200" w:line="288" w:lineRule="auto"/>
        <w:ind/>
        <w:jc w:val="center"/>
        <w:rPr>
          <w:rStyle w:val="1031"/>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1"/>
          <w:rFonts w:ascii="Times New Roman" w:hAnsi="Times New Roman"/>
          <w:b/>
          <w:bCs/>
          <w:color w:val="auto"/>
          <w:sz w:val="30"/>
          <w:szCs w:val="30"/>
          <w:lang w:val="vi-VN"/>
        </w:rPr>
        <w:t xml:space="preserve">CHỨNG THƯ THẨM ĐỊNH GIÁ</w:t>
      </w:r>
      <w:r>
        <w:rPr>
          <w:rStyle w:val="1031"/>
          <w:rFonts w:ascii="Times New Roman" w:hAnsi="Times New Roman"/>
          <w:b/>
          <w:bCs/>
          <w:color w:val="auto"/>
          <w:sz w:val="30"/>
          <w:szCs w:val="30"/>
          <w:lang w:val="vi-VN"/>
        </w:rPr>
      </w:r>
      <w:r>
        <w:rPr>
          <w:rStyle w:val="1031"/>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Trương Thị Diệp</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HSTD-20250804-0003/HĐTĐ-VFI</w:t>
      </w:r>
      <w:r>
        <w:rPr>
          <w:spacing w:val="-4"/>
          <w:lang w:val="vi-VN"/>
        </w:rPr>
        <w:t xml:space="preserve"> ký ngày </w:t>
      </w:r>
      <w:r>
        <w:rPr>
          <w:color w:val="000000" w:themeColor="text1"/>
          <w:spacing w:val="-4"/>
        </w:rPr>
        <w:t xml:space="preserve">04/08/2025</w:t>
      </w:r>
      <w:r>
        <w:rPr>
          <w:spacing w:val="-4"/>
          <w:lang w:val="vi-VN"/>
        </w:rPr>
        <w:t xml:space="preserve"> </w:t>
      </w:r>
      <w:r>
        <w:rPr>
          <w:spacing w:val="-4"/>
          <w:lang w:val="vi-VN"/>
        </w:rPr>
        <w:t xml:space="preserve">giữa </w:t>
      </w:r>
      <w:r>
        <w:rPr>
          <w:color w:val="000000" w:themeColor="text1"/>
          <w:spacing w:val="-4"/>
        </w:rPr>
        <w:t xml:space="preserve">Ông Trương Thị Diệp</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HSTD-20250804-0003/BC-VFI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01/12/2025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r>
      <w:commentRangeStart w:id="0"/>
      <w:commentRangeStart w:id="1"/>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commentRangeEnd w:id="0"/>
      <w:commentRangeEnd w:id="1"/>
      <w:r>
        <w:commentReference w:id="0"/>
        <w:commentReference w:id="1"/>
      </w:r>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Trương Thị Diệp</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00129578351</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1972</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Khoang Sau, Xã Sơn Đông, Thị Xã Sơn Tây, Hà Nội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Giá trị quyền sử dụng đất tại thửa đất số: 1011 + 2353, tờ bản đồ số 21 có địa chỉ: Thôn Khoang Sau, xã Sơn Đông, Thị xã Sơn Tây, Thành phố Hà Nội (Nay là xã Đo</w:t>
      </w:r>
      <w:r>
        <w:rPr>
          <w:color w:val="000000" w:themeColor="text1"/>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Giá trị quyền sử dụng đất tại thửa đất số: 1011 + 2353, tờ bản đồ số 21 có địa chỉ: Thôn Khoang Sau, xã Sơn Đông, Thị xã Sơn Tây, Thành phố Hà Nội (Nay là xã Đo</w:t>
            </w:r>
            <w:r>
              <w:rPr>
                <w:color w:val="000000"/>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trồng cây lâu năm</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94.4</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0</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63" w:type="pct"/>
            <w:vAlign w:val="center"/>
            <w:textDirection w:val="lrTb"/>
            <w:noWrap w:val="false"/>
          </w:tcPr>
          <w:p>
            <w:pPr>
              <w:pBdr/>
              <w:spacing w:after="40" w:before="40" w:line="288" w:lineRule="auto"/>
              <w:ind/>
              <w:rPr/>
            </w:pPr>
            <w:r>
              <w:rPr>
                <w:b/>
                <w:bCs/>
              </w:rPr>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60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0</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3</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Nhà ở trên đất</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180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7.118.364</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1.217.240.244</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1.217.240.244</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1.217.200.000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hai trăm mười bảy triệu hai trăm nghìn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Vũ Thị Kiều Nguyệt Nga</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XII17.1802</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32"/>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32"/>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HSTD-20250804-0003/BC-VFI</w:t>
            </w:r>
            <w:r>
              <w:rPr>
                <w:sz w:val="24"/>
                <w:szCs w:val="24"/>
              </w:rPr>
            </w:r>
            <w:r>
              <w:rPr>
                <w:sz w:val="24"/>
                <w:szCs w:val="24"/>
              </w:rPr>
            </w:r>
          </w:p>
        </w:tc>
        <w:tc>
          <w:tcPr>
            <w:tcBorders/>
            <w:tcW w:w="4781" w:type="dxa"/>
            <w:textDirection w:val="lrTb"/>
            <w:noWrap w:val="false"/>
          </w:tcPr>
          <w:p>
            <w:pPr>
              <w:pStyle w:val="1032"/>
              <w:pBdr/>
              <w:tabs>
                <w:tab w:val="left" w:leader="none" w:pos="5103"/>
              </w:tabs>
              <w:spacing w:before="100" w:line="360" w:lineRule="auto"/>
              <w:ind/>
              <w:jc w:val="right"/>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pPr>
              <w:pStyle w:val="1032"/>
              <w:pBdr/>
              <w:tabs>
                <w:tab w:val="left" w:leader="none" w:pos="5103"/>
              </w:tabs>
              <w:spacing w:before="100" w:line="360" w:lineRule="auto"/>
              <w:ind/>
              <w:jc w:val="right"/>
              <w:rPr>
                <w:i/>
                <w:iCs/>
                <w:sz w:val="24"/>
                <w:szCs w:val="24"/>
              </w:rPr>
            </w:pPr>
            <w:r>
              <w:rPr>
                <w:rStyle w:val="1031"/>
                <w:rFonts w:ascii="Times New Roman" w:hAnsi="Times New Roman"/>
                <w:i/>
                <w:color w:val="auto"/>
              </w:rPr>
              <w:t xml:space="preserve">TP</w:t>
            </w:r>
            <w:r>
              <w:rPr>
                <w:rStyle w:val="1031"/>
                <w:rFonts w:ascii="Times New Roman" w:hAnsi="Times New Roman"/>
                <w:color w:val="auto"/>
              </w:rPr>
              <w:t xml:space="preserve">. </w:t>
            </w:r>
            <w:r>
              <w:rPr>
                <w:rStyle w:val="1031"/>
                <w:rFonts w:ascii="Times New Roman" w:hAnsi="Times New Roman"/>
                <w:i/>
                <w:color w:val="auto"/>
              </w:rPr>
              <w:t xml:space="preserve">Hà Nội</w:t>
            </w:r>
            <w:r>
              <w:rPr>
                <w:rStyle w:val="1031"/>
                <w:rFonts w:ascii="Times New Roman" w:hAnsi="Times New Roman"/>
                <w:i/>
                <w:color w:val="auto"/>
                <w:lang w:val="vi-VN"/>
              </w:rPr>
              <w:t xml:space="preserve">, </w:t>
            </w:r>
            <w:r>
              <w:rPr>
                <w:i/>
                <w:iCs/>
                <w:color w:val="000000" w:themeColor="text1"/>
                <w:sz w:val="24"/>
                <w:szCs w:val="24"/>
                <w:lang w:val="pt-BR"/>
              </w:rPr>
              <w:t xml:space="preserve">01/12/2025</w:t>
            </w:r>
            <w:r>
              <w:rPr>
                <w:rStyle w:val="1031"/>
                <w:rFonts w:ascii="Times New Roman" w:hAnsi="Times New Roman"/>
                <w:i/>
                <w:color w:val="auto"/>
                <w:lang w:val="vi-VN"/>
              </w:rPr>
              <w:t xml:space="preserve">   </w:t>
            </w:r>
            <w:r>
              <w:rPr>
                <w:rStyle w:val="1031"/>
                <w:rFonts w:ascii="Times New Roman" w:hAnsi="Times New Roman"/>
                <w:i/>
                <w:color w:val="auto"/>
                <w:lang w:val="vi-VN"/>
              </w:rPr>
              <w:t xml:space="preserve">  </w:t>
            </w:r>
            <w:r>
              <w:rPr>
                <w:i/>
                <w:iCs/>
                <w:sz w:val="24"/>
                <w:szCs w:val="24"/>
              </w:rPr>
            </w:r>
            <w:r>
              <w:rPr>
                <w:i/>
                <w:iCs/>
                <w:sz w:val="24"/>
                <w:szCs w:val="24"/>
              </w:rPr>
            </w:r>
          </w:p>
        </w:tc>
      </w:tr>
    </w:tbl>
    <w:p>
      <w:pPr>
        <w:pStyle w:val="1032"/>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12"/>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HSTD-20250804-0003/CT-VFI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01/12/2025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2"/>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pPr>
        <w:pStyle w:val="1033"/>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Trương Thị Diệp</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00129578351</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1972</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Thôn Khoang Sau, Xã Sơn Đông, Thị Xã Sơn Tây, Hà Nội</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Giá trị quyền sử dụng đất tại thửa đất số: 1011 + 2353, tờ bản đồ số 21 có địa chỉ: Thôn Khoang Sau, xã Sơn Đông, Thị xã Sơn Tây, Thành phố Hà Nội (Nay là xã Đo</w:t>
            </w:r>
            <w:r>
              <w:rPr>
                <w:bCs/>
                <w:color w:val="000000" w:themeColor="text1"/>
                <w:lang w:val="pt-BR"/>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3"/>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21.0723565, 105.5041822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3"/>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3"/>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3"/>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3"/>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3"/>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3"/>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3"/>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3"/>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Giá trị quyền sử dụng đất tại thửa đất số: 1011 + 2353, tờ bản đồ số 21 có địa chỉ: Thôn Khoang Sau, xã Sơn Đông, Thị xã Sơn Tây, Thành phố Hà Nội (Nay là xã Đo</w:t>
      </w:r>
      <w:r>
        <w:rPr>
          <w:bCs/>
          <w:color w:val="000000" w:themeColor="text1"/>
          <w:lang w:val="pt-BR"/>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3"/>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HSTD-20250804-0003/HĐTĐ-VFI ngày 04/08/2025 giữa Trương Thị Diệp với Công ty Cổ phần Thẩm định và Đầu tư Tài chính Hoa Sen.</w:t>
      </w:r>
      <w:r>
        <w:rPr>
          <w:b/>
          <w:lang w:val="pt-BR"/>
        </w:rPr>
      </w:r>
      <w:r>
        <w:rPr>
          <w:b/>
          <w:lang w:val="pt-BR"/>
        </w:rPr>
      </w:r>
    </w:p>
    <w:p>
      <w:pPr>
        <w:pStyle w:val="1033"/>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shd w:val="clear" w:color="auto" w:fill="ffffff"/>
        </w:rPr>
      </w:r>
      <w:r>
        <w:rPr>
          <w:i/>
          <w:iCs/>
          <w:lang w:val="pt-BR"/>
        </w:rPr>
      </w:r>
      <w:r>
        <w:rPr>
          <w:i/>
          <w:iCs/>
          <w:lang w:val="pt-BR"/>
        </w:rPr>
      </w:r>
    </w:p>
    <w:p>
      <w:pPr>
        <w:pStyle w:val="1033"/>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Giá trị quyền sử dụng đất tại thửa đất số: 1011 + 2353, tờ bản đồ số 21 có địa chỉ: Thôn Khoang Sau, xã Sơn Đông, Thị xã Sơn Tây, Thành phố Hà Nội (Nay là xã Đo</w:t>
            </w:r>
            <w:r>
              <w:rPr>
                <w:b/>
                <w:bCs/>
                <w:color w:val="000000"/>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110+235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Xã Sơn Đông, Thị xã Sơn Tây,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chung: 154 m2, Sử dụng riêng: 154,4 m2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2 mặt đường, phố + 1 mặt ngõ</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20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 </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rPr>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21.0723565</w:t>
            </w:r>
            <w:r>
              <w:rPr>
                <w:color w:val="000000"/>
              </w:rPr>
              <w:t xml:space="preserve">, </w:t>
            </w:r>
            <w:r>
              <w:rPr>
                <w:color w:val="000000"/>
              </w:rPr>
              <w:t xml:space="preserve">105.5041822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15"/>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5"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154,4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154</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Nở hậu</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Trung tâm hành chính: Cách ủy ban nhân dân Thị xã Sơn tây 400m, Trung tâm thương mại, chợ: Cách chợ dân sinh 50m, Cơ sở giáo dục: Cá</w:t>
            </w:r>
            <w:r>
              <w:rPr>
                <w:color w:val="000000"/>
              </w:rPr>
              <w:t xml:space="preserve">ch trường học 2km, Cơ sở thể dục thể thao: Không có cơ sở trong phạm vi 5km quanh tài sản, Cơ sở y tế: Cách trạm xá thị xã Sơn Tây 4km, Công viên, khu vui chơi giải trí: Trong phạm vi 5km quanh tài sản, không có công trình vui chơi, giải trí, công viên nào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 </w:t>
            </w:r>
            <w:r>
              <w:rPr>
                <w:color w:val="000000"/>
              </w:rPr>
              <w:t xml:space="preserve">Tại thời điểm khảo sát dưới sự hướng dẫn của Khách hàng, CTXD gắn liền với đất là Nhà ở trên đất, hoàn thiện năm 2010, diện tích xây dựng 60m², diện tích sàn 120m²</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7"/>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bl>
    <w:p>
      <w:pPr>
        <w:pBdr/>
        <w:spacing/>
        <w:ind/>
        <w:rPr>
          <w:b/>
          <w:bCs/>
        </w:rPr>
      </w:pPr>
      <w:r>
        <w:rPr>
          <w:b/>
          <w:bCs/>
        </w:rPr>
      </w: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Có</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3"/>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3"/>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3"/>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3"/>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3"/>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3"/>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3"/>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3"/>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3"/>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3"/>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3"/>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3"/>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3"/>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3"/>
        <w:numPr>
          <w:ilvl w:val="0"/>
          <w:numId w:val="6"/>
        </w:numPr>
        <w:pBdr/>
        <w:tabs>
          <w:tab w:val="left" w:leader="none" w:pos="720"/>
          <w:tab w:val="left" w:leader="none" w:pos="6106"/>
        </w:tabs>
        <w:spacing w:after="120" w:before="120" w:line="276" w:lineRule="auto"/>
        <w:ind w:left="360"/>
        <w:jc w:val="both"/>
        <w:rPr>
          <w:b/>
          <w:lang w:val="nl-NL"/>
        </w:rPr>
      </w:pPr>
      <w:r>
        <w:rPr>
          <w:b/>
          <w:lang w:val="nl-NL"/>
        </w:rPr>
        <w:t xml:space="preserve">Thông tin tài sản so sánh:</w:t>
      </w:r>
      <w:r>
        <w:rPr>
          <w:b/>
          <w:lang w:val="nl-NL"/>
        </w:rPr>
      </w:r>
      <w:r>
        <w:rPr>
          <w:b/>
          <w:lang w:val="nl-NL"/>
        </w:rPr>
        <w:tab/>
      </w:r>
      <w:r>
        <w:rPr>
          <w:b/>
          <w:lang w:val="nl-NL"/>
        </w:rPr>
      </w:r>
    </w:p>
    <w:tbl>
      <w:tblPr>
        <w:tblW w:w="0" w:type="auto"/>
        <w:tblBorders/>
        <w:tblLayout w:type="fixed"/>
        <w:tblLook w:val="04A0" w:firstRow="1" w:lastRow="0" w:firstColumn="1" w:lastColumn="0" w:noHBand="0" w:noVBand="1"/>
      </w:tblPr>
      <w:tblGrid>
        <w:gridCol w:w="704"/>
        <w:gridCol w:w="1843"/>
        <w:gridCol w:w="1733"/>
        <w:gridCol w:w="1751"/>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textDirection w:val="lrTb"/>
            <w:noWrap w:val="false"/>
          </w:tcPr>
          <w:p>
            <w:pPr>
              <w:pBdr/>
              <w:spacing w:after="0"/>
              <w:ind/>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 xml:space="preserve">Tài sản 1: Quyền sở hữu Căn hộ số A2.07, Tầng 3, khối B (Stown Tham Lương) thuộc dự án khu nhà ở tái định cư Tham Lương tại thửa đất số 462, tờ bản đồ số 48 có địa chỉ: phường Đông Hưng Thuận, thành phố Hồ Chí Minh </w:t>
            </w:r>
            <w:r>
              <w:rPr>
                <w:rFonts w:ascii="Times New Roman" w:hAnsi="Times New Roman" w:eastAsia="Times New Roman"/>
                <w:b/>
                <w:bCs/>
                <w:color w:val="000000"/>
                <w:sz w:val="24"/>
                <w:szCs w:val="24"/>
              </w:rPr>
              <w:t xml:space="preserve">theo Giấy chứng nhận quyền sử dụng đất, quyền sở hữu tài sản gắn liền với đất số: AA 03058268,  số vào sổ cấp GCN: VP 8341 do Sở nông nghiệp và môi trường thành phố Hồ Chí Minh cấp ngày 06/10/2025. Chủ sở hữu căn hộ số A2.01 trên là bà Nguyễn Thị Ngọc Thùy</w:t>
            </w:r>
            <w:r>
              <w:rPr>
                <w:rFonts w:ascii="Times New Roman" w:hAnsi="Times New Roman" w:eastAsia="Times New Roman"/>
                <w:b/>
                <w:bCs/>
                <w:color w:val="000000"/>
                <w:sz w:val="24"/>
                <w:szCs w:val="24"/>
              </w:rPr>
              <w:t xml:space="preserve">. </w:t>
            </w:r>
            <w:r>
              <w:rPr>
                <w:rFonts w:ascii="Times New Roman" w:hAnsi="Times New Roman" w:eastAsia="Times New Roman"/>
                <w:b/>
                <w:bCs/>
                <w:color w:val="000000"/>
                <w:sz w:val="24"/>
                <w:szCs w:val="24"/>
              </w:rPr>
            </w:r>
            <w:r>
              <w:rPr>
                <w:rFonts w:ascii="Times New Roman" w:hAnsi="Times New Roman" w:eastAsia="Times New Roman"/>
                <w:b/>
                <w:bCs/>
                <w:color w:val="000000"/>
                <w:sz w:val="24"/>
                <w:szCs w:val="24"/>
              </w:rPr>
            </w:r>
          </w:p>
          <w:p>
            <w:pPr>
              <w:pBdr/>
              <w:spacing w:after="0"/>
              <w:ind/>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 xml:space="preserve">Tài sản 2: Quyền sở hữu căn hộ số A13.</w:t>
            </w:r>
            <w:r>
              <w:rPr>
                <w:rFonts w:ascii="Times New Roman" w:hAnsi="Times New Roman" w:eastAsia="Times New Roman"/>
                <w:b/>
                <w:bCs/>
                <w:color w:val="000000"/>
                <w:sz w:val="24"/>
                <w:szCs w:val="24"/>
              </w:rPr>
              <w:t xml:space="preserve">0</w:t>
            </w:r>
            <w:r>
              <w:rPr>
                <w:rFonts w:ascii="Times New Roman" w:hAnsi="Times New Roman" w:eastAsia="Times New Roman"/>
                <w:b/>
                <w:bCs/>
                <w:color w:val="000000"/>
                <w:sz w:val="24"/>
                <w:szCs w:val="24"/>
              </w:rPr>
              <w:t xml:space="preserve">7, tầng 14, Chung cư CC1 - Khối B (Stown Tham Lương) thuộc dự án khu nhà ở tái định cư Tham Lương tại thửa đất số 462, tờ bản đồ số 48 có địa chỉ tại: phường Đông </w:t>
            </w:r>
            <w:r>
              <w:rPr>
                <w:rFonts w:ascii="Times New Roman" w:hAnsi="Times New Roman" w:eastAsia="Times New Roman"/>
                <w:b/>
                <w:bCs/>
                <w:color w:val="000000"/>
                <w:sz w:val="24"/>
                <w:szCs w:val="24"/>
              </w:rPr>
              <w:t xml:space="preserve">Hưng Thuận, thành phố Hồ Chí Minh theo Giấy chứng nhận quyền sử dụng đất, quyền sở hữu tài sản gắn liền với đất số: AA 03058282, số vào sổ cấp GCN: VP 8355 do Sở nông nghiệp và môi trường thành phố Hồ Chí Minh cấp ngày 06/10/2025. Chủ sở hữu căn hộ số A13.</w:t>
            </w:r>
            <w:r>
              <w:rPr>
                <w:rFonts w:ascii="Times New Roman" w:hAnsi="Times New Roman" w:eastAsia="Times New Roman"/>
                <w:b/>
                <w:bCs/>
                <w:color w:val="000000"/>
                <w:sz w:val="24"/>
                <w:szCs w:val="24"/>
              </w:rPr>
              <w:t xml:space="preserve">0</w:t>
            </w:r>
            <w:r>
              <w:rPr>
                <w:rFonts w:ascii="Times New Roman" w:hAnsi="Times New Roman" w:eastAsia="Times New Roman"/>
                <w:b/>
                <w:bCs/>
                <w:color w:val="000000"/>
                <w:sz w:val="24"/>
                <w:szCs w:val="24"/>
              </w:rPr>
              <w:t xml:space="preserve">7 trên là ông Nguyễn Việt Cường và bà Lê Thị Thúy Phương.</w:t>
            </w:r>
            <w:r>
              <w:rPr>
                <w:rFonts w:ascii="Times New Roman" w:hAnsi="Times New Roman" w:eastAsia="Times New Roman"/>
                <w:b/>
                <w:bCs/>
                <w:color w:val="000000"/>
                <w:sz w:val="24"/>
                <w:szCs w:val="24"/>
              </w:rPr>
            </w:r>
            <w:r>
              <w:rPr>
                <w:rFonts w:ascii="Times New Roman" w:hAnsi="Times New Roman" w:eastAsia="Times New Roman"/>
                <w:b/>
                <w:bCs/>
                <w:color w:val="000000"/>
                <w:sz w:val="24"/>
                <w:szCs w:val="24"/>
              </w:rPr>
            </w:r>
          </w:p>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51"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sz w:val="22"/>
                <w:szCs w:val="22"/>
              </w:rPr>
            </w:pPr>
            <w:r>
              <w:rPr>
                <w:color w:val="000000" w:themeColor="text1"/>
                <w:sz w:val="22"/>
                <w:szCs w:val="22"/>
              </w:rPr>
              <w:t xml:space="preserve">Xã Sơn Đông, Thị xã Sơn Tây,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sz w:val="22"/>
                <w:szCs w:val="22"/>
              </w:rPr>
            </w:pPr>
            <w:r>
              <w:rPr>
                <w:color w:val="000000" w:themeColor="text1"/>
                <w:sz w:val="22"/>
                <w:szCs w:val="22"/>
              </w:rPr>
              <w:t xml:space="preserve">Thôn Nhà Thờ, Phường Trung Sơn Trầm, Thị xã Sơn Tây,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Trung Sơn Trầm, Thị xã Sơn Tây,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Trung Sơn Trầm, Thị xã Sơn Tây,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sz w:val="22"/>
                <w:szCs w:val="22"/>
              </w:rPr>
            </w:pPr>
            <w:r>
              <w:rPr>
                <w:sz w:val="22"/>
                <w:szCs w:val="22"/>
              </w:rPr>
              <w:t xml:space="preserve">SĐT: </w:t>
            </w:r>
            <w:r>
              <w:rPr>
                <w:sz w:val="22"/>
                <w:szCs w:val="22"/>
              </w:rPr>
              <w:t xml:space="preserve"> </w:t>
            </w:r>
            <w:r>
              <w:rPr>
                <w:sz w:val="22"/>
                <w:szCs w:val="22"/>
              </w:rPr>
              <w:br/>
              <w:t xml:space="preserv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sz w:val="22"/>
                <w:szCs w:val="22"/>
              </w:rPr>
              <w:br/>
            </w:r>
            <w:r>
              <w:rPr>
                <w:sz w:val="22"/>
                <w:szCs w:val="22"/>
              </w:rPr>
              <w:t xml:space="preserv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sz w:val="22"/>
                <w:szCs w:val="22"/>
              </w:rPr>
              <w:br/>
            </w:r>
            <w:r>
              <w:rPr>
                <w:sz w:val="22"/>
                <w:szCs w:val="22"/>
              </w:rPr>
              <w:t xml:space="preserv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09/2024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trong tổ dân phố 2, Phường Trung Trầm, TX Sơn Tây, TP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Cách đường tỉnh lộ 416 100m</w:t>
              <w:b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154,4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69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196.2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5.55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Nằm gần khu công nghiệp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1.449.000.000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10.398.600.000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1.159.200.000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7.279.000.000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2.660.000.000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themeColor="text1"/>
                <w:sz w:val="22"/>
                <w:szCs w:val="22"/>
              </w:rPr>
            </w:pPr>
            <w:r>
              <w:rPr>
                <w:color w:val="000000"/>
                <w:sz w:val="22"/>
                <w:szCs w:val="22"/>
              </w:rPr>
              <w:t xml:space="preserve"> </w:t>
            </w:r>
            <w:r>
              <w:rPr>
                <w:color w:val="000000" w:themeColor="text1"/>
                <w:sz w:val="22"/>
                <w:szCs w:val="22"/>
              </w:rPr>
              <w:t xml:space="preserve">1.217.240.244</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13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Đơn giá xây dựng theo Quyết định số 409/QĐ-BXD ngày 11/4/2025 của Bộ Xây Dựng (đồng/m²)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7.118.364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 Tỷ lệ % CLCL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rPr>
                <w:color w:val="000000"/>
                <w:sz w:val="22"/>
                <w:szCs w:val="22"/>
              </w:rPr>
            </w:pPr>
            <w:r>
              <w:rPr>
                <w:color w:val="000000"/>
                <w:sz w:val="22"/>
                <w:szCs w:val="22"/>
              </w:rPr>
              <w:t xml:space="preserve">Tỷ lệ % hoàn thiện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100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t xml:space="preserve">1.159.200.000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7.279.000.000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2.660.000.000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3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51"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3"/>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1.159.200.000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7.279.000.000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2.660.000.000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nằm trong tổ dân phố 2, Phường Trung Trầm, TX Sơn Tây, TP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Cách đường tỉnh lộ 416 100m</w:t>
              <w:b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154,4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196.2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hậu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hồ, sông, suối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Các yếu tố khác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${bdc_var1#21}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37.099.898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16.800.000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37.099.898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38.000.000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30.633.299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-45.16%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21.11%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24.05%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t xml:space="preserve">-45.16</w:t>
      </w:r>
      <w:r>
        <w:t xml:space="preserve">% đến </w:t>
      </w:r>
      <w:r>
        <w:t xml:space="preserve">24.05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16.800.000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5.601.120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37.099.898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12.365.396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38.000.000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12.665.400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30.631.916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31.000.000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31.000.000</w:t>
      </w:r>
      <w:r>
        <w:rPr>
          <w:b/>
          <w:bCs/>
          <w:color w:val="000000" w:themeColor="text1"/>
        </w:rPr>
        <w:t xml:space="preserve"> </w:t>
      </w:r>
      <w:r>
        <w:rPr>
          <w:b/>
          <w:bCs/>
        </w:rPr>
        <w:t xml:space="preserve">đồng/m².</w:t>
      </w:r>
      <w:r>
        <w:rPr>
          <w:b/>
          <w:bCs/>
        </w:rPr>
      </w:r>
      <w:r>
        <w:rPr>
          <w:b/>
          <w:bCs/>
        </w:rPr>
      </w:r>
    </w:p>
    <w:p>
      <w:pPr>
        <w:pStyle w:val="1033"/>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tbl>
      <w:tblPr>
        <w:tblInd w:w="-714" w:type="dxa"/>
        <w:tblW w:w="10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8"/>
        <w:gridCol w:w="1275"/>
        <w:gridCol w:w="1560"/>
        <w:gridCol w:w="1701"/>
        <w:gridCol w:w="1139"/>
        <w:gridCol w:w="1559"/>
        <w:gridCol w:w="1968"/>
      </w:tblGrid>
      <w:tr>
        <w:trPr>
          <w:trHeight w:val="936"/>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Tài sản</w:t>
            </w:r>
            <w:r>
              <w:rPr>
                <w:b/>
                <w:bCs/>
                <w:sz w:val="22"/>
                <w:szCs w:val="22"/>
              </w:rPr>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Diện tích sàn (m²)</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Đơn giá xây dựng mới (đồng/m² sàn)</w:t>
            </w:r>
            <w:r>
              <w:rPr>
                <w:b/>
                <w:bCs/>
                <w:sz w:val="22"/>
                <w:szCs w:val="22"/>
              </w:rPr>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Chi phí thay thế (đồng)</w:t>
            </w:r>
            <w:r>
              <w:rPr>
                <w:b/>
                <w:bCs/>
                <w:sz w:val="22"/>
                <w:szCs w:val="22"/>
              </w:rPr>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Tỷ lệ hao mòn (%)</w:t>
            </w:r>
            <w:r>
              <w:rPr>
                <w:b/>
                <w:bCs/>
                <w:sz w:val="22"/>
                <w:szCs w:val="22"/>
              </w:rPr>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Giá trị hao mòn (đồng)</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Giá trị thẩm định tại thời điểm thẩm định giá (đồng)</w:t>
            </w:r>
            <w:r>
              <w:rPr>
                <w:b/>
                <w:bCs/>
                <w:sz w:val="22"/>
                <w:szCs w:val="22"/>
              </w:rPr>
            </w:r>
            <w:r>
              <w:rPr>
                <w:b/>
                <w:bCs/>
                <w:sz w:val="22"/>
                <w:szCs w:val="22"/>
              </w:rPr>
            </w:r>
          </w:p>
        </w:tc>
      </w:tr>
      <w:tr>
        <w:trPr>
          <w:trHeight w:val="300"/>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(1)</w:t>
            </w:r>
            <w:r>
              <w:rPr>
                <w:b/>
                <w:bCs/>
                <w:sz w:val="22"/>
                <w:szCs w:val="22"/>
              </w:rPr>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(2)</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(3)</w:t>
            </w:r>
            <w:r>
              <w:rPr>
                <w:b/>
                <w:bCs/>
                <w:sz w:val="22"/>
                <w:szCs w:val="22"/>
              </w:rPr>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(4) = (2) * (3)</w:t>
            </w:r>
            <w:r>
              <w:rPr>
                <w:b/>
                <w:bCs/>
                <w:sz w:val="22"/>
                <w:szCs w:val="22"/>
              </w:rPr>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(5)</w:t>
            </w:r>
            <w:r>
              <w:rPr>
                <w:b/>
                <w:bCs/>
                <w:sz w:val="22"/>
                <w:szCs w:val="22"/>
              </w:rPr>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w:t>
            </w:r>
            <w:r>
              <w:rPr>
                <w:b/>
                <w:bCs/>
                <w:sz w:val="22"/>
                <w:szCs w:val="22"/>
              </w:rPr>
              <w:t xml:space="preserve">(4)*(5)</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r>
              <w:rPr>
                <w:b/>
                <w:bCs/>
                <w:sz w:val="22"/>
                <w:szCs w:val="22"/>
              </w:rPr>
            </w:r>
          </w:p>
        </w:tc>
      </w:tr>
      <w:tr>
        <w:trPr>
          <w:trHeight w:val="312"/>
        </w:trPr>
        <w:tc>
          <w:tcPr>
            <w:tcBorders/>
            <w:tcW w:w="1418" w:type="dxa"/>
            <w:vAlign w:val="center"/>
            <w:textDirection w:val="lrTb"/>
            <w:noWrap w:val="false"/>
          </w:tcPr>
          <w:p>
            <w:pPr>
              <w:pBdr/>
              <w:spacing w:after="60" w:before="60"/>
              <w:ind/>
              <w:jc w:val="center"/>
              <w:rPr>
                <w:sz w:val="22"/>
                <w:szCs w:val="22"/>
              </w:rPr>
            </w:pPr>
            <w:r>
              <w:rPr>
                <w:sz w:val="22"/>
                <w:szCs w:val="22"/>
              </w:rPr>
              <w:t xml:space="preserve">Nhà ở trên đất</w:t>
            </w:r>
            <w:r>
              <w:rPr>
                <w:sz w:val="22"/>
                <w:szCs w:val="22"/>
              </w:rPr>
            </w:r>
            <w:r>
              <w:rPr>
                <w:sz w:val="22"/>
                <w:szCs w:val="22"/>
              </w:rPr>
            </w:r>
          </w:p>
        </w:tc>
        <w:tc>
          <w:tcPr>
            <w:tcBorders/>
            <w:tcW w:w="1275" w:type="dxa"/>
            <w:vAlign w:val="center"/>
            <w:textDirection w:val="lrTb"/>
            <w:noWrap/>
          </w:tcPr>
          <w:p>
            <w:pPr>
              <w:pBdr/>
              <w:spacing w:after="60" w:before="60"/>
              <w:ind/>
              <w:jc w:val="center"/>
              <w:rPr>
                <w:sz w:val="22"/>
                <w:szCs w:val="22"/>
              </w:rPr>
            </w:pPr>
            <w:r>
              <w:rPr>
                <w:sz w:val="22"/>
                <w:szCs w:val="22"/>
              </w:rPr>
              <w:t xml:space="preserve">180</w:t>
            </w:r>
            <w:r>
              <w:rPr>
                <w:sz w:val="22"/>
                <w:szCs w:val="22"/>
              </w:rPr>
            </w:r>
            <w:r>
              <w:rPr>
                <w:sz w:val="22"/>
                <w:szCs w:val="22"/>
              </w:rPr>
            </w:r>
          </w:p>
        </w:tc>
        <w:tc>
          <w:tcPr>
            <w:tcBorders/>
            <w:tcW w:w="1560" w:type="dxa"/>
            <w:vAlign w:val="center"/>
            <w:textDirection w:val="lrTb"/>
            <w:noWrap/>
          </w:tcPr>
          <w:p>
            <w:pPr>
              <w:pBdr/>
              <w:spacing w:after="60" w:before="60"/>
              <w:ind/>
              <w:jc w:val="center"/>
              <w:rPr>
                <w:sz w:val="22"/>
                <w:szCs w:val="22"/>
              </w:rPr>
            </w:pPr>
            <w:r>
              <w:rPr>
                <w:sz w:val="22"/>
                <w:szCs w:val="22"/>
              </w:rPr>
              <w:t xml:space="preserve">7.118.364</w:t>
            </w:r>
            <w:r>
              <w:rPr>
                <w:sz w:val="22"/>
                <w:szCs w:val="22"/>
              </w:rPr>
            </w:r>
            <w:r>
              <w:rPr>
                <w:sz w:val="22"/>
                <w:szCs w:val="22"/>
              </w:rPr>
            </w:r>
          </w:p>
        </w:tc>
        <w:tc>
          <w:tcPr>
            <w:tcBorders/>
            <w:tcW w:w="1701" w:type="dxa"/>
            <w:vAlign w:val="center"/>
            <w:textDirection w:val="lrTb"/>
            <w:noWrap/>
          </w:tcPr>
          <w:p>
            <w:pPr>
              <w:pBdr/>
              <w:spacing w:after="60" w:before="60"/>
              <w:ind/>
              <w:jc w:val="center"/>
              <w:rPr>
                <w:sz w:val="22"/>
                <w:szCs w:val="22"/>
              </w:rPr>
            </w:pPr>
            <w:r>
              <w:rPr>
                <w:sz w:val="22"/>
                <w:szCs w:val="22"/>
              </w:rPr>
              <w:t xml:space="preserve">1.281.305.520</w:t>
            </w:r>
            <w:r>
              <w:rPr>
                <w:sz w:val="22"/>
                <w:szCs w:val="22"/>
              </w:rPr>
            </w:r>
            <w:r>
              <w:rPr>
                <w:sz w:val="22"/>
                <w:szCs w:val="22"/>
              </w:rPr>
            </w:r>
          </w:p>
        </w:tc>
        <w:tc>
          <w:tcPr>
            <w:tcBorders/>
            <w:tcW w:w="1139" w:type="dxa"/>
            <w:vAlign w:val="center"/>
            <w:textDirection w:val="lrTb"/>
            <w:noWrap w:val="false"/>
          </w:tcPr>
          <w:p>
            <w:pPr>
              <w:pBdr/>
              <w:spacing w:after="60" w:before="60"/>
              <w:ind/>
              <w:jc w:val="center"/>
              <w:rPr>
                <w:sz w:val="22"/>
                <w:szCs w:val="22"/>
              </w:rPr>
            </w:pPr>
            <w:r>
              <w:rPr>
                <w:sz w:val="22"/>
                <w:szCs w:val="22"/>
              </w:rPr>
              <w:t xml:space="preserve">95</w:t>
            </w:r>
            <w:r>
              <w:rPr>
                <w:sz w:val="22"/>
                <w:szCs w:val="22"/>
              </w:rPr>
            </w:r>
            <w:r>
              <w:rPr>
                <w:sz w:val="22"/>
                <w:szCs w:val="22"/>
              </w:rPr>
            </w:r>
          </w:p>
        </w:tc>
        <w:tc>
          <w:tcPr>
            <w:tcBorders/>
            <w:tcW w:w="1559" w:type="dxa"/>
            <w:vAlign w:val="center"/>
            <w:textDirection w:val="lrTb"/>
            <w:noWrap/>
          </w:tcPr>
          <w:p>
            <w:pPr>
              <w:pBdr/>
              <w:spacing w:after="60" w:before="60"/>
              <w:ind/>
              <w:jc w:val="center"/>
              <w:rPr>
                <w:sz w:val="22"/>
                <w:szCs w:val="22"/>
              </w:rPr>
            </w:pPr>
            <w:r>
              <w:rPr>
                <w:sz w:val="22"/>
                <w:szCs w:val="22"/>
              </w:rPr>
              <w:t xml:space="preserve">1.217.240.244</w:t>
            </w:r>
            <w:r>
              <w:rPr>
                <w:sz w:val="22"/>
                <w:szCs w:val="22"/>
              </w:rPr>
            </w:r>
            <w:r>
              <w:rPr>
                <w:sz w:val="22"/>
                <w:szCs w:val="22"/>
              </w:rPr>
            </w:r>
          </w:p>
        </w:tc>
        <w:tc>
          <w:tcPr>
            <w:tcBorders/>
            <w:tcW w:w="1968" w:type="dxa"/>
            <w:vAlign w:val="center"/>
            <w:textDirection w:val="lrTb"/>
            <w:noWrap w:val="false"/>
          </w:tcPr>
          <w:p>
            <w:pPr>
              <w:pBdr/>
              <w:spacing w:after="60" w:before="60"/>
              <w:ind/>
              <w:jc w:val="center"/>
              <w:rPr>
                <w:sz w:val="22"/>
                <w:szCs w:val="22"/>
              </w:rPr>
            </w:pPr>
            <w:r>
              <w:rPr>
                <w:sz w:val="22"/>
                <w:szCs w:val="22"/>
              </w:rPr>
              <w:t xml:space="preserve">1.217.240.244</w:t>
            </w:r>
            <w:r>
              <w:rPr>
                <w:sz w:val="22"/>
                <w:szCs w:val="22"/>
              </w:rPr>
            </w:r>
            <w:r>
              <w:rPr>
                <w:sz w:val="22"/>
                <w:szCs w:val="22"/>
              </w:rPr>
            </w:r>
          </w:p>
        </w:tc>
      </w:tr>
    </w:tbl>
    <w:p>
      <w:pPr>
        <w:pStyle w:val="1033"/>
        <w:pBdr/>
        <w:spacing w:after="120" w:before="120" w:line="276" w:lineRule="auto"/>
        <w:ind w:left="357"/>
        <w:jc w:val="both"/>
        <w:rPr>
          <w:b/>
          <w:lang w:val="pt-BR"/>
        </w:rPr>
      </w:pPr>
      <w:r>
        <w:rPr>
          <w:b/>
          <w:lang w:val="pt-BR"/>
        </w:rPr>
      </w:r>
      <w:r>
        <w:rPr>
          <w:b/>
          <w:lang w:val="pt-BR"/>
        </w:rPr>
      </w:r>
      <w:r>
        <w:rPr>
          <w:b/>
          <w:lang w:val="pt-BR"/>
        </w:rPr>
      </w:r>
    </w:p>
    <w:p>
      <w:pPr>
        <w:pStyle w:val="1033"/>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3"/>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12/2025</w:t>
      </w:r>
      <w:r>
        <w:t xml:space="preserve"> </w:t>
      </w:r>
      <w:r>
        <w:t xml:space="preserve">ước tính </w:t>
      </w:r>
      <w:r>
        <w:t xml:space="preserve">như sau</w:t>
      </w:r>
      <w:r>
        <w:t xml:space="preserve">:</w:t>
      </w:r>
      <w:r/>
    </w:p>
    <w:p>
      <w:pPr>
        <w:pStyle w:val="1033"/>
        <w:pBdr/>
        <w:tabs>
          <w:tab w:val="left" w:leader="none" w:pos="993"/>
        </w:tabs>
        <w:spacing w:after="120" w:before="120" w:line="276" w:lineRule="auto"/>
        <w:ind w:left="0"/>
        <w:jc w:val="both"/>
        <w:rPr/>
      </w:pPr>
      <w:r/>
      <w:r/>
    </w:p>
    <w:p>
      <w:pPr>
        <w:pStyle w:val="1033"/>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Giá trị quyền sử dụng đất tại thửa đất số: 1011 + 2353, tờ bản đồ số 21 có địa chỉ: Thôn Khoang Sau, xã Sơn Đông, Thị xã Sơn Tây, Thành phố Hà Nội (Nay là xã Đo</w:t>
            </w:r>
            <w:r>
              <w:rPr>
                <w:color w:val="000000"/>
              </w:rPr>
              <w:t xml:space="preserve">ài Phương, thành phố Hà Nội) theo Giấy chứng nhận quyền sử dụng đất quyền sở hữu nhà ở và tài sản khác gắn liền với đất số: BA 602142, số vào sổ cấp GCN: CH 00446 do Uỷ ban nhân dân thị xã Sơn Tây cấp ngày 18/8/2010; Chủ sử dụng đất là Ông Nguyễn Hữu Tuấn.</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trồng cây lâu năm</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94.4</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0</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97" w:type="pct"/>
            <w:vAlign w:val="center"/>
            <w:textDirection w:val="lrTb"/>
            <w:noWrap w:val="false"/>
          </w:tcPr>
          <w:p>
            <w:pPr>
              <w:pBdr/>
              <w:spacing w:after="40" w:before="40" w:line="288" w:lineRule="auto"/>
              <w:ind/>
              <w:rPr/>
            </w:pPr>
            <w:r>
              <w:rPr>
                <w:b/>
                <w:bCs/>
              </w:rPr>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60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0</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3</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Nhà ở trên đất</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180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7.118.364</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1.217.240.244</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1.217.240.244</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1.217.200.000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hai trăm mười bảy triệu hai trăm nghìn</w:t>
            </w:r>
            <w:r>
              <w:rPr>
                <w:b/>
                <w:bCs/>
                <w:i/>
                <w:iCs/>
                <w:color w:val="000000"/>
              </w:rPr>
              <w:t xml:space="preserve">./.)</w:t>
            </w:r>
            <w:r>
              <w:rPr>
                <w:b/>
                <w:bCs/>
                <w:i/>
                <w:iCs/>
                <w:color w:val="000000"/>
              </w:rPr>
            </w:r>
            <w:r>
              <w:rPr>
                <w:b/>
                <w:bCs/>
                <w:i/>
                <w:iCs/>
                <w:color w:val="000000"/>
              </w:rPr>
            </w:r>
          </w:p>
        </w:tc>
      </w:tr>
    </w:tbl>
    <w:p>
      <w:pPr>
        <w:pStyle w:val="1033"/>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3"/>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3"/>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w:t>
      </w:r>
      <w:r>
        <w:rPr>
          <w:lang w:val="pt-BR"/>
        </w:rPr>
        <w:t xml:space="preserve">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3"/>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3"/>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3"/>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3"/>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3"/>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3"/>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3"/>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3"/>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3"/>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3"/>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33"/>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3"/>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3"/>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3"/>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3"/>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3"/>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HSTD-20250804-0003/CT-VFI</w:t>
      </w:r>
      <w:r>
        <w:rPr>
          <w:color w:val="ff0000"/>
          <w:lang w:val="vi-VN"/>
        </w:rPr>
        <w:t xml:space="preserve"> </w:t>
      </w:r>
      <w:r>
        <w:rPr>
          <w:color w:val="000000" w:themeColor="text1"/>
        </w:rPr>
        <w:t xml:space="preserve">01/12/2025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Vũ Thị Kiều Nguyệt Nga</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XII17.1802</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Đoàn Thị Xinh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Thị Thơm</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HSTD-20250804-0003/BC-VFI</w:t>
      </w:r>
      <w:r>
        <w:rPr>
          <w:i/>
        </w:rPr>
        <w:t xml:space="preserve"> ngày</w:t>
      </w:r>
      <w:r>
        <w:rPr>
          <w:i/>
          <w:lang w:val="pt-BR"/>
        </w:rPr>
        <w:t xml:space="preserve"> </w:t>
      </w:r>
      <w:r>
        <w:rPr>
          <w:i/>
          <w:lang w:val="pt-BR"/>
        </w:rPr>
        <w:t xml:space="preserve">01/12/2025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HSTD-20250804-0003/BC-VFI</w:t>
      </w:r>
      <w:r>
        <w:rPr>
          <w:i/>
        </w:rPr>
        <w:t xml:space="preserve"> ngày</w:t>
      </w:r>
      <w:r>
        <w:rPr>
          <w:i/>
          <w:lang w:val="pt-BR"/>
        </w:rPr>
        <w:t xml:space="preserve"> </w:t>
      </w:r>
      <w:r>
        <w:rPr>
          <w:i/>
          <w:lang w:val="pt-BR"/>
        </w:rPr>
        <w:t xml:space="preserve">01/12/2025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br/>
            </w:r>
            <w:r>
              <w:rPr>
                <w:sz w:val="22"/>
                <w:szCs w:val="22"/>
              </w:rPr>
              <w:t xml:space="preserve"> </w:t>
            </w:r>
            <w:r>
              <w:rPr>
                <w:sz w:val="22"/>
                <w:szCs w:val="22"/>
              </w:rPr>
              <w:br/>
              <w:t xml:space="preserv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1.449.000.000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1.159.200.000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09/2024</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Cách đường tỉnh lộ 416 100m</w:t>
              <w:b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3812"/>
        <w:gridCol w:w="4676"/>
      </w:tblGrid>
      <w:tr>
        <w:trPr>
          <w:jc w:val="center"/>
          <w:trHeight w:val="283"/>
        </w:trPr>
        <w:tc>
          <w:tcPr>
            <w:tcBorders/>
            <w:tcW w:w="3812" w:type="dxa"/>
            <w:vAlign w:val="center"/>
            <w:textDirection w:val="lrTb"/>
            <w:noWrap w:val="false"/>
          </w:tcPr>
          <w:p>
            <w:pPr>
              <w:pBdr/>
              <w:spacing/>
              <w:ind/>
              <w:jc w:val="center"/>
              <w:rPr>
                <w:b/>
                <w:bCs/>
              </w:rPr>
            </w:pPr>
            <w:r>
              <w:rPr>
                <w:b/>
                <w:bCs/>
              </w:rPr>
            </w:r>
            <w:r>
              <w:rPr>
                <w:b/>
                <w:bCs/>
              </w:rPr>
            </w:r>
            <w:r>
              <w:rPr>
                <w:b/>
                <w:bCs/>
              </w:rPr>
            </w:r>
          </w:p>
        </w:tc>
        <w:tc>
          <w:tcPr>
            <w:tcBorders/>
            <w:tcW w:w="46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jc w:val="center"/>
          <w:trHeight w:val="293"/>
        </w:trPr>
        <w:tc>
          <w:tcPr>
            <w:tcBorders/>
            <w:tcW w:w="3812" w:type="dxa"/>
            <w:vAlign w:val="center"/>
            <w:textDirection w:val="lrTb"/>
            <w:noWrap w:val="false"/>
          </w:tcPr>
          <w:p>
            <w:pPr>
              <w:pBdr/>
              <w:spacing/>
              <w:ind/>
              <w:jc w:val="center"/>
              <w:rPr>
                <w:b/>
                <w:bCs/>
              </w:rPr>
            </w:pPr>
            <w:r>
              <w:rPr>
                <w:b/>
                <w:bCs/>
              </w:rPr>
            </w:r>
            <w:r>
              <w:rPr>
                <w:b/>
                <w:bCs/>
              </w:rPr>
            </w:r>
            <w:r>
              <w:rPr>
                <w:b/>
                <w:bCs/>
              </w:rPr>
            </w:r>
          </w:p>
        </w:tc>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t xml:space="preserve">Nguyễn Hải Yến</w:t>
            </w:r>
            <w:r/>
          </w:p>
          <w:p>
            <w:pPr>
              <w:pBdr/>
              <w:spacing/>
              <w:ind/>
              <w:jc w:val="center"/>
              <w:rPr/>
            </w:pPr>
            <w: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br/>
            </w:r>
            <w:r>
              <w:rPr>
                <w:sz w:val="22"/>
                <w:szCs w:val="22"/>
              </w:rPr>
              <w:t xml:space="preserve"> </w:t>
            </w:r>
            <w:r>
              <w:rPr>
                <w:sz w:val="22"/>
                <w:szCs w:val="22"/>
              </w:rPr>
              <w:br/>
              <w:t xml:space="preserv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10.398.600.000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7.279.000.000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196.2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t xml:space="preserve">Nguyễn Đăng Hiếu</w:t>
            </w:r>
            <w:r/>
          </w:p>
        </w:tc>
      </w:tr>
      <w:tr>
        <w:trPr>
          <w:trHeight w:val="298"/>
        </w:trPr>
        <w:tc>
          <w:tcPr>
            <w:tcBorders/>
            <w:tcW w:w="4358" w:type="dxa"/>
            <w:vAlign w:val="bottom"/>
            <w:textDirection w:val="lrTb"/>
            <w:noWrap w:val="false"/>
          </w:tcPr>
          <w:p>
            <w:pPr>
              <w:pBdr/>
              <w:spacing/>
              <w:ind/>
              <w:rPr>
                <w:b/>
                <w:bCs/>
              </w:rPr>
            </w:pPr>
            <w:r>
              <w:rPr>
                <w:b/>
                <w:bCs/>
              </w:rPr>
            </w:r>
            <w:r>
              <w:rPr>
                <w:b/>
                <w:bCs/>
              </w:rPr>
            </w:r>
            <w:r>
              <w:rPr>
                <w:b/>
                <w:bCs/>
              </w:rPr>
            </w:r>
          </w:p>
        </w:tc>
        <w:tc>
          <w:tcPr>
            <w:tcBorders/>
            <w:tcW w:w="4701" w:type="dxa"/>
            <w:vAlign w:val="center"/>
            <w:textDirection w:val="lrTb"/>
            <w:noWrap/>
          </w:tcPr>
          <w:p>
            <w:pPr>
              <w:pBdr/>
              <w:spacing/>
              <w:ind/>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br/>
            </w:r>
            <w:r>
              <w:rPr>
                <w:sz w:val="22"/>
                <w:szCs w:val="22"/>
              </w:rPr>
              <w:t xml:space="preserve">SĐT: </w:t>
            </w:r>
            <w:r>
              <w:rPr>
                <w:sz w:val="22"/>
                <w:szCs w:val="22"/>
              </w:rPr>
              <w:t xml:space="preserve"> </w:t>
            </w:r>
            <w:r>
              <w:rPr>
                <w:sz w:val="22"/>
                <w:szCs w:val="22"/>
              </w:rPr>
              <w:br/>
              <w:t xml:space="preserv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2.660.000.000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t xml:space="preserve">Nguyễn Đăng Hiếu</w:t>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Đoàn Thị Xinh" w:date="2025-12-02T09:20:28Z" w:initials="ĐTX">
    <w:p w14:paraId="00000001" w14:textId="00000001">
      <w:pPr>
        <w:spacing w:line="240" w:after="0" w:lineRule="auto" w:before="0"/>
        <w:ind w:firstLine="0" w:left="0" w:right="0"/>
        <w:jc w:val="left"/>
      </w:pPr>
      <w:r>
        <w:rPr>
          <w:rFonts w:eastAsia="Arial" w:ascii="Arial" w:hAnsi="Arial" w:cs="Arial"/>
          <w:sz w:val="22"/>
        </w:rPr>
        <w:t xml:space="preserve">chỉnh sửa</w:t>
      </w:r>
    </w:p>
  </w:comment>
  <w:comment w:id="1" w:author="Nguyễn Dũng" w:date="2025-12-02T11:14:27Z" w:initials="ND">
    <w:p w14:paraId="00000002" w14:textId="00000002">
      <w:pPr>
        <w:spacing w:line="240" w:after="0" w:lineRule="auto" w:before="0"/>
        <w:ind w:firstLine="0" w:left="0" w:right="0"/>
        <w:jc w:val="left"/>
      </w:pPr>
      <w:r>
        <w:rPr>
          <w:rFonts w:eastAsia="Arial" w:ascii="Arial" w:hAnsi="Arial" w:cs="Arial"/>
          <w:sz w:val="22"/>
        </w:rPr>
        <w:t xml:space="preserve">test comment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paraIdParent="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56D12B4" w16cex:dateUtc="2025-12-02T02:20:28Z"/>
  <w16cex:commentExtensible w16cex:durableId="20B5B947" w16cex:dateUtc="2025-12-02T04:14:27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56D12B4"/>
  <w16cid:commentId w16cid:paraId="00000002" w16cid:durableId="20B5B9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8">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9">
    <w:nsid w:val="4D12972E"/>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Dũng">
    <w15:presenceInfo w15:providerId="Teamlab" w15:userId="uid-1"/>
  </w15:person>
  <w15:person w15:author="Đoàn Thị Xinh">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5">
    <w:name w:val="Table Grid Light"/>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1"/>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2"/>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3"/>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4"/>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5"/>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w:basedOn w:val="101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w:basedOn w:val="101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1"/>
    <w:basedOn w:val="10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2"/>
    <w:basedOn w:val="10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3"/>
    <w:basedOn w:val="10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4"/>
    <w:basedOn w:val="10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5"/>
    <w:basedOn w:val="10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6"/>
    <w:basedOn w:val="10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1"/>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2"/>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3"/>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4"/>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5"/>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6"/>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7">
    <w:name w:val="Grid Table 6 Colorful - Accent 1"/>
    <w:basedOn w:val="10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8">
    <w:name w:val="Grid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9">
    <w:name w:val="Grid Table 6 Colorful - Accent 3"/>
    <w:basedOn w:val="10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0">
    <w:name w:val="Grid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1">
    <w:name w:val="Grid Table 6 Colorful - Accent 5"/>
    <w:basedOn w:val="10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6 Colorful - Accent 6"/>
    <w:basedOn w:val="10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7 Colorful"/>
    <w:basedOn w:val="101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1"/>
    <w:basedOn w:val="10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5"/>
    <w:basedOn w:val="10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6"/>
    <w:basedOn w:val="10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1"/>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2"/>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3"/>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4"/>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5"/>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6"/>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w:basedOn w:val="101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1"/>
    <w:basedOn w:val="10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2"/>
    <w:basedOn w:val="10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3"/>
    <w:basedOn w:val="10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4"/>
    <w:basedOn w:val="10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5"/>
    <w:basedOn w:val="10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6"/>
    <w:basedOn w:val="10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1"/>
    <w:basedOn w:val="10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3"/>
    <w:basedOn w:val="10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5"/>
    <w:basedOn w:val="10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6"/>
    <w:basedOn w:val="10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1"/>
    <w:basedOn w:val="10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2"/>
    <w:basedOn w:val="10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3"/>
    <w:basedOn w:val="10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4"/>
    <w:basedOn w:val="10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5"/>
    <w:basedOn w:val="10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6"/>
    <w:basedOn w:val="10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w:basedOn w:val="101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1"/>
    <w:basedOn w:val="10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2"/>
    <w:basedOn w:val="10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3"/>
    <w:basedOn w:val="10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4"/>
    <w:basedOn w:val="10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5"/>
    <w:basedOn w:val="10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6"/>
    <w:basedOn w:val="10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1"/>
    <w:basedOn w:val="10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3"/>
    <w:basedOn w:val="10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5"/>
    <w:basedOn w:val="10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6"/>
    <w:basedOn w:val="10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w:basedOn w:val="101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3">
    <w:name w:val="List Table 7 Colorful - Accent 1"/>
    <w:basedOn w:val="10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4">
    <w:name w:val="List Table 7 Colorful - Accent 2"/>
    <w:basedOn w:val="10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5">
    <w:name w:val="List Table 7 Colorful - Accent 3"/>
    <w:basedOn w:val="10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6">
    <w:name w:val="List Table 7 Colorful - Accent 4"/>
    <w:basedOn w:val="10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7">
    <w:name w:val="List Table 7 Colorful - Accent 5"/>
    <w:basedOn w:val="10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8">
    <w:name w:val="List Table 7 Colorful - Accent 6"/>
    <w:basedOn w:val="10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9">
    <w:name w:val="Lined - Accent"/>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1"/>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2"/>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3"/>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4"/>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5"/>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6"/>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w:basedOn w:val="101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1"/>
    <w:basedOn w:val="101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2"/>
    <w:basedOn w:val="101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3"/>
    <w:basedOn w:val="101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4"/>
    <w:basedOn w:val="101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5"/>
    <w:basedOn w:val="101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6"/>
    <w:basedOn w:val="101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w:basedOn w:val="101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name w:val="Heading 5"/>
    <w:basedOn w:val="1011"/>
    <w:next w:val="1011"/>
    <w:link w:val="97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1">
    <w:name w:val="Heading 6"/>
    <w:basedOn w:val="1011"/>
    <w:next w:val="1011"/>
    <w:link w:val="97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2">
    <w:name w:val="Heading 7"/>
    <w:basedOn w:val="1011"/>
    <w:next w:val="1011"/>
    <w:link w:val="97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3">
    <w:name w:val="Heading 8"/>
    <w:basedOn w:val="1011"/>
    <w:next w:val="1011"/>
    <w:link w:val="97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4">
    <w:name w:val="Heading 9"/>
    <w:basedOn w:val="1011"/>
    <w:next w:val="1011"/>
    <w:link w:val="97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5">
    <w:name w:val="Heading 5 Char"/>
    <w:basedOn w:val="1016"/>
    <w:link w:val="970"/>
    <w:uiPriority w:val="9"/>
    <w:pPr>
      <w:pBdr/>
      <w:spacing/>
      <w:ind/>
    </w:pPr>
    <w:rPr>
      <w:rFonts w:ascii="Arial" w:hAnsi="Arial" w:eastAsia="Arial" w:cs="Arial"/>
      <w:color w:val="0f4761" w:themeColor="accent1" w:themeShade="BF"/>
    </w:rPr>
  </w:style>
  <w:style w:type="character" w:styleId="976">
    <w:name w:val="Heading 6 Char"/>
    <w:basedOn w:val="1016"/>
    <w:link w:val="971"/>
    <w:uiPriority w:val="9"/>
    <w:pPr>
      <w:pBdr/>
      <w:spacing/>
      <w:ind/>
    </w:pPr>
    <w:rPr>
      <w:rFonts w:ascii="Arial" w:hAnsi="Arial" w:eastAsia="Arial" w:cs="Arial"/>
      <w:i/>
      <w:iCs/>
      <w:color w:val="595959" w:themeColor="text1" w:themeTint="A6"/>
    </w:rPr>
  </w:style>
  <w:style w:type="character" w:styleId="977">
    <w:name w:val="Heading 7 Char"/>
    <w:basedOn w:val="1016"/>
    <w:link w:val="972"/>
    <w:uiPriority w:val="9"/>
    <w:pPr>
      <w:pBdr/>
      <w:spacing/>
      <w:ind/>
    </w:pPr>
    <w:rPr>
      <w:rFonts w:ascii="Arial" w:hAnsi="Arial" w:eastAsia="Arial" w:cs="Arial"/>
      <w:color w:val="595959" w:themeColor="text1" w:themeTint="A6"/>
    </w:rPr>
  </w:style>
  <w:style w:type="character" w:styleId="978">
    <w:name w:val="Heading 8 Char"/>
    <w:basedOn w:val="1016"/>
    <w:link w:val="973"/>
    <w:uiPriority w:val="9"/>
    <w:pPr>
      <w:pBdr/>
      <w:spacing/>
      <w:ind/>
    </w:pPr>
    <w:rPr>
      <w:rFonts w:ascii="Arial" w:hAnsi="Arial" w:eastAsia="Arial" w:cs="Arial"/>
      <w:i/>
      <w:iCs/>
      <w:color w:val="272727" w:themeColor="text1" w:themeTint="D8"/>
    </w:rPr>
  </w:style>
  <w:style w:type="character" w:styleId="979">
    <w:name w:val="Heading 9 Char"/>
    <w:basedOn w:val="1016"/>
    <w:link w:val="974"/>
    <w:uiPriority w:val="9"/>
    <w:pPr>
      <w:pBdr/>
      <w:spacing/>
      <w:ind/>
    </w:pPr>
    <w:rPr>
      <w:rFonts w:ascii="Arial" w:hAnsi="Arial" w:eastAsia="Arial" w:cs="Arial"/>
      <w:i/>
      <w:iCs/>
      <w:color w:val="272727" w:themeColor="text1" w:themeTint="D8"/>
    </w:rPr>
  </w:style>
  <w:style w:type="paragraph" w:styleId="980">
    <w:name w:val="Subtitle"/>
    <w:basedOn w:val="1011"/>
    <w:next w:val="1011"/>
    <w:link w:val="981"/>
    <w:uiPriority w:val="11"/>
    <w:qFormat/>
    <w:pPr>
      <w:numPr>
        <w:ilvl w:val="1"/>
      </w:numPr>
      <w:pBdr/>
      <w:spacing/>
      <w:ind/>
    </w:pPr>
    <w:rPr>
      <w:color w:val="595959" w:themeColor="text1" w:themeTint="A6"/>
      <w:spacing w:val="15"/>
      <w:sz w:val="28"/>
      <w:szCs w:val="28"/>
    </w:rPr>
  </w:style>
  <w:style w:type="character" w:styleId="981">
    <w:name w:val="Subtitle Char"/>
    <w:basedOn w:val="1016"/>
    <w:link w:val="980"/>
    <w:uiPriority w:val="11"/>
    <w:pPr>
      <w:pBdr/>
      <w:spacing/>
      <w:ind/>
    </w:pPr>
    <w:rPr>
      <w:color w:val="595959" w:themeColor="text1" w:themeTint="A6"/>
      <w:spacing w:val="15"/>
      <w:sz w:val="28"/>
      <w:szCs w:val="28"/>
    </w:rPr>
  </w:style>
  <w:style w:type="paragraph" w:styleId="982">
    <w:name w:val="Quote"/>
    <w:basedOn w:val="1011"/>
    <w:next w:val="1011"/>
    <w:link w:val="983"/>
    <w:uiPriority w:val="29"/>
    <w:qFormat/>
    <w:pPr>
      <w:pBdr/>
      <w:spacing w:before="160"/>
      <w:ind/>
      <w:jc w:val="center"/>
    </w:pPr>
    <w:rPr>
      <w:i/>
      <w:iCs/>
      <w:color w:val="404040" w:themeColor="text1" w:themeTint="BF"/>
    </w:rPr>
  </w:style>
  <w:style w:type="character" w:styleId="983">
    <w:name w:val="Quote Char"/>
    <w:basedOn w:val="1016"/>
    <w:link w:val="982"/>
    <w:uiPriority w:val="29"/>
    <w:pPr>
      <w:pBdr/>
      <w:spacing/>
      <w:ind/>
    </w:pPr>
    <w:rPr>
      <w:i/>
      <w:iCs/>
      <w:color w:val="404040" w:themeColor="text1" w:themeTint="BF"/>
    </w:rPr>
  </w:style>
  <w:style w:type="character" w:styleId="984">
    <w:name w:val="Intense Emphasis"/>
    <w:basedOn w:val="1016"/>
    <w:uiPriority w:val="21"/>
    <w:qFormat/>
    <w:pPr>
      <w:pBdr/>
      <w:spacing/>
      <w:ind/>
    </w:pPr>
    <w:rPr>
      <w:i/>
      <w:iCs/>
      <w:color w:val="0f4761" w:themeColor="accent1" w:themeShade="BF"/>
    </w:rPr>
  </w:style>
  <w:style w:type="paragraph" w:styleId="985">
    <w:name w:val="Intense Quote"/>
    <w:basedOn w:val="1011"/>
    <w:next w:val="1011"/>
    <w:link w:val="98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6">
    <w:name w:val="Intense Quote Char"/>
    <w:basedOn w:val="1016"/>
    <w:link w:val="985"/>
    <w:uiPriority w:val="30"/>
    <w:pPr>
      <w:pBdr/>
      <w:spacing/>
      <w:ind/>
    </w:pPr>
    <w:rPr>
      <w:i/>
      <w:iCs/>
      <w:color w:val="0f4761" w:themeColor="accent1" w:themeShade="BF"/>
    </w:rPr>
  </w:style>
  <w:style w:type="character" w:styleId="987">
    <w:name w:val="Intense Reference"/>
    <w:basedOn w:val="1016"/>
    <w:uiPriority w:val="32"/>
    <w:qFormat/>
    <w:pPr>
      <w:pBdr/>
      <w:spacing/>
      <w:ind/>
    </w:pPr>
    <w:rPr>
      <w:b/>
      <w:bCs/>
      <w:smallCaps/>
      <w:color w:val="0f4761" w:themeColor="accent1" w:themeShade="BF"/>
      <w:spacing w:val="5"/>
    </w:rPr>
  </w:style>
  <w:style w:type="paragraph" w:styleId="988">
    <w:name w:val="No Spacing"/>
    <w:basedOn w:val="1011"/>
    <w:uiPriority w:val="1"/>
    <w:qFormat/>
    <w:pPr>
      <w:pBdr/>
      <w:spacing w:after="0" w:line="240" w:lineRule="auto"/>
      <w:ind/>
    </w:pPr>
  </w:style>
  <w:style w:type="character" w:styleId="989">
    <w:name w:val="Subtle Emphasis"/>
    <w:basedOn w:val="1016"/>
    <w:uiPriority w:val="19"/>
    <w:qFormat/>
    <w:pPr>
      <w:pBdr/>
      <w:spacing/>
      <w:ind/>
    </w:pPr>
    <w:rPr>
      <w:i/>
      <w:iCs/>
      <w:color w:val="404040" w:themeColor="text1" w:themeTint="BF"/>
    </w:rPr>
  </w:style>
  <w:style w:type="character" w:styleId="990">
    <w:name w:val="Subtle Reference"/>
    <w:basedOn w:val="1016"/>
    <w:uiPriority w:val="31"/>
    <w:qFormat/>
    <w:pPr>
      <w:pBdr/>
      <w:spacing/>
      <w:ind/>
    </w:pPr>
    <w:rPr>
      <w:smallCaps/>
      <w:color w:val="5a5a5a" w:themeColor="text1" w:themeTint="A5"/>
    </w:rPr>
  </w:style>
  <w:style w:type="character" w:styleId="991">
    <w:name w:val="Book Title"/>
    <w:basedOn w:val="1016"/>
    <w:uiPriority w:val="33"/>
    <w:qFormat/>
    <w:pPr>
      <w:pBdr/>
      <w:spacing/>
      <w:ind/>
    </w:pPr>
    <w:rPr>
      <w:b/>
      <w:bCs/>
      <w:i/>
      <w:iCs/>
      <w:spacing w:val="5"/>
    </w:rPr>
  </w:style>
  <w:style w:type="paragraph" w:styleId="992">
    <w:name w:val="Caption"/>
    <w:basedOn w:val="1011"/>
    <w:next w:val="1011"/>
    <w:uiPriority w:val="35"/>
    <w:unhideWhenUsed/>
    <w:qFormat/>
    <w:pPr>
      <w:pBdr/>
      <w:spacing w:after="200" w:line="240" w:lineRule="auto"/>
      <w:ind/>
    </w:pPr>
    <w:rPr>
      <w:i/>
      <w:iCs/>
      <w:color w:val="0e2841" w:themeColor="text2"/>
      <w:sz w:val="18"/>
      <w:szCs w:val="18"/>
    </w:rPr>
  </w:style>
  <w:style w:type="paragraph" w:styleId="993">
    <w:name w:val="footnote text"/>
    <w:basedOn w:val="1011"/>
    <w:link w:val="994"/>
    <w:uiPriority w:val="99"/>
    <w:semiHidden/>
    <w:unhideWhenUsed/>
    <w:pPr>
      <w:pBdr/>
      <w:spacing w:after="0" w:line="240" w:lineRule="auto"/>
      <w:ind/>
    </w:pPr>
    <w:rPr>
      <w:sz w:val="20"/>
      <w:szCs w:val="20"/>
    </w:rPr>
  </w:style>
  <w:style w:type="character" w:styleId="994">
    <w:name w:val="Footnote Text Char"/>
    <w:basedOn w:val="1016"/>
    <w:link w:val="993"/>
    <w:uiPriority w:val="99"/>
    <w:semiHidden/>
    <w:pPr>
      <w:pBdr/>
      <w:spacing/>
      <w:ind/>
    </w:pPr>
    <w:rPr>
      <w:sz w:val="20"/>
      <w:szCs w:val="20"/>
    </w:rPr>
  </w:style>
  <w:style w:type="character" w:styleId="995">
    <w:name w:val="footnote reference"/>
    <w:basedOn w:val="1016"/>
    <w:uiPriority w:val="99"/>
    <w:semiHidden/>
    <w:unhideWhenUsed/>
    <w:pPr>
      <w:pBdr/>
      <w:spacing/>
      <w:ind/>
    </w:pPr>
    <w:rPr>
      <w:vertAlign w:val="superscript"/>
    </w:rPr>
  </w:style>
  <w:style w:type="paragraph" w:styleId="996">
    <w:name w:val="endnote text"/>
    <w:basedOn w:val="1011"/>
    <w:link w:val="997"/>
    <w:uiPriority w:val="99"/>
    <w:semiHidden/>
    <w:unhideWhenUsed/>
    <w:pPr>
      <w:pBdr/>
      <w:spacing w:after="0" w:line="240" w:lineRule="auto"/>
      <w:ind/>
    </w:pPr>
    <w:rPr>
      <w:sz w:val="20"/>
      <w:szCs w:val="20"/>
    </w:rPr>
  </w:style>
  <w:style w:type="character" w:styleId="997">
    <w:name w:val="Endnote Text Char"/>
    <w:basedOn w:val="1016"/>
    <w:link w:val="996"/>
    <w:uiPriority w:val="99"/>
    <w:semiHidden/>
    <w:pPr>
      <w:pBdr/>
      <w:spacing/>
      <w:ind/>
    </w:pPr>
    <w:rPr>
      <w:sz w:val="20"/>
      <w:szCs w:val="20"/>
    </w:rPr>
  </w:style>
  <w:style w:type="character" w:styleId="998">
    <w:name w:val="endnote reference"/>
    <w:basedOn w:val="1016"/>
    <w:uiPriority w:val="99"/>
    <w:semiHidden/>
    <w:unhideWhenUsed/>
    <w:pPr>
      <w:pBdr/>
      <w:spacing/>
      <w:ind/>
    </w:pPr>
    <w:rPr>
      <w:vertAlign w:val="superscript"/>
    </w:rPr>
  </w:style>
  <w:style w:type="paragraph" w:styleId="999">
    <w:name w:val="toc 1"/>
    <w:basedOn w:val="1011"/>
    <w:next w:val="1011"/>
    <w:uiPriority w:val="39"/>
    <w:unhideWhenUsed/>
    <w:pPr>
      <w:pBdr/>
      <w:spacing w:after="100"/>
      <w:ind/>
    </w:pPr>
  </w:style>
  <w:style w:type="paragraph" w:styleId="1000">
    <w:name w:val="toc 2"/>
    <w:basedOn w:val="1011"/>
    <w:next w:val="1011"/>
    <w:uiPriority w:val="39"/>
    <w:unhideWhenUsed/>
    <w:pPr>
      <w:pBdr/>
      <w:spacing w:after="100"/>
      <w:ind w:left="220"/>
    </w:pPr>
  </w:style>
  <w:style w:type="paragraph" w:styleId="1001">
    <w:name w:val="toc 3"/>
    <w:basedOn w:val="1011"/>
    <w:next w:val="1011"/>
    <w:uiPriority w:val="39"/>
    <w:unhideWhenUsed/>
    <w:pPr>
      <w:pBdr/>
      <w:spacing w:after="100"/>
      <w:ind w:left="440"/>
    </w:pPr>
  </w:style>
  <w:style w:type="paragraph" w:styleId="1002">
    <w:name w:val="toc 4"/>
    <w:basedOn w:val="1011"/>
    <w:next w:val="1011"/>
    <w:uiPriority w:val="39"/>
    <w:unhideWhenUsed/>
    <w:pPr>
      <w:pBdr/>
      <w:spacing w:after="100"/>
      <w:ind w:left="660"/>
    </w:pPr>
  </w:style>
  <w:style w:type="paragraph" w:styleId="1003">
    <w:name w:val="toc 5"/>
    <w:basedOn w:val="1011"/>
    <w:next w:val="1011"/>
    <w:uiPriority w:val="39"/>
    <w:unhideWhenUsed/>
    <w:pPr>
      <w:pBdr/>
      <w:spacing w:after="100"/>
      <w:ind w:left="880"/>
    </w:pPr>
  </w:style>
  <w:style w:type="paragraph" w:styleId="1004">
    <w:name w:val="toc 6"/>
    <w:basedOn w:val="1011"/>
    <w:next w:val="1011"/>
    <w:uiPriority w:val="39"/>
    <w:unhideWhenUsed/>
    <w:pPr>
      <w:pBdr/>
      <w:spacing w:after="100"/>
      <w:ind w:left="1100"/>
    </w:pPr>
  </w:style>
  <w:style w:type="paragraph" w:styleId="1005">
    <w:name w:val="toc 7"/>
    <w:basedOn w:val="1011"/>
    <w:next w:val="1011"/>
    <w:uiPriority w:val="39"/>
    <w:unhideWhenUsed/>
    <w:pPr>
      <w:pBdr/>
      <w:spacing w:after="100"/>
      <w:ind w:left="1320"/>
    </w:pPr>
  </w:style>
  <w:style w:type="paragraph" w:styleId="1006">
    <w:name w:val="toc 8"/>
    <w:basedOn w:val="1011"/>
    <w:next w:val="1011"/>
    <w:uiPriority w:val="39"/>
    <w:unhideWhenUsed/>
    <w:pPr>
      <w:pBdr/>
      <w:spacing w:after="100"/>
      <w:ind w:left="1540"/>
    </w:pPr>
  </w:style>
  <w:style w:type="paragraph" w:styleId="1007">
    <w:name w:val="toc 9"/>
    <w:basedOn w:val="1011"/>
    <w:next w:val="1011"/>
    <w:uiPriority w:val="39"/>
    <w:unhideWhenUsed/>
    <w:pPr>
      <w:pBdr/>
      <w:spacing w:after="100"/>
      <w:ind w:left="1760"/>
    </w:pPr>
  </w:style>
  <w:style w:type="character" w:styleId="1008">
    <w:name w:val="Placeholder Text"/>
    <w:basedOn w:val="1016"/>
    <w:uiPriority w:val="99"/>
    <w:semiHidden/>
    <w:pPr>
      <w:pBdr/>
      <w:spacing/>
      <w:ind/>
    </w:pPr>
    <w:rPr>
      <w:color w:val="666666"/>
    </w:rPr>
  </w:style>
  <w:style w:type="paragraph" w:styleId="1009">
    <w:name w:val="TOC Heading"/>
    <w:uiPriority w:val="39"/>
    <w:unhideWhenUsed/>
    <w:pPr>
      <w:pBdr/>
      <w:spacing/>
      <w:ind/>
    </w:pPr>
  </w:style>
  <w:style w:type="paragraph" w:styleId="1010">
    <w:name w:val="table of figures"/>
    <w:basedOn w:val="1011"/>
    <w:next w:val="1011"/>
    <w:uiPriority w:val="99"/>
    <w:unhideWhenUsed/>
    <w:pPr>
      <w:pBdr/>
      <w:spacing w:after="0" w:afterAutospacing="0"/>
      <w:ind/>
    </w:pPr>
  </w:style>
  <w:style w:type="paragraph" w:styleId="1011" w:default="1">
    <w:name w:val="Normal"/>
    <w:qFormat/>
    <w:pPr>
      <w:pBdr/>
      <w:spacing w:after="0" w:line="240" w:lineRule="auto"/>
      <w:ind/>
    </w:pPr>
    <w:rPr>
      <w:rFonts w:ascii="Times New Roman" w:hAnsi="Times New Roman" w:eastAsia="Times New Roman" w:cs="Times New Roman"/>
      <w:sz w:val="24"/>
      <w:szCs w:val="24"/>
    </w:rPr>
  </w:style>
  <w:style w:type="paragraph" w:styleId="1012">
    <w:name w:val="Heading 1"/>
    <w:basedOn w:val="1011"/>
    <w:next w:val="1011"/>
    <w:link w:val="1019"/>
    <w:qFormat/>
    <w:pPr>
      <w:keepNext w:val="true"/>
      <w:pBdr/>
      <w:spacing w:after="120" w:before="120"/>
      <w:ind/>
      <w:jc w:val="center"/>
      <w:outlineLvl w:val="0"/>
    </w:pPr>
    <w:rPr>
      <w:b/>
      <w:bCs/>
      <w:sz w:val="27"/>
      <w:szCs w:val="27"/>
    </w:rPr>
  </w:style>
  <w:style w:type="paragraph" w:styleId="1013">
    <w:name w:val="Heading 2"/>
    <w:basedOn w:val="1011"/>
    <w:next w:val="1011"/>
    <w:link w:val="102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4">
    <w:name w:val="Heading 3"/>
    <w:basedOn w:val="1011"/>
    <w:next w:val="1011"/>
    <w:link w:val="1021"/>
    <w:qFormat/>
    <w:pPr>
      <w:keepNext w:val="true"/>
      <w:pBdr/>
      <w:spacing w:before="60"/>
      <w:ind/>
      <w:outlineLvl w:val="2"/>
    </w:pPr>
    <w:rPr>
      <w:sz w:val="28"/>
      <w:szCs w:val="28"/>
    </w:rPr>
  </w:style>
  <w:style w:type="paragraph" w:styleId="1015">
    <w:name w:val="Heading 4"/>
    <w:basedOn w:val="1011"/>
    <w:next w:val="1011"/>
    <w:link w:val="1022"/>
    <w:qFormat/>
    <w:pPr>
      <w:keepNext w:val="true"/>
      <w:pBdr/>
      <w:spacing/>
      <w:ind/>
      <w:jc w:val="center"/>
      <w:outlineLvl w:val="3"/>
    </w:pPr>
    <w:rPr>
      <w:b/>
      <w:bCs/>
    </w:rPr>
  </w:style>
  <w:style w:type="character" w:styleId="1016" w:default="1">
    <w:name w:val="Default Paragraph Font"/>
    <w:uiPriority w:val="1"/>
    <w:semiHidden/>
    <w:unhideWhenUsed/>
    <w:pPr>
      <w:pBdr/>
      <w:spacing/>
      <w:ind/>
    </w:pPr>
  </w:style>
  <w:style w:type="table" w:styleId="10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8" w:default="1">
    <w:name w:val="No List"/>
    <w:uiPriority w:val="99"/>
    <w:semiHidden/>
    <w:unhideWhenUsed/>
    <w:pPr>
      <w:pBdr/>
      <w:spacing/>
      <w:ind/>
    </w:pPr>
  </w:style>
  <w:style w:type="character" w:styleId="1019" w:customStyle="1">
    <w:name w:val="Heading 1 Char"/>
    <w:basedOn w:val="1016"/>
    <w:link w:val="1012"/>
    <w:pPr>
      <w:pBdr/>
      <w:spacing/>
      <w:ind/>
    </w:pPr>
    <w:rPr>
      <w:rFonts w:ascii="Times New Roman" w:hAnsi="Times New Roman" w:eastAsia="Times New Roman" w:cs="Times New Roman"/>
      <w:b/>
      <w:bCs/>
      <w:sz w:val="27"/>
      <w:szCs w:val="27"/>
    </w:rPr>
  </w:style>
  <w:style w:type="character" w:styleId="1020" w:customStyle="1">
    <w:name w:val="Heading 2 Char"/>
    <w:basedOn w:val="1016"/>
    <w:link w:val="1013"/>
    <w:uiPriority w:val="9"/>
    <w:pPr>
      <w:pBdr/>
      <w:spacing/>
      <w:ind/>
    </w:pPr>
    <w:rPr>
      <w:rFonts w:asciiTheme="majorHAnsi" w:hAnsiTheme="majorHAnsi" w:eastAsiaTheme="majorEastAsia" w:cstheme="majorBidi"/>
      <w:color w:val="365f91" w:themeColor="accent1" w:themeShade="BF"/>
      <w:sz w:val="26"/>
      <w:szCs w:val="26"/>
    </w:rPr>
  </w:style>
  <w:style w:type="character" w:styleId="1021" w:customStyle="1">
    <w:name w:val="Heading 3 Char"/>
    <w:basedOn w:val="1016"/>
    <w:link w:val="1014"/>
    <w:pPr>
      <w:pBdr/>
      <w:spacing/>
      <w:ind/>
    </w:pPr>
    <w:rPr>
      <w:rFonts w:ascii="Times New Roman" w:hAnsi="Times New Roman" w:eastAsia="Times New Roman" w:cs="Times New Roman"/>
      <w:sz w:val="28"/>
      <w:szCs w:val="28"/>
    </w:rPr>
  </w:style>
  <w:style w:type="character" w:styleId="1022" w:customStyle="1">
    <w:name w:val="Heading 4 Char"/>
    <w:basedOn w:val="1016"/>
    <w:link w:val="1015"/>
    <w:pPr>
      <w:pBdr/>
      <w:spacing/>
      <w:ind/>
    </w:pPr>
    <w:rPr>
      <w:rFonts w:ascii="Times New Roman" w:hAnsi="Times New Roman" w:eastAsia="Times New Roman" w:cs="Times New Roman"/>
      <w:b/>
      <w:bCs/>
      <w:sz w:val="24"/>
      <w:szCs w:val="24"/>
    </w:rPr>
  </w:style>
  <w:style w:type="character" w:styleId="1023">
    <w:name w:val="Hyperlink"/>
    <w:uiPriority w:val="99"/>
    <w:pPr>
      <w:pBdr/>
      <w:spacing/>
      <w:ind/>
    </w:pPr>
    <w:rPr>
      <w:color w:val="000000"/>
      <w:u w:val="single"/>
    </w:rPr>
  </w:style>
  <w:style w:type="character" w:styleId="1024">
    <w:name w:val="Strong"/>
    <w:uiPriority w:val="22"/>
    <w:qFormat/>
    <w:pPr>
      <w:pBdr/>
      <w:spacing/>
      <w:ind/>
    </w:pPr>
    <w:rPr>
      <w:b/>
      <w:bCs/>
    </w:rPr>
  </w:style>
  <w:style w:type="paragraph" w:styleId="1025">
    <w:name w:val="Balloon Text"/>
    <w:basedOn w:val="1011"/>
    <w:link w:val="1026"/>
    <w:uiPriority w:val="99"/>
    <w:semiHidden/>
    <w:unhideWhenUsed/>
    <w:pPr>
      <w:pBdr/>
      <w:spacing/>
      <w:ind/>
    </w:pPr>
    <w:rPr>
      <w:rFonts w:ascii="Tahoma" w:hAnsi="Tahoma" w:cs="Tahoma"/>
      <w:sz w:val="16"/>
      <w:szCs w:val="16"/>
    </w:rPr>
  </w:style>
  <w:style w:type="character" w:styleId="1026" w:customStyle="1">
    <w:name w:val="Balloon Text Char"/>
    <w:basedOn w:val="1016"/>
    <w:link w:val="1025"/>
    <w:uiPriority w:val="99"/>
    <w:semiHidden/>
    <w:pPr>
      <w:pBdr/>
      <w:spacing/>
      <w:ind/>
    </w:pPr>
    <w:rPr>
      <w:rFonts w:ascii="Tahoma" w:hAnsi="Tahoma" w:eastAsia="Times New Roman" w:cs="Tahoma"/>
      <w:sz w:val="16"/>
      <w:szCs w:val="16"/>
    </w:rPr>
  </w:style>
  <w:style w:type="paragraph" w:styleId="1027">
    <w:name w:val="Header"/>
    <w:basedOn w:val="1011"/>
    <w:link w:val="1028"/>
    <w:unhideWhenUsed/>
    <w:pPr>
      <w:pBdr/>
      <w:tabs>
        <w:tab w:val="center" w:leader="none" w:pos="4680"/>
        <w:tab w:val="right" w:leader="none" w:pos="9360"/>
      </w:tabs>
      <w:spacing/>
      <w:ind/>
    </w:pPr>
  </w:style>
  <w:style w:type="character" w:styleId="1028" w:customStyle="1">
    <w:name w:val="Header Char"/>
    <w:basedOn w:val="1016"/>
    <w:link w:val="1027"/>
    <w:pPr>
      <w:pBdr/>
      <w:spacing/>
      <w:ind/>
    </w:pPr>
    <w:rPr>
      <w:rFonts w:ascii="Times New Roman" w:hAnsi="Times New Roman" w:eastAsia="Times New Roman" w:cs="Times New Roman"/>
      <w:sz w:val="24"/>
      <w:szCs w:val="24"/>
    </w:rPr>
  </w:style>
  <w:style w:type="paragraph" w:styleId="1029">
    <w:name w:val="Footer"/>
    <w:basedOn w:val="1011"/>
    <w:link w:val="1030"/>
    <w:uiPriority w:val="99"/>
    <w:unhideWhenUsed/>
    <w:pPr>
      <w:pBdr/>
      <w:tabs>
        <w:tab w:val="center" w:leader="none" w:pos="4680"/>
        <w:tab w:val="right" w:leader="none" w:pos="9360"/>
      </w:tabs>
      <w:spacing/>
      <w:ind/>
    </w:pPr>
  </w:style>
  <w:style w:type="character" w:styleId="1030" w:customStyle="1">
    <w:name w:val="Footer Char"/>
    <w:basedOn w:val="1016"/>
    <w:link w:val="1029"/>
    <w:uiPriority w:val="99"/>
    <w:pPr>
      <w:pBdr/>
      <w:spacing/>
      <w:ind/>
    </w:pPr>
    <w:rPr>
      <w:rFonts w:ascii="Times New Roman" w:hAnsi="Times New Roman" w:eastAsia="Times New Roman" w:cs="Times New Roman"/>
      <w:sz w:val="24"/>
      <w:szCs w:val="24"/>
    </w:rPr>
  </w:style>
  <w:style w:type="character" w:styleId="1031" w:customStyle="1">
    <w:name w:val="normal-h1"/>
    <w:pPr>
      <w:pBdr/>
      <w:spacing/>
      <w:ind/>
    </w:pPr>
    <w:rPr>
      <w:rFonts w:hint="default" w:ascii=".VnTime" w:hAnsi=".VnTime"/>
      <w:color w:val="0000ff"/>
      <w:sz w:val="24"/>
      <w:szCs w:val="24"/>
    </w:rPr>
  </w:style>
  <w:style w:type="paragraph" w:styleId="1032" w:customStyle="1">
    <w:name w:val="normal-p"/>
    <w:basedOn w:val="1011"/>
    <w:pPr>
      <w:pBdr/>
      <w:spacing/>
      <w:ind/>
      <w:jc w:val="both"/>
    </w:pPr>
    <w:rPr>
      <w:sz w:val="20"/>
      <w:szCs w:val="20"/>
    </w:rPr>
  </w:style>
  <w:style w:type="paragraph" w:styleId="1033">
    <w:name w:val="List Paragraph"/>
    <w:basedOn w:val="1011"/>
    <w:link w:val="1120"/>
    <w:uiPriority w:val="34"/>
    <w:qFormat/>
    <w:pPr>
      <w:pBdr/>
      <w:spacing/>
      <w:ind w:left="720"/>
    </w:pPr>
  </w:style>
  <w:style w:type="paragraph" w:styleId="1034">
    <w:name w:val="Normal (Web)"/>
    <w:basedOn w:val="1011"/>
    <w:uiPriority w:val="99"/>
    <w:pPr>
      <w:pBdr/>
      <w:spacing w:after="100" w:afterAutospacing="1" w:before="100" w:beforeAutospacing="1"/>
      <w:ind/>
    </w:pPr>
  </w:style>
  <w:style w:type="paragraph" w:styleId="1035">
    <w:name w:val="Body Text"/>
    <w:basedOn w:val="1011"/>
    <w:link w:val="1036"/>
    <w:pPr>
      <w:pBdr/>
      <w:spacing w:after="120"/>
      <w:ind/>
      <w:jc w:val="both"/>
    </w:pPr>
  </w:style>
  <w:style w:type="character" w:styleId="1036" w:customStyle="1">
    <w:name w:val="Body Text Char"/>
    <w:basedOn w:val="1016"/>
    <w:link w:val="1035"/>
    <w:pPr>
      <w:pBdr/>
      <w:spacing/>
      <w:ind/>
    </w:pPr>
    <w:rPr>
      <w:rFonts w:ascii="Times New Roman" w:hAnsi="Times New Roman" w:eastAsia="Times New Roman" w:cs="Times New Roman"/>
      <w:sz w:val="24"/>
      <w:szCs w:val="24"/>
    </w:rPr>
  </w:style>
  <w:style w:type="table" w:styleId="1037">
    <w:name w:val="Table Grid"/>
    <w:basedOn w:val="101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9">
    <w:name w:val="annotation reference"/>
    <w:basedOn w:val="1016"/>
    <w:uiPriority w:val="99"/>
    <w:semiHidden/>
    <w:unhideWhenUsed/>
    <w:pPr>
      <w:pBdr/>
      <w:spacing/>
      <w:ind/>
    </w:pPr>
    <w:rPr>
      <w:sz w:val="16"/>
      <w:szCs w:val="16"/>
    </w:rPr>
  </w:style>
  <w:style w:type="paragraph" w:styleId="1040">
    <w:name w:val="annotation text"/>
    <w:basedOn w:val="1011"/>
    <w:link w:val="1041"/>
    <w:uiPriority w:val="99"/>
    <w:unhideWhenUsed/>
    <w:pPr>
      <w:pBdr/>
      <w:spacing/>
      <w:ind/>
    </w:pPr>
    <w:rPr>
      <w:sz w:val="20"/>
      <w:szCs w:val="20"/>
    </w:rPr>
  </w:style>
  <w:style w:type="character" w:styleId="1041" w:customStyle="1">
    <w:name w:val="Comment Text Char"/>
    <w:basedOn w:val="1016"/>
    <w:link w:val="1040"/>
    <w:uiPriority w:val="99"/>
    <w:pPr>
      <w:pBdr/>
      <w:spacing/>
      <w:ind/>
    </w:pPr>
    <w:rPr>
      <w:rFonts w:ascii="Times New Roman" w:hAnsi="Times New Roman" w:eastAsia="Times New Roman" w:cs="Times New Roman"/>
      <w:sz w:val="20"/>
      <w:szCs w:val="20"/>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Comment Subject Char"/>
    <w:basedOn w:val="1041"/>
    <w:link w:val="1042"/>
    <w:uiPriority w:val="99"/>
    <w:semiHidden/>
    <w:pPr>
      <w:pBdr/>
      <w:spacing/>
      <w:ind/>
    </w:pPr>
    <w:rPr>
      <w:rFonts w:ascii="Times New Roman" w:hAnsi="Times New Roman" w:eastAsia="Times New Roman" w:cs="Times New Roman"/>
      <w:b/>
      <w:bCs/>
      <w:sz w:val="20"/>
      <w:szCs w:val="20"/>
    </w:rPr>
  </w:style>
  <w:style w:type="paragraph" w:styleId="1044" w:customStyle="1">
    <w:name w:val="font5"/>
    <w:basedOn w:val="1011"/>
    <w:pPr>
      <w:pBdr/>
      <w:spacing w:after="100" w:afterAutospacing="1" w:before="100" w:beforeAutospacing="1"/>
      <w:ind/>
    </w:pPr>
    <w:rPr>
      <w:rFonts w:ascii="Tahoma" w:hAnsi="Tahoma" w:cs="Tahoma"/>
      <w:color w:val="000000"/>
      <w:sz w:val="18"/>
      <w:szCs w:val="18"/>
    </w:rPr>
  </w:style>
  <w:style w:type="paragraph" w:styleId="1045" w:customStyle="1">
    <w:name w:val="font6"/>
    <w:basedOn w:val="1011"/>
    <w:pPr>
      <w:pBdr/>
      <w:spacing w:after="100" w:afterAutospacing="1" w:before="100" w:beforeAutospacing="1"/>
      <w:ind/>
    </w:pPr>
    <w:rPr>
      <w:rFonts w:ascii="Tahoma" w:hAnsi="Tahoma" w:cs="Tahoma"/>
      <w:b/>
      <w:bCs/>
      <w:color w:val="000000"/>
      <w:sz w:val="18"/>
      <w:szCs w:val="18"/>
    </w:rPr>
  </w:style>
  <w:style w:type="paragraph" w:styleId="1046" w:customStyle="1">
    <w:name w:val="xl23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7" w:customStyle="1">
    <w:name w:val="xl234"/>
    <w:basedOn w:val="1011"/>
    <w:pPr>
      <w:pBdr/>
      <w:spacing w:after="100" w:afterAutospacing="1" w:before="100" w:beforeAutospacing="1"/>
      <w:ind/>
      <w:jc w:val="center"/>
    </w:pPr>
  </w:style>
  <w:style w:type="paragraph" w:styleId="1048" w:customStyle="1">
    <w:name w:val="xl235"/>
    <w:basedOn w:val="1011"/>
    <w:pPr>
      <w:pBdr/>
      <w:spacing w:after="100" w:afterAutospacing="1" w:before="100" w:beforeAutospacing="1"/>
      <w:ind/>
      <w:jc w:val="center"/>
    </w:pPr>
    <w:rPr>
      <w:b/>
      <w:bCs/>
    </w:rPr>
  </w:style>
  <w:style w:type="paragraph" w:styleId="1049" w:customStyle="1">
    <w:name w:val="xl236"/>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3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38"/>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3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3" w:customStyle="1">
    <w:name w:val="xl240"/>
    <w:basedOn w:val="1011"/>
    <w:pPr>
      <w:pBdr/>
      <w:spacing w:after="100" w:afterAutospacing="1" w:before="100" w:beforeAutospacing="1"/>
      <w:ind/>
    </w:pPr>
  </w:style>
  <w:style w:type="paragraph" w:styleId="1054" w:customStyle="1">
    <w:name w:val="xl241"/>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42"/>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3"/>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44"/>
    <w:basedOn w:val="1011"/>
    <w:pPr>
      <w:pBdr/>
      <w:spacing w:after="100" w:afterAutospacing="1" w:before="100" w:beforeAutospacing="1"/>
      <w:ind/>
    </w:pPr>
    <w:rPr>
      <w:b/>
      <w:bCs/>
    </w:rPr>
  </w:style>
  <w:style w:type="paragraph" w:styleId="1058" w:customStyle="1">
    <w:name w:val="xl245"/>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47"/>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1" w:customStyle="1">
    <w:name w:val="xl24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4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5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5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3"/>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4"/>
    <w:basedOn w:val="101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5"/>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8"/>
    <w:basedOn w:val="101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0"/>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1"/>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2"/>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3"/>
    <w:basedOn w:val="1011"/>
    <w:pPr>
      <w:pBdr/>
      <w:shd w:val="clear" w:color="000000" w:fill="ffffff"/>
      <w:spacing w:after="100" w:afterAutospacing="1" w:before="100" w:beforeAutospacing="1"/>
      <w:ind/>
    </w:pPr>
  </w:style>
  <w:style w:type="paragraph" w:styleId="1077" w:customStyle="1">
    <w:name w:val="xl264"/>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5"/>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6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6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68"/>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9"/>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7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1"/>
    <w:basedOn w:val="101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5" w:customStyle="1">
    <w:name w:val="xl27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73"/>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74"/>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5"/>
    <w:basedOn w:val="1011"/>
    <w:pPr>
      <w:pBdr/>
      <w:spacing w:after="100" w:afterAutospacing="1" w:before="100" w:beforeAutospacing="1"/>
      <w:ind/>
    </w:pPr>
  </w:style>
  <w:style w:type="paragraph" w:styleId="1089" w:customStyle="1">
    <w:name w:val="xl27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77"/>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7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7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8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8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4"/>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5"/>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7"/>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8"/>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89"/>
    <w:basedOn w:val="1011"/>
    <w:pPr>
      <w:pBdr>
        <w:left w:val="single" w:color="000000" w:sz="4" w:space="0"/>
        <w:right w:val="single" w:color="000000" w:sz="4" w:space="0"/>
      </w:pBdr>
      <w:spacing w:after="100" w:afterAutospacing="1" w:before="100" w:beforeAutospacing="1"/>
      <w:ind/>
    </w:pPr>
    <w:rPr>
      <w:b/>
      <w:bCs/>
    </w:rPr>
  </w:style>
  <w:style w:type="paragraph" w:styleId="1103" w:customStyle="1">
    <w:name w:val="xl29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4" w:customStyle="1">
    <w:name w:val="xl291"/>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5" w:customStyle="1">
    <w:name w:val="xl292"/>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93"/>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94"/>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name w:val="Title"/>
    <w:basedOn w:val="1011"/>
    <w:link w:val="1109"/>
    <w:qFormat/>
    <w:pPr>
      <w:pBdr/>
      <w:spacing/>
      <w:ind/>
      <w:jc w:val="center"/>
    </w:pPr>
    <w:rPr>
      <w:b/>
      <w:bCs/>
      <w:sz w:val="32"/>
      <w:szCs w:val="26"/>
    </w:rPr>
  </w:style>
  <w:style w:type="character" w:styleId="1109" w:customStyle="1">
    <w:name w:val="Title Char"/>
    <w:basedOn w:val="1016"/>
    <w:link w:val="1108"/>
    <w:pPr>
      <w:pBdr/>
      <w:spacing/>
      <w:ind/>
    </w:pPr>
    <w:rPr>
      <w:rFonts w:ascii="Times New Roman" w:hAnsi="Times New Roman" w:eastAsia="Times New Roman" w:cs="Times New Roman"/>
      <w:b/>
      <w:bCs/>
      <w:sz w:val="32"/>
      <w:szCs w:val="26"/>
    </w:rPr>
  </w:style>
  <w:style w:type="character" w:styleId="1110" w:customStyle="1">
    <w:name w:val="Unresolved Mention1"/>
    <w:basedOn w:val="1016"/>
    <w:uiPriority w:val="99"/>
    <w:semiHidden/>
    <w:unhideWhenUsed/>
    <w:pPr>
      <w:pBdr/>
      <w:spacing/>
      <w:ind/>
    </w:pPr>
    <w:rPr>
      <w:color w:val="605e5c"/>
      <w:shd w:val="clear" w:color="auto" w:fill="e1dfdd"/>
    </w:rPr>
  </w:style>
  <w:style w:type="character" w:styleId="1111" w:customStyle="1">
    <w:name w:val="Body text (3)_"/>
    <w:link w:val="1112"/>
    <w:pPr>
      <w:pBdr/>
      <w:spacing/>
      <w:ind/>
    </w:pPr>
    <w:rPr>
      <w:rFonts w:ascii="Times New Roman" w:hAnsi="Times New Roman" w:cs="Times New Roman"/>
      <w:i/>
      <w:iCs/>
      <w:spacing w:val="4"/>
      <w:shd w:val="clear" w:color="auto" w:fill="ffffff"/>
    </w:rPr>
  </w:style>
  <w:style w:type="paragraph" w:styleId="1112" w:customStyle="1">
    <w:name w:val="Body text (3)1"/>
    <w:basedOn w:val="1011"/>
    <w:link w:val="111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3" w:customStyle="1">
    <w:name w:val="t-j"/>
    <w:basedOn w:val="1011"/>
    <w:pPr>
      <w:pBdr/>
      <w:spacing w:after="100" w:afterAutospacing="1" w:before="100" w:beforeAutospacing="1"/>
      <w:ind/>
    </w:pPr>
  </w:style>
  <w:style w:type="character" w:styleId="1114" w:customStyle="1">
    <w:name w:val="Unresolved Mention2"/>
    <w:basedOn w:val="1016"/>
    <w:uiPriority w:val="99"/>
    <w:semiHidden/>
    <w:unhideWhenUsed/>
    <w:pPr>
      <w:pBdr/>
      <w:spacing/>
      <w:ind/>
    </w:pPr>
    <w:rPr>
      <w:color w:val="605e5c"/>
      <w:shd w:val="clear" w:color="auto" w:fill="e1dfdd"/>
    </w:rPr>
  </w:style>
  <w:style w:type="character" w:styleId="1115">
    <w:name w:val="FollowedHyperlink"/>
    <w:basedOn w:val="1016"/>
    <w:uiPriority w:val="99"/>
    <w:semiHidden/>
    <w:unhideWhenUsed/>
    <w:pPr>
      <w:pBdr/>
      <w:spacing/>
      <w:ind/>
    </w:pPr>
    <w:rPr>
      <w:color w:val="800080" w:themeColor="followedHyperlink"/>
      <w:u w:val="single"/>
    </w:rPr>
  </w:style>
  <w:style w:type="character" w:styleId="1116" w:customStyle="1">
    <w:name w:val="text"/>
    <w:basedOn w:val="1016"/>
    <w:pPr>
      <w:pBdr/>
      <w:spacing/>
      <w:ind/>
    </w:pPr>
  </w:style>
  <w:style w:type="character" w:styleId="1117" w:customStyle="1">
    <w:name w:val="card-send-time__sendtime"/>
    <w:basedOn w:val="1016"/>
    <w:pPr>
      <w:pBdr/>
      <w:spacing/>
      <w:ind/>
    </w:pPr>
  </w:style>
  <w:style w:type="character" w:styleId="1118" w:customStyle="1">
    <w:name w:val="Đề cập Chưa giải quyết1"/>
    <w:basedOn w:val="1016"/>
    <w:uiPriority w:val="99"/>
    <w:semiHidden/>
    <w:unhideWhenUsed/>
    <w:pPr>
      <w:pBdr/>
      <w:spacing/>
      <w:ind/>
    </w:pPr>
    <w:rPr>
      <w:color w:val="605e5c"/>
      <w:shd w:val="clear" w:color="auto" w:fill="e1dfdd"/>
    </w:rPr>
  </w:style>
  <w:style w:type="paragraph" w:styleId="1119" w:customStyle="1">
    <w:name w:val="nqtitle"/>
    <w:basedOn w:val="1011"/>
    <w:pPr>
      <w:pBdr/>
      <w:spacing w:after="100" w:afterAutospacing="1" w:before="100" w:beforeAutospacing="1"/>
      <w:ind/>
    </w:pPr>
    <w:rPr>
      <w:lang w:val="vi-VN" w:eastAsia="vi-VN"/>
    </w:rPr>
  </w:style>
  <w:style w:type="character" w:styleId="1120" w:customStyle="1">
    <w:name w:val="List Paragraph Char"/>
    <w:link w:val="1033"/>
    <w:uiPriority w:val="34"/>
    <w:qFormat/>
    <w:pPr>
      <w:pBdr/>
      <w:spacing/>
      <w:ind/>
    </w:pPr>
    <w:rPr>
      <w:rFonts w:ascii="Times New Roman" w:hAnsi="Times New Roman" w:eastAsia="Times New Roman" w:cs="Times New Roman"/>
      <w:sz w:val="24"/>
      <w:szCs w:val="24"/>
    </w:rPr>
  </w:style>
  <w:style w:type="character" w:styleId="1121" w:customStyle="1">
    <w:name w:val="Đề cập Chưa giải quyết2"/>
    <w:basedOn w:val="1016"/>
    <w:uiPriority w:val="99"/>
    <w:semiHidden/>
    <w:unhideWhenUsed/>
    <w:pPr>
      <w:pBdr/>
      <w:spacing/>
      <w:ind/>
    </w:pPr>
    <w:rPr>
      <w:color w:val="605e5c"/>
      <w:shd w:val="clear" w:color="auto" w:fill="e1dfdd"/>
    </w:rPr>
  </w:style>
  <w:style w:type="character" w:styleId="1122" w:customStyle="1">
    <w:name w:val="Unresolved Mention3"/>
    <w:basedOn w:val="1016"/>
    <w:uiPriority w:val="99"/>
    <w:semiHidden/>
    <w:unhideWhenUsed/>
    <w:pPr>
      <w:pBdr/>
      <w:spacing/>
      <w:ind/>
    </w:pPr>
    <w:rPr>
      <w:color w:val="605e5c"/>
      <w:shd w:val="clear" w:color="auto" w:fill="e1dfdd"/>
    </w:rPr>
  </w:style>
  <w:style w:type="character" w:styleId="1123" w:customStyle="1">
    <w:name w:val="copy"/>
    <w:basedOn w:val="1016"/>
    <w:pPr>
      <w:pBdr/>
      <w:spacing/>
      <w:ind/>
    </w:pPr>
  </w:style>
  <w:style w:type="paragraph" w:styleId="1124" w:customStyle="1">
    <w:name w:val="align-justify"/>
    <w:basedOn w:val="1011"/>
    <w:pPr>
      <w:pBdr/>
      <w:spacing w:after="100" w:afterAutospacing="1" w:before="100" w:beforeAutospacing="1"/>
      <w:ind/>
    </w:pPr>
  </w:style>
  <w:style w:type="character" w:styleId="1125" w:customStyle="1">
    <w:name w:val="btn"/>
    <w:basedOn w:val="1016"/>
    <w:pPr>
      <w:pBdr/>
      <w:spacing/>
      <w:ind/>
    </w:pPr>
  </w:style>
  <w:style w:type="character" w:styleId="1126" w:customStyle="1">
    <w:name w:val="hide_mobile"/>
    <w:basedOn w:val="1016"/>
    <w:pPr>
      <w:pBdr/>
      <w:spacing/>
      <w:ind/>
    </w:pPr>
  </w:style>
  <w:style w:type="character" w:styleId="1127">
    <w:name w:val="Emphasis"/>
    <w:basedOn w:val="1016"/>
    <w:uiPriority w:val="20"/>
    <w:qFormat/>
    <w:pPr>
      <w:pBdr/>
      <w:spacing/>
      <w:ind/>
    </w:pPr>
    <w:rPr>
      <w:i/>
      <w:iCs/>
    </w:rPr>
  </w:style>
  <w:style w:type="character" w:styleId="1128" w:customStyle="1">
    <w:name w:val="t1"/>
    <w:basedOn w:val="1016"/>
    <w:pPr>
      <w:pBdr/>
      <w:spacing/>
      <w:ind/>
    </w:pPr>
  </w:style>
  <w:style w:type="character" w:styleId="1129" w:customStyle="1">
    <w:name w:val="Unresolved Mention4"/>
    <w:basedOn w:val="1016"/>
    <w:uiPriority w:val="99"/>
    <w:semiHidden/>
    <w:unhideWhenUsed/>
    <w:pPr>
      <w:pBdr/>
      <w:spacing/>
      <w:ind/>
    </w:pPr>
    <w:rPr>
      <w:color w:val="605e5c"/>
      <w:shd w:val="clear" w:color="auto" w:fill="e1dfdd"/>
    </w:rPr>
  </w:style>
  <w:style w:type="character" w:styleId="1130">
    <w:name w:val="Unresolved Mention"/>
    <w:basedOn w:val="101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comments" Target="comments.xml" /><Relationship Id="rId17" Type="http://schemas.microsoft.com/office/2011/relationships/commentsExtended" Target="commentsExtended.xml" /><Relationship Id="rId18" Type="http://schemas.microsoft.com/office/2018/08/relationships/commentsExtensible" Target="commentsExtensible.xml" /><Relationship Id="rId19" Type="http://schemas.microsoft.com/office/2016/09/relationships/commentsIds" Target="commentsIds.xml" /><Relationship Id="rId20"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cp:lastModifiedBy>
  <cp:revision>490</cp:revision>
  <dcterms:created xsi:type="dcterms:W3CDTF">2025-09-15T02:01:00Z</dcterms:created>
  <dcterms:modified xsi:type="dcterms:W3CDTF">2025-12-05T02:35:32Z</dcterms:modified>
</cp:coreProperties>
</file>