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85135</wp:posOffset>
                </wp:positionH>
                <wp:positionV relativeFrom="paragraph">
                  <wp:posOffset>116554</wp:posOffset>
                </wp:positionV>
                <wp:extent cx="5467350" cy="3182970"/>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49" cy="318296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275/2026/1492/VFI-CT.44.A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Ông Lâm Sơn Tùng</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Tài sản hình thành trong tương lai là căn hộ 32.02, tại Toà căn hộ 45 tầng, dự án M Landmark Residences Đà Nẵng, có địa chỉ: tại số 58 Bạch Đằng, phường Hải Châu I, quận Hải Châu, Thành phố Đà Nẵng (Nay là phường Hải Châu, Thành phố Đà Nẵng).</w:t>
                            </w:r>
                            <w:r>
                              <w:rPr>
                                <w:b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color w:val="000000" w:themeColor="text1"/>
                                <w:lang w:val="pt-BR"/>
                              </w:rPr>
                              <w:t xml:space="preserve">.</w:t>
                            </w:r>
                            <w:r>
                              <w:rPr>
                                <w:bCs/>
                                <w:i/>
                                <w:iCs/>
                              </w:rPr>
                            </w:r>
                            <w:r>
                              <w:rPr>
                                <w:bCs/>
                                <w:i/>
                                <w:iCs/>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9264;o:allowoverlap:true;o:allowincell:true;mso-position-horizontal-relative:margin;margin-left:6.70pt;mso-position-horizontal:absolute;mso-position-vertical-relative:text;margin-top:9.18pt;mso-position-vertical:absolute;width:430.50pt;height:250.63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275/2026/1492/VFI-CT.44.A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Ông Lâm Sơn Tùng</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Tài sản hình thành trong tương lai là căn hộ 32.02, tại Toà căn hộ 45 tầng, dự án M Landmark Residences Đà Nẵng, có địa chỉ: tại số 58 Bạch Đằng, phường Hải Châu I, quận Hải Châu, Thành phố Đà Nẵng (Nay là phường Hải Châu, Thành phố Đà Nẵng).</w:t>
                      </w:r>
                      <w:r>
                        <w:rPr>
                          <w:b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color w:val="000000" w:themeColor="text1"/>
                          <w:lang w:val="pt-BR"/>
                        </w:rPr>
                        <w:t xml:space="preserve">.</w:t>
                      </w:r>
                      <w:r>
                        <w:rPr>
                          <w:bCs/>
                          <w:i/>
                          <w:iCs/>
                        </w:rPr>
                      </w:r>
                      <w:r>
                        <w:rPr>
                          <w:bCs/>
                          <w:i/>
                          <w:iCs/>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4-20</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12"/>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21 </w:t>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12"/>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 + Hồ sơ pháp lý + BBKS</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rPr>
              <w:t xml:space="preserve">22-28</w:t>
            </w:r>
            <w:r>
              <w:rPr>
                <w:b/>
                <w:bCs/>
                <w:color w:val="000000" w:themeColor="text1"/>
              </w:rPr>
            </w:r>
            <w:r>
              <w:rPr>
                <w:b/>
                <w:bCs/>
                <w:color w:val="000000" w:themeColor="text1"/>
              </w:rPr>
            </w:r>
          </w:p>
        </w:tc>
      </w:tr>
    </w:tbl>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rPr>
      </w:r>
      <w:r>
        <w:rPr>
          <w:b/>
          <w:color w:val="000000" w:themeColor="text1"/>
          <w:sz w:val="22"/>
          <w:szCs w:val="22"/>
        </w:rPr>
      </w:r>
      <w:r>
        <w:rPr>
          <w:b/>
          <w:color w:val="000000" w:themeColor="text1"/>
          <w:sz w:val="22"/>
          <w:szCs w:val="22"/>
        </w:rPr>
      </w:r>
    </w:p>
    <w:tbl>
      <w:tblPr>
        <w:tblInd w:w="-284" w:type="dxa"/>
        <w:tblW w:w="9950" w:type="dxa"/>
        <w:tblBorders/>
        <w:tblLayout w:type="fixed"/>
        <w:tblLook w:val="04A0" w:firstRow="1" w:lastRow="0" w:firstColumn="1" w:lastColumn="0" w:noHBand="0" w:noVBand="1"/>
      </w:tblPr>
      <w:tblGrid>
        <w:gridCol w:w="1542"/>
        <w:gridCol w:w="3073"/>
        <w:gridCol w:w="4394"/>
        <w:gridCol w:w="941"/>
      </w:tblGrid>
      <w:tr>
        <w:trPr>
          <w:trHeight w:val="1123"/>
        </w:trPr>
        <w:tc>
          <w:tcPr>
            <w:tcBorders/>
            <w:tcW w:w="1542"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3"/>
            <w:tcBorders/>
            <w:tcW w:w="8408"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right="-28"/>
              <w:jc w:val="both"/>
              <w:rPr>
                <w:color w:val="000000" w:themeColor="text1"/>
              </w:rPr>
            </w:pPr>
            <w:r>
              <w:rPr>
                <w:color w:val="000000" w:themeColor="text1"/>
                <w:lang w:val="da-DK"/>
              </w:rPr>
              <w:t xml:space="preserve">Trụ sở: BT5 - 23, Khu đô thị mới Văn Phú, Phường Kiến Hưng, Thành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102"/>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After w:val="1"/>
          <w:trHeight w:val="432"/>
        </w:trPr>
        <w:tc>
          <w:tcPr>
            <w:gridSpan w:val="2"/>
            <w:tcBorders/>
            <w:tcMar>
              <w:left w:w="108" w:type="dxa"/>
              <w:top w:w="0" w:type="dxa"/>
              <w:right w:w="108" w:type="dxa"/>
              <w:bottom w:w="0" w:type="dxa"/>
            </w:tcMar>
            <w:tcW w:w="4615" w:type="dxa"/>
            <w:textDirection w:val="lrTb"/>
            <w:noWrap w:val="false"/>
          </w:tcPr>
          <w:p>
            <w:pPr>
              <w:pStyle w:val="1111"/>
              <w:pBdr/>
              <w:spacing w:after="60"/>
              <w:ind/>
              <w:rPr>
                <w:color w:val="000000" w:themeColor="text1"/>
                <w:sz w:val="24"/>
                <w:szCs w:val="24"/>
              </w:rPr>
            </w:pPr>
            <w:r>
              <w:rPr>
                <w:rStyle w:val="1110"/>
                <w:rFonts w:ascii="Times New Roman" w:hAnsi="Times New Roman"/>
                <w:color w:val="000000" w:themeColor="text1"/>
                <w:lang w:val="pt-BR"/>
              </w:rPr>
              <w:t xml:space="preserve">Số: </w:t>
            </w:r>
            <w:r>
              <w:rPr>
                <w:rStyle w:val="1110"/>
                <w:color w:val="000000" w:themeColor="text1"/>
                <w:lang w:val="pt-BR"/>
              </w:rPr>
              <w:t xml:space="preserve">275/2026/1492/VFI-CT.44.A</w:t>
            </w:r>
            <w:r>
              <w:rPr>
                <w:color w:val="000000" w:themeColor="text1"/>
                <w:sz w:val="24"/>
                <w:szCs w:val="24"/>
              </w:rPr>
            </w:r>
            <w:r>
              <w:rPr>
                <w:color w:val="000000" w:themeColor="text1"/>
                <w:sz w:val="24"/>
                <w:szCs w:val="24"/>
              </w:rPr>
            </w:r>
          </w:p>
        </w:tc>
        <w:tc>
          <w:tcPr>
            <w:tcBorders/>
            <w:tcMar>
              <w:left w:w="108" w:type="dxa"/>
              <w:top w:w="0" w:type="dxa"/>
              <w:right w:w="108" w:type="dxa"/>
              <w:bottom w:w="0" w:type="dxa"/>
            </w:tcMar>
            <w:tcW w:w="4394" w:type="dxa"/>
            <w:textDirection w:val="lrTb"/>
            <w:noWrap w:val="false"/>
          </w:tcPr>
          <w:p>
            <w:pPr>
              <w:pStyle w:val="1111"/>
              <w:pBdr/>
              <w:spacing w:after="60"/>
              <w:ind w:right="-56"/>
              <w:jc w:val="right"/>
              <w:rPr>
                <w:color w:val="000000" w:themeColor="text1"/>
                <w:sz w:val="24"/>
                <w:szCs w:val="24"/>
              </w:rPr>
            </w:pPr>
            <w:r>
              <w:rPr>
                <w:rStyle w:val="1110"/>
                <w:rFonts w:ascii="Times New Roman" w:hAnsi="Times New Roman"/>
                <w:i/>
                <w:color w:val="000000" w:themeColor="text1"/>
              </w:rPr>
              <w:t xml:space="preserve">TP. Hà Nội</w:t>
            </w:r>
            <w:r>
              <w:rPr>
                <w:rStyle w:val="1110"/>
                <w:rFonts w:ascii="Times New Roman" w:hAnsi="Times New Roman"/>
                <w:i/>
                <w:color w:val="000000" w:themeColor="text1"/>
                <w:lang w:val="vi-VN"/>
              </w:rPr>
              <w:t xml:space="preserve">, </w:t>
            </w:r>
            <w:r>
              <w:rPr>
                <w:rStyle w:val="1110"/>
                <w:i/>
                <w:color w:val="000000" w:themeColor="text1"/>
                <w:lang w:val="vi-VN"/>
              </w:rPr>
              <w:t xml:space="preserve">ngày 22 tháng 9 năm 2026</w:t>
            </w:r>
            <w:r>
              <w:rPr>
                <w:color w:val="000000" w:themeColor="text1"/>
                <w:sz w:val="24"/>
                <w:szCs w:val="24"/>
              </w:rPr>
            </w:r>
            <w:r>
              <w:rPr>
                <w:color w:val="000000" w:themeColor="text1"/>
                <w:sz w:val="24"/>
                <w:szCs w:val="24"/>
              </w:rPr>
            </w:r>
          </w:p>
        </w:tc>
      </w:tr>
    </w:tbl>
    <w:p>
      <w:pPr>
        <w:pStyle w:val="1111"/>
        <w:pBdr/>
        <w:spacing w:after="120" w:before="200" w:line="288" w:lineRule="auto"/>
        <w:ind/>
        <w:jc w:val="center"/>
        <w:rPr>
          <w:rStyle w:val="1110"/>
          <w:rFonts w:ascii="Times New Roman" w:hAnsi="Times New Roman"/>
          <w:b/>
          <w:bCs/>
          <w:color w:val="000000" w:themeColor="text1"/>
          <w:sz w:val="30"/>
          <w:szCs w:val="30"/>
        </w:rPr>
      </w:pPr>
      <w:r>
        <w:rPr>
          <w:rStyle w:val="1110"/>
          <w:rFonts w:ascii="Times New Roman" w:hAnsi="Times New Roman"/>
          <w:b/>
          <w:bCs/>
          <w:color w:val="000000" w:themeColor="text1"/>
          <w:sz w:val="30"/>
          <w:szCs w:val="30"/>
          <w:lang w:val="vi-VN"/>
        </w:rPr>
        <w:t xml:space="preserve">CHỨNG THƯ THẨM ĐỊNH GIÁ</w:t>
      </w:r>
      <w:r>
        <w:rPr>
          <w:rStyle w:val="1110"/>
          <w:rFonts w:ascii="Times New Roman" w:hAnsi="Times New Roman"/>
          <w:b/>
          <w:bCs/>
          <w:color w:val="000000" w:themeColor="text1"/>
          <w:sz w:val="30"/>
          <w:szCs w:val="30"/>
        </w:rPr>
      </w:r>
      <w:r>
        <w:rPr>
          <w:rStyle w:val="1110"/>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 </w:t>
      </w:r>
      <w:r>
        <w:rPr>
          <w:rFonts w:ascii="Times New Roman Bold" w:hAnsi="Times New Roman Bold"/>
          <w:b/>
          <w:color w:val="000000" w:themeColor="text1"/>
          <w:lang w:val="pt-BR"/>
        </w:rPr>
        <w:t xml:space="preserve">Ông Lâm Sơn Tùng</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288" w:lineRule="auto"/>
        <w:ind w:firstLine="432"/>
        <w:jc w:val="both"/>
        <w:rPr>
          <w:color w:val="000000" w:themeColor="text1"/>
          <w:spacing w:val="-2"/>
          <w:lang w:val="pt-BR"/>
        </w:rPr>
      </w:pPr>
      <w:r>
        <w:rPr>
          <w:color w:val="000000" w:themeColor="text1"/>
          <w:spacing w:val="-2"/>
          <w:lang w:val="pt-BR"/>
        </w:rPr>
        <w:t xml:space="preserve">Căn cứ Hợp đồng dịch vụ thẩm định giá số: </w:t>
      </w:r>
      <w:r>
        <w:rPr>
          <w:color w:val="000000" w:themeColor="text1"/>
          <w:spacing w:val="-4"/>
          <w:lang w:val="vi-VN"/>
        </w:rPr>
        <w:t xml:space="preserve">275/2026/1492/VFI-HĐTĐ.44.A</w:t>
      </w:r>
      <w:r>
        <w:rPr>
          <w:color w:val="000000" w:themeColor="text1"/>
          <w:spacing w:val="-2"/>
          <w:lang w:val="pt-BR"/>
        </w:rPr>
        <w:t xml:space="preserve"> ký </w:t>
      </w:r>
      <w:r>
        <w:rPr>
          <w:color w:val="000000" w:themeColor="text1"/>
          <w:spacing w:val="-4"/>
        </w:rPr>
        <w:t xml:space="preserve">15 tháng 9 năm 2026</w:t>
      </w:r>
      <w:r>
        <w:rPr>
          <w:color w:val="000000" w:themeColor="text1"/>
          <w:spacing w:val="-4"/>
        </w:rPr>
        <w:t xml:space="preserve"> </w:t>
      </w:r>
      <w:r>
        <w:rPr>
          <w:color w:val="000000" w:themeColor="text1"/>
          <w:spacing w:val="-2"/>
          <w:lang w:val="pt-BR"/>
        </w:rPr>
        <w:t xml:space="preserve">giữa </w:t>
      </w:r>
      <w:r>
        <w:rPr>
          <w:color w:val="000000" w:themeColor="text1"/>
          <w:spacing w:val="-4"/>
        </w:rPr>
        <w:t xml:space="preserve">Ông Lâm Sơn Tùng</w:t>
      </w:r>
      <w:r>
        <w:rPr>
          <w:color w:val="000000" w:themeColor="text1"/>
          <w:spacing w:val="-2"/>
          <w:lang w:val="pt-BR"/>
        </w:rPr>
        <w:t xml:space="preserve"> với</w:t>
      </w:r>
      <w:r>
        <w:rPr>
          <w:color w:val="000000" w:themeColor="text1"/>
          <w:spacing w:val="-2"/>
          <w:lang w:val="pt-BR"/>
        </w:rPr>
        <w:t xml:space="preserve"> </w:t>
      </w:r>
      <w:r>
        <w:rPr>
          <w:color w:val="000000" w:themeColor="text1"/>
          <w:spacing w:val="-4"/>
          <w:lang w:val="vi-VN"/>
        </w:rPr>
        <w:t xml:space="preserve">Công ty Cổ phần Thẩm định và Đầu tư Tài chính Hoa Sen</w:t>
      </w:r>
      <w:r>
        <w:rPr>
          <w:color w:val="000000" w:themeColor="text1"/>
          <w:spacing w:val="-2"/>
          <w:lang w:val="pt-BR"/>
        </w:rPr>
        <w:t xml:space="preserve">;</w:t>
      </w:r>
      <w:r>
        <w:rPr>
          <w:color w:val="000000" w:themeColor="text1"/>
          <w:spacing w:val="-2"/>
          <w:lang w:val="pt-BR"/>
        </w:rPr>
      </w:r>
      <w:r>
        <w:rPr>
          <w:color w:val="000000" w:themeColor="text1"/>
          <w:spacing w:val="-2"/>
          <w:lang w:val="pt-BR"/>
        </w:rPr>
      </w:r>
    </w:p>
    <w:p>
      <w:pPr>
        <w:pBdr/>
        <w:spacing w:after="120" w:before="120" w:line="288" w:lineRule="auto"/>
        <w:ind w:firstLine="432"/>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275/2026/1492/VFI-BC.44.A</w:t>
      </w:r>
      <w:r>
        <w:rPr>
          <w:color w:val="000000" w:themeColor="text1"/>
          <w:spacing w:val="-2"/>
          <w:lang w:val="pt-BR"/>
        </w:rPr>
        <w:t xml:space="preserve"> </w:t>
      </w:r>
      <w:r>
        <w:rPr>
          <w:color w:val="000000" w:themeColor="text1"/>
          <w:spacing w:val="-2"/>
          <w:lang w:val="pt-BR"/>
        </w:rPr>
        <w:t xml:space="preserve">ngày</w:t>
      </w:r>
      <w:r>
        <w:rPr>
          <w:color w:val="00b050"/>
          <w:spacing w:val="-2"/>
          <w:lang w:val="pt-BR"/>
        </w:rPr>
        <w:t xml:space="preserve"> </w:t>
      </w:r>
      <w:r>
        <w:rPr>
          <w:color w:val="000000" w:themeColor="text1"/>
          <w:spacing w:val="-2"/>
        </w:rPr>
        <w:t xml:space="preserve">22 tháng 9 năm 2026</w:t>
      </w:r>
      <w:r>
        <w:rPr>
          <w:color w:val="000000" w:themeColor="text1"/>
          <w:spacing w:val="-2"/>
          <w:lang w:val="vi-VN"/>
        </w:rPr>
        <w:t xml:space="preserve"> </w:t>
      </w:r>
      <w:r>
        <w:rPr>
          <w:color w:val="000000" w:themeColor="text1"/>
          <w:spacing w:val="-2"/>
          <w:lang w:val="pt-BR"/>
        </w:rPr>
        <w:t xml:space="preserve">của Công ty Cổ phần Thẩm định và Đầu tư Tài chính Hoa Sen;</w:t>
      </w:r>
      <w:r>
        <w:rPr>
          <w:color w:val="000000" w:themeColor="text1"/>
          <w:spacing w:val="-2"/>
        </w:rPr>
      </w:r>
      <w:r>
        <w:rPr>
          <w:color w:val="000000" w:themeColor="text1"/>
          <w:spacing w:val="-2"/>
        </w:rPr>
      </w:r>
    </w:p>
    <w:p>
      <w:pPr>
        <w:pBdr/>
        <w:spacing w:after="120" w:before="120" w:line="288" w:lineRule="auto"/>
        <w:ind w:firstLine="432"/>
        <w:rPr>
          <w:color w:val="000000" w:themeColor="text1"/>
        </w:rPr>
      </w:pPr>
      <w:r>
        <w:rPr>
          <w:color w:val="000000" w:themeColor="text1"/>
          <w:lang w:val="pt-BR"/>
        </w:rPr>
        <w:t xml:space="preserve">Công ty Cổ phần Thẩm định và Đầu tư Tài chính Hoa Sen 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yellow"/>
              </w:rPr>
            </w:pPr>
            <w:r>
              <w:rPr>
                <w:bCs/>
                <w:color w:val="000000" w:themeColor="text1"/>
                <w:highlight w:val="yellow"/>
                <w:lang w:val="pt-BR"/>
              </w:rPr>
              <w:t xml:space="preserve">Tên khách hàng</w:t>
            </w:r>
            <w:r>
              <w:rPr>
                <w:bCs/>
                <w:color w:val="000000" w:themeColor="text1"/>
                <w:highlight w:val="yellow"/>
              </w:rPr>
            </w:r>
            <w:r>
              <w:rPr>
                <w:bCs/>
                <w:color w:val="000000" w:themeColor="text1"/>
                <w:highlight w:val="yellow"/>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yellow"/>
              </w:rPr>
            </w:pPr>
            <w:r>
              <w:rPr>
                <w:bCs/>
                <w:color w:val="000000"/>
                <w:highlight w:val="yellow"/>
                <w:lang w:val="pt-BR"/>
              </w:rPr>
              <w:t xml:space="preserve">:</w:t>
            </w:r>
            <w:r>
              <w:rPr>
                <w:bCs/>
                <w:color w:val="000000" w:themeColor="text1"/>
                <w:highlight w:val="yellow"/>
              </w:rPr>
            </w:r>
            <w:r>
              <w:rPr>
                <w:bCs/>
                <w:color w:val="000000" w:themeColor="text1"/>
                <w:highlight w:val="yellow"/>
              </w:rPr>
            </w:r>
          </w:p>
        </w:tc>
        <w:tc>
          <w:tcPr>
            <w:tcBorders/>
            <w:tcW w:w="3643" w:type="pct"/>
            <w:vAlign w:val="center"/>
            <w:textDirection w:val="lrTb"/>
            <w:noWrap w:val="false"/>
          </w:tcPr>
          <w:p>
            <w:pPr>
              <w:pBdr/>
              <w:spacing/>
              <w:ind/>
              <w:rPr>
                <w:highlight w:val="yellow"/>
              </w:rPr>
            </w:pPr>
            <w:r>
              <w:rPr>
                <w:b/>
                <w:bCs/>
                <w:highlight w:val="yellow"/>
              </w:rPr>
              <w:t xml:space="preserve">Lâm Sơn Tùng</w:t>
            </w:r>
            <w:r>
              <w:rPr>
                <w:highlight w:val="yellow"/>
              </w:rPr>
            </w:r>
            <w:r>
              <w:rPr>
                <w:highlight w:val="yellow"/>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yellow"/>
              </w:rPr>
            </w:pPr>
            <w:r>
              <w:rPr>
                <w:bCs/>
                <w:color w:val="000000" w:themeColor="text1"/>
                <w:highlight w:val="yellow"/>
                <w:lang w:val="pt-BR"/>
              </w:rPr>
              <w:t xml:space="preserve">MST/CMTND/CCCD:</w:t>
            </w:r>
            <w:r>
              <w:rPr>
                <w:bCs/>
                <w:color w:val="000000" w:themeColor="text1"/>
                <w:highlight w:val="yellow"/>
              </w:rPr>
            </w:r>
            <w:r>
              <w:rPr>
                <w:bCs/>
                <w:color w:val="000000" w:themeColor="text1"/>
                <w:highlight w:val="yellow"/>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yellow"/>
              </w:rPr>
            </w:pPr>
            <w:r>
              <w:rPr>
                <w:bCs/>
                <w:color w:val="000000"/>
                <w:highlight w:val="yellow"/>
                <w:lang w:val="pt-BR"/>
              </w:rPr>
              <w:t xml:space="preserve">:</w:t>
            </w:r>
            <w:r>
              <w:rPr>
                <w:bCs/>
                <w:color w:val="000000" w:themeColor="text1"/>
                <w:highlight w:val="yellow"/>
              </w:rPr>
            </w:r>
            <w:r>
              <w:rPr>
                <w:bCs/>
                <w:color w:val="000000" w:themeColor="text1"/>
                <w:highlight w:val="yellow"/>
              </w:rPr>
            </w:r>
          </w:p>
        </w:tc>
        <w:tc>
          <w:tcPr>
            <w:tcBorders/>
            <w:tcW w:w="3643" w:type="pct"/>
            <w:vAlign w:val="center"/>
            <w:textDirection w:val="lrTb"/>
            <w:noWrap w:val="false"/>
          </w:tcPr>
          <w:p>
            <w:pPr>
              <w:pBdr/>
              <w:spacing w:after="40" w:before="40" w:line="276" w:lineRule="auto"/>
              <w:ind/>
              <w:jc w:val="both"/>
              <w:rPr>
                <w:color w:val="ff0000"/>
                <w:highlight w:val="yellow"/>
              </w:rPr>
            </w:pPr>
            <w:r>
              <w:rPr>
                <w:color w:val="000000" w:themeColor="text1"/>
                <w:highlight w:val="yellow"/>
                <w:lang w:val="vi-VN"/>
              </w:rPr>
            </w:r>
            <w:r>
              <w:rPr>
                <w:color w:val="ff0000"/>
                <w:highlight w:val="yellow"/>
              </w:rPr>
            </w:r>
            <w:r>
              <w:rPr>
                <w:color w:val="ff0000"/>
                <w:highlight w:val="yellow"/>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yellow"/>
              </w:rPr>
            </w:pPr>
            <w:r>
              <w:rPr>
                <w:bCs/>
                <w:color w:val="000000" w:themeColor="text1"/>
                <w:highlight w:val="yellow"/>
                <w:lang w:val="pt-BR"/>
              </w:rPr>
              <w:t xml:space="preserve">Năm sinh:</w:t>
            </w:r>
            <w:r>
              <w:rPr>
                <w:bCs/>
                <w:color w:val="000000" w:themeColor="text1"/>
                <w:highlight w:val="yellow"/>
              </w:rPr>
            </w:r>
            <w:r>
              <w:rPr>
                <w:bCs/>
                <w:color w:val="000000" w:themeColor="text1"/>
                <w:highlight w:val="yellow"/>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yellow"/>
              </w:rPr>
            </w:pPr>
            <w:r>
              <w:rPr>
                <w:bCs/>
                <w:color w:val="000000"/>
                <w:highlight w:val="yellow"/>
                <w:lang w:val="pt-BR"/>
              </w:rPr>
              <w:t xml:space="preserve">:</w:t>
            </w:r>
            <w:r>
              <w:rPr>
                <w:bCs/>
                <w:color w:val="000000" w:themeColor="text1"/>
                <w:highlight w:val="yellow"/>
              </w:rPr>
            </w:r>
            <w:r>
              <w:rPr>
                <w:bCs/>
                <w:color w:val="000000" w:themeColor="text1"/>
                <w:highlight w:val="yellow"/>
              </w:rPr>
            </w:r>
          </w:p>
        </w:tc>
        <w:tc>
          <w:tcPr>
            <w:tcBorders/>
            <w:tcW w:w="3643" w:type="pct"/>
            <w:vAlign w:val="center"/>
            <w:textDirection w:val="lrTb"/>
            <w:noWrap w:val="false"/>
          </w:tcPr>
          <w:p>
            <w:pPr>
              <w:pBdr/>
              <w:spacing w:after="40" w:before="40" w:line="276" w:lineRule="auto"/>
              <w:ind/>
              <w:jc w:val="both"/>
              <w:rPr>
                <w:color w:val="ff0000"/>
                <w:highlight w:val="yellow"/>
              </w:rPr>
            </w:pPr>
            <w:r>
              <w:rPr>
                <w:color w:val="000000" w:themeColor="text1"/>
                <w:highlight w:val="yellow"/>
                <w:lang w:val="vi-VN"/>
              </w:rPr>
            </w:r>
            <w:r>
              <w:rPr>
                <w:color w:val="ff0000"/>
                <w:highlight w:val="yellow"/>
              </w:rPr>
            </w:r>
            <w:r>
              <w:rPr>
                <w:color w:val="ff0000"/>
                <w:highlight w:val="yellow"/>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yellow"/>
              </w:rPr>
            </w:pPr>
            <w:r>
              <w:rPr>
                <w:bCs/>
                <w:color w:val="000000" w:themeColor="text1"/>
                <w:highlight w:val="yellow"/>
                <w:lang w:val="pt-BR"/>
              </w:rPr>
              <w:t xml:space="preserve">Địa chỉ</w:t>
            </w:r>
            <w:r>
              <w:rPr>
                <w:bCs/>
                <w:color w:val="000000" w:themeColor="text1"/>
                <w:highlight w:val="yellow"/>
              </w:rPr>
            </w:r>
            <w:r>
              <w:rPr>
                <w:bCs/>
                <w:color w:val="000000" w:themeColor="text1"/>
                <w:highlight w:val="yellow"/>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yellow"/>
              </w:rPr>
            </w:pPr>
            <w:r>
              <w:rPr>
                <w:bCs/>
                <w:color w:val="000000"/>
                <w:highlight w:val="yellow"/>
                <w:lang w:val="pt-BR"/>
              </w:rPr>
              <w:t xml:space="preserve">:</w:t>
            </w:r>
            <w:r>
              <w:rPr>
                <w:bCs/>
                <w:color w:val="000000" w:themeColor="text1"/>
                <w:highlight w:val="yellow"/>
              </w:rPr>
            </w:r>
            <w:r>
              <w:rPr>
                <w:bCs/>
                <w:color w:val="000000" w:themeColor="text1"/>
                <w:highlight w:val="yellow"/>
              </w:rPr>
            </w:r>
          </w:p>
        </w:tc>
        <w:tc>
          <w:tcPr>
            <w:tcBorders/>
            <w:tcW w:w="3643" w:type="pct"/>
            <w:vAlign w:val="center"/>
            <w:textDirection w:val="lrTb"/>
            <w:noWrap w:val="false"/>
          </w:tcPr>
          <w:p>
            <w:pPr>
              <w:pBdr/>
              <w:spacing w:after="40" w:before="40" w:line="276" w:lineRule="auto"/>
              <w:ind/>
              <w:jc w:val="both"/>
              <w:rPr>
                <w:color w:val="ff0000"/>
                <w:highlight w:val="yellow"/>
              </w:rPr>
            </w:pPr>
            <w:r>
              <w:rPr>
                <w:color w:val="000000" w:themeColor="text1"/>
                <w:highlight w:val="yellow"/>
                <w:lang w:val="vi-VN"/>
              </w:rPr>
            </w:r>
            <w:r>
              <w:rPr>
                <w:color w:val="ff0000"/>
                <w:highlight w:val="yellow"/>
              </w:rPr>
            </w:r>
            <w:r>
              <w:rPr>
                <w:color w:val="ff0000"/>
                <w:highlight w:val="yellow"/>
              </w:rPr>
            </w:r>
          </w:p>
        </w:tc>
      </w:tr>
    </w:tbl>
    <w:p>
      <w:pPr>
        <w:pBdr/>
        <w:spacing w:after="120" w:before="120" w:line="276" w:lineRule="auto"/>
        <w:ind/>
        <w:jc w:val="both"/>
        <w:rPr>
          <w:b/>
          <w:bCs/>
          <w:color w:val="000000" w:themeColor="text1"/>
        </w:rPr>
      </w:pPr>
      <w:r>
        <w:rPr>
          <w:b/>
          <w:bCs/>
          <w:color w:val="000000" w:themeColor="text1"/>
        </w:rPr>
        <w:t xml:space="preserve">2. 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pPr>
              <w:pBdr/>
              <w:tabs>
                <w:tab w:val="left" w:leader="none" w:pos="3382"/>
              </w:tabs>
              <w:spacing w:after="40" w:before="40" w:line="288"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lang w:val="vi-VN"/>
              </w:rPr>
              <w:tab/>
            </w:r>
            <w:r>
              <w:rPr>
                <w:b/>
                <w:bCs/>
                <w:color w:val="000000" w:themeColor="text1"/>
              </w:rPr>
            </w:r>
            <w:r>
              <w:rPr>
                <w:b/>
                <w:bCs/>
                <w:color w:val="000000" w:themeColor="text1"/>
              </w:rPr>
            </w:r>
          </w:p>
        </w:tc>
      </w:tr>
      <w:tr>
        <w:trPr>
          <w:trHeight w:val="371"/>
        </w:trPr>
        <w:tc>
          <w:tcPr>
            <w:tcBorders/>
            <w:tcW w:w="226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vMerge w:val="restart"/>
            <w:textDirection w:val="lrTb"/>
            <w:noWrap w:val="false"/>
          </w:tcPr>
          <w:p>
            <w:pPr>
              <w:pBdr/>
              <w:spacing w:after="40" w:before="40" w:line="288"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t xml:space="preserve">Tài sản hình thành trong tương lai là căn hộ 32.02, tại Toà căn hộ 45 tầng, dự án M Landmark Residences Đà Nẵng, có địa chỉ: tại số 58 Bạch Đằng, phường Hải Châu I, quận Hải Châu, Thành phố Đà Nẵng (Nay là phường Hải Châu, Thành phố Đà Nẵng).</w:t>
      </w:r>
      <w:r>
        <w:rPr>
          <w:bCs/>
          <w:color w:val="000000" w:themeColor="text1"/>
        </w:rPr>
        <w:t xml:space="preserve">.</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 Thời điểm thẩm định giá:</w:t>
      </w:r>
      <w:r>
        <w:rPr>
          <w:bCs/>
          <w:color w:val="000000" w:themeColor="text1"/>
          <w:lang w:val="nl-NL"/>
        </w:rPr>
        <w:t xml:space="preserve"> </w:t>
      </w:r>
      <w:r>
        <w:rPr>
          <w:bCs/>
          <w:color w:val="000000" w:themeColor="text1"/>
          <w:lang w:val="nl-NL"/>
        </w:rPr>
        <w:t xml:space="preserve">Tháng 09/2026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bookmarkStart w:id="1" w:name="_Toc150933962"/>
      <w:r/>
      <w:bookmarkStart w:id="2" w:name="_Toc150934860"/>
      <w:r>
        <w:rPr>
          <w:bCs/>
          <w:color w:val="000000" w:themeColor="text1"/>
          <w:spacing w:val="-4"/>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Cơ sở giá trị của tài sản thẩm định giá:</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Giả thiết và giả thiết đặc biệt:</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 </w:t>
      </w:r>
      <w:r>
        <w:rPr>
          <w:b/>
          <w:color w:val="000000" w:themeColor="text1"/>
        </w:rPr>
        <w:t xml:space="preserve">Giá trị tài sản thẩm định giá</w:t>
      </w:r>
      <w:r>
        <w:rPr>
          <w:b/>
          <w:bCs/>
          <w:color w:val="000000" w:themeColor="text1"/>
          <w:lang w:val="pt-BR"/>
        </w:rPr>
        <w:t xml:space="preserve">:</w:t>
      </w:r>
      <w:bookmarkEnd w:id="0"/>
      <w:r/>
      <w:bookmarkEnd w:id="1"/>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 khách hàng tại thời điểm </w:t>
      </w:r>
      <w:r>
        <w:rPr>
          <w:bCs/>
          <w:color w:val="000000" w:themeColor="text1"/>
          <w:lang w:val="nl-NL"/>
        </w:rPr>
        <w:t xml:space="preserve">Tháng 09/2026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025"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0" w:line="288" w:lineRule="auto"/>
              <w:ind/>
              <w:jc w:val="both"/>
              <w:rPr>
                <w:b/>
                <w:bCs/>
              </w:rPr>
            </w:pPr>
            <w:r>
              <w:rPr>
                <w:color w:val="000000"/>
              </w:rPr>
              <w:t xml:space="preserve">Tài sản hình thành trong tương lai là căn hộ 32.02, tại Toà căn hộ 45 tầng, dự án M Landmark Residences Đà Nẵng, có địa chỉ: tại số 58 Bạch Đằng, phường Hải Châu I, quận Hải Châu, Thành phố Đà Nẵng (Nay là phường Hải Châu, Thành phố Đà Nẵng).</w:t>
            </w:r>
            <w:r>
              <w:rPr>
                <w:b/>
                <w:bCs/>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2025" w:type="dxa"/>
            <w:vAlign w:val="center"/>
            <w:textDirection w:val="lrTb"/>
            <w:noWrap w:val="false"/>
          </w:tcPr>
          <w:p>
            <w:pPr>
              <w:pBdr/>
              <w:spacing w:after="40" w:before="40" w:line="288" w:lineRule="auto"/>
              <w:ind/>
              <w:rPr/>
            </w:pPr>
            <w:r>
              <w:rPr>
                <w:b/>
                <w:bCs/>
              </w:rPr>
              <w:t xml:space="preserve">Căn hộ chung cư</w:t>
            </w:r>
            <w:r/>
          </w:p>
        </w:tc>
        <w:tc>
          <w:tcPr>
            <w:tcBorders/>
            <w:tcW w:w="180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44,1</w:t>
            </w:r>
            <w:r/>
          </w:p>
        </w:tc>
        <w:tc>
          <w:tcPr>
            <w:shd w:val="clear" w:color="000000" w:fill="ffffff"/>
            <w:tcBorders/>
            <w:tcW w:w="25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182.000.000</w:t>
            </w:r>
            <w:r/>
          </w:p>
        </w:tc>
        <w:tc>
          <w:tcPr>
            <w:shd w:val="clear" w:color="000000" w:fill="ffffff"/>
            <w:tcBorders/>
            <w:tcW w:w="216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szCs w:val="24"/>
              </w:rPr>
              <w:t xml:space="preserve">8</w:t>
            </w:r>
            <w:r>
              <w:rPr>
                <w:rFonts w:ascii="Times New Roman" w:hAnsi="Times New Roman" w:eastAsia="Times New Roman" w:cs="Times New Roman"/>
                <w:color w:val="000000"/>
                <w:sz w:val="24"/>
                <w:szCs w:val="24"/>
              </w:rPr>
              <w:t xml:space="preserve">.026.200.000</w:t>
            </w:r>
            <w:r>
              <w:rPr>
                <w:rFonts w:ascii="Calibri" w:hAnsi="Calibri" w:eastAsia="Calibri" w:cs="Calibri"/>
                <w:color w:val="000000"/>
                <w:sz w:val="22"/>
              </w:rPr>
              <w:t xml:space="preserve"> </w:t>
            </w: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color w:val="000000"/>
              </w:rPr>
              <w:t xml:space="preserve">8.026.200.000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Tám tỷ tám mươi lăm triệu hai trăm nghìn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color w:val="000000" w:themeColor="text1"/>
        </w:rPr>
      </w:pPr>
      <w:r>
        <w:rPr>
          <w:color w:val="000000" w:themeColor="text1"/>
          <w:lang w:val="pt-BR"/>
        </w:rPr>
        <w:t xml:space="preserve">- Chi tiết như Báo cáo kèm theo.</w:t>
      </w:r>
      <w:r>
        <w:rPr>
          <w:color w:val="000000" w:themeColor="text1"/>
        </w:rPr>
      </w:r>
      <w:r>
        <w:rPr>
          <w:color w:val="000000" w:themeColor="text1"/>
        </w:rPr>
      </w:r>
    </w:p>
    <w:p>
      <w:pPr>
        <w:pBdr/>
        <w:spacing w:after="120" w:before="120" w:line="312" w:lineRule="auto"/>
        <w:ind/>
        <w:rPr>
          <w:rFonts w:eastAsia="Calibri"/>
          <w:b/>
          <w:bCs/>
          <w:color w:val="000000" w:themeColor="text1"/>
          <w:spacing w:val="-4"/>
          <w:lang w:val="vi-VN"/>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rFonts w:eastAsia="Calibri"/>
          <w:b/>
          <w:bCs/>
          <w:color w:val="000000" w:themeColor="text1"/>
          <w:spacing w:val="-4"/>
          <w:lang w:val="vi-VN"/>
        </w:rPr>
      </w:r>
      <w:r>
        <w:rPr>
          <w:rFonts w:eastAsia="Calibri"/>
          <w:b/>
          <w:bCs/>
          <w:color w:val="000000" w:themeColor="text1"/>
          <w:spacing w:val="-4"/>
          <w:lang w:val="vi-VN"/>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thẩm định giá được phát hành 03 (ba) bản chính bằng tiếng Việt, cấp cho quý khách hàng 02 (hai) bản, lưu lại Công ty Cổ phần Thẩm định và Đầu tư Tài chính Hoa Sen 01 (một) bản 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r>
        <w:rPr>
          <w:color w:val="000000" w:themeColor="text1"/>
          <w:spacing w:val="-6"/>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102"/>
                  <w:rFonts w:eastAsiaTheme="majorEastAsia"/>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111"/>
              <w:pBdr/>
              <w:spacing w:after="60"/>
              <w:ind/>
              <w:rPr>
                <w:color w:val="000000" w:themeColor="text1"/>
                <w:sz w:val="24"/>
                <w:szCs w:val="24"/>
              </w:rPr>
            </w:pPr>
            <w:r>
              <w:rPr>
                <w:rStyle w:val="1110"/>
                <w:color w:val="000000" w:themeColor="text1"/>
                <w:lang w:val="pt-BR"/>
              </w:rPr>
              <w:t xml:space="preserve">Số: </w:t>
            </w:r>
            <w:r>
              <w:rPr>
                <w:rStyle w:val="1110"/>
                <w:color w:val="000000" w:themeColor="text1"/>
                <w:lang w:val="pt-BR"/>
              </w:rPr>
              <w:t xml:space="preserve">275/2026/1492/VFI-CT.44.A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111"/>
              <w:pBdr/>
              <w:spacing w:after="60"/>
              <w:ind w:right="-56"/>
              <w:jc w:val="right"/>
              <w:rPr>
                <w:color w:val="000000" w:themeColor="text1"/>
                <w:sz w:val="24"/>
                <w:szCs w:val="24"/>
                <w:lang w:val="vi-VN"/>
              </w:rPr>
            </w:pPr>
            <w:r>
              <w:rPr>
                <w:rStyle w:val="1110"/>
                <w:i/>
                <w:color w:val="000000" w:themeColor="text1"/>
              </w:rPr>
              <w:t xml:space="preserve">TP. Hà Nội</w:t>
            </w:r>
            <w:r>
              <w:rPr>
                <w:rStyle w:val="1110"/>
                <w:i/>
                <w:lang w:val="vi-VN"/>
              </w:rPr>
              <w:t xml:space="preserve">, </w:t>
            </w:r>
            <w:r>
              <w:rPr>
                <w:rStyle w:val="1110"/>
                <w:i/>
                <w:color w:val="000000" w:themeColor="text1"/>
                <w:lang w:val="vi-VN"/>
              </w:rPr>
              <w:t xml:space="preserve">ngày 22 tháng 9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111"/>
              <w:pBdr/>
              <w:spacing w:after="60"/>
              <w:ind/>
              <w:rPr>
                <w:rStyle w:val="1110"/>
                <w:color w:val="000000" w:themeColor="text1"/>
                <w:lang w:val="pt-BR"/>
              </w:rPr>
            </w:pPr>
            <w:r>
              <w:rPr>
                <w:rStyle w:val="1110"/>
                <w:color w:val="000000" w:themeColor="text1"/>
                <w:lang w:val="pt-BR"/>
              </w:rPr>
            </w:r>
            <w:r>
              <w:rPr>
                <w:rStyle w:val="1110"/>
                <w:color w:val="000000" w:themeColor="text1"/>
                <w:lang w:val="pt-BR"/>
              </w:rPr>
            </w:r>
            <w:r>
              <w:rPr>
                <w:rStyle w:val="1110"/>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111"/>
              <w:pBdr/>
              <w:spacing w:after="60"/>
              <w:ind w:right="-56"/>
              <w:rPr>
                <w:rStyle w:val="1110"/>
                <w:i/>
              </w:rPr>
            </w:pPr>
            <w:r>
              <w:rPr>
                <w:i/>
              </w:rPr>
            </w:r>
            <w:r>
              <w:rPr>
                <w:rStyle w:val="1110"/>
                <w:i/>
              </w:rPr>
            </w:r>
            <w:r>
              <w:rPr>
                <w:rStyle w:val="1110"/>
                <w:i/>
              </w:rPr>
            </w:r>
          </w:p>
        </w:tc>
      </w:tr>
    </w:tbl>
    <w:p>
      <w:pPr>
        <w:pStyle w:val="1111"/>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r>
        <w:rPr>
          <w:i/>
          <w:iCs/>
          <w:color w:val="000000" w:themeColor="text1"/>
          <w:sz w:val="30"/>
          <w:szCs w:val="30"/>
        </w:rPr>
      </w:r>
    </w:p>
    <w:p>
      <w:pPr>
        <w:pStyle w:val="92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theo Chứng thư thẩm định giá số: </w:t>
      </w:r>
      <w:r>
        <w:rPr>
          <w:b w:val="0"/>
          <w:i/>
          <w:color w:val="000000" w:themeColor="text1"/>
          <w:spacing w:val="-6"/>
          <w:sz w:val="24"/>
          <w:szCs w:val="24"/>
          <w:lang w:val="pt-BR"/>
        </w:rPr>
        <w:t xml:space="preserve">275/2026/1492/VFI-CT.44.A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22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925"/>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THÔNG TIN VỀ DOANH NGHIỆP THẨM ĐỊNH GIÁ </w:t>
      </w:r>
      <w:r>
        <w:rPr>
          <w:b w:val="0"/>
          <w:i/>
          <w:color w:val="000000" w:themeColor="text1"/>
          <w:spacing w:val="-6"/>
          <w:sz w:val="24"/>
          <w:szCs w:val="24"/>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color w:val="000000" w:themeColor="text1"/>
              </w:rPr>
            </w:r>
            <w:r>
              <w:rPr>
                <w:b/>
                <w:bCs/>
                <w:color w:val="000000" w:themeColor="text1"/>
              </w:rPr>
            </w:r>
          </w:p>
        </w:tc>
      </w:tr>
      <w:tr>
        <w:trPr>
          <w:trHeight w:val="357"/>
        </w:trPr>
        <w:tc>
          <w:tcPr>
            <w:tcBorders/>
            <w:tcW w:w="2552" w:type="dxa"/>
            <w:vAlign w:val="center"/>
            <w:vMerge w:val="restart"/>
            <w:textDirection w:val="lrTb"/>
            <w:noWrap w:val="false"/>
          </w:tcPr>
          <w:p>
            <w:pPr>
              <w:pBdr/>
              <w:spacing w:after="40" w:before="40" w:line="276"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vMerge w:val="restart"/>
            <w:textDirection w:val="lrTb"/>
            <w:noWrap w:val="false"/>
          </w:tcPr>
          <w:p>
            <w:pPr>
              <w:pBdr/>
              <w:spacing w:after="40" w:before="40" w:line="276"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Style w:val="1112"/>
        <w:pBdr/>
        <w:tabs>
          <w:tab w:val="left" w:leader="none" w:pos="284"/>
        </w:tabs>
        <w:spacing w:after="120" w:line="320" w:lineRule="atLeast"/>
        <w:ind w:left="0"/>
        <w:jc w:val="both"/>
        <w:rPr>
          <w:b/>
          <w:bCs/>
          <w:color w:val="000000" w:themeColor="text1"/>
        </w:rPr>
      </w:pPr>
      <w:r>
        <w:rPr>
          <w:b/>
          <w:bCs/>
          <w:color w:val="000000" w:themeColor="text1"/>
          <w:lang w:val="pt-BR"/>
        </w:rPr>
        <w:t xml:space="preserve">II. THÔNG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 Thông tin cơ bản về cuộc thẩm định giá:</w:t>
      </w:r>
      <w:r>
        <w:rPr>
          <w:b/>
          <w:bCs/>
          <w:color w:val="000000" w:themeColor="text1"/>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highlight w:val="yellow"/>
              </w:rPr>
            </w:pPr>
            <w:r>
              <w:rPr>
                <w:bCs/>
                <w:color w:val="000000" w:themeColor="text1"/>
                <w:highlight w:val="yellow"/>
                <w:lang w:val="pt-BR"/>
              </w:rPr>
              <w:t xml:space="preserve">Tên khách hàng</w:t>
            </w:r>
            <w:r>
              <w:rPr>
                <w:bCs/>
                <w:highlight w:val="yellow"/>
              </w:rPr>
            </w:r>
            <w:r>
              <w:rPr>
                <w:bCs/>
                <w:highlight w:val="yellow"/>
              </w:rPr>
            </w:r>
          </w:p>
        </w:tc>
        <w:tc>
          <w:tcPr>
            <w:tcBorders/>
            <w:tcW w:w="284" w:type="dxa"/>
            <w:vAlign w:val="center"/>
            <w:textDirection w:val="lrTb"/>
            <w:noWrap w:val="false"/>
          </w:tcPr>
          <w:p>
            <w:pPr>
              <w:pStyle w:val="1112"/>
              <w:pBdr/>
              <w:spacing w:after="60" w:before="60" w:line="276" w:lineRule="auto"/>
              <w:ind w:left="0"/>
              <w:rPr>
                <w:bCs/>
                <w:highlight w:val="yellow"/>
              </w:rPr>
            </w:pPr>
            <w:r>
              <w:rPr>
                <w:bCs/>
                <w:highlight w:val="yellow"/>
                <w:lang w:val="pt-BR"/>
              </w:rPr>
              <w:t xml:space="preserve">:</w:t>
            </w:r>
            <w:r>
              <w:rPr>
                <w:bCs/>
                <w:highlight w:val="yellow"/>
              </w:rPr>
            </w:r>
            <w:r>
              <w:rPr>
                <w:bCs/>
                <w:highlight w:val="yellow"/>
              </w:rPr>
            </w:r>
          </w:p>
        </w:tc>
        <w:tc>
          <w:tcPr>
            <w:tcBorders/>
            <w:tcW w:w="6945" w:type="dxa"/>
            <w:vAlign w:val="center"/>
            <w:textDirection w:val="lrTb"/>
            <w:noWrap w:val="false"/>
          </w:tcPr>
          <w:p>
            <w:pPr>
              <w:pBdr/>
              <w:spacing/>
              <w:ind/>
              <w:rPr>
                <w:highlight w:val="yellow"/>
              </w:rPr>
            </w:pPr>
            <w:r>
              <w:rPr>
                <w:b/>
                <w:bCs/>
                <w:highlight w:val="yellow"/>
              </w:rPr>
              <w:t xml:space="preserve">Lâm Sơn Tùng</w:t>
            </w:r>
            <w:r>
              <w:rPr>
                <w:highlight w:val="yellow"/>
              </w:rPr>
            </w:r>
            <w:r>
              <w:rPr>
                <w:highlight w:val="yellow"/>
              </w:rPr>
            </w:r>
          </w:p>
        </w:tc>
      </w:tr>
      <w:tr>
        <w:trPr>
          <w:trHeight w:val="20"/>
        </w:trPr>
        <w:tc>
          <w:tcPr>
            <w:tcBorders/>
            <w:tcW w:w="2518" w:type="dxa"/>
            <w:vAlign w:val="center"/>
            <w:textDirection w:val="lrTb"/>
            <w:noWrap w:val="false"/>
          </w:tcPr>
          <w:p>
            <w:pPr>
              <w:pBdr/>
              <w:spacing w:after="60" w:before="60" w:line="276" w:lineRule="auto"/>
              <w:ind/>
              <w:rPr>
                <w:bCs/>
                <w:highlight w:val="yellow"/>
              </w:rPr>
            </w:pPr>
            <w:r>
              <w:rPr>
                <w:bCs/>
                <w:color w:val="000000" w:themeColor="text1"/>
                <w:highlight w:val="yellow"/>
                <w:lang w:val="pt-BR"/>
              </w:rPr>
              <w:t xml:space="preserve">MST/CMTND/CCCD:</w:t>
            </w:r>
            <w:r>
              <w:rPr>
                <w:bCs/>
                <w:highlight w:val="yellow"/>
              </w:rPr>
            </w:r>
            <w:r>
              <w:rPr>
                <w:bCs/>
                <w:highlight w:val="yellow"/>
              </w:rPr>
            </w:r>
          </w:p>
        </w:tc>
        <w:tc>
          <w:tcPr>
            <w:tcBorders/>
            <w:tcW w:w="284" w:type="dxa"/>
            <w:vAlign w:val="center"/>
            <w:textDirection w:val="lrTb"/>
            <w:noWrap w:val="false"/>
          </w:tcPr>
          <w:p>
            <w:pPr>
              <w:pStyle w:val="1112"/>
              <w:pBdr/>
              <w:spacing w:after="60" w:before="60" w:line="276" w:lineRule="auto"/>
              <w:ind w:left="0"/>
              <w:rPr>
                <w:bCs/>
                <w:highlight w:val="yellow"/>
              </w:rPr>
            </w:pPr>
            <w:r>
              <w:rPr>
                <w:bCs/>
                <w:highlight w:val="yellow"/>
                <w:lang w:val="pt-BR"/>
              </w:rPr>
              <w:t xml:space="preserve">:</w:t>
            </w:r>
            <w:r>
              <w:rPr>
                <w:bCs/>
                <w:highlight w:val="yellow"/>
              </w:rPr>
            </w:r>
            <w:r>
              <w:rPr>
                <w:bCs/>
                <w:highlight w:val="yellow"/>
              </w:rPr>
            </w:r>
          </w:p>
        </w:tc>
        <w:tc>
          <w:tcPr>
            <w:tcBorders/>
            <w:tcW w:w="6945" w:type="dxa"/>
            <w:vAlign w:val="center"/>
            <w:textDirection w:val="lrTb"/>
            <w:noWrap w:val="false"/>
          </w:tcPr>
          <w:p>
            <w:pPr>
              <w:pBdr/>
              <w:spacing w:after="60" w:before="60" w:line="276" w:lineRule="auto"/>
              <w:ind/>
              <w:rPr>
                <w:b/>
                <w:bCs/>
                <w:highlight w:val="yellow"/>
              </w:rPr>
            </w:pPr>
            <w:r>
              <w:rPr>
                <w:color w:val="000000" w:themeColor="text1"/>
                <w:highlight w:val="yellow"/>
                <w:lang w:val="vi-VN"/>
              </w:rPr>
            </w:r>
            <w:r>
              <w:rPr>
                <w:b/>
                <w:bCs/>
                <w:highlight w:val="yellow"/>
              </w:rPr>
            </w:r>
            <w:r>
              <w:rPr>
                <w:b/>
                <w:bCs/>
                <w:highlight w:val="yellow"/>
              </w:rPr>
            </w:r>
          </w:p>
        </w:tc>
      </w:tr>
      <w:tr>
        <w:trPr>
          <w:trHeight w:val="20"/>
        </w:trPr>
        <w:tc>
          <w:tcPr>
            <w:tcBorders/>
            <w:tcW w:w="2518" w:type="dxa"/>
            <w:vAlign w:val="center"/>
            <w:textDirection w:val="lrTb"/>
            <w:noWrap w:val="false"/>
          </w:tcPr>
          <w:p>
            <w:pPr>
              <w:pBdr/>
              <w:spacing w:after="60" w:before="60" w:line="276" w:lineRule="auto"/>
              <w:ind/>
              <w:rPr>
                <w:bCs/>
                <w:highlight w:val="yellow"/>
              </w:rPr>
            </w:pPr>
            <w:r>
              <w:rPr>
                <w:bCs/>
                <w:color w:val="000000" w:themeColor="text1"/>
                <w:highlight w:val="yellow"/>
                <w:lang w:val="pt-BR"/>
              </w:rPr>
              <w:t xml:space="preserve">Năm sinh:</w:t>
            </w:r>
            <w:r>
              <w:rPr>
                <w:bCs/>
                <w:highlight w:val="yellow"/>
              </w:rPr>
            </w:r>
            <w:r>
              <w:rPr>
                <w:bCs/>
                <w:highlight w:val="yellow"/>
              </w:rPr>
            </w:r>
          </w:p>
        </w:tc>
        <w:tc>
          <w:tcPr>
            <w:tcBorders/>
            <w:tcW w:w="284" w:type="dxa"/>
            <w:vAlign w:val="center"/>
            <w:textDirection w:val="lrTb"/>
            <w:noWrap w:val="false"/>
          </w:tcPr>
          <w:p>
            <w:pPr>
              <w:pStyle w:val="1112"/>
              <w:pBdr/>
              <w:spacing w:after="60" w:before="60" w:line="276" w:lineRule="auto"/>
              <w:ind w:left="0"/>
              <w:rPr>
                <w:bCs/>
                <w:highlight w:val="yellow"/>
              </w:rPr>
            </w:pPr>
            <w:r>
              <w:rPr>
                <w:bCs/>
                <w:highlight w:val="yellow"/>
                <w:lang w:val="pt-BR"/>
              </w:rPr>
              <w:t xml:space="preserve">:</w:t>
            </w:r>
            <w:r>
              <w:rPr>
                <w:bCs/>
                <w:highlight w:val="yellow"/>
              </w:rPr>
            </w:r>
            <w:r>
              <w:rPr>
                <w:bCs/>
                <w:highlight w:val="yellow"/>
              </w:rPr>
            </w:r>
          </w:p>
        </w:tc>
        <w:tc>
          <w:tcPr>
            <w:tcBorders/>
            <w:tcW w:w="6945" w:type="dxa"/>
            <w:vAlign w:val="center"/>
            <w:textDirection w:val="lrTb"/>
            <w:noWrap w:val="false"/>
          </w:tcPr>
          <w:p>
            <w:pPr>
              <w:pBdr/>
              <w:spacing w:after="60" w:before="60" w:line="276" w:lineRule="auto"/>
              <w:ind/>
              <w:rPr>
                <w:b/>
                <w:bCs/>
                <w:highlight w:val="yellow"/>
              </w:rPr>
            </w:pPr>
            <w:r>
              <w:rPr>
                <w:color w:val="000000" w:themeColor="text1"/>
                <w:highlight w:val="yellow"/>
                <w:lang w:val="vi-VN"/>
              </w:rPr>
            </w:r>
            <w:r>
              <w:rPr>
                <w:b/>
                <w:bCs/>
                <w:highlight w:val="yellow"/>
              </w:rPr>
            </w:r>
            <w:r>
              <w:rPr>
                <w:b/>
                <w:bCs/>
                <w:highlight w:val="yellow"/>
              </w:rPr>
            </w:r>
          </w:p>
        </w:tc>
      </w:tr>
      <w:tr>
        <w:trPr>
          <w:trHeight w:val="20"/>
        </w:trPr>
        <w:tc>
          <w:tcPr>
            <w:tcBorders/>
            <w:tcW w:w="2518" w:type="dxa"/>
            <w:vAlign w:val="center"/>
            <w:textDirection w:val="lrTb"/>
            <w:noWrap w:val="false"/>
          </w:tcPr>
          <w:p>
            <w:pPr>
              <w:pBdr/>
              <w:spacing w:after="60" w:before="60" w:line="276" w:lineRule="auto"/>
              <w:ind/>
              <w:rPr>
                <w:bCs/>
                <w:highlight w:val="yellow"/>
              </w:rPr>
            </w:pPr>
            <w:r>
              <w:rPr>
                <w:bCs/>
                <w:color w:val="000000" w:themeColor="text1"/>
                <w:highlight w:val="yellow"/>
                <w:lang w:val="pt-BR"/>
              </w:rPr>
              <w:t xml:space="preserve">Địa chỉ</w:t>
            </w:r>
            <w:r>
              <w:rPr>
                <w:bCs/>
                <w:highlight w:val="yellow"/>
              </w:rPr>
            </w:r>
            <w:r>
              <w:rPr>
                <w:bCs/>
                <w:highlight w:val="yellow"/>
              </w:rPr>
            </w:r>
          </w:p>
        </w:tc>
        <w:tc>
          <w:tcPr>
            <w:tcBorders/>
            <w:tcW w:w="284" w:type="dxa"/>
            <w:vAlign w:val="center"/>
            <w:textDirection w:val="lrTb"/>
            <w:noWrap w:val="false"/>
          </w:tcPr>
          <w:p>
            <w:pPr>
              <w:pStyle w:val="1112"/>
              <w:pBdr/>
              <w:spacing w:after="60" w:before="60" w:line="276" w:lineRule="auto"/>
              <w:ind w:left="0"/>
              <w:rPr>
                <w:bCs/>
                <w:highlight w:val="yellow"/>
              </w:rPr>
            </w:pPr>
            <w:r>
              <w:rPr>
                <w:bCs/>
                <w:highlight w:val="yellow"/>
                <w:lang w:val="pt-BR"/>
              </w:rPr>
              <w:t xml:space="preserve">:</w:t>
            </w:r>
            <w:r>
              <w:rPr>
                <w:bCs/>
                <w:highlight w:val="yellow"/>
              </w:rPr>
            </w:r>
            <w:r>
              <w:rPr>
                <w:bCs/>
                <w:highlight w:val="yellow"/>
              </w:rPr>
            </w:r>
          </w:p>
        </w:tc>
        <w:tc>
          <w:tcPr>
            <w:tcBorders/>
            <w:tcW w:w="6945" w:type="dxa"/>
            <w:vAlign w:val="center"/>
            <w:textDirection w:val="lrTb"/>
            <w:noWrap w:val="false"/>
          </w:tcPr>
          <w:p>
            <w:pPr>
              <w:pBdr/>
              <w:spacing w:after="60" w:before="60" w:line="276" w:lineRule="auto"/>
              <w:ind/>
              <w:rPr>
                <w:b/>
                <w:bCs/>
                <w:highlight w:val="yellow"/>
              </w:rPr>
            </w:pPr>
            <w:r>
              <w:rPr>
                <w:color w:val="000000" w:themeColor="text1"/>
                <w:highlight w:val="yellow"/>
                <w:lang w:val="vi-VN"/>
              </w:rPr>
            </w:r>
            <w:r>
              <w:rPr>
                <w:b/>
                <w:bCs/>
                <w:highlight w:val="yellow"/>
              </w:rPr>
            </w:r>
            <w:r>
              <w:rPr>
                <w:b/>
                <w:bCs/>
                <w:highlight w:val="yellow"/>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Tài sản hình thành trong tương lai là căn hộ 32.02, tại Toà căn hộ 45 tầng, dự án M Landmark Residences Đà Nẵng, có địa chỉ: tại số 58 Bạch Đằng, phường Hải Châu I, quận Hải Châu, Thành phố Đà Nẵng (Nay là phường Hải Châu, Thành phố Đà Nẵng).</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M LANDMARK RESIDENCES DA NANG, Thành phố Đà Nẵng</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92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16.07247, 108.22446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09/2026</w:t>
            </w:r>
            <w:r>
              <w:rPr>
                <w:lang w:val="pt-BR"/>
              </w:rPr>
              <w:t xml:space="preserve">.</w:t>
            </w:r>
            <w:r>
              <w:rPr>
                <w:lang w:val="pt-BR"/>
              </w:rPr>
            </w:r>
            <w:r>
              <w:rPr>
                <w:lang w:val="pt-BR"/>
              </w:rPr>
            </w:r>
          </w:p>
        </w:tc>
      </w:tr>
    </w:tbl>
    <w:p>
      <w:pPr>
        <w:pBdr/>
        <w:spacing w:after="120" w:before="120" w:line="276" w:lineRule="auto"/>
        <w:ind/>
        <w:rPr>
          <w:b/>
          <w:bCs/>
          <w:color w:val="000000" w:themeColor="text1"/>
          <w:spacing w:val="-6"/>
        </w:rPr>
      </w:pPr>
      <w:r>
        <w:rPr>
          <w:b/>
          <w:bCs/>
          <w:color w:val="000000" w:themeColor="text1"/>
          <w:spacing w:val="-6"/>
          <w:lang w:val="pt-BR"/>
        </w:rPr>
        <w:t xml:space="preserve">2. Các nguồn thông tin được sử dụng trong quá trình thẩm định giá và xem xét đánh giá các thông tin thu thập</w:t>
      </w:r>
      <w:r>
        <w:rPr>
          <w:b/>
          <w:bCs/>
          <w:color w:val="000000" w:themeColor="text1"/>
          <w:spacing w:val="-6"/>
        </w:rPr>
      </w:r>
      <w:r>
        <w:rPr>
          <w:b/>
          <w:bCs/>
          <w:color w:val="000000" w:themeColor="text1"/>
          <w:spacing w:val="-6"/>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 gọi điện trực tiếp</w:t>
      </w:r>
      <w:r>
        <w:rPr>
          <w:color w:val="000000" w:themeColor="text1"/>
          <w:lang w:val="pt-BR"/>
        </w:rPr>
        <w:t xml:space="preserve">.</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những</w:t>
      </w:r>
      <w:r>
        <w:rPr>
          <w:color w:val="000000" w:themeColor="text1"/>
          <w:lang w:val="vi-VN"/>
        </w:rPr>
        <w:t xml:space="preserve"> người </w:t>
      </w:r>
      <w:r>
        <w:rPr>
          <w:color w:val="000000" w:themeColor="text1"/>
          <w:lang w:val="pt-BR"/>
        </w:rPr>
        <w:t xml:space="preserve">dân sinh</w:t>
      </w:r>
      <w:r>
        <w:rPr>
          <w:color w:val="000000" w:themeColor="text1"/>
          <w:lang w:val="vi-VN"/>
        </w:rPr>
        <w:t xml:space="preserve"> s</w:t>
      </w:r>
      <w:r>
        <w:rPr>
          <w:color w:val="000000" w:themeColor="text1"/>
          <w:lang w:val="pt-BR"/>
        </w:rPr>
        <w:t xml:space="preserve">ống xung quanh trên địa bàn.</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 và phổ biến trên thị trường.</w:t>
      </w:r>
      <w:r>
        <w:rPr>
          <w:color w:val="000000" w:themeColor="text1"/>
        </w:rPr>
      </w:r>
      <w:r>
        <w:rPr>
          <w:color w:val="000000" w:themeColor="text1"/>
        </w:rPr>
      </w:r>
    </w:p>
    <w:p>
      <w:pPr>
        <w:pStyle w:val="1112"/>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 Căn cứ pháp lý</w:t>
      </w:r>
      <w:r>
        <w:rPr>
          <w:b/>
          <w:bCs/>
          <w:color w:val="000000" w:themeColor="text1"/>
        </w:rPr>
      </w:r>
      <w:r>
        <w:rPr>
          <w:b/>
          <w:bCs/>
          <w:color w:val="000000" w:themeColor="text1"/>
        </w:rPr>
      </w:r>
    </w:p>
    <w:p>
      <w:pPr>
        <w:pStyle w:val="1112"/>
        <w:pBdr/>
        <w:tabs>
          <w:tab w:val="left" w:leader="none" w:pos="993"/>
        </w:tabs>
        <w:spacing w:after="120" w:before="120" w:line="276" w:lineRule="auto"/>
        <w:ind w:left="0"/>
        <w:jc w:val="both"/>
        <w:rPr>
          <w:b/>
          <w:color w:val="000000" w:themeColor="text1"/>
        </w:rPr>
      </w:pPr>
      <w:r>
        <w:rPr>
          <w:b/>
          <w:color w:val="000000" w:themeColor="text1"/>
          <w:lang w:val="pt-BR"/>
        </w:rPr>
        <w:t xml:space="preserve">3.1. Văn bản quy phạm pháp luật:</w:t>
      </w:r>
      <w:r>
        <w:rPr>
          <w:b/>
          <w:color w:val="000000" w:themeColor="text1"/>
        </w:rPr>
      </w:r>
      <w:r>
        <w:rPr>
          <w:b/>
          <w:color w:val="000000" w:themeColor="text1"/>
        </w:rPr>
      </w:r>
    </w:p>
    <w:p>
      <w:pPr>
        <w:pStyle w:val="1112"/>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112"/>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chính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của Bộ Tài chính ban hành chuẩn mực thẩm định giá Việt Nam về thu thập và phân tích thông tin về tài sản thẩm định giá;</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của Bộ Tài chính 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 của Bộ Tài chính ban hành chuẩn mực thẩm định giá Việt Nam về thẩm định giá doanh nghiệp;</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của Bộ Tài chính ban hành chuẩn mực thẩm định giá Việt Nam về thẩm định giá tài sản vô hình;</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của Bộ Tài chính ban hành chuẩn mực thẩm định giá Việt Nam về thẩm định giá bất động sản;</w:t>
      </w:r>
      <w:r>
        <w:rPr>
          <w:color w:val="000000" w:themeColor="text1"/>
        </w:rPr>
      </w:r>
      <w:r>
        <w:rPr>
          <w:color w:val="000000" w:themeColor="text1"/>
        </w:rPr>
      </w:r>
    </w:p>
    <w:p>
      <w:pPr>
        <w:pStyle w:val="1112"/>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112"/>
        <w:pBdr/>
        <w:tabs>
          <w:tab w:val="left" w:leader="none" w:pos="993"/>
        </w:tabs>
        <w:spacing w:after="120" w:before="120" w:line="276" w:lineRule="auto"/>
        <w:ind w:left="0"/>
        <w:jc w:val="both"/>
        <w:rPr>
          <w:b/>
          <w:color w:val="000000" w:themeColor="text1"/>
        </w:rPr>
      </w:pPr>
      <w:r>
        <w:rPr>
          <w:b/>
          <w:color w:val="000000" w:themeColor="text1"/>
          <w:lang w:val="pt-BR"/>
        </w:rPr>
        <w:t xml:space="preserve">3.2. Các văn bản liên quan khác:</w:t>
      </w:r>
      <w:r>
        <w:rPr>
          <w:b/>
          <w:color w:val="000000" w:themeColor="text1"/>
        </w:rPr>
      </w:r>
      <w:r>
        <w:rPr>
          <w:b/>
          <w:color w:val="000000" w:themeColor="text1"/>
        </w:rPr>
      </w:r>
    </w:p>
    <w:p>
      <w:pPr>
        <w:pStyle w:val="1112"/>
        <w:pBdr/>
        <w:tabs>
          <w:tab w:val="left" w:leader="none" w:pos="993"/>
        </w:tabs>
        <w:spacing w:after="120" w:before="120" w:line="276" w:lineRule="auto"/>
        <w:ind w:left="0"/>
        <w:jc w:val="both"/>
        <w:rPr>
          <w:b/>
          <w:color w:val="000000" w:themeColor="text1"/>
        </w:rPr>
      </w:pPr>
      <w:r>
        <w:rPr>
          <w:b/>
          <w:color w:val="000000" w:themeColor="text1"/>
          <w:lang w:val="pt-BR"/>
        </w:rPr>
        <w:t xml:space="preserve">a. Hồ sơ pháp lý của tài sản: </w:t>
      </w:r>
      <w:r>
        <w:rPr>
          <w:b/>
          <w:color w:val="000000" w:themeColor="text1"/>
        </w:rPr>
      </w:r>
      <w:r>
        <w:rPr>
          <w:b/>
          <w:color w:val="000000" w:themeColor="text1"/>
        </w:rPr>
      </w:r>
    </w:p>
    <w:p>
      <w:pPr>
        <w:pStyle w:val="1112"/>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t xml:space="preserve">Giấy chứng nhận quyền sử </w:t>
      </w:r>
      <w:r>
        <w:rPr>
          <w:bCs/>
          <w:color w:val="000000" w:themeColor="text1"/>
          <w:lang w:val="pt-BR"/>
        </w:rPr>
        <w:t xml:space="preserve">dụng đất số AK 280023, số vào sổ cấp giấy: T 01102, do UBND TP. Đà Nẵng cấp ngày 14/08/2007. -</w:t>
        <w:tab/>
        <w:t xml:space="preserve">Giấy phép xây dựng số 1926/GPXD ngày 12/11/2018 của Sở Xây dựng Thành phố Đà Nẵng cấp phép xây dựng cho Công ty Cổ phần địa ốc Foodinco. -</w:t>
        <w:tab/>
        <w:t xml:space="preserve">Hợp đồng xây dựng số 2</w:t>
      </w:r>
      <w:r>
        <w:rPr>
          <w:bCs/>
          <w:color w:val="000000" w:themeColor="text1"/>
          <w:lang w:val="pt-BR"/>
        </w:rPr>
        <w:t xml:space="preserve">48/HĐXD-QLDA ngày 17 tháng 5 năm 2018 của Bộ Xây dựng về việc thông báo kết quả thẩm dịnh TKCS điều chỉnh công trình “ Tổ hợp khách sạn, căn hộ dịch vụ Marriott và nhà ở để bán” tại số 58 đường Bạch Đằng, phường Hải Châu I, quận Hải Châu, thành phố Đà Nẵng</w:t>
      </w:r>
      <w:r>
        <w:rPr>
          <w:color w:val="000000" w:themeColor="text1"/>
          <w:lang w:val="pt-BR"/>
        </w:rPr>
        <w:t xml:space="preserve">.</w:t>
      </w:r>
      <w:r>
        <w:rPr>
          <w:i/>
          <w:iCs/>
          <w:color w:val="000000" w:themeColor="text1"/>
        </w:rPr>
      </w:r>
      <w:r>
        <w:rPr>
          <w:i/>
          <w:i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112"/>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dịch vụ thẩm định giá số 275/2026/1492/VFI-HĐTĐ.44.A ngày 23/09/2026 giữa Ông Lâm Sơn Tùng với Công ty Cổ phần Thẩm định và Đầu tư Tài chính Hoa Sen.</w:t>
      </w:r>
      <w:r>
        <w:rPr>
          <w:color w:val="000000" w:themeColor="text1"/>
          <w:lang w:val="pt-BR"/>
        </w:rPr>
        <w:t xml:space="preserve">.</w:t>
      </w:r>
      <w:r>
        <w:rPr>
          <w:b/>
          <w:color w:val="000000" w:themeColor="text1"/>
        </w:rPr>
      </w:r>
      <w:r>
        <w:rPr>
          <w:b/>
          <w:color w:val="000000" w:themeColor="text1"/>
        </w:rPr>
      </w:r>
    </w:p>
    <w:p>
      <w:pPr>
        <w:pStyle w:val="1112"/>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 TỔNG QUAN VỀ THỊ TRƯỜNG CỦA TÀI SẢN THẨM ĐỊNH GIÁ</w:t>
      </w:r>
      <w:r>
        <w:rPr>
          <w:b/>
          <w:bCs/>
          <w:color w:val="000000" w:themeColor="text1"/>
        </w:rPr>
      </w:r>
      <w:r>
        <w:rPr>
          <w:b/>
          <w:bCs/>
          <w:color w:val="000000" w:themeColor="text1"/>
        </w:rPr>
      </w:r>
    </w:p>
    <w:p>
      <w:pPr>
        <w:pStyle w:val="1112"/>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rPr>
      </w:pPr>
      <w:r>
        <w:rPr>
          <w:b/>
          <w:bCs/>
          <w:iCs/>
          <w:color w:val="000000" w:themeColor="text1"/>
        </w:rPr>
        <w:t xml:space="preserve">Tổng quan thị trường</w:t>
      </w:r>
      <w:r>
        <w:rPr>
          <w:b/>
          <w:bCs/>
          <w:iCs/>
          <w:color w:val="000000" w:themeColor="text1"/>
        </w:rPr>
      </w:r>
      <w:r>
        <w:rPr>
          <w:b/>
          <w:bCs/>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Thị trường căn hộ Hà Nội đang bước vào chu kỳ tăng trưởng nguồ</w:t>
      </w:r>
      <w:r>
        <w:rPr>
          <w:iCs/>
          <w:color w:val="000000" w:themeColor="text1"/>
        </w:rPr>
        <w:t xml:space="preserve">n cung mới sau nhiều năm khan hiếm dự án. Tuy nhiên, khác với giai đoạn trước khi có sự tham gia của nhiều doanh nghiệp quy mô vừa và nhỏ, nguồn hàng hiện nay chủ yếu được dẫn dắt bởi một nhóm “ông lớn” như Masterise Homes, MIK Group hay Sunshine Group,...</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Từ khu vực trung tâm đến phía tây, phía đông và phía bắc Thủ đô, hàng loạt đại dự án đang đồng loạt triển khai với quy mô lên tới hàng chục nghìn căn hộ.</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mc:AlternateContent>
          <mc:Choice Requires="wpg">
            <w:drawing>
              <wp:inline xmlns:wp="http://schemas.openxmlformats.org/drawingml/2006/wordprocessingDrawing" distT="0" distB="0" distL="0" distR="0">
                <wp:extent cx="4012841" cy="3011843"/>
                <wp:effectExtent l="0" t="0" r="6985" b="0"/>
                <wp:docPr id="5" name="Picture 2"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ễn biến thị trường chung cư Hà Nội"/>
                        <pic:cNvPicPr>
                          <a:picLocks noChangeAspect="1"/>
                        </pic:cNvPicPr>
                        <pic:nvPr/>
                      </pic:nvPicPr>
                      <pic:blipFill rotWithShape="1">
                        <a:blip r:embed="rId17"/>
                        <a:stretch/>
                      </pic:blipFill>
                      <pic:spPr bwMode="auto">
                        <a:xfrm>
                          <a:off x="0" y="0"/>
                          <a:ext cx="4019108" cy="3016548"/>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15.97pt;height:237.15pt;mso-wrap-distance-left:0.00pt;mso-wrap-distance-top:0.00pt;mso-wrap-distance-right:0.00pt;mso-wrap-distance-bottom:0.00pt;z-index:1;" stroked="f">
                <v:imagedata r:id="rId17" o:title=""/>
                <o:lock v:ext="edit" rotation="t"/>
              </v:shape>
            </w:pict>
          </mc:Fallback>
        </mc:AlternateConten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Nguồn cung căn hộ Hà Nội dự kiến đạt khoảng 36.000 căn trong năm nay, nhưng phần lớn nằm trong tay các “ông lớn” như Masterise, MIK, Sunshine. Giá sơ cấp trung bình đã lên 102 triệu đồng/m2, nghiêng mạnh về phân khúc cao cấp.</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Tại khu đất công nghiệp cũ Cao - Xà - Lá trên đường Nguyễn Trãi, Masterise Homes đang phát triển tổ </w:t>
      </w:r>
      <w:r>
        <w:rPr>
          <w:iCs/>
          <w:color w:val="000000" w:themeColor="text1"/>
        </w:rPr>
        <w:t xml:space="preserve">hợp Hanoi Seasons Garden trên quỹ đất khoảng 11 ha, gồm 8 tòa căn hộ và 2 tòa văn phòng cao từ 35 - 46 tầng. Theo ước tính được môi giới tại đây giới thiệu, mỗi sàn sẽ dự có 23 căn hộ, trung bình là 40 tầng, dự án sẽ tung ra thị trường khoảng 8.000 căn hộ.</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Ngoài dự án trung tâm này, Masterise Homes</w:t>
      </w:r>
      <w:r>
        <w:rPr>
          <w:iCs/>
          <w:color w:val="000000" w:themeColor="text1"/>
        </w:rPr>
        <w:t xml:space="preserve"> còn mở rộng mạnh tại các đại đô thị vùng ven. Tại Vinhomes Đan Phượng, doanh nghiệp phát triển dự án Masteri Sky Quarter gồm 2 tòa tháp cao 16 và 22 tầng. Ở phía đông, doanh nghiệp dự kiến triển khai tổng cộng 34 tòa căn hộ tại Vinhomes Ocean Park 2 và 3.</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Trong khi đó, MIK Group liên tục gia tăng hiện diện tại Hà Nội trong khoảng 3 năm gần đây. Sau loạt dự án tại Vinhomes Smart City và The Matrix One giai đoạn 2, doanh </w:t>
      </w:r>
      <w:r>
        <w:rPr>
          <w:iCs/>
          <w:color w:val="000000" w:themeColor="text1"/>
        </w:rPr>
        <w:t xml:space="preserve">nghiệp tiếp tục tung ra Imperia Sky Park tại Nam An Khánh với 6 tòa nhà cao từ 31 - 40 tầng, cung cấp khoảng 3.000 căn hộ.</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Tại Long Biên, MIK Group cũng triển khai dự án The Magnolia gồm 3 tòa cao 33 tầng với hơn 500 căn hộ, nối tiếp chuỗi dự án Imperia Signature Cổ Loa và Imperia Ocean City.</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Sunshine Group cũng cho thấy tham vọng lớn khi đồng loạt khởi công 3 dự án gồm Noble West Lake Hanoi, Sunshine River Park và Sunshine Continental.</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Tr</w:t>
      </w:r>
      <w:r>
        <w:rPr>
          <w:iCs/>
          <w:color w:val="000000" w:themeColor="text1"/>
        </w:rPr>
        <w:t xml:space="preserve">ong đó, Noble West Lake Hanoi nằm trong khu đô thị Ciputra có diện tích gần 6 ha, gồm 12 tòa tháp cao 40 tầng. Sunshine River Park có tổng diện tích sàn gần 134.000 m2 với 25 tầng nổi, còn Sunshine Continental được xây dựng cao 30 tầng nổi cùng 3 tầng hầm.</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Chỉ tính riêng danh mục dự án đã công bố, ba doanh nghiệp này đã nắm trong tay nguồn cung lên tới hàng chục nghìn căn hộ, đủ để tạo ảnh hưởng lớn lên mặt bằng giá và cấu trúc thị trường chung cư Hà Nội trong những năm tới.</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Điểm đáng chú ý là phần lớn nguồn cung mới đều thuộc phân khúc cao cấp và hạng sang.</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Các d</w:t>
      </w:r>
      <w:r>
        <w:rPr>
          <w:iCs/>
          <w:color w:val="000000" w:themeColor="text1"/>
        </w:rPr>
        <w:t xml:space="preserve">ự án của Masterise Homes hiện chủ yếu được bán với mức giá trên 100 triệu đồng/m2. Riêng Hanoi Seasons Garden đã xuất hiện mức giá vượt 200 triệu đồng/m2. Nhiều dự án của MIK Group và Sunshine Group cũng hướng tới nhóm khách hàng có khả năng tài chính cao.</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Dữ liệu của CBRE Hà Nội cho thấy quý 1 vừa qua là quý thứ 3 liên tiếp giá căn hộ sơ cấp tại Hà Nội duy trì trên ngưỡng 100 triệu đồng/m2.</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Giá bán bình quân đạt 102 triệu đồng/m2, tăng 29% so với cùng kỳ năm trước và thậm chí vượt TP.HCM trước thời điểm sáp nhập.</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Trao đổi với Dân Việt, TS. Nguyễn Văn Đính, Chủ tịch Hội Môi giới bất động sản Việt Nam (VARS) cho rằng, việc nguồn cung tập trung vào một nhóm doanh nghiệp lớn đang khiến thị trường mất dần tính cạnh tranh về giá.</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w:t>
      </w:r>
      <w:r>
        <w:rPr>
          <w:i/>
          <w:color w:val="000000" w:themeColor="text1"/>
        </w:rPr>
        <w:t xml:space="preserve">Các doanh nghiệp lớn sở hữu quỹ đất tố</w:t>
      </w:r>
      <w:r>
        <w:rPr>
          <w:i/>
          <w:color w:val="000000" w:themeColor="text1"/>
        </w:rPr>
        <w:t xml:space="preserve">t, tiềm lực tài chính mạnh và gần như dẫn dắt toàn bộ nguồn cung mới. Khi thị trường thiếu vắng các chủ đầu tư tầm trung tham gia phân khúc vừa túi tiền, cán cân sản phẩm sẽ nghiêng mạnh về cao cấp. Điều này khiến mặt bằng giá khó có cơ hội điều chỉnh giảm</w:t>
      </w:r>
      <w:r>
        <w:rPr>
          <w:iCs/>
          <w:color w:val="000000" w:themeColor="text1"/>
        </w:rPr>
        <w:t xml:space="preserve">”, ông Đính nhận định.</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Theo ông Đính, trong bối cảnh chi phí đất đai, tài chính và pháp lý đều tăng mạnh, các doanh nghiệp lớn cũng có xu hướng ưu tiên phát triển sản phẩm cao cấp để tối ưu lợi nhuận thay vì nhà ở giá phù hợp với số đông.</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mc:AlternateContent>
          <mc:Choice Requires="wpg">
            <w:drawing>
              <wp:inline xmlns:wp="http://schemas.openxmlformats.org/drawingml/2006/wordprocessingDrawing" distT="0" distB="0" distL="0" distR="0">
                <wp:extent cx="3868455" cy="3837995"/>
                <wp:effectExtent l="0" t="0" r="0" b="0"/>
                <wp:docPr id="6" name="Picture 3"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ễn biến thị trường chung cư Hà Nội"/>
                        <pic:cNvPicPr>
                          <a:picLocks noChangeAspect="1"/>
                        </pic:cNvPicPr>
                        <pic:nvPr/>
                      </pic:nvPicPr>
                      <pic:blipFill rotWithShape="1">
                        <a:blip r:embed="rId18"/>
                        <a:stretch/>
                      </pic:blipFill>
                      <pic:spPr bwMode="auto">
                        <a:xfrm>
                          <a:off x="0" y="0"/>
                          <a:ext cx="3876579" cy="384605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04.60pt;height:302.20pt;mso-wrap-distance-left:0.00pt;mso-wrap-distance-top:0.00pt;mso-wrap-distance-right:0.00pt;mso-wrap-distance-bottom:0.00pt;z-index:1;" stroked="f">
                <v:imagedata r:id="rId18" o:title=""/>
                <o:lock v:ext="edit" rotation="t"/>
              </v:shape>
            </w:pict>
          </mc:Fallback>
        </mc:AlternateConten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Đồng quan điểm, ông Phạm Đức Toản, Tổng giám đốc Công ty Bất động sản EZ cho rằng thị trường căn hộ Hà Nội đang rơi vào trạng thái “lệch pha cung - cầu”.</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w:t>
      </w:r>
      <w:r>
        <w:rPr>
          <w:i/>
          <w:color w:val="000000" w:themeColor="text1"/>
        </w:rPr>
        <w:t xml:space="preserve">Nhu </w:t>
      </w:r>
      <w:r>
        <w:rPr>
          <w:i/>
          <w:color w:val="000000" w:themeColor="text1"/>
        </w:rPr>
        <w:t xml:space="preserve">cầu thực trên thị trường vẫn tập trung lớn ở phân khúc trung cấp và vừa túi tiền. Tuy nhiên, nguồn cung mới lại chủ yếu là căn hộ cao cấp do các doanh nghiệp lớn phát triển. Đây là nguyên nhân khiến người trẻ và nhóm mua ở thực ngày càng khó tiếp cận nhà ở</w:t>
      </w:r>
      <w:r>
        <w:rPr>
          <w:iCs/>
          <w:color w:val="000000" w:themeColor="text1"/>
        </w:rPr>
        <w:t xml:space="preserve">”, ông Toản nói.</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Theo chuyên gia này, khi thị trường tập trung vào một nhóm doanh nghiệp lớn, áp lực cạnh tranh bằng giá bán sẽ giảm đi đáng kể. Thay vào đó, cuộc cạnh tranh hiện chủ yếu nằm ở vị trí, tiện ích và tiêu chuẩn bàn giao dự án.</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Dù đang chiếm ưu thế tuyệt đối về nguồn cung, các chủ đầu tư lớn cũng sẽ đối mặt nhiều áp lực hơn khi thị trường bước vào chu kỳ cạnh tranh mới.</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CBRE dự báo tổng nguồn cung mở bán mới tại Hà Nội trong năm nay có thể đạt khoảng 36.000 căn, tương đương năm trước và vượt xa giai đoạn 2020 - 2024.</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Trong khi đó, nhu cầu đầu tư căn hộ đã có dấu hiệu chững lại từ cuối năm ngoái khi lãi suất vay mua nhà tăng trở lại, còn mặt bằng giá tiếp tục neo cao.</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Các chuyên gia cho rằng trong bối cảnh cạnh tranh ngày càng lớn, các chủ đầu tư sẽ buộc phải điều chỉnh</w:t>
      </w:r>
      <w:r>
        <w:rPr>
          <w:iCs/>
          <w:color w:val="000000" w:themeColor="text1"/>
        </w:rPr>
        <w:t xml:space="preserve"> chiến lược bán hàng và cơ cấu sản phẩm nếu muốn duy trì thanh khoản. Tuy nhiên, với thực tế phần lớn nguồn cung hiện nằm trong tay các “ông lớn”, thị trường chung cư Hà Nội trong vài năm tới nhiều khả năng vẫn sẽ tiếp tục bị dẫn dắt bởi phân khúc cao cấp.</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w:rPr>
          <w:i/>
          <w:color w:val="000000" w:themeColor="text1"/>
        </w:rPr>
        <w:t xml:space="preserve">(Nguồn tham khảo: </w:t>
      </w:r>
      <w:r>
        <w:rPr>
          <w:i/>
          <w:iCs/>
        </w:rPr>
        <w:t xml:space="preserve">https://24hmoney.vn/news/dien-bien-thi-truong-chung-cu-ha-noi-c3a2791802.html)</w:t>
      </w:r>
      <w:r>
        <w:rPr>
          <w:iCs/>
          <w:color w:val="000000" w:themeColor="text1"/>
        </w:rPr>
      </w:r>
      <w:r>
        <w:rPr>
          <w:iCs/>
          <w:color w:val="000000" w:themeColor="text1"/>
        </w:rPr>
      </w:r>
    </w:p>
    <w:p>
      <w:pPr>
        <w:pStyle w:val="1112"/>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rPr>
      </w:pPr>
      <w:r>
        <w:rPr>
          <w:b/>
          <w:bCs/>
          <w:iCs/>
          <w:color w:val="000000" w:themeColor="text1"/>
        </w:rPr>
        <w:t xml:space="preserve">Tổng quan dự án</w:t>
      </w:r>
      <w:r>
        <w:rPr>
          <w:b/>
          <w:bCs/>
          <w:iCs/>
          <w:color w:val="000000" w:themeColor="text1"/>
        </w:rPr>
      </w:r>
      <w:r>
        <w:rPr>
          <w:b/>
          <w:bCs/>
          <w:iCs/>
          <w:color w:val="000000" w:themeColor="text1"/>
        </w:rPr>
      </w:r>
    </w:p>
    <w:p>
      <w:pPr>
        <w:pBdr/>
        <w:spacing/>
        <w:ind/>
        <w:rPr/>
      </w:pPr>
      <w:r>
        <w:rPr>
          <w:b/>
          <w:bCs/>
          <w:sz w:val="24"/>
          <w:szCs w:val="24"/>
        </w:rPr>
        <w:t xml:space="preserve">Giới thiệu dự án</w:t>
      </w:r>
      <w:r>
        <w:rPr>
          <w:sz w:val="22"/>
          <w:szCs w:val="22"/>
        </w:rPr>
        <w:t xml:space="preserve">Chủ Đầu tư: Công ty Cổ phần Địa ốc Foodinco
Địa điể</w:t>
      </w:r>
      <w:r>
        <w:rPr>
          <w:sz w:val="22"/>
          <w:szCs w:val="22"/>
        </w:rPr>
        <w:t xml:space="preserve">m: 58 Bạch Đằng, Phường Hải Châu, Thành phố Đà Nẵng
Loại hình sản phẩm: Căn hộ studio, 1 phòng ngủ và 2 phòng ngủ cao cấp
Diện tích: Từ 43.1 m² – 88.8 m²
Hình thức sở hữu: Sổ hồng lâu dài
Tiêu chuẩn bàn giao: Hoàn thiện kèm nội thất
Tổng số căn hộ: 224 căn</w:t>
      </w:r>
      <w:r>
        <w:rPr>
          <w:b/>
          <w:bCs/>
          <w:sz w:val="24"/>
          <w:szCs w:val="24"/>
        </w:rPr>
        <w:t xml:space="preserve">Hình ảnh tổng quan dự án</w:t>
      </w:r>
      <w:r>
        <w:rPr>
          <w:b/>
          <w:bCs/>
          <w:sz w:val="24"/>
          <w:szCs w:val="24"/>
        </w:rPr>
        <w:t xml:space="preserve">Vị trí dự án</w:t>
      </w:r>
      <w:r>
        <w:rPr>
          <w:sz w:val="22"/>
          <w:szCs w:val="22"/>
        </w:rPr>
        <w:t xml:space="preserve">58 Bạch Đằng, Hải Châu, Đà Nẵng</w:t>
      </w:r>
      <w:r>
        <w:rPr>
          <w:b/>
          <w:bCs/>
          <w:sz w:val="24"/>
          <w:szCs w:val="24"/>
        </w:rPr>
        <w:t xml:space="preserve">Mô tả vị trí dự án</w:t>
      </w:r>
      <w:r>
        <w:rPr>
          <w:sz w:val="22"/>
          <w:szCs w:val="22"/>
        </w:rPr>
        <w:t xml:space="preserve">M Landmark Residences tọa lạc tại số 58 Bạch Đằng, phường Hải Châu 1, Quận Hải Châu, TP Đà Nẵng. Khu đất triển khai dự án sở hữu 4 mặt </w:t>
      </w:r>
      <w:r>
        <w:rPr>
          <w:sz w:val="22"/>
          <w:szCs w:val="22"/>
        </w:rPr>
        <w:t xml:space="preserve">tiền các tuyến đường chiến lược của TP. Đà Nẵng gồm Nguyễn Thái Học, Nguyễn Chí Thanh, Yên Bái và Phạm Hồng Thái - không chỉ mang đến những ưu thế nhất định về mặt vị trí mà còn tạo điều kiện thuận lợi cho việc di chuyển của cư dân đến các khu vực lân cận.</w:t>
      </w:r>
      <w:r>
        <w:rPr>
          <w:b/>
          <w:bCs/>
          <w:sz w:val="24"/>
          <w:szCs w:val="24"/>
        </w:rPr>
        <w:t xml:space="preserve">Hình ảnh vị trí dự án</w:t>
      </w:r>
      <w:r>
        <w:rPr>
          <w:b/>
          <w:bCs/>
          <w:sz w:val="24"/>
          <w:szCs w:val="24"/>
        </w:rPr>
        <w:t xml:space="preserve">Mô tả liên kết khu vực dự án</w:t>
      </w:r>
      <w:r>
        <w:rPr>
          <w:sz w:val="22"/>
          <w:szCs w:val="22"/>
        </w:rPr>
        <w:t xml:space="preserve">M Landmark Residences tọa lạc tại số 58 Bạch Đằng, phường Hải Châu 1, Quận Hải Châu, TP Đà Nẵng. Khu đất triển khai dự án sở hữu 4 mặt </w:t>
      </w:r>
      <w:r>
        <w:rPr>
          <w:sz w:val="22"/>
          <w:szCs w:val="22"/>
        </w:rPr>
        <w:t xml:space="preserve">tiền các tuyến đường chiến lược của TP. Đà Nẵng gồm Nguyễn Thái Học, Nguyễn Chí Thanh, Yên Bái và Phạm Hồng Thái - không chỉ mang đến những ưu thế nhất định về mặt vị trí mà còn tạo điều kiện thuận lợi cho việc di chuyển của cư dân đến các khu vực lân cận.</w:t>
      </w:r>
      <w:r>
        <w:rPr>
          <w:b/>
          <w:bCs/>
          <w:sz w:val="24"/>
          <w:szCs w:val="24"/>
        </w:rPr>
        <w:t xml:space="preserve">Hình ảnh tổng quan liên kết dự án</w:t>
      </w:r>
      <w:r>
        <w:rPr>
          <w:b/>
          <w:bCs/>
          <w:sz w:val="24"/>
          <w:szCs w:val="24"/>
        </w:rPr>
        <w:t xml:space="preserve">Giới thiệu các phân khu chức năng</w:t>
      </w:r>
      <w:r>
        <w:rPr>
          <w:sz w:val="22"/>
          <w:szCs w:val="22"/>
        </w:rPr>
        <w:t xml:space="preserve">- Quy mô: 1 tháp cao 45 tầng, 4 tầng hầm.
+ Marriott Courtyard Hotel: Tầng 1 - 15.
+ Marriott Executive Apartments: Tầng 16 - 30.
+ M Landmark Residences: Tầng 31 - 44.
+ Condotel: 288 căn.
+ Căn hộ lưu trú: 224 căn.</w:t>
      </w:r>
      <w:r>
        <w:rPr>
          <w:b/>
          <w:bCs/>
          <w:sz w:val="24"/>
          <w:szCs w:val="24"/>
        </w:rPr>
        <w:t xml:space="preserve">Hình ảnh phân khu chức năng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jc w:val="center"/>
        <w:rPr>
          <w:color w:val="000000" w:themeColor="text1"/>
        </w:rPr>
      </w:pPr>
      <w:r>
        <w:rPr>
          <w:i/>
          <w:color w:val="000000" w:themeColor="text1"/>
        </w:rPr>
        <w:t xml:space="preserve">(Nguồn tham khảo: </w:t>
      </w:r>
      <w:hyperlink r:id="rId19" w:tooltip="https://thanglong.chinhphu.vn/buc-tranh-thi-truong-bat-dong-san-ha-noi-nam-2026-ha-tang-dan-dat-thi-truong-buoc-vao-chu-ky-tang-truong-moi-103260101181315972.htm" w:history="1">
        <w:r>
          <w:rPr>
            <w:rStyle w:val="1102"/>
            <w:i/>
            <w:color w:val="000000" w:themeColor="text1"/>
            <w:u w:val="none"/>
          </w:rPr>
          <w:t xml:space="preserve">)</w:t>
        </w:r>
      </w:hyperlink>
      <w:r>
        <w:rPr>
          <w:color w:val="000000" w:themeColor="text1"/>
        </w:rPr>
      </w:r>
      <w:r>
        <w:rPr>
          <w:color w:val="000000" w:themeColor="text1"/>
        </w:rPr>
      </w:r>
    </w:p>
    <w:p>
      <w:pPr>
        <w:pStyle w:val="1112"/>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IV. THÔNG TIN VỀ TÀI SẢN THẨM ĐỊNH GIÁ</w:t>
      </w:r>
      <w:r>
        <w:rPr>
          <w:b/>
          <w:bCs/>
          <w:color w:val="000000" w:themeColor="text1"/>
        </w:rPr>
      </w:r>
      <w:r>
        <w:rPr>
          <w:b/>
          <w:bCs/>
          <w:color w:val="000000" w:themeColor="text1"/>
        </w:rPr>
      </w:r>
    </w:p>
    <w:tbl>
      <w:tblPr>
        <w:tblStyle w:val="111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37"/>
        <w:gridCol w:w="2023"/>
        <w:gridCol w:w="2539"/>
        <w:gridCol w:w="2473"/>
        <w:gridCol w:w="1753"/>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Tài sản hình thành trong tương lai là căn hộ 32.02, tại Toà căn hộ 45 tầng, dự án M Landmark Residences Đà Nẵng, có địa chỉ: tại số 58 Bạch Đằng, phường Hải Châu I, quận Hải Châu, Thành phố Đà Nẵng (Nay là phường Hải Châu, Thành phố Đà Nẵng)...</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175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7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58 Bạch Đằng, phường Hải Châu 1, quận Hải Châu, thành phố Đà Nẵng (Nay là phường Hải Châu, Thành phố Đà Nẵng)  </w:t>
            </w:r>
            <w:r/>
          </w:p>
        </w:tc>
      </w:tr>
      <w:tr>
        <w:trPr>
          <w:trHeight w:val="5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2476,2</w:t>
            </w: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175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Sử dụng riêng: 2476,2 m²</w:t>
            </w:r>
            <w:r/>
          </w:p>
        </w:tc>
      </w:tr>
      <w:tr>
        <w:trPr>
          <w:trHeight w:val="384"/>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175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gridSpan w:val="3"/>
            <w:tcBorders>
              <w:bottom w:val="single" w:color="000000" w:sz="8" w:space="0"/>
              <w:right w:val="single" w:color="000000" w:sz="8" w:space="0"/>
            </w:tcBorders>
            <w:tcMar>
              <w:left w:w="108" w:type="dxa"/>
              <w:top w:w="0" w:type="dxa"/>
              <w:right w:w="108" w:type="dxa"/>
              <w:bottom w:w="0" w:type="dxa"/>
            </w:tcMar>
            <w:tcW w:w="67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Bạch Đằng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 (m):</w:t>
            </w: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 (m):</w:t>
            </w:r>
            <w:r/>
          </w:p>
        </w:tc>
        <w:tc>
          <w:tcPr>
            <w:tcBorders>
              <w:bottom w:val="single" w:color="000000" w:sz="8" w:space="0"/>
              <w:right w:val="single" w:color="000000" w:sz="8" w:space="0"/>
            </w:tcBorders>
            <w:tcMar>
              <w:left w:w="108" w:type="dxa"/>
              <w:top w:w="0" w:type="dxa"/>
              <w:right w:w="108" w:type="dxa"/>
              <w:bottom w:w="0" w:type="dxa"/>
            </w:tcMar>
            <w:tcW w:w="175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 (m):</w:t>
            </w:r>
            <w:r/>
          </w:p>
        </w:tc>
        <w:tc>
          <w:tcPr>
            <w:gridSpan w:val="3"/>
            <w:tcBorders>
              <w:bottom w:val="single" w:color="000000" w:sz="8" w:space="0"/>
              <w:right w:val="single" w:color="000000" w:sz="8" w:space="0"/>
            </w:tcBorders>
            <w:tcMar>
              <w:left w:w="108" w:type="dxa"/>
              <w:top w:w="0" w:type="dxa"/>
              <w:right w:w="108" w:type="dxa"/>
              <w:bottom w:w="0" w:type="dxa"/>
            </w:tcMar>
            <w:tcW w:w="67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nằm tại Toà căn hộ 45 tầng, dự án M Landmark Residences Đà Nẵng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 (16.0725691,108.2237296)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Thông tin về căn hộ </w:t>
            </w:r>
            <w:r/>
          </w:p>
        </w:tc>
      </w:tr>
      <w:tr>
        <w:trPr>
          <w:trHeight w:val="317"/>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Loại nhà ở:</w:t>
            </w: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Căn hộ số 32.02, Toà căn hộ 45 tầng, dự án M Landmark Residences Đà Nẵng</w:t>
            </w: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Hình thức sở hữu:</w:t>
            </w:r>
            <w:r/>
          </w:p>
        </w:tc>
        <w:tc>
          <w:tcPr>
            <w:tcBorders>
              <w:bottom w:val="single" w:color="000000" w:sz="8" w:space="0"/>
              <w:right w:val="single" w:color="000000" w:sz="8" w:space="0"/>
            </w:tcBorders>
            <w:tcMar>
              <w:left w:w="108" w:type="dxa"/>
              <w:top w:w="0" w:type="dxa"/>
              <w:right w:w="108" w:type="dxa"/>
              <w:bottom w:w="0" w:type="dxa"/>
            </w:tcMar>
            <w:tcW w:w="175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Sở hữu riêng</w:t>
            </w:r>
            <w:r/>
          </w:p>
        </w:tc>
      </w:tr>
      <w:tr>
        <w:trPr>
          <w:trHeight w:val="317"/>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Thời hạn sở hữu </w:t>
            </w: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Diện tích sử dụng (m²):</w:t>
            </w:r>
            <w:r/>
          </w:p>
        </w:tc>
        <w:tc>
          <w:tcPr>
            <w:tcBorders>
              <w:bottom w:val="single" w:color="000000" w:sz="8" w:space="0"/>
              <w:right w:val="single" w:color="000000" w:sz="8" w:space="0"/>
            </w:tcBorders>
            <w:tcMar>
              <w:left w:w="108" w:type="dxa"/>
              <w:top w:w="0" w:type="dxa"/>
              <w:right w:w="108" w:type="dxa"/>
              <w:bottom w:w="0" w:type="dxa"/>
            </w:tcMar>
            <w:tcW w:w="175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55,1</w:t>
            </w:r>
            <w:r/>
          </w:p>
        </w:tc>
      </w:tr>
      <w:tr>
        <w:trPr>
          <w:trHeight w:val="613"/>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 Số tầng </w:t>
            </w: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31</w:t>
            </w: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Hướng cửa: </w:t>
            </w:r>
            <w:r/>
          </w:p>
        </w:tc>
        <w:tc>
          <w:tcPr>
            <w:tcBorders>
              <w:bottom w:val="single" w:color="000000" w:sz="8" w:space="0"/>
              <w:right w:val="single" w:color="000000" w:sz="8" w:space="0"/>
            </w:tcBorders>
            <w:tcMar>
              <w:left w:w="108" w:type="dxa"/>
              <w:top w:w="0" w:type="dxa"/>
              <w:right w:w="108" w:type="dxa"/>
              <w:bottom w:w="0" w:type="dxa"/>
            </w:tcMar>
            <w:tcW w:w="175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Tây - Nam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67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cấp nước: Nước máy, Hạ tầng thoát nước: Rãnh có nắp, Hạ tầng cấp điện: Điện lưới, Hạ tầng thông tin liên lạc: Điện thoại, Mạng internet, Truyền hình cáp</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108" w:type="dxa"/>
              <w:top w:w="0" w:type="dxa"/>
              <w:right w:w="108" w:type="dxa"/>
              <w:bottom w:w="0" w:type="dxa"/>
            </w:tcMar>
            <w:tcW w:w="67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khu dân cư thông thường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Cao/đông đúc</w:t>
            </w: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175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Cao</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Phù hợp để ở</w:t>
            </w: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75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Tốt</w:t>
            </w:r>
            <w:r/>
          </w:p>
        </w:tc>
      </w:tr>
    </w:tbl>
    <w:p>
      <w:pPr>
        <w:pStyle w:val="1112"/>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pPr>
        <w:pStyle w:val="1112"/>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định giá không xảy ra tranh chấp, </w:t>
      </w:r>
      <w:r>
        <w:rPr>
          <w:color w:val="000000" w:themeColor="text1"/>
          <w:spacing w:val="-2"/>
          <w:lang w:val="pt-BR"/>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spacing w:val="-2"/>
        </w:rPr>
      </w:r>
      <w:r>
        <w:rPr>
          <w:color w:val="000000" w:themeColor="text1"/>
          <w:spacing w:val="-2"/>
        </w:rPr>
      </w:r>
    </w:p>
    <w:p>
      <w:pPr>
        <w:pStyle w:val="1112"/>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VI. CƠ SỞ GIÁ TRỊ THẨM ĐỊNH GIÁ</w:t>
      </w:r>
      <w:r>
        <w:rPr>
          <w:b/>
          <w:bCs/>
          <w:color w:val="000000" w:themeColor="text1"/>
        </w:rPr>
      </w:r>
      <w:r>
        <w:rPr>
          <w:b/>
          <w:bCs/>
          <w:color w:val="000000" w:themeColor="text1"/>
        </w:rPr>
      </w:r>
    </w:p>
    <w:p>
      <w:pPr>
        <w:pStyle w:val="1112"/>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color w:val="000000" w:themeColor="text1"/>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i/>
          <w:iCs/>
          <w:color w:val="000000" w:themeColor="text1"/>
          <w:lang w:val="pt-BR"/>
        </w:rPr>
        <w:t xml:space="preserve">“Giá trị thị trường là khoản tiền ước t</w:t>
      </w:r>
      <w:r>
        <w:rPr>
          <w:i/>
          <w:iCs/>
          <w:color w:val="000000" w:themeColor="text1"/>
          <w:lang w:val="pt-BR"/>
        </w:rPr>
        <w:t xml:space="preserve">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112"/>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112"/>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tiếp cận từ thị trường: </w:t>
      </w:r>
      <w:r>
        <w:rPr>
          <w:bCs/>
          <w:color w:val="000000" w:themeColor="text1"/>
          <w:lang w:val="pt-BR"/>
        </w:rPr>
        <w:t xml:space="preserve">Xác định giá trị của tài sản thẩm định giá thông qua việc so sánh tài sản thẩm định giá với các tài sản so sánh đã có các thông tin về giá trên thị trường.</w:t>
      </w:r>
      <w:r>
        <w:rPr>
          <w:bCs/>
          <w:color w:val="000000" w:themeColor="text1"/>
        </w:rPr>
      </w:r>
      <w:r>
        <w:rPr>
          <w:bCs/>
          <w:color w:val="000000" w:themeColor="text1"/>
        </w:rPr>
      </w:r>
    </w:p>
    <w:p>
      <w:pPr>
        <w:pStyle w:val="1112"/>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Xác đị</w:t>
      </w:r>
      <w:r>
        <w:rPr>
          <w:bCs/>
          <w:color w:val="000000" w:themeColor="text1"/>
          <w:lang w:val="pt-BR"/>
        </w:rPr>
        <w:t xml:space="preserve">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rPr>
      </w:r>
      <w:r>
        <w:rPr>
          <w:bCs/>
          <w:color w:val="000000" w:themeColor="text1"/>
        </w:rPr>
      </w:r>
    </w:p>
    <w:p>
      <w:pPr>
        <w:pStyle w:val="1112"/>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rPr>
      </w:r>
      <w:r>
        <w:rPr>
          <w:b/>
          <w:color w:val="000000" w:themeColor="text1"/>
        </w:rPr>
      </w:r>
    </w:p>
    <w:p>
      <w:pPr>
        <w:pStyle w:val="1112"/>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w:t>
      </w:r>
      <w:r>
        <w:rPr>
          <w:color w:val="000000" w:themeColor="text1"/>
          <w:spacing w:val="-4"/>
          <w:lang w:val="pt-BR"/>
        </w:rPr>
        <w:t xml:space="preserve">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
      </w:r>
      <w:r>
        <w:rPr>
          <w:color w:val="000000" w:themeColor="text1"/>
          <w:spacing w:val="-4"/>
        </w:rPr>
      </w:r>
      <w:r>
        <w:rPr>
          <w:color w:val="000000" w:themeColor="text1"/>
          <w:spacing w:val="-4"/>
        </w:rPr>
      </w:r>
    </w:p>
    <w:p>
      <w:pPr>
        <w:pStyle w:val="1112"/>
        <w:pBdr/>
        <w:spacing w:after="120" w:before="120" w:line="276" w:lineRule="auto"/>
        <w:ind w:left="0"/>
        <w:jc w:val="both"/>
        <w:rPr>
          <w:color w:val="000000" w:themeColor="text1"/>
        </w:rPr>
      </w:pPr>
      <w:r>
        <w:rPr>
          <w:b/>
          <w:bCs/>
          <w:color w:val="000000" w:themeColor="text1"/>
          <w:lang w:val="pt-BR"/>
        </w:rPr>
        <w:t xml:space="preserve">VIII. GIÁ TRỊ TÀI SẢN THẨM ĐỊNH</w:t>
      </w:r>
      <w:r>
        <w:rPr>
          <w:color w:val="000000" w:themeColor="text1"/>
        </w:rPr>
      </w:r>
      <w:r>
        <w:rPr>
          <w:color w:val="000000" w:themeColor="text1"/>
        </w:rPr>
      </w:r>
    </w:p>
    <w:p>
      <w:pPr>
        <w:pStyle w:val="1112"/>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đơn giá quyền sử dụng đất:</w:t>
      </w:r>
      <w:r>
        <w:rPr>
          <w:b/>
          <w:color w:val="000000" w:themeColor="text1"/>
        </w:rPr>
      </w:r>
      <w:r>
        <w:rPr>
          <w:b/>
          <w:color w:val="000000" w:themeColor="text1"/>
        </w:rPr>
      </w:r>
    </w:p>
    <w:p>
      <w:pPr>
        <w:pStyle w:val="1112"/>
        <w:pBdr/>
        <w:spacing w:after="120" w:before="120" w:line="276" w:lineRule="auto"/>
        <w:ind w:firstLine="357" w:left="0"/>
        <w:jc w:val="both"/>
        <w:rPr>
          <w:bCs/>
          <w:color w:val="000000" w:themeColor="text1"/>
        </w:rPr>
      </w:pPr>
      <w:r>
        <w:rPr>
          <w:color w:val="000000" w:themeColor="text1"/>
          <w:lang w:val="nl-NL"/>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color w:val="000000" w:themeColor="text1"/>
        </w:rPr>
      </w:r>
      <w:r>
        <w:rPr>
          <w:bCs/>
          <w:color w:val="000000" w:themeColor="text1"/>
        </w:rPr>
      </w:r>
    </w:p>
    <w:p>
      <w:pPr>
        <w:pStyle w:val="1112"/>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W w:w="9515" w:type="dxa"/>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M LANDMARK RESIDENCES DA NANG, Thành phố Đà Nẵng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58 Bạch Đằng, Phường Hải Châu, Thành phố Đà Nẵng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M LANDMARK RESIDENCES DA NANG, Thành phố Đà Nẵng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M LANDMARK RESIDENCES DA NANG, Thành phố Đà Nẵng</w:t>
            </w:r>
            <w:r>
              <w:rPr>
                <w:sz w:val="22"/>
                <w:szCs w:val="22"/>
              </w:rPr>
            </w:r>
            <w:r>
              <w:rPr>
                <w:sz w:val="22"/>
                <w:szCs w:val="22"/>
              </w:rPr>
            </w:r>
          </w:p>
        </w:tc>
      </w:tr>
      <w:tr>
        <w:trPr>
          <w:trHeight w:val="97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https://batdongsan.com.vn/ban-can-ho-chung-cu-duong-bach-dang-phuong-hai-chau_1-m-landmark-residence/chau-my-srt-oc-quyen-tang-39-truc-16-2br-hang-sang-bat-nhat-a-nang-mlandmark-pr45776888</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https://batdongsan.com.vn/ban-can-ho-chung-cu-duong-bach-dang-phuong-hai-chau_1-m-landmark-residence/2-pn-view-truc-dien-song-han-marriot-danh-cho-gioi-tinh-hoa-full-noi-that-pr44960769</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Liêh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0931199800</w:t>
            </w:r>
            <w:r>
              <w:rPr>
                <w:sz w:val="22"/>
                <w:szCs w:val="22"/>
              </w:rPr>
              <w:t xml:space="preserve"> </w:t>
            </w:r>
            <w:r>
              <w:rPr>
                <w:sz w:val="22"/>
                <w:szCs w:val="22"/>
              </w:rPr>
              <w:br/>
              <w:t xml:space="preserve">(</w:t>
            </w:r>
            <w:r>
              <w:rPr>
                <w:sz w:val="22"/>
                <w:szCs w:val="22"/>
              </w:rPr>
              <w:t xml:space="preserve">Mỹ Châu</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0932561759</w:t>
            </w:r>
            <w:r>
              <w:rPr>
                <w:sz w:val="22"/>
                <w:szCs w:val="22"/>
              </w:rPr>
              <w:br/>
              <w:t xml:space="preserve">(</w:t>
            </w:r>
            <w:r>
              <w:rPr>
                <w:sz w:val="22"/>
                <w:szCs w:val="22"/>
              </w:rPr>
              <w:t xml:space="preserve">Thành Đạt</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0931199800</w:t>
            </w:r>
            <w:r>
              <w:rPr>
                <w:sz w:val="22"/>
                <w:szCs w:val="22"/>
              </w:rPr>
              <w:br/>
              <w:t xml:space="preserve">(</w:t>
            </w:r>
            <w:r>
              <w:rPr>
                <w:sz w:val="22"/>
                <w:szCs w:val="22"/>
              </w:rPr>
              <w:t xml:space="preserve">châu mỹ</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themeColor="text1"/>
                <w:sz w:val="22"/>
                <w:szCs w:val="22"/>
              </w:rPr>
              <w:t xml:space="preserve">Đang giao 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Hợp đồng mua bán công chứng vi bằng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Hợp đồng mua bán công chứng vi bằng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Hợp đồng mua bán công chứng vi bằng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Hợp đồng mua bán công chứng vi bằng</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4"/>
              </w:rPr>
              <w:t xml:space="preserve">Căn hộ số 3202, Toà căn hộ 45 tầng, dự án M Landmark Residences Đà Nẵng, 58 Bạch Đằng, Phường Hải Châu 1, quận Hải Châu, Thành phố Đà Nẵng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1 tháp cao 45 tầng Dự án M LANDMARK RESIDENCES DA NANG chủ đầu tư Công ty Cổ phần Địa ốc Foodinco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1 tháp cao 45 tầng Dự án M LANDMARK RESIDENCES DA NANG chủ đầu tư Công ty Cổ phần Địa ốc Foodinco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LANDMARK RESIDENCES DA NANG Dự án M LANDMARK RESIDENCES DA NANG chủ đầu tư Công ty Cổ phần Địa ốc Foodinco</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Mô tả 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M LANDMARK RESIDENCES DA NANG, Thành phố Đà Nẵng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M LANDMARK RESIDENCES DA NANG, Thành phố Đà Nẵng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M LANDMARK RESIDENCES DA NANG, Thành phố Đà Nẵng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M LANDMARK RESIDENCES DA NANG, Thành phố Đà Nẵng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Tuổi đời – hiện trạng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thông thủy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44,1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76,4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88,7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mặt thoáng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32, Thuộc nhóm tầng: Cao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39, Thuộc nhóm tầng: Cao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31, Thuộc nhóm tầng: Trung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 Thuộc nhóm tầng: Cao</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Nam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Bắc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Bắc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Nam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Cấu trúc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1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Nội thất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Cao cấp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Không gian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17.190.000.000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15.347.000.000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22.149.802.766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 (đã giảm trừ giá trị nội thất nếu có)</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14.611.500.000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13.044.950.000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17.719.842.213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Đơn giá QSD căn hộ (đồng/m2)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199.772.742</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Mô tả 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Tuổi đời – hiện trạng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thông thủy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Cấu trúc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Nội thất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Không gian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color w:val="000000" w:themeColor="text1"/>
          <w:highlight w:val="none"/>
          <w:lang w:val="it-IT"/>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highlight w:val="none"/>
          <w:lang w:val="it-IT"/>
        </w:rPr>
      </w:r>
      <w:r>
        <w:rPr>
          <w:color w:val="000000" w:themeColor="text1"/>
          <w:highlight w:val="none"/>
          <w:lang w:val="it-IT"/>
        </w:rPr>
      </w:r>
    </w:p>
    <w:p>
      <w:pPr>
        <w:pStyle w:val="1112"/>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color w:val="000000" w:themeColor="text1"/>
                <w:sz w:val="22"/>
              </w:rPr>
              <w:t xml:space="preserve">Giá trị BĐS thị trường (Ước </w:t>
            </w:r>
            <w:r>
              <w:rPr>
                <w:b/>
                <w:color w:val="000000" w:themeColor="text1"/>
                <w:sz w:val="22"/>
              </w:rPr>
              <w:t xml:space="preserve">tính trước điều chỉnh)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14.611.500.000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13.044.950.024</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17.719.842.215</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color w:val="000000" w:themeColor="text1"/>
                <w:sz w:val="22"/>
              </w:rPr>
              <w:t xml:space="preserve">Đơn giá QSD căn hộ ước tính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199.772.742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Hợp đồng mua bán công chứng vi bằng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Hợp đồng mua bán công chứng vi bằng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Hợp đồng mua bán công chứng vi bằng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Hợp đồng mua bán công chứng vi bằng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199.772.742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Loại hình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199.772.742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4"/>
              </w:rPr>
              <w:t xml:space="preserve">Căn hộ số 3202, Toà căn hộ 45 tầng, dự án M Landmark Residences Đà Nẵng, 58 Bạch Đằng, Phường Hải Châu 1, quận Hải Châu, Thành phố Đà Nẵng</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1 tháp cao 45 tầng Dự án M LANDMARK RESIDENCES DA NANG chủ đầu tư Công ty Cổ phần Địa ốc Foodinco</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1 tháp cao 45 tầng Dự án M LANDMARK RESIDENCES DA NANG chủ đầu tư Công ty Cổ phần Địa ốc Foodinco</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LANDMARK RESIDENCES DA NANG Dự án M LANDMARK RESIDENCES DA NANG chủ đầu tư Công ty Cổ phần Địa ốc Foodinco</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199.772.742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Mô tả 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M LANDMARK RESIDENCES DA NANG, Thành phố Đà Nẵng</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M LANDMARK RESIDENCES DA NANG, Thành phố Đà Nẵng</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M LANDMARK RESIDENCES DA NANG, Thành phố Đà Nẵng</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M LANDMARK RESIDENCES DA NANG, Thành phố Đà Nẵng</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199.772.742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Tuổi đời – hiện trạng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199.772.742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thông thủy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44,1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76,4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88,7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3.825.000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3.451.045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5.993.182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195.075.000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176.003.294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205.765.924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thoáng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mặt thoáng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-3.995.455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195.075.000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176.003.294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201.770.469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Tầng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32, Thuộc nhóm tầng: Cao</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39, Thuộc nhóm tầng: Cao</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31, Thuộc nhóm tầng: Trung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 Thuộc nhóm tầng: Cao</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-7.650.000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-7.990.910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187.425.000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176.003.294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193.779.559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Hướng ban công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Nam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Bắc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Bắc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Nam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187.425.000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176.003.294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193.779.559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Cấu trúc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1 nhà vệ sinh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-3.825.000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-3.451.045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-3.995.455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189.784.104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Nội thất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Cao cấp</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189.784.104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Không gian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b/>
                <w:bCs/>
                <w:color w:val="000000"/>
                <w:sz w:val="22"/>
                <w:szCs w:val="22"/>
              </w:rPr>
            </w:r>
            <w:r>
              <w:rPr>
                <w:b/>
                <w:bCs/>
                <w:color w:val="000000"/>
                <w:sz w:val="22"/>
                <w:szCs w:val="22"/>
              </w:rPr>
            </w:r>
          </w:p>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189.784.104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bất lợi của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189.784.104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Hiện trạng môi trường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189.784.104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183.600.000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172.552.249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189.784.104</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181.978.784</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0,89%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-5,18%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4,29%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15.300.000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6.902.090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21.975.002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 - 4%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 - 4%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7.650.000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9.988.638</w:t>
            </w:r>
            <w:r>
              <w:rPr>
                <w:sz w:val="22"/>
                <w:szCs w:val="22"/>
              </w:rPr>
            </w:r>
            <w:r>
              <w:rPr>
                <w:sz w:val="22"/>
                <w:szCs w:val="22"/>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D2, chênh lệch giữa mức giá trung bình của các mức giá chỉ dẫn nằm trong khoảng từ  </w:t>
      </w:r>
      <w:r>
        <w:t xml:space="preserve">-5,18% đến 4,29%,</w:t>
      </w:r>
      <w:r>
        <w:rPr>
          <w:color w:val="00b050"/>
        </w:rPr>
        <w:t xml:space="preserve"> </w:t>
      </w:r>
      <w:r>
        <w:rPr>
          <w:color w:val="000000" w:themeColor="text1"/>
        </w:rPr>
        <w:t xml:space="preserve">đảm bảo không quá 15% (theo Thông tư số 32/2024/TT-BTC ngày 16/5/2024 của Bộ Tài chính).</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183.600.000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61.212.240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172.552.249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57.511.665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189.784.104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63.255.042</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181.978.947</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182.000.000</w:t>
            </w:r>
            <w:r>
              <w:rPr>
                <w:b/>
                <w:bCs/>
                <w:color w:val="000000"/>
              </w:rPr>
            </w:r>
            <w:r>
              <w:rPr>
                <w:b/>
                <w:bCs/>
                <w:color w:val="000000"/>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 </w:t>
      </w:r>
      <w:r>
        <w:rPr>
          <w:b/>
          <w:bCs/>
          <w:color w:val="000000" w:themeColor="text1"/>
          <w:lang w:val="vi-VN"/>
        </w:rPr>
        <w:t xml:space="preserve">182.000.000</w:t>
      </w:r>
      <w:r>
        <w:rPr>
          <w:b/>
          <w:bCs/>
          <w:color w:val="000000" w:themeColor="text1"/>
        </w:rPr>
        <w:t xml:space="preserve"> </w:t>
      </w:r>
      <w:r>
        <w:rPr>
          <w:b/>
          <w:bCs/>
        </w:rPr>
        <w:t xml:space="preserve">đồng/m²</w:t>
      </w:r>
      <w:r>
        <w:rPr>
          <w:b/>
          <w:bCs/>
        </w:rPr>
        <w:t xml:space="preserve">.</w:t>
      </w:r>
      <w:r>
        <w:rPr>
          <w:b/>
          <w:bCs/>
          <w:color w:val="000000" w:themeColor="text1"/>
        </w:rPr>
      </w:r>
      <w:r>
        <w:rPr>
          <w:b/>
          <w:bCs/>
          <w:color w:val="000000" w:themeColor="text1"/>
        </w:rPr>
      </w:r>
    </w:p>
    <w:p>
      <w:pPr>
        <w:pStyle w:val="1112"/>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r>
        <w:rPr>
          <w:b/>
          <w:color w:val="000000" w:themeColor="text1"/>
        </w:rPr>
      </w:r>
    </w:p>
    <w:p>
      <w:pPr>
        <w:pStyle w:val="1112"/>
        <w:pBdr/>
        <w:tabs>
          <w:tab w:val="left" w:leader="none" w:pos="993"/>
        </w:tabs>
        <w:spacing w:after="120" w:before="120" w:line="276" w:lineRule="auto"/>
        <w:ind w:left="0"/>
        <w:jc w:val="both"/>
        <w:rPr>
          <w:color w:val="000000" w:themeColor="text1"/>
          <w:highlight w:val="none"/>
        </w:rPr>
      </w:pPr>
      <w:r>
        <w:rPr>
          <w:color w:val="000000" w:themeColor="text1"/>
          <w:lang w:val="pt-BR"/>
        </w:rPr>
        <w:t xml:space="preserve">Dựa trên các lập luận trên, Tổ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t xml:space="preserve">Tháng 09/2026</w:t>
      </w:r>
      <w:r>
        <w:rPr>
          <w:color w:val="000000" w:themeColor="text1"/>
        </w:rPr>
        <w:t xml:space="preserve"> ước tính như sau:</w:t>
      </w:r>
      <w:r>
        <w:rPr>
          <w:color w:val="000000" w:themeColor="text1"/>
          <w:highlight w:val="none"/>
        </w:rPr>
      </w:r>
      <w:r>
        <w:rPr>
          <w:color w:val="000000" w:themeColor="text1"/>
          <w:highlight w:val="none"/>
        </w:rPr>
      </w:r>
    </w:p>
    <w:p>
      <w:pPr>
        <w:pBdr/>
        <w:shd w:val="nil" w:color="auto"/>
        <w:spacing/>
        <w:ind/>
        <w:rPr>
          <w:color w:val="000000" w:themeColor="text1"/>
          <w:highlight w:val="none"/>
        </w:rPr>
      </w:pPr>
      <w:r>
        <w:rPr>
          <w:color w:val="000000" w:themeColor="text1"/>
          <w:highlight w:val="none"/>
        </w:rPr>
        <w:br w:type="page" w:clear="all"/>
      </w:r>
      <w:r>
        <w:rPr>
          <w:color w:val="000000" w:themeColor="text1"/>
          <w:highlight w:val="none"/>
        </w:rPr>
      </w:r>
      <w:r>
        <w:rPr>
          <w:color w:val="000000" w:themeColor="text1"/>
          <w:highlight w:val="none"/>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76" w:lineRule="auto"/>
              <w:ind/>
              <w:jc w:val="center"/>
              <w:rPr>
                <w:b/>
                <w:bCs/>
              </w:rPr>
            </w:pPr>
            <w:r>
              <w:rPr>
                <w:b/>
                <w:bCs/>
              </w:rPr>
              <w:t xml:space="preserve">TT</w:t>
            </w:r>
            <w:r>
              <w:rPr>
                <w:b/>
                <w:bCs/>
              </w:rPr>
            </w:r>
            <w:r>
              <w:rPr>
                <w:b/>
                <w:bCs/>
              </w:rPr>
            </w:r>
          </w:p>
        </w:tc>
        <w:tc>
          <w:tcPr>
            <w:shd w:val="clear" w:color="000000" w:fill="ffffff"/>
            <w:tcBorders/>
            <w:tcW w:w="2025" w:type="dxa"/>
            <w:vAlign w:val="center"/>
            <w:textDirection w:val="lrTb"/>
            <w:noWrap w:val="false"/>
          </w:tcPr>
          <w:p>
            <w:pPr>
              <w:pBdr/>
              <w:spacing w:after="40" w:before="40" w:line="276"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76"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pPr>
              <w:pBdr/>
              <w:spacing w:after="40" w:before="40" w:line="276"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76"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76"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0" w:line="276" w:lineRule="auto"/>
              <w:ind/>
              <w:jc w:val="both"/>
              <w:rPr>
                <w:b/>
                <w:bCs/>
              </w:rPr>
            </w:pPr>
            <w:r>
              <w:rPr>
                <w:color w:val="000000"/>
              </w:rPr>
              <w:t xml:space="preserve">Tài sản hình thành trong tương lai là căn hộ 32.02, tại Toà căn hộ 45 tầng, dự án M Landmark Residences Đà Nẵng, có địa chỉ: tại số 58 Bạch Đằng, phường Hải Châu I, quận Hải Châu, Thành phố Đà Nẵng (Nay là phường Hải Châu, Thành phố Đà Nẵng).</w:t>
            </w:r>
            <w:r>
              <w:rPr>
                <w:b/>
                <w:bCs/>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76"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76" w:lineRule="auto"/>
              <w:ind/>
              <w:jc w:val="center"/>
              <w:rPr/>
            </w:pPr>
            <w:r>
              <w:rPr>
                <w:b/>
                <w:bCs/>
              </w:rPr>
              <w:t xml:space="preserve">1</w:t>
            </w:r>
            <w:r/>
          </w:p>
        </w:tc>
        <w:tc>
          <w:tcPr>
            <w:shd w:val="clear" w:color="000000" w:fill="ffffff"/>
            <w:tcBorders/>
            <w:tcW w:w="2025" w:type="dxa"/>
            <w:vAlign w:val="center"/>
            <w:textDirection w:val="lrTb"/>
            <w:noWrap w:val="false"/>
          </w:tcPr>
          <w:p>
            <w:pPr>
              <w:pBdr/>
              <w:spacing w:after="40" w:before="40" w:line="276" w:lineRule="auto"/>
              <w:ind/>
              <w:rPr/>
            </w:pPr>
            <w:r>
              <w:rPr>
                <w:b/>
                <w:bCs/>
              </w:rPr>
              <w:t xml:space="preserve">Căn hộ chung cư</w:t>
            </w:r>
            <w:r/>
          </w:p>
        </w:tc>
        <w:tc>
          <w:tcPr>
            <w:tcBorders/>
            <w:tcW w:w="1802" w:type="dxa"/>
            <w:vAlign w:val="center"/>
            <w:textDirection w:val="lrTb"/>
            <w:noWrap/>
          </w:tcPr>
          <w:p>
            <w:pPr>
              <w:pBdr/>
              <w:spacing w:after="0" w:before="0" w:line="276" w:lineRule="auto"/>
              <w:ind/>
              <w:jc w:val="center"/>
              <w:rPr/>
            </w:pPr>
            <w:r>
              <w:rPr>
                <w:rFonts w:ascii="Times New Roman" w:hAnsi="Times New Roman" w:eastAsia="Times New Roman" w:cs="Times New Roman"/>
                <w:color w:val="000000"/>
                <w:sz w:val="24"/>
              </w:rPr>
              <w:t xml:space="preserve">44,1</w:t>
            </w:r>
            <w:r/>
          </w:p>
        </w:tc>
        <w:tc>
          <w:tcPr>
            <w:shd w:val="clear" w:color="000000" w:fill="ffffff"/>
            <w:tcBorders/>
            <w:tcW w:w="2581"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182.000.000</w:t>
            </w:r>
            <w:r/>
          </w:p>
        </w:tc>
        <w:tc>
          <w:tcPr>
            <w:shd w:val="clear" w:color="000000" w:fill="ffffff"/>
            <w:tcBorders/>
            <w:tcW w:w="2164"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szCs w:val="24"/>
              </w:rPr>
              <w:t xml:space="preserve">8</w:t>
            </w:r>
            <w:r>
              <w:rPr>
                <w:rFonts w:ascii="Times New Roman" w:hAnsi="Times New Roman" w:eastAsia="Times New Roman" w:cs="Times New Roman"/>
                <w:color w:val="000000"/>
                <w:sz w:val="24"/>
                <w:szCs w:val="24"/>
              </w:rPr>
              <w:t xml:space="preserve">.026.200.000</w:t>
            </w:r>
            <w:r>
              <w:rPr>
                <w:rFonts w:ascii="Calibri" w:hAnsi="Calibri" w:eastAsia="Calibri" w:cs="Calibri"/>
                <w:color w:val="000000"/>
                <w:sz w:val="22"/>
              </w:rPr>
              <w:t xml:space="preserve"> </w:t>
            </w:r>
            <w:r/>
          </w:p>
        </w:tc>
      </w:tr>
      <w:tr>
        <w:trPr>
          <w:trHeight w:val="20"/>
        </w:trPr>
        <w:tc>
          <w:tcPr>
            <w:gridSpan w:val="4"/>
            <w:tcBorders/>
            <w:tcW w:w="7361" w:type="dxa"/>
            <w:vAlign w:val="center"/>
            <w:textDirection w:val="lrTb"/>
            <w:noWrap/>
          </w:tcPr>
          <w:p>
            <w:pPr>
              <w:pBdr/>
              <w:spacing w:after="40" w:before="40" w:line="276"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76" w:lineRule="auto"/>
              <w:ind/>
              <w:jc w:val="center"/>
              <w:rPr>
                <w:b/>
                <w:bCs/>
                <w:color w:val="000000"/>
              </w:rPr>
            </w:pPr>
            <w:r>
              <w:rPr>
                <w:b/>
                <w:bCs/>
                <w:color w:val="000000"/>
              </w:rPr>
              <w:t xml:space="preserve">8.026.200.000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76" w:lineRule="auto"/>
              <w:ind/>
              <w:jc w:val="center"/>
              <w:rPr>
                <w:b/>
                <w:bCs/>
                <w:i/>
                <w:iCs/>
                <w:color w:val="000000"/>
              </w:rPr>
            </w:pPr>
            <w:r>
              <w:rPr>
                <w:b/>
                <w:bCs/>
                <w:i/>
                <w:iCs/>
                <w:color w:val="000000"/>
              </w:rPr>
              <w:t xml:space="preserve">(Bằng chữ: </w:t>
            </w:r>
            <w:r>
              <w:rPr>
                <w:b/>
                <w:bCs/>
                <w:i/>
                <w:iCs/>
                <w:color w:val="000000"/>
              </w:rPr>
              <w:t xml:space="preserve">Tám tỷ tám mươi lăm triệu hai trăm nghìn</w:t>
            </w:r>
            <w:r>
              <w:rPr>
                <w:b/>
                <w:bCs/>
                <w:i/>
                <w:iCs/>
                <w:color w:val="000000"/>
              </w:rPr>
              <w:t xml:space="preserve">./.)</w:t>
            </w:r>
            <w:r>
              <w:rPr>
                <w:b/>
                <w:bCs/>
                <w:i/>
                <w:iCs/>
                <w:color w:val="000000"/>
              </w:rPr>
            </w:r>
            <w:r>
              <w:rPr>
                <w:b/>
                <w:bCs/>
                <w:i/>
                <w:iCs/>
                <w:color w:val="000000"/>
              </w:rPr>
            </w:r>
          </w:p>
        </w:tc>
      </w:tr>
    </w:tbl>
    <w:p>
      <w:pPr>
        <w:pStyle w:val="1112"/>
        <w:pBdr/>
        <w:tabs>
          <w:tab w:val="left" w:leader="none" w:pos="993"/>
        </w:tabs>
        <w:spacing w:after="120" w:before="120" w:line="288" w:lineRule="auto"/>
        <w:ind w:left="0"/>
        <w:jc w:val="both"/>
        <w:rPr>
          <w:b/>
          <w:color w:val="000000" w:themeColor="text1"/>
        </w:rPr>
      </w:pPr>
      <w:r>
        <w:rPr>
          <w:b/>
          <w:color w:val="000000" w:themeColor="text1"/>
          <w:lang w:val="pt-BR"/>
        </w:rPr>
        <w:t xml:space="preserve">IX.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112"/>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112"/>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11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 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112"/>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112"/>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112"/>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112"/>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XI.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112"/>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w:t>
      </w:r>
      <w:r>
        <w:rPr>
          <w:color w:val="000000" w:themeColor="text1"/>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112"/>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w:t>
      </w:r>
      <w:r>
        <w:rPr>
          <w:color w:val="000000" w:themeColor="text1"/>
          <w:spacing w:val="2"/>
          <w:lang w:val="pt-BR"/>
        </w:rPr>
        <w:t xml:space="preserve">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w:t>
      </w:r>
      <w:r>
        <w:rPr>
          <w:color w:val="000000" w:themeColor="text1"/>
          <w:spacing w:val="2"/>
          <w:lang w:val="pt-BR"/>
        </w:rPr>
        <w:t xml:space="preserve">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
      </w:r>
      <w:r>
        <w:rPr>
          <w:color w:val="000000" w:themeColor="text1"/>
          <w:spacing w:val="2"/>
          <w:lang w:val="pt-BR"/>
        </w:rPr>
        <w:t xml:space="preserve">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112"/>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112"/>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đất  đã cung cấp cho chúng tôi.</w:t>
      </w:r>
      <w:r>
        <w:rPr>
          <w:color w:val="000000" w:themeColor="text1"/>
          <w:shd w:val="clear" w:color="auto" w:fill="ffffff"/>
        </w:rPr>
      </w:r>
      <w:r>
        <w:rPr>
          <w:color w:val="000000" w:themeColor="text1"/>
          <w:shd w:val="clear" w:color="auto" w:fill="ffffff"/>
        </w:rPr>
      </w:r>
    </w:p>
    <w:p>
      <w:pPr>
        <w:pStyle w:val="1112"/>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tài sản thẩm định giá không xảy ra tranh chấp, </w:t>
      </w:r>
      <w:r>
        <w:rPr>
          <w:color w:val="000000" w:themeColor="text1"/>
          <w:lang w:val="vi-VN"/>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rPr>
      </w:r>
      <w:r>
        <w:rPr>
          <w:color w:val="000000" w:themeColor="text1"/>
        </w:rPr>
      </w:r>
    </w:p>
    <w:p>
      <w:pPr>
        <w:pStyle w:val="1112"/>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112"/>
        <w:numPr>
          <w:ilvl w:val="0"/>
          <w:numId w:val="3"/>
        </w:numPr>
        <w:pBdr/>
        <w:tabs>
          <w:tab w:val="left" w:leader="none" w:pos="993"/>
        </w:tabs>
        <w:spacing w:after="120" w:before="120" w:line="288" w:lineRule="auto"/>
        <w:ind/>
        <w:jc w:val="both"/>
        <w:rPr>
          <w:color w:val="000000" w:themeColor="text1"/>
        </w:rPr>
      </w:pPr>
      <w:r>
        <w:rPr>
          <w:color w:val="000000" w:themeColor="text1"/>
        </w:rPr>
        <w:t xml:space="preserve">Tổ thẩm định sử dụng Phương pháp so sánh để xác định giá trị tài sản thẩm định giá trong đó việc thu thập thông tin vị trí định vị các TSSS trong mối tương quan với TSTĐ được xác địn</w:t>
      </w:r>
      <w:r>
        <w:rPr>
          <w:color w:val="000000" w:themeColor="text1"/>
        </w:rPr>
        <w:t xml:space="preserve">h thông qua định vị do môi giới, chủ nhà cung cấp hoặc qua việc mô tả, nên nguồn định vị các TSSS chỉ mang tính chính xác tương đối. Khách hàng và các bên thứ ba khi sử dụng kết quả thẩm định giá cần lưu ý khi sử dụng Chứng thư thẩm định giá.</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112"/>
        <w:numPr>
          <w:ilvl w:val="0"/>
          <w:numId w:val="5"/>
        </w:numPr>
        <w:pBdr/>
        <w:tabs>
          <w:tab w:val="left" w:leader="none" w:pos="993"/>
        </w:tabs>
        <w:spacing w:after="120" w:before="120" w:line="288" w:lineRule="auto"/>
        <w:ind w:hanging="357" w:left="357"/>
        <w:jc w:val="both"/>
        <w:rPr>
          <w:color w:val="000000" w:themeColor="text1"/>
        </w:rPr>
      </w:pPr>
      <w:r/>
      <w:bookmarkStart w:id="3"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color w:val="000000" w:themeColor="text1"/>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XII. CÁC PHỤ LỤC KÈM THEO </w:t>
      </w:r>
      <w:r>
        <w:rPr>
          <w:b/>
          <w:bCs/>
          <w:color w:val="000000" w:themeColor="text1"/>
        </w:rPr>
      </w:r>
      <w:r>
        <w:rPr>
          <w:b/>
          <w:bCs/>
          <w:color w:val="000000" w:themeColor="text1"/>
        </w:rPr>
      </w:r>
    </w:p>
    <w:p>
      <w:pPr>
        <w:pStyle w:val="1112"/>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112"/>
        <w:pBdr/>
        <w:tabs>
          <w:tab w:val="left" w:leader="none" w:pos="993"/>
        </w:tabs>
        <w:spacing w:after="120" w:before="120" w:line="288" w:lineRule="auto"/>
        <w:ind w:left="0"/>
        <w:jc w:val="both"/>
        <w:rPr>
          <w:color w:val="000000" w:themeColor="text1"/>
          <w:highlight w:val="none"/>
          <w:lang w:val="pt-BR"/>
        </w:rPr>
      </w:pPr>
      <w:r>
        <w:rPr>
          <w:color w:val="000000" w:themeColor="text1"/>
          <w:lang w:val="pt-BR"/>
        </w:rPr>
        <w:t xml:space="preserve">Phụ lục 2: Thông tin thu thập thị trường.</w:t>
      </w:r>
      <w:r>
        <w:rPr>
          <w:color w:val="000000" w:themeColor="text1"/>
          <w:highlight w:val="none"/>
          <w:lang w:val="pt-BR"/>
        </w:rPr>
      </w:r>
      <w:r>
        <w:rPr>
          <w:color w:val="000000" w:themeColor="text1"/>
          <w:highlight w:val="none"/>
          <w:lang w:val="pt-BR"/>
        </w:rPr>
      </w:r>
    </w:p>
    <w:p>
      <w:pPr>
        <w:pBdr/>
        <w:shd w:val="nil" w:color="auto"/>
        <w:spacing/>
        <w:ind/>
        <w:rPr>
          <w:color w:val="000000" w:themeColor="text1"/>
        </w:rPr>
      </w:pPr>
      <w:r>
        <w:rPr>
          <w:color w:val="000000" w:themeColor="text1"/>
        </w:rPr>
        <w:br w:type="page" w:clear="all"/>
      </w:r>
      <w:r>
        <w:rPr>
          <w:color w:val="000000" w:themeColor="text1"/>
        </w:rPr>
      </w:r>
      <w:r>
        <w:rPr>
          <w:color w:val="000000" w:themeColor="text1"/>
        </w:rPr>
      </w:r>
    </w:p>
    <w:p>
      <w:pPr>
        <w:pBdr/>
        <w:spacing w:after="200" w:line="276" w:lineRule="auto"/>
        <w:ind/>
        <w:rPr>
          <w:color w:val="000000" w:themeColor="text1"/>
          <w:lang w:val="vi-VN"/>
        </w:rPr>
      </w:pPr>
      <w:r>
        <w:rPr>
          <w:color w:val="000000" w:themeColor="text1"/>
          <w:lang w:val="vi-VN"/>
        </w:rPr>
      </w:r>
      <w:r>
        <w:rPr>
          <w:color w:val="000000" w:themeColor="text1"/>
          <w:lang w:val="vi-VN"/>
        </w:rPr>
        <w:t xml:space="preserve">Báo cáo kết quả thẩm định giá được phát hành 03 (ba) bản chính bằng tiếng Việt kèm theo Chứng thư thẩm định giá số </w:t>
      </w:r>
      <w:r>
        <w:rPr>
          <w:color w:val="000000" w:themeColor="text1"/>
          <w:lang w:val="vi-VN"/>
        </w:rPr>
        <w:t xml:space="preserve">275/2026/1492/VFI-CT.44.A</w:t>
      </w:r>
      <w:r>
        <w:rPr>
          <w:color w:val="000000" w:themeColor="text1"/>
          <w:lang w:val="vi-VN"/>
        </w:rPr>
        <w:t xml:space="preserve"> </w:t>
      </w:r>
      <w:r>
        <w:rPr>
          <w:color w:val="000000" w:themeColor="text1"/>
        </w:rPr>
        <w:t xml:space="preserve">ngày 22 tháng 9 năm 2026</w:t>
      </w:r>
      <w:r>
        <w:rPr>
          <w:color w:val="000000" w:themeColor="text1"/>
        </w:rPr>
        <w:t xml:space="preserve"> </w:t>
      </w:r>
      <w:r>
        <w:rPr>
          <w:color w:val="000000" w:themeColor="text1"/>
          <w:lang w:val="vi-VN"/>
        </w:rPr>
        <w:t xml:space="preserve">tại</w:t>
      </w:r>
      <w:r>
        <w:rPr>
          <w:color w:val="000000" w:themeColor="text1"/>
        </w:rPr>
        <w:t xml:space="preserve"> </w:t>
      </w:r>
      <w:r>
        <w:rPr>
          <w:color w:val="000000" w:themeColor="text1"/>
          <w:lang w:val="vi-VN"/>
        </w:rPr>
        <w:t xml:space="preserve">Công ty Cổ phần Thẩm định và Đầu tư Tài chính Hoa Sen.</w:t>
      </w:r>
      <w:r>
        <w:rPr>
          <w:color w:val="000000" w:themeColor="text1"/>
          <w:lang w:val="vi-VN"/>
        </w:rPr>
      </w:r>
      <w:r>
        <w:rPr>
          <w:color w:val="000000" w:themeColor="text1"/>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Đình Duy</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color w:val="000000" w:themeColor="text1"/>
          <w:u w:val="single"/>
        </w:rPr>
      </w:pPr>
      <w:r>
        <w:rPr>
          <w:b/>
          <w:color w:val="000000" w:themeColor="text1"/>
          <w:u w:val="single"/>
        </w:rPr>
      </w:r>
      <w:r>
        <w:rPr>
          <w:b/>
          <w:color w:val="000000" w:themeColor="text1"/>
          <w:u w:val="single"/>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01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VÀ PHÁP LÝ CỦA TÀI SẢN</w:t>
      </w:r>
      <w:r>
        <w:rPr>
          <w:b/>
          <w:color w:val="000000" w:themeColor="text1"/>
          <w:u w:val="single"/>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 </w:t>
      </w:r>
      <w:r>
        <w:rPr>
          <w:i/>
        </w:rPr>
        <w:t xml:space="preserve">275/2026/1492/VFI-BC.44.A</w:t>
      </w:r>
      <w:r>
        <w:rPr>
          <w:i/>
          <w:lang w:val="pt-BR"/>
        </w:rPr>
        <w:t xml:space="preserve"> </w:t>
      </w:r>
      <w:r>
        <w:rPr>
          <w:i/>
          <w:lang w:val="pt-BR"/>
        </w:rPr>
        <w:t xml:space="preserve">ngày 22 tháng 9 năm 2026</w:t>
      </w:r>
      <w:r>
        <w:rPr>
          <w:i/>
          <w:color w:val="000000" w:themeColor="text1"/>
          <w:lang w:val="pt-BR"/>
        </w:rPr>
        <w:t xml:space="preserve"> 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tbl>
      <w:tblPr>
        <w:tblStyle w:val="1116"/>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ind/>
              <w:jc w:val="center"/>
              <w:rPr>
                <w:i/>
                <w:iCs/>
                <w:color w:val="000000" w:themeColor="text1"/>
              </w:rPr>
            </w:pPr>
            <w:r>
              <w:rPr>
                <w:i/>
                <w:iCs/>
                <w:color w:val="000000" w:themeColor="text1"/>
              </w:rPr>
            </w:r>
            <w:r>
              <mc:AlternateContent>
                <mc:Choice Requires="wpg">
                  <w:drawing>
                    <wp:inline xmlns:wp="http://schemas.openxmlformats.org/drawingml/2006/wordprocessingDrawing" distT="0" distB="0" distL="0" distR="0">
                      <wp:extent cx="2136306" cy="284840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927697" name=""/>
                              <pic:cNvPicPr>
                                <a:picLocks noChangeAspect="1"/>
                              </pic:cNvPicPr>
                              <pic:nvPr/>
                            </pic:nvPicPr>
                            <pic:blipFill rotWithShape="1">
                              <a:blip r:embed="rId20"/>
                              <a:stretch/>
                            </pic:blipFill>
                            <pic:spPr bwMode="auto">
                              <a:xfrm flipH="0" flipV="0">
                                <a:off x="0" y="0"/>
                                <a:ext cx="2136305" cy="28484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68.21pt;height:224.28pt;mso-wrap-distance-left:0.00pt;mso-wrap-distance-top:0.00pt;mso-wrap-distance-right:0.00pt;mso-wrap-distance-bottom:0.00pt;z-index:1;" stroked="false">
                      <v:imagedata r:id="rId20" o:title=""/>
                      <o:lock v:ext="edit" rotation="t"/>
                    </v:shape>
                  </w:pict>
                </mc:Fallback>
              </mc:AlternateContent>
            </w:r>
            <w:r>
              <w:rPr>
                <w:i/>
                <w:iCs/>
                <w:color w:val="000000" w:themeColor="text1"/>
              </w:rPr>
            </w:r>
            <w:r>
              <w:rPr>
                <w:i/>
                <w:iCs/>
                <w:color w:val="000000" w:themeColor="text1"/>
              </w:rPr>
            </w:r>
          </w:p>
        </w:tc>
        <w:tc>
          <w:tcPr>
            <w:tcBorders/>
            <w:tcW w:w="4757" w:type="dxa"/>
            <w:vAlign w:val="center"/>
            <w:textDirection w:val="lrTb"/>
            <w:noWrap w:val="false"/>
          </w:tcPr>
          <w:p>
            <w:pPr>
              <w:pBdr/>
              <w:spacing w:after="120"/>
              <w:ind/>
              <w:jc w:val="center"/>
              <w:rPr>
                <w:i/>
                <w:iCs/>
                <w:color w:val="000000" w:themeColor="text1"/>
              </w:rPr>
            </w:pPr>
            <w:r>
              <w:rPr>
                <w:i/>
                <w:iCs/>
                <w:color w:val="000000" w:themeColor="text1"/>
              </w:rPr>
            </w:r>
            <w:r>
              <mc:AlternateContent>
                <mc:Choice Requires="wpg">
                  <w:drawing>
                    <wp:inline xmlns:wp="http://schemas.openxmlformats.org/drawingml/2006/wordprocessingDrawing" distT="0" distB="0" distL="0" distR="0">
                      <wp:extent cx="2401365" cy="3201819"/>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89646" name=""/>
                              <pic:cNvPicPr>
                                <a:picLocks noChangeAspect="1"/>
                              </pic:cNvPicPr>
                              <pic:nvPr/>
                            </pic:nvPicPr>
                            <pic:blipFill rotWithShape="1">
                              <a:blip r:embed="rId21"/>
                              <a:stretch/>
                            </pic:blipFill>
                            <pic:spPr bwMode="auto">
                              <a:xfrm flipH="0" flipV="0">
                                <a:off x="0" y="0"/>
                                <a:ext cx="2401364" cy="320181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89.08pt;height:252.11pt;mso-wrap-distance-left:0.00pt;mso-wrap-distance-top:0.00pt;mso-wrap-distance-right:0.00pt;mso-wrap-distance-bottom:0.00pt;z-index:1;" stroked="false">
                      <v:imagedata r:id="rId21" o:title=""/>
                      <o:lock v:ext="edit" rotation="t"/>
                    </v:shape>
                  </w:pict>
                </mc:Fallback>
              </mc:AlternateContent>
            </w:r>
            <w:r>
              <w:rPr>
                <w:i/>
                <w:iCs/>
                <w:color w:val="000000" w:themeColor="text1"/>
              </w:rPr>
            </w:r>
            <w:r>
              <w:rPr>
                <w:i/>
                <w:iCs/>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tab/>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2505351" cy="3340467"/>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421080" name=""/>
                              <pic:cNvPicPr>
                                <a:picLocks noChangeAspect="1"/>
                              </pic:cNvPicPr>
                              <pic:nvPr/>
                            </pic:nvPicPr>
                            <pic:blipFill rotWithShape="1">
                              <a:blip r:embed="rId22"/>
                              <a:stretch/>
                            </pic:blipFill>
                            <pic:spPr bwMode="auto">
                              <a:xfrm flipH="0" flipV="0">
                                <a:off x="0" y="0"/>
                                <a:ext cx="2505350" cy="334046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97.27pt;height:263.03pt;mso-wrap-distance-left:0.00pt;mso-wrap-distance-top:0.00pt;mso-wrap-distance-right:0.00pt;mso-wrap-distance-bottom:0.00pt;z-index:1;" stroked="false">
                      <v:imagedata r:id="rId22"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2541069" cy="338809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285676" name=""/>
                              <pic:cNvPicPr>
                                <a:picLocks noChangeAspect="1"/>
                              </pic:cNvPicPr>
                              <pic:nvPr/>
                            </pic:nvPicPr>
                            <pic:blipFill rotWithShape="1">
                              <a:blip r:embed="rId23"/>
                              <a:stretch/>
                            </pic:blipFill>
                            <pic:spPr bwMode="auto">
                              <a:xfrm flipH="0" flipV="0">
                                <a:off x="0" y="0"/>
                                <a:ext cx="2541069" cy="33880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0.08pt;height:266.78pt;mso-wrap-distance-left:0.00pt;mso-wrap-distance-top:0.00pt;mso-wrap-distance-right:0.00pt;mso-wrap-distance-bottom:0.00pt;z-index:1;" stroked="false">
                      <v:imagedata r:id="rId23" o:title=""/>
                      <o:lock v:ext="edit" rotation="t"/>
                    </v:shape>
                  </w:pict>
                </mc:Fallback>
              </mc:AlternateContent>
            </w:r>
            <w:r>
              <w:rPr>
                <w:i/>
                <w:color w:val="000000" w:themeColor="text1"/>
              </w:rPr>
            </w:r>
            <w:r>
              <w:rPr>
                <w:i/>
                <w:color w:val="000000" w:themeColor="text1"/>
              </w:rPr>
            </w:r>
          </w:p>
        </w:tc>
      </w:tr>
    </w:tbl>
    <w:p>
      <w:pPr>
        <w:pBdr/>
        <w:spacing/>
        <w:ind/>
        <w:rPr>
          <w:color w:val="000000" w:themeColor="text1"/>
        </w:rPr>
      </w:pPr>
      <w:r>
        <w:rPr>
          <w:color w:val="000000" w:themeColor="text1"/>
        </w:rPr>
      </w:r>
      <w:r>
        <w:rPr>
          <w:color w:val="000000" w:themeColor="text1"/>
        </w:rPr>
      </w:r>
      <w:r>
        <w:rPr>
          <w:color w:val="000000" w:themeColor="text1"/>
        </w:rPr>
      </w:r>
    </w:p>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p>
      <w:pPr>
        <w:pBdr/>
        <w:spacing w:after="200" w:line="276" w:lineRule="auto"/>
        <w:ind/>
        <w:jc w:val="center"/>
        <w:rPr>
          <w:b/>
          <w:bCs/>
          <w:color w:val="000000" w:themeColor="text1"/>
          <w:highlight w:val="none"/>
        </w:rPr>
      </w:pPr>
      <w:r>
        <w:rPr>
          <w:b/>
          <w:color w:val="000000" w:themeColor="text1"/>
          <w:u w:val="single"/>
          <w:lang w:val="vi-VN"/>
        </w:rPr>
        <w:t xml:space="preserve">PHỤ LỤC</w:t>
      </w:r>
      <w:r>
        <w:rPr>
          <w:b/>
          <w:color w:val="000000" w:themeColor="text1"/>
          <w:u w:val="single"/>
          <w:lang w:val="pt-BR"/>
        </w:rPr>
        <w:t xml:space="preserve"> 02</w:t>
      </w:r>
      <w:r>
        <w:rPr>
          <w:b/>
          <w:color w:val="000000" w:themeColor="text1"/>
          <w:lang w:val="vi-VN"/>
        </w:rPr>
        <w:t xml:space="preserve">: THÔNG TIN THU THẬP THỊ TRƯỜN</w:t>
      </w:r>
      <w:r>
        <w:rPr>
          <w:b/>
          <w:color w:val="000000" w:themeColor="text1"/>
        </w:rPr>
        <w:t xml:space="preserve">G</w:t>
      </w:r>
      <w:r>
        <w:rPr>
          <w:b/>
          <w:bCs/>
          <w:color w:val="000000" w:themeColor="text1"/>
          <w:highlight w:val="none"/>
        </w:rPr>
      </w:r>
      <w:r>
        <w:rPr>
          <w:b/>
          <w:bCs/>
          <w:color w:val="000000" w:themeColor="text1"/>
          <w:highlight w:val="none"/>
        </w:rPr>
      </w:r>
    </w:p>
    <w:p>
      <w:pPr>
        <w:pBdr/>
        <w:spacing/>
        <w:ind/>
        <w:jc w:val="center"/>
        <w:rPr>
          <w:i/>
          <w:color w:val="000000" w:themeColor="text1"/>
        </w:rPr>
      </w:pPr>
      <w:r>
        <w:rPr>
          <w:i/>
          <w:color w:val="000000" w:themeColor="text1"/>
          <w:lang w:val="pt-BR"/>
        </w:rPr>
        <w:t xml:space="preserve">(Kèm theo Báo cáo thẩm định số </w:t>
      </w:r>
      <w:r>
        <w:rPr>
          <w:i/>
        </w:rPr>
        <w:t xml:space="preserve">275/2026/1492/VFI-BC.44.A</w:t>
      </w:r>
      <w:r>
        <w:rPr>
          <w:i/>
          <w:lang w:val="pt-BR"/>
        </w:rPr>
        <w:t xml:space="preserve"> </w:t>
      </w:r>
      <w:r>
        <w:rPr>
          <w:i/>
          <w:lang w:val="pt-BR"/>
        </w:rPr>
        <w:t xml:space="preserve">ngày 22 tháng 9 năm 2026</w:t>
      </w:r>
      <w:r>
        <w:rPr>
          <w:i/>
          <w:color w:val="000000" w:themeColor="text1"/>
          <w:lang w:val="pt-BR"/>
        </w:rPr>
        <w:t xml:space="preserve"> của </w:t>
      </w:r>
      <w:r>
        <w:rPr>
          <w:i/>
          <w:color w:val="000000" w:themeColor="text1"/>
        </w:rPr>
      </w:r>
      <w:r>
        <w:rPr>
          <w:i/>
          <w:color w:val="000000" w:themeColor="text1"/>
        </w:rPr>
      </w:r>
    </w:p>
    <w:p>
      <w:pPr>
        <w:pBdr/>
        <w:spacing w:after="120"/>
        <w:ind/>
        <w:jc w:val="center"/>
        <w:rPr>
          <w:i/>
          <w:color w:val="000000" w:themeColor="text1"/>
          <w:lang w:val="pt-BR"/>
        </w:rPr>
      </w:pPr>
      <w:r>
        <w:rPr>
          <w:i/>
          <w:color w:val="000000" w:themeColor="text1"/>
          <w:lang w:val="pt-BR"/>
        </w:rPr>
        <w:t xml:space="preserve">Công ty Cổ phần Thẩm định và Đầu tư Tài chính Hoa Sen)</w:t>
      </w:r>
      <w:r>
        <w:rPr>
          <w:i/>
          <w:color w:val="000000" w:themeColor="text1"/>
          <w:lang w:val="pt-BR"/>
        </w:rPr>
      </w:r>
      <w:r>
        <w:rPr>
          <w:i/>
          <w:color w:val="000000" w:themeColor="text1"/>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https://batdongsan.com.vn/ban-can-ho-chung-cu-duong-bach-dang-phuong-hai-chau_1-m-landmark-residence/chau-my-srt-oc-quyen-tang-39-truc-16-2br-hang-sang-bat-nhat-a-nang-mlandmark-pr45776888</w:t>
            </w:r>
            <w:r>
              <w:rPr>
                <w:color w:val="000000" w:themeColor="text1"/>
                <w:sz w:val="22"/>
                <w:szCs w:val="22"/>
              </w:rPr>
              <w:br/>
              <w:t xml:space="preserve">0931199800</w:t>
            </w:r>
            <w:r>
              <w:rPr>
                <w:sz w:val="22"/>
                <w:szCs w:val="22"/>
              </w:rPr>
              <w:t xml:space="preserve"> </w:t>
            </w:r>
            <w:r>
              <w:rPr>
                <w:sz w:val="22"/>
                <w:szCs w:val="22"/>
              </w:rPr>
              <w:br/>
              <w:t xml:space="preserve">(Mỹ Châu</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17.190.000.000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14.611.500.000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Hợp đồng mua bán công chứng vi bằng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là căn hộ chung cư tại 1 tháp cao 45 tầng Dự án M LANDMARK RESIDENCES DA NANG chủ đầu tư Công ty Cổ phần Địa ốc Foodinco</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76,4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Tầng 39, Thuộc nhóm tầng: Cao</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Bắc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 phòng ngủ, 2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Cao cấp</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 </w:t>
              <mc:AlternateContent>
                <mc:Choice Requires="wpg">
                  <w:drawing>
                    <wp:inline xmlns:wp="http://schemas.openxmlformats.org/drawingml/2006/wordprocessingDrawing" distT="0" distB="0" distL="0" distR="0">
                      <wp:extent cx="4444242" cy="317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444424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349.94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6048375" cy="4593702"/>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52635" name=""/>
                              <pic:cNvPicPr>
                                <a:picLocks noChangeAspect="1"/>
                              </pic:cNvPicPr>
                              <pic:nvPr/>
                            </pic:nvPicPr>
                            <pic:blipFill rotWithShape="1">
                              <a:blip r:embed="rId25"/>
                              <a:stretch/>
                            </pic:blipFill>
                            <pic:spPr bwMode="auto">
                              <a:xfrm rot="0" flipH="0" flipV="0">
                                <a:off x="0" y="0"/>
                                <a:ext cx="6048374" cy="45937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6.25pt;height:361.71pt;mso-wrap-distance-left:0.00pt;mso-wrap-distance-top:0.00pt;mso-wrap-distance-right:0.00pt;mso-wrap-distance-bottom:0.00pt;rotation:0;z-index:1;" stroked="false">
                      <v:imagedata r:id="rId25" o:title=""/>
                      <o:lock v:ext="edit" rotation="t"/>
                    </v:shape>
                  </w:pict>
                </mc:Fallback>
              </mc:AlternateContent>
            </w:r>
            <w:r>
              <mc:AlternateContent>
                <mc:Choice Requires="wpg">
                  <w:drawing>
                    <wp:inline xmlns:wp="http://schemas.openxmlformats.org/drawingml/2006/wordprocessingDrawing" distT="0" distB="0" distL="0" distR="0">
                      <wp:extent cx="5251110" cy="398818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324544" name=""/>
                              <pic:cNvPicPr>
                                <a:picLocks noChangeAspect="1"/>
                              </pic:cNvPicPr>
                              <pic:nvPr/>
                            </pic:nvPicPr>
                            <pic:blipFill rotWithShape="1">
                              <a:blip r:embed="rId26"/>
                              <a:stretch/>
                            </pic:blipFill>
                            <pic:spPr bwMode="auto">
                              <a:xfrm rot="0" flipH="0" flipV="0">
                                <a:off x="0" y="0"/>
                                <a:ext cx="5251109" cy="39881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13.47pt;height:314.03pt;mso-wrap-distance-left:0.00pt;mso-wrap-distance-top:0.00pt;mso-wrap-distance-right:0.00pt;mso-wrap-distance-bottom:0.00pt;rotation:0;z-index:1;" stroked="false">
                      <v:imagedata r:id="rId26" o:title=""/>
                      <o:lock v:ext="edit" rotation="t"/>
                    </v:shape>
                  </w:pict>
                </mc:Fallback>
              </mc:AlternateContent>
            </w:r>
            <w:r>
              <w:rPr>
                <w:color w:val="000000"/>
                <w:sz w:val="22"/>
                <w:szCs w:val="22"/>
              </w:rPr>
            </w:r>
            <w:r>
              <w:rPr>
                <w:color w:val="000000"/>
                <w:sz w:val="22"/>
                <w:szCs w:val="22"/>
              </w:rPr>
            </w:r>
          </w:p>
          <w:p>
            <w:pPr>
              <w:pBdr/>
              <w:spacing w:line="276" w:lineRule="auto"/>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p>
            <w:pPr>
              <w:pBdr/>
              <w:spacing/>
              <w:ind/>
              <w:rPr/>
            </w:pPr>
            <w:r/>
            <w:r/>
          </w:p>
        </w:tc>
      </w:tr>
    </w:tbl>
    <w:p>
      <w:pPr>
        <w:pBdr/>
        <w:spacing w:after="200" w:line="276" w:lineRule="auto"/>
        <w:ind/>
        <w:jc w:val="left"/>
        <w:rPr>
          <w:b/>
          <w:bCs/>
          <w:iCs/>
          <w:color w:val="000000" w:themeColor="text1"/>
        </w:rPr>
      </w:pPr>
      <w:r>
        <w:rPr>
          <w:b/>
          <w:bCs/>
          <w:iCs/>
          <w:color w:val="000000" w:themeColor="text1"/>
        </w:rPr>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https://batdongsan.com.vn/ban-can-ho-chung-cu-duong-bach-dang-phuong-hai-chau_1-m-landmark-residence/2-pn-view-truc-dien-song-han-marriot-danh-cho-gioi-tinh-hoa-full-noi-that-pr44960769</w:t>
            </w:r>
            <w:r>
              <w:rPr>
                <w:color w:val="000000" w:themeColor="text1"/>
                <w:sz w:val="22"/>
                <w:szCs w:val="22"/>
              </w:rPr>
              <w:br/>
              <w:t xml:space="preserve">0932561759</w:t>
            </w:r>
            <w:r>
              <w:rPr>
                <w:sz w:val="22"/>
                <w:szCs w:val="22"/>
              </w:rPr>
              <w:t xml:space="preserve"> </w:t>
            </w:r>
            <w:r>
              <w:rPr>
                <w:sz w:val="22"/>
                <w:szCs w:val="22"/>
              </w:rPr>
              <w:br/>
              <w:t xml:space="preserve">(Thành Đạt</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15.347.000.000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13.044.950.000</w:t>
            </w:r>
            <w:r>
              <w:rPr>
                <w:sz w:val="22"/>
                <w:szCs w:val="22"/>
              </w:rPr>
            </w:r>
            <w:r>
              <w:rPr>
                <w:sz w:val="22"/>
                <w:szCs w:val="22"/>
              </w:rPr>
            </w:r>
          </w:p>
        </w:tc>
      </w:tr>
      <w:tr>
        <w:trPr>
          <w:trHeight w:val="30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Hợp đồng mua bán công chứng vi bằng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là căn hộ chung cư tại 1 tháp cao 45 tầng Dự án M LANDMARK RESIDENCES DA NANG chủ đầu tư Công ty Cổ phần Địa ốc Foodinco</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75,6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Tầng 31, Thuộc nhóm tầng: Trung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Bắc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 phòng ngủ, 2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 </w:t>
              <mc:AlternateContent>
                <mc:Choice Requires="wpg">
                  <w:drawing>
                    <wp:inline xmlns:wp="http://schemas.openxmlformats.org/drawingml/2006/wordprocessingDrawing" distT="0" distB="0" distL="0" distR="0">
                      <wp:extent cx="4498554"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449855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54.22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4275190" cy="925258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155356" name=""/>
                              <pic:cNvPicPr>
                                <a:picLocks noChangeAspect="1"/>
                              </pic:cNvPicPr>
                              <pic:nvPr/>
                            </pic:nvPicPr>
                            <pic:blipFill rotWithShape="1">
                              <a:blip r:embed="rId28"/>
                              <a:stretch/>
                            </pic:blipFill>
                            <pic:spPr bwMode="auto">
                              <a:xfrm rot="0" flipH="0" flipV="0">
                                <a:off x="0" y="0"/>
                                <a:ext cx="4275189" cy="92525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36.63pt;height:728.55pt;mso-wrap-distance-left:0.00pt;mso-wrap-distance-top:0.00pt;mso-wrap-distance-right:0.00pt;mso-wrap-distance-bottom:0.00pt;rotation:0;z-index:1;" stroked="false">
                      <v:imagedata r:id="rId28" o:title=""/>
                      <o:lock v:ext="edit" rotation="t"/>
                    </v:shape>
                  </w:pict>
                </mc:Fallback>
              </mc:AlternateContent>
            </w:r>
            <w:r>
              <w:rPr>
                <w:color w:val="000000"/>
                <w:sz w:val="22"/>
                <w:szCs w:val="22"/>
              </w:rPr>
            </w:r>
            <w:r/>
          </w:p>
        </w:tc>
      </w:tr>
    </w:tbl>
    <w:p>
      <w:pPr>
        <w:pBdr/>
        <w:spacing/>
        <w:ind/>
        <w:rPr>
          <w:b/>
          <w:bCs/>
          <w:color w:val="000000" w:themeColor="text1"/>
        </w:rPr>
      </w:pPr>
      <w:r>
        <w:rPr>
          <w:b/>
          <w:bCs/>
          <w:color w:val="000000" w:themeColor="text1"/>
          <w:lang w:val="pt-BR"/>
        </w:rPr>
      </w:r>
      <w:r>
        <w:rPr>
          <w:b/>
          <w:bCs/>
          <w:color w:val="000000" w:themeColor="text1"/>
        </w:rPr>
      </w:r>
      <w:r>
        <w:rPr>
          <w:b/>
          <w:bCs/>
          <w:color w:val="000000" w:themeColor="text1"/>
        </w:rPr>
      </w:r>
    </w:p>
    <w:tbl>
      <w:tblPr>
        <w:tblW w:w="9386" w:type="dxa"/>
        <w:tblBorders/>
        <w:tblLayout w:type="fixed"/>
        <w:tblLook w:val="04A0" w:firstRow="1" w:lastRow="0" w:firstColumn="1" w:lastColumn="0" w:noHBand="0" w:noVBand="1"/>
      </w:tblPr>
      <w:tblGrid>
        <w:gridCol w:w="632"/>
        <w:gridCol w:w="3368"/>
        <w:gridCol w:w="5386"/>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368"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38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8"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8"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pPr>
              <w:pBdr/>
              <w:spacing w:line="276" w:lineRule="auto"/>
              <w:ind/>
              <w:jc w:val="center"/>
              <w:rPr>
                <w:sz w:val="22"/>
                <w:szCs w:val="22"/>
              </w:rPr>
            </w:pPr>
            <w:r>
              <w:rPr>
                <w:color w:val="000000" w:themeColor="text1"/>
                <w:sz w:val="22"/>
                <w:szCs w:val="22"/>
              </w:rPr>
              <w:t xml:space="preserve">Liêh hệ trực tiếp</w:t>
            </w:r>
            <w:r>
              <w:rPr>
                <w:color w:val="000000" w:themeColor="text1"/>
                <w:sz w:val="22"/>
                <w:szCs w:val="22"/>
              </w:rPr>
              <w:br/>
              <w:t xml:space="preserve">0931199800</w:t>
            </w:r>
            <w:r>
              <w:rPr>
                <w:sz w:val="22"/>
                <w:szCs w:val="22"/>
              </w:rPr>
              <w:t xml:space="preserve"> </w:t>
            </w:r>
            <w:r>
              <w:rPr>
                <w:sz w:val="22"/>
                <w:szCs w:val="22"/>
              </w:rPr>
              <w:br/>
              <w:t xml:space="preserve">(châu mỹ</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8"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pPr>
              <w:pBdr/>
              <w:spacing w:line="276" w:lineRule="auto"/>
              <w:ind/>
              <w:jc w:val="center"/>
              <w:rPr>
                <w:sz w:val="22"/>
                <w:szCs w:val="22"/>
              </w:rPr>
            </w:pPr>
            <w:r>
              <w:rPr>
                <w:color w:val="000000" w:themeColor="text1"/>
                <w:sz w:val="22"/>
                <w:szCs w:val="22"/>
              </w:rPr>
              <w:t xml:space="preserve">22.149.802.766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8"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pPr>
              <w:pBdr/>
              <w:spacing w:line="276" w:lineRule="auto"/>
              <w:ind/>
              <w:jc w:val="center"/>
              <w:rPr>
                <w:sz w:val="22"/>
                <w:szCs w:val="22"/>
              </w:rPr>
            </w:pPr>
            <w:r>
              <w:rPr>
                <w:color w:val="000000" w:themeColor="text1"/>
                <w:sz w:val="22"/>
                <w:szCs w:val="22"/>
              </w:rPr>
              <w:t xml:space="preserve">17.719.842.213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8"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8"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368"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8"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8"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là căn hộ chung cư tại LANDMARK RESIDENCES DA NANG Dự án M LANDMARK RESIDENCES DA NANG chủ đầu tư Công ty Cổ phần Địa ốc Foodinco</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8"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pPr>
              <w:pBdr/>
              <w:spacing w:line="276" w:lineRule="auto"/>
              <w:ind/>
              <w:jc w:val="center"/>
              <w:rPr>
                <w:sz w:val="22"/>
                <w:szCs w:val="22"/>
              </w:rPr>
            </w:pPr>
            <w:r>
              <w:rPr>
                <w:color w:val="000000" w:themeColor="text1"/>
                <w:sz w:val="22"/>
                <w:szCs w:val="22"/>
              </w:rPr>
              <w:t xml:space="preserve">88,7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8"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pPr>
              <w:pBdr/>
              <w:spacing w:line="276" w:lineRule="auto"/>
              <w:ind/>
              <w:jc w:val="center"/>
              <w:rPr>
                <w:sz w:val="22"/>
                <w:szCs w:val="22"/>
              </w:rPr>
            </w:pPr>
            <w:r>
              <w:rPr>
                <w:color w:val="000000" w:themeColor="text1"/>
                <w:sz w:val="22"/>
                <w:szCs w:val="22"/>
              </w:rPr>
              <w:t xml:space="preserve">2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8"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Tầng , Thuộc nhóm tầng: Cao</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8"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pPr>
              <w:pBdr/>
              <w:spacing w:line="276" w:lineRule="auto"/>
              <w:ind/>
              <w:jc w:val="center"/>
              <w:rPr>
                <w:sz w:val="22"/>
                <w:szCs w:val="22"/>
              </w:rPr>
            </w:pPr>
            <w:r>
              <w:rPr>
                <w:sz w:val="22"/>
                <w:szCs w:val="22"/>
              </w:rPr>
              <w:t xml:space="preserve">Nam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8"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 phòng ngủ, 2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8"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8"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pPr>
              <w:pBdr/>
              <w:spacing w:line="276" w:lineRule="auto"/>
              <w:ind/>
              <w:jc w:val="center"/>
              <w:rPr>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8"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754" w:type="dxa"/>
            <w:vAlign w:val="center"/>
            <w:textDirection w:val="lrTb"/>
            <w:noWrap w:val="false"/>
          </w:tcPr>
          <w:p>
            <w:pPr>
              <w:pBdr/>
              <w:spacing w:line="276" w:lineRule="auto"/>
              <w:ind/>
              <w:jc w:val="center"/>
              <w:rPr>
                <w:color w:val="000000"/>
                <w:sz w:val="22"/>
                <w:szCs w:val="22"/>
              </w:rPr>
            </w:pPr>
            <w:r>
              <w:rPr>
                <w:color w:val="000000"/>
                <w:sz w:val="22"/>
                <w:szCs w:val="22"/>
              </w:rPr>
              <w:t xml:space="preserve"> </w:t>
              <mc:AlternateContent>
                <mc:Choice Requires="wpg">
                  <w:drawing>
                    <wp:inline xmlns:wp="http://schemas.openxmlformats.org/drawingml/2006/wordprocessingDrawing" distT="0" distB="0" distL="0" distR="0">
                      <wp:extent cx="3252983" cy="2267008"/>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3252983" cy="226700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56.14pt;height:178.5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pPr>
            <w:r>
              <w:rPr>
                <w:color w:val="000000"/>
                <w:sz w:val="22"/>
                <w:szCs w:val="22"/>
              </w:rPr>
            </w:r>
            <w:r>
              <w:rPr>
                <w:color w:val="000000"/>
                <w:sz w:val="22"/>
                <w:szCs w:val="22"/>
              </w:rPr>
            </w: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Lê Đình Duy</w:t>
            </w:r>
            <w:r/>
          </w:p>
        </w:tc>
      </w:tr>
    </w:tbl>
    <w:p>
      <w:pPr>
        <w:pBdr/>
        <w:spacing w:after="200" w:line="276"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mc:AlternateContent>
          <mc:Choice Requires="wpg">
            <w:drawing>
              <wp:inline xmlns:wp="http://schemas.openxmlformats.org/drawingml/2006/wordprocessingDrawing" distT="0" distB="0" distL="0" distR="0">
                <wp:extent cx="6048375" cy="806450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287260" name=""/>
                        <pic:cNvPicPr>
                          <a:picLocks noChangeAspect="1"/>
                        </pic:cNvPicPr>
                        <pic:nvPr/>
                      </pic:nvPicPr>
                      <pic:blipFill rotWithShape="1">
                        <a:blip r:embed="rId30"/>
                        <a:stretch/>
                      </pic:blipFill>
                      <pic:spPr bwMode="auto">
                        <a:xfrm rot="0" flipH="0" flipV="0">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635.00pt;mso-wrap-distance-left:0.00pt;mso-wrap-distance-top:0.00pt;mso-wrap-distance-right:0.00pt;mso-wrap-distance-bottom:0.00pt;rotation:0;z-index:1;" stroked="false">
                <v:imagedata r:id="rId30" o:title=""/>
                <o:lock v:ext="edit" rotation="t"/>
              </v:shape>
            </w:pict>
          </mc:Fallback>
        </mc:AlternateContent>
      </w:r>
      <w:r>
        <w:rPr>
          <w:b/>
          <w:bCs/>
          <w:color w:val="000000" w:themeColor="text1"/>
        </w:rPr>
      </w:r>
      <w:r>
        <w:rPr>
          <w:b/>
          <w:b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8"/>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108"/>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8"/>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8"/>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6"/>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9264;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1FC7BAD"/>
    <w:lvl w:ilvl="0">
      <w:isLgl w:val="false"/>
      <w:lvlJc w:val="left"/>
      <w:lvlText w:val=""/>
      <w:numFmt w:val="bullet"/>
      <w:pPr>
        <w:pBdr/>
        <w:spacing/>
        <w:ind w:hanging="360" w:left="1146"/>
      </w:pPr>
      <w:rPr>
        <w:rFonts w:hint="default" w:ascii="Symbol" w:hAnsi="Symbol"/>
      </w:rPr>
      <w:start w:val="1"/>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9">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0">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1">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2">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4">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5">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6">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7">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0">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1">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6">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0">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1">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2">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4">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6">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7">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8">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4"/>
  </w:num>
  <w:num w:numId="2">
    <w:abstractNumId w:val="7"/>
  </w:num>
  <w:num w:numId="3">
    <w:abstractNumId w:val="5"/>
  </w:num>
  <w:num w:numId="4">
    <w:abstractNumId w:val="29"/>
  </w:num>
  <w:num w:numId="5">
    <w:abstractNumId w:val="33"/>
  </w:num>
  <w:num w:numId="6">
    <w:abstractNumId w:val="35"/>
  </w:num>
  <w:num w:numId="7">
    <w:abstractNumId w:val="12"/>
  </w:num>
  <w:num w:numId="8">
    <w:abstractNumId w:val="3"/>
  </w:num>
  <w:num w:numId="9">
    <w:abstractNumId w:val="9"/>
  </w:num>
  <w:num w:numId="10">
    <w:abstractNumId w:val="13"/>
  </w:num>
  <w:num w:numId="11">
    <w:abstractNumId w:val="23"/>
  </w:num>
  <w:num w:numId="12">
    <w:abstractNumId w:val="8"/>
  </w:num>
  <w:num w:numId="13">
    <w:abstractNumId w:val="26"/>
  </w:num>
  <w:num w:numId="14">
    <w:abstractNumId w:val="20"/>
  </w:num>
  <w:num w:numId="15">
    <w:abstractNumId w:val="16"/>
  </w:num>
  <w:num w:numId="16">
    <w:abstractNumId w:val="4"/>
  </w:num>
  <w:num w:numId="17">
    <w:abstractNumId w:val="12"/>
  </w:num>
  <w:num w:numId="18">
    <w:abstractNumId w:val="37"/>
  </w:num>
  <w:num w:numId="19">
    <w:abstractNumId w:val="34"/>
  </w:num>
  <w:num w:numId="20">
    <w:abstractNumId w:val="25"/>
  </w:num>
  <w:num w:numId="21">
    <w:abstractNumId w:val="15"/>
  </w:num>
  <w:num w:numId="22">
    <w:abstractNumId w:val="10"/>
  </w:num>
  <w:num w:numId="23">
    <w:abstractNumId w:val="38"/>
  </w:num>
  <w:num w:numId="24">
    <w:abstractNumId w:val="18"/>
  </w:num>
  <w:num w:numId="25">
    <w:abstractNumId w:val="31"/>
  </w:num>
  <w:num w:numId="26">
    <w:abstractNumId w:val="27"/>
  </w:num>
  <w:num w:numId="27">
    <w:abstractNumId w:val="0"/>
  </w:num>
  <w:num w:numId="28">
    <w:abstractNumId w:val="1"/>
  </w:num>
  <w:num w:numId="29">
    <w:abstractNumId w:val="24"/>
  </w:num>
  <w:num w:numId="30">
    <w:abstractNumId w:val="30"/>
  </w:num>
  <w:num w:numId="31">
    <w:abstractNumId w:val="19"/>
  </w:num>
  <w:num w:numId="32">
    <w:abstractNumId w:val="32"/>
  </w:num>
  <w:num w:numId="33">
    <w:abstractNumId w:val="2"/>
  </w:num>
  <w:num w:numId="34">
    <w:abstractNumId w:val="11"/>
  </w:num>
  <w:num w:numId="35">
    <w:abstractNumId w:val="22"/>
  </w:num>
  <w:num w:numId="36">
    <w:abstractNumId w:val="36"/>
  </w:num>
  <w:num w:numId="37">
    <w:abstractNumId w:val="28"/>
  </w:num>
  <w:num w:numId="38">
    <w:abstractNumId w:val="21"/>
  </w:num>
  <w:num w:numId="39">
    <w:abstractNumId w:val="17"/>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9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1 Light - Accent 1"/>
    <w:basedOn w:val="9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 Accent 2"/>
    <w:basedOn w:val="9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3"/>
    <w:basedOn w:val="9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4"/>
    <w:basedOn w:val="9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5"/>
    <w:basedOn w:val="9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6"/>
    <w:basedOn w:val="9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2 - Accent 1"/>
    <w:basedOn w:val="9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2 - Accent 2"/>
    <w:basedOn w:val="9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 Accent 3"/>
    <w:basedOn w:val="9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4"/>
    <w:basedOn w:val="9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5"/>
    <w:basedOn w:val="9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6"/>
    <w:basedOn w:val="9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3 - Accent 1"/>
    <w:basedOn w:val="9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3 - Accent 2"/>
    <w:basedOn w:val="9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3 - Accent 3"/>
    <w:basedOn w:val="9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 Accent 4"/>
    <w:basedOn w:val="9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5"/>
    <w:basedOn w:val="9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6"/>
    <w:basedOn w:val="9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4 - Accent 1"/>
    <w:basedOn w:val="9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4 - Accent 2"/>
    <w:basedOn w:val="9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4 - Accent 3"/>
    <w:basedOn w:val="9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4 - Accent 4"/>
    <w:basedOn w:val="9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 Accent 5"/>
    <w:basedOn w:val="9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6"/>
    <w:basedOn w:val="9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5 Dark - Accent 2"/>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5 Dark - Accent 3"/>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5 Dark - Accent 5"/>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5 Dark - Accent 6"/>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6 Colorful - Accent 1"/>
    <w:basedOn w:val="9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1">
    <w:name w:val="Grid Table 6 Colorful - Accent 2"/>
    <w:basedOn w:val="9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72">
    <w:name w:val="Grid Table 6 Colorful - Accent 3"/>
    <w:basedOn w:val="9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73">
    <w:name w:val="Grid Table 6 Colorful - Accent 4"/>
    <w:basedOn w:val="9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4">
    <w:name w:val="Grid Table 6 Colorful - Accent 5"/>
    <w:basedOn w:val="9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5">
    <w:name w:val="Grid Table 6 Colorful - Accent 6"/>
    <w:basedOn w:val="9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6">
    <w:name w:val="Grid Table 7 Colorful - Accent 1"/>
    <w:basedOn w:val="9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2"/>
    <w:basedOn w:val="9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3"/>
    <w:basedOn w:val="9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7 Colorful - Accent 4"/>
    <w:basedOn w:val="9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7 Colorful - Accent 5"/>
    <w:basedOn w:val="9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7 Colorful - Accent 6"/>
    <w:basedOn w:val="9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1"/>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2"/>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3"/>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4"/>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1 Light - Accent 5"/>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1 Light - Accent 6"/>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1"/>
    <w:basedOn w:val="9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2"/>
    <w:basedOn w:val="9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3"/>
    <w:basedOn w:val="9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4"/>
    <w:basedOn w:val="9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5"/>
    <w:basedOn w:val="9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2 - Accent 6"/>
    <w:basedOn w:val="9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 Accent 1"/>
    <w:basedOn w:val="9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2"/>
    <w:basedOn w:val="9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3"/>
    <w:basedOn w:val="9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4"/>
    <w:basedOn w:val="9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5"/>
    <w:basedOn w:val="9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6"/>
    <w:basedOn w:val="9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5 Dark - Accent 1"/>
    <w:basedOn w:val="9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7">
    <w:name w:val="List Table 5 Dark - Accent 2"/>
    <w:basedOn w:val="9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3"/>
    <w:basedOn w:val="9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4"/>
    <w:basedOn w:val="9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5"/>
    <w:basedOn w:val="9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6"/>
    <w:basedOn w:val="9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6 Colorful - Accent 1"/>
    <w:basedOn w:val="9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6 Colorful - Accent 2"/>
    <w:basedOn w:val="9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6 Colorful - Accent 3"/>
    <w:basedOn w:val="9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4"/>
    <w:basedOn w:val="9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5"/>
    <w:basedOn w:val="9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6"/>
    <w:basedOn w:val="9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7 Colorful - Accent 1"/>
    <w:basedOn w:val="9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19">
    <w:name w:val="List Table 7 Colorful - Accent 2"/>
    <w:basedOn w:val="9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0">
    <w:name w:val="List Table 7 Colorful - Accent 3"/>
    <w:basedOn w:val="9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1">
    <w:name w:val="List Table 7 Colorful - Accent 4"/>
    <w:basedOn w:val="9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2">
    <w:name w:val="List Table 7 Colorful - Accent 5"/>
    <w:basedOn w:val="9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3">
    <w:name w:val="List Table 7 Colorful - Accent 6"/>
    <w:basedOn w:val="9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924" w:default="1">
    <w:name w:val="Normal"/>
    <w:qFormat/>
    <w:pPr>
      <w:pBdr/>
      <w:spacing w:after="0" w:line="240" w:lineRule="auto"/>
      <w:ind/>
    </w:pPr>
    <w:rPr>
      <w:rFonts w:ascii="Times New Roman" w:hAnsi="Times New Roman" w:eastAsia="Times New Roman" w:cs="Times New Roman"/>
      <w:sz w:val="24"/>
      <w:szCs w:val="24"/>
    </w:rPr>
  </w:style>
  <w:style w:type="paragraph" w:styleId="925">
    <w:name w:val="Heading 1"/>
    <w:basedOn w:val="924"/>
    <w:next w:val="924"/>
    <w:link w:val="1098"/>
    <w:qFormat/>
    <w:pPr>
      <w:keepNext w:val="true"/>
      <w:pBdr/>
      <w:spacing w:after="120" w:before="120"/>
      <w:ind/>
      <w:jc w:val="center"/>
      <w:outlineLvl w:val="0"/>
    </w:pPr>
    <w:rPr>
      <w:b/>
      <w:bCs/>
      <w:sz w:val="27"/>
      <w:szCs w:val="27"/>
    </w:rPr>
  </w:style>
  <w:style w:type="paragraph" w:styleId="926">
    <w:name w:val="Heading 2"/>
    <w:basedOn w:val="924"/>
    <w:next w:val="924"/>
    <w:link w:val="1099"/>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27">
    <w:name w:val="Heading 3"/>
    <w:basedOn w:val="924"/>
    <w:next w:val="924"/>
    <w:link w:val="1100"/>
    <w:qFormat/>
    <w:pPr>
      <w:keepNext w:val="true"/>
      <w:pBdr/>
      <w:spacing w:before="60"/>
      <w:ind/>
      <w:outlineLvl w:val="2"/>
    </w:pPr>
    <w:rPr>
      <w:sz w:val="28"/>
      <w:szCs w:val="28"/>
    </w:rPr>
  </w:style>
  <w:style w:type="paragraph" w:styleId="928">
    <w:name w:val="Heading 4"/>
    <w:basedOn w:val="924"/>
    <w:next w:val="924"/>
    <w:link w:val="1101"/>
    <w:qFormat/>
    <w:pPr>
      <w:keepNext w:val="true"/>
      <w:pBdr/>
      <w:spacing/>
      <w:ind/>
      <w:jc w:val="center"/>
      <w:outlineLvl w:val="3"/>
    </w:pPr>
    <w:rPr>
      <w:b/>
      <w:bCs/>
    </w:rPr>
  </w:style>
  <w:style w:type="paragraph" w:styleId="929">
    <w:name w:val="Heading 5"/>
    <w:basedOn w:val="924"/>
    <w:next w:val="924"/>
    <w:link w:val="1062"/>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930">
    <w:name w:val="Heading 6"/>
    <w:basedOn w:val="924"/>
    <w:next w:val="924"/>
    <w:link w:val="1063"/>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931">
    <w:name w:val="Heading 7"/>
    <w:basedOn w:val="924"/>
    <w:next w:val="924"/>
    <w:link w:val="1064"/>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932">
    <w:name w:val="Heading 8"/>
    <w:basedOn w:val="924"/>
    <w:next w:val="924"/>
    <w:link w:val="1065"/>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933">
    <w:name w:val="Heading 9"/>
    <w:basedOn w:val="924"/>
    <w:next w:val="924"/>
    <w:link w:val="1066"/>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934" w:default="1">
    <w:name w:val="Default Paragraph Font"/>
    <w:uiPriority w:val="1"/>
    <w:semiHidden/>
    <w:unhideWhenUsed/>
    <w:pPr>
      <w:pBdr/>
      <w:spacing/>
      <w:ind/>
    </w:pPr>
  </w:style>
  <w:style w:type="table" w:styleId="9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36" w:default="1">
    <w:name w:val="No List"/>
    <w:uiPriority w:val="99"/>
    <w:semiHidden/>
    <w:unhideWhenUsed/>
    <w:pPr>
      <w:pBdr/>
      <w:spacing/>
      <w:ind/>
    </w:pPr>
  </w:style>
  <w:style w:type="table" w:styleId="937">
    <w:name w:val="Grid Table Light"/>
    <w:basedOn w:val="93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Plain Table 1"/>
    <w:basedOn w:val="93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Plain Table 2"/>
    <w:basedOn w:val="935"/>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Plain Table 3"/>
    <w:basedOn w:val="9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Plain Table 4"/>
    <w:basedOn w:val="9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Plain Table 5"/>
    <w:basedOn w:val="9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Grid Table 1 Light"/>
    <w:basedOn w:val="935"/>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Grid Table 1 Light Accent 1"/>
    <w:basedOn w:val="935"/>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Grid Table 1 Light Accent 2"/>
    <w:basedOn w:val="935"/>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Grid Table 1 Light Accent 3"/>
    <w:basedOn w:val="935"/>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Grid Table 1 Light Accent 4"/>
    <w:basedOn w:val="935"/>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Grid Table 1 Light Accent 5"/>
    <w:basedOn w:val="935"/>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Grid Table 1 Light Accent 6"/>
    <w:basedOn w:val="935"/>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Grid Table 2"/>
    <w:basedOn w:val="93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Grid Table 2 Accent 1"/>
    <w:basedOn w:val="935"/>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Grid Table 2 Accent 2"/>
    <w:basedOn w:val="935"/>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Grid Table 2 Accent 3"/>
    <w:basedOn w:val="935"/>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Grid Table 2 Accent 4"/>
    <w:basedOn w:val="935"/>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Grid Table 2 Accent 5"/>
    <w:basedOn w:val="935"/>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Grid Table 2 Accent 6"/>
    <w:basedOn w:val="935"/>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Grid Table 3"/>
    <w:basedOn w:val="93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Grid Table 3 Accent 1"/>
    <w:basedOn w:val="935"/>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Grid Table 3 Accent 2"/>
    <w:basedOn w:val="935"/>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Grid Table 3 Accent 3"/>
    <w:basedOn w:val="935"/>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Grid Table 3 Accent 4"/>
    <w:basedOn w:val="935"/>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Grid Table 3 Accent 5"/>
    <w:basedOn w:val="935"/>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Grid Table 3 Accent 6"/>
    <w:basedOn w:val="935"/>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Grid Table 4"/>
    <w:basedOn w:val="935"/>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Grid Table 4 Accent 1"/>
    <w:basedOn w:val="935"/>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Grid Table 4 Accent 2"/>
    <w:basedOn w:val="935"/>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Grid Table 4 Accent 3"/>
    <w:basedOn w:val="935"/>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Grid Table 4 Accent 4"/>
    <w:basedOn w:val="935"/>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Grid Table 4 Accent 5"/>
    <w:basedOn w:val="935"/>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Grid Table 4 Accent 6"/>
    <w:basedOn w:val="935"/>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Grid Table 5 Dark"/>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customStyle="1">
    <w:name w:val="Grid Table 5 Dark- Accent 1"/>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Grid Table 5 Dark Accent 2"/>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Grid Table 5 Dark Accent 3"/>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customStyle="1">
    <w:name w:val="Grid Table 5 Dark- Accent 4"/>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Grid Table 5 Dark Accent 5"/>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Grid Table 5 Dark Accent 6"/>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Grid Table 6 Colorful"/>
    <w:basedOn w:val="935"/>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Grid Table 6 Colorful Accent 1"/>
    <w:basedOn w:val="935"/>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Grid Table 6 Colorful Accent 2"/>
    <w:basedOn w:val="935"/>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Grid Table 6 Colorful Accent 3"/>
    <w:basedOn w:val="935"/>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Grid Table 6 Colorful Accent 4"/>
    <w:basedOn w:val="935"/>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Grid Table 6 Colorful Accent 5"/>
    <w:basedOn w:val="935"/>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Grid Table 6 Colorful Accent 6"/>
    <w:basedOn w:val="935"/>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Grid Table 7 Colorful"/>
    <w:basedOn w:val="935"/>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Grid Table 7 Colorful Accent 1"/>
    <w:basedOn w:val="935"/>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Grid Table 7 Colorful Accent 2"/>
    <w:basedOn w:val="935"/>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Grid Table 7 Colorful Accent 3"/>
    <w:basedOn w:val="935"/>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Grid Table 7 Colorful Accent 4"/>
    <w:basedOn w:val="935"/>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Grid Table 7 Colorful Accent 5"/>
    <w:basedOn w:val="935"/>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Grid Table 7 Colorful Accent 6"/>
    <w:basedOn w:val="935"/>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List Table 1 Light"/>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List Table 1 Light Accent 1"/>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List Table 1 Light Accent 2"/>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List Table 1 Light Accent 3"/>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List Table 1 Light Accent 4"/>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List Table 1 Light Accent 5"/>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List Table 1 Light Accent 6"/>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List Table 2"/>
    <w:basedOn w:val="935"/>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st Table 2 Accent 1"/>
    <w:basedOn w:val="935"/>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List Table 2 Accent 2"/>
    <w:basedOn w:val="935"/>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st Table 2 Accent 3"/>
    <w:basedOn w:val="935"/>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st Table 2 Accent 4"/>
    <w:basedOn w:val="935"/>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List Table 2 Accent 5"/>
    <w:basedOn w:val="935"/>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List Table 2 Accent 6"/>
    <w:basedOn w:val="935"/>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List Table 3"/>
    <w:basedOn w:val="93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List Table 3 Accent 1"/>
    <w:basedOn w:val="935"/>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List Table 3 Accent 2"/>
    <w:basedOn w:val="935"/>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List Table 3 Accent 3"/>
    <w:basedOn w:val="935"/>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List Table 3 Accent 4"/>
    <w:basedOn w:val="935"/>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List Table 3 Accent 5"/>
    <w:basedOn w:val="935"/>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List Table 3 Accent 6"/>
    <w:basedOn w:val="935"/>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List Table 4"/>
    <w:basedOn w:val="93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List Table 4 Accent 1"/>
    <w:basedOn w:val="935"/>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List Table 4 Accent 2"/>
    <w:basedOn w:val="935"/>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List Table 4 Accent 3"/>
    <w:basedOn w:val="935"/>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List Table 4 Accent 4"/>
    <w:basedOn w:val="935"/>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List Table 4 Accent 5"/>
    <w:basedOn w:val="935"/>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List Table 4 Accent 6"/>
    <w:basedOn w:val="935"/>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List Table 5 Dark"/>
    <w:basedOn w:val="935"/>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List Table 5 Dark Accent 1"/>
    <w:basedOn w:val="935"/>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List Table 5 Dark Accent 2"/>
    <w:basedOn w:val="935"/>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List Table 5 Dark Accent 3"/>
    <w:basedOn w:val="935"/>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List Table 5 Dark Accent 4"/>
    <w:basedOn w:val="935"/>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List Table 5 Dark Accent 5"/>
    <w:basedOn w:val="935"/>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List Table 5 Dark Accent 6"/>
    <w:basedOn w:val="935"/>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List Table 6 Colorful"/>
    <w:basedOn w:val="935"/>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List Table 6 Colorful Accent 1"/>
    <w:basedOn w:val="935"/>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List Table 6 Colorful Accent 2"/>
    <w:basedOn w:val="935"/>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List Table 6 Colorful Accent 3"/>
    <w:basedOn w:val="935"/>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List Table 6 Colorful Accent 4"/>
    <w:basedOn w:val="935"/>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List Table 6 Colorful Accent 5"/>
    <w:basedOn w:val="935"/>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List Table 6 Colorful Accent 6"/>
    <w:basedOn w:val="935"/>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st Table 7 Colorful"/>
    <w:basedOn w:val="935"/>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st Table 7 Colorful Accent 1"/>
    <w:basedOn w:val="935"/>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st Table 7 Colorful Accent 2"/>
    <w:basedOn w:val="935"/>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st Table 7 Colorful Accent 3"/>
    <w:basedOn w:val="935"/>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st Table 7 Colorful Accent 4"/>
    <w:basedOn w:val="935"/>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st Table 7 Colorful Accent 5"/>
    <w:basedOn w:val="935"/>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st Table 7 Colorful Accent 6"/>
    <w:basedOn w:val="935"/>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customStyle="1">
    <w:name w:val="Lined - Accent"/>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customStyle="1">
    <w:name w:val="Lined - Accent 1"/>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customStyle="1">
    <w:name w:val="Lined - Accent 2"/>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customStyle="1">
    <w:name w:val="Lined - Accent 3"/>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customStyle="1">
    <w:name w:val="Lined - Accent 4"/>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customStyle="1">
    <w:name w:val="Lined - Accent 5"/>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customStyle="1">
    <w:name w:val="Lined - Accent 6"/>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customStyle="1">
    <w:name w:val="Bordered &amp; Lined - Accent"/>
    <w:basedOn w:val="935"/>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customStyle="1">
    <w:name w:val="Bordered &amp; Lined - Accent 1"/>
    <w:basedOn w:val="935"/>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customStyle="1">
    <w:name w:val="Bordered &amp; Lined - Accent 2"/>
    <w:basedOn w:val="935"/>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customStyle="1">
    <w:name w:val="Bordered &amp; Lined - Accent 3"/>
    <w:basedOn w:val="935"/>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customStyle="1">
    <w:name w:val="Bordered &amp; Lined - Accent 4"/>
    <w:basedOn w:val="935"/>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customStyle="1">
    <w:name w:val="Bordered &amp; Lined - Accent 5"/>
    <w:basedOn w:val="935"/>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customStyle="1">
    <w:name w:val="Bordered &amp; Lined - Accent 6"/>
    <w:basedOn w:val="935"/>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customStyle="1">
    <w:name w:val="Bordered"/>
    <w:basedOn w:val="935"/>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customStyle="1">
    <w:name w:val="Bordered - Accent 1"/>
    <w:basedOn w:val="935"/>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customStyle="1">
    <w:name w:val="Bordered - Accent 2"/>
    <w:basedOn w:val="935"/>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customStyle="1">
    <w:name w:val="Bordered - Accent 3"/>
    <w:basedOn w:val="935"/>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customStyle="1">
    <w:name w:val="Bordered - Accent 4"/>
    <w:basedOn w:val="935"/>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customStyle="1">
    <w:name w:val="Bordered - Accent 5"/>
    <w:basedOn w:val="935"/>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customStyle="1">
    <w:name w:val="Bordered - Accent 6"/>
    <w:basedOn w:val="935"/>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62" w:customStyle="1">
    <w:name w:val="Heading 5 Char"/>
    <w:basedOn w:val="934"/>
    <w:link w:val="929"/>
    <w:uiPriority w:val="9"/>
    <w:pPr>
      <w:pBdr/>
      <w:spacing/>
      <w:ind/>
    </w:pPr>
    <w:rPr>
      <w:rFonts w:ascii="Arial" w:hAnsi="Arial" w:eastAsia="Arial" w:cs="Arial"/>
      <w:color w:val="365f91" w:themeColor="accent1" w:themeShade="BF"/>
    </w:rPr>
  </w:style>
  <w:style w:type="character" w:styleId="1063" w:customStyle="1">
    <w:name w:val="Heading 6 Char"/>
    <w:basedOn w:val="934"/>
    <w:link w:val="930"/>
    <w:uiPriority w:val="9"/>
    <w:pPr>
      <w:pBdr/>
      <w:spacing/>
      <w:ind/>
    </w:pPr>
    <w:rPr>
      <w:rFonts w:ascii="Arial" w:hAnsi="Arial" w:eastAsia="Arial" w:cs="Arial"/>
      <w:i/>
      <w:iCs/>
      <w:color w:val="595959" w:themeColor="text1" w:themeTint="A6"/>
    </w:rPr>
  </w:style>
  <w:style w:type="character" w:styleId="1064" w:customStyle="1">
    <w:name w:val="Heading 7 Char"/>
    <w:basedOn w:val="934"/>
    <w:link w:val="931"/>
    <w:uiPriority w:val="9"/>
    <w:pPr>
      <w:pBdr/>
      <w:spacing/>
      <w:ind/>
    </w:pPr>
    <w:rPr>
      <w:rFonts w:ascii="Arial" w:hAnsi="Arial" w:eastAsia="Arial" w:cs="Arial"/>
      <w:color w:val="595959" w:themeColor="text1" w:themeTint="A6"/>
    </w:rPr>
  </w:style>
  <w:style w:type="character" w:styleId="1065" w:customStyle="1">
    <w:name w:val="Heading 8 Char"/>
    <w:basedOn w:val="934"/>
    <w:link w:val="932"/>
    <w:uiPriority w:val="9"/>
    <w:pPr>
      <w:pBdr/>
      <w:spacing/>
      <w:ind/>
    </w:pPr>
    <w:rPr>
      <w:rFonts w:ascii="Arial" w:hAnsi="Arial" w:eastAsia="Arial" w:cs="Arial"/>
      <w:i/>
      <w:iCs/>
      <w:color w:val="272727" w:themeColor="text1" w:themeTint="D8"/>
    </w:rPr>
  </w:style>
  <w:style w:type="character" w:styleId="1066" w:customStyle="1">
    <w:name w:val="Heading 9 Char"/>
    <w:basedOn w:val="934"/>
    <w:link w:val="933"/>
    <w:uiPriority w:val="9"/>
    <w:pPr>
      <w:pBdr/>
      <w:spacing/>
      <w:ind/>
    </w:pPr>
    <w:rPr>
      <w:rFonts w:ascii="Arial" w:hAnsi="Arial" w:eastAsia="Arial" w:cs="Arial"/>
      <w:i/>
      <w:iCs/>
      <w:color w:val="272727" w:themeColor="text1" w:themeTint="D8"/>
    </w:rPr>
  </w:style>
  <w:style w:type="paragraph" w:styleId="1067">
    <w:name w:val="Subtitle"/>
    <w:basedOn w:val="924"/>
    <w:next w:val="924"/>
    <w:link w:val="1068"/>
    <w:uiPriority w:val="11"/>
    <w:qFormat/>
    <w:pPr>
      <w:numPr>
        <w:ilvl w:val="1"/>
      </w:numPr>
      <w:pBdr/>
      <w:spacing/>
      <w:ind/>
    </w:pPr>
    <w:rPr>
      <w:color w:val="595959" w:themeColor="text1" w:themeTint="A6"/>
      <w:spacing w:val="15"/>
      <w:sz w:val="28"/>
      <w:szCs w:val="28"/>
    </w:rPr>
  </w:style>
  <w:style w:type="character" w:styleId="1068" w:customStyle="1">
    <w:name w:val="Subtitle Char"/>
    <w:basedOn w:val="934"/>
    <w:link w:val="1067"/>
    <w:uiPriority w:val="11"/>
    <w:pPr>
      <w:pBdr/>
      <w:spacing/>
      <w:ind/>
    </w:pPr>
    <w:rPr>
      <w:color w:val="595959" w:themeColor="text1" w:themeTint="A6"/>
      <w:spacing w:val="15"/>
      <w:sz w:val="28"/>
      <w:szCs w:val="28"/>
    </w:rPr>
  </w:style>
  <w:style w:type="paragraph" w:styleId="1069">
    <w:name w:val="Quote"/>
    <w:basedOn w:val="924"/>
    <w:next w:val="924"/>
    <w:link w:val="1070"/>
    <w:uiPriority w:val="29"/>
    <w:qFormat/>
    <w:pPr>
      <w:pBdr/>
      <w:spacing w:before="160"/>
      <w:ind/>
      <w:jc w:val="center"/>
    </w:pPr>
    <w:rPr>
      <w:i/>
      <w:iCs/>
      <w:color w:val="404040" w:themeColor="text1" w:themeTint="BF"/>
    </w:rPr>
  </w:style>
  <w:style w:type="character" w:styleId="1070" w:customStyle="1">
    <w:name w:val="Quote Char"/>
    <w:basedOn w:val="934"/>
    <w:link w:val="1069"/>
    <w:uiPriority w:val="29"/>
    <w:pPr>
      <w:pBdr/>
      <w:spacing/>
      <w:ind/>
    </w:pPr>
    <w:rPr>
      <w:i/>
      <w:iCs/>
      <w:color w:val="404040" w:themeColor="text1" w:themeTint="BF"/>
    </w:rPr>
  </w:style>
  <w:style w:type="character" w:styleId="1071">
    <w:name w:val="Intense Emphasis"/>
    <w:basedOn w:val="934"/>
    <w:uiPriority w:val="21"/>
    <w:qFormat/>
    <w:pPr>
      <w:pBdr/>
      <w:spacing/>
      <w:ind/>
    </w:pPr>
    <w:rPr>
      <w:i/>
      <w:iCs/>
      <w:color w:val="365f91" w:themeColor="accent1" w:themeShade="BF"/>
    </w:rPr>
  </w:style>
  <w:style w:type="paragraph" w:styleId="1072">
    <w:name w:val="Intense Quote"/>
    <w:basedOn w:val="924"/>
    <w:next w:val="924"/>
    <w:link w:val="1073"/>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1073" w:customStyle="1">
    <w:name w:val="Intense Quote Char"/>
    <w:basedOn w:val="934"/>
    <w:link w:val="1072"/>
    <w:uiPriority w:val="30"/>
    <w:pPr>
      <w:pBdr/>
      <w:spacing/>
      <w:ind/>
    </w:pPr>
    <w:rPr>
      <w:i/>
      <w:iCs/>
      <w:color w:val="365f91" w:themeColor="accent1" w:themeShade="BF"/>
    </w:rPr>
  </w:style>
  <w:style w:type="character" w:styleId="1074">
    <w:name w:val="Intense Reference"/>
    <w:basedOn w:val="934"/>
    <w:uiPriority w:val="32"/>
    <w:qFormat/>
    <w:pPr>
      <w:pBdr/>
      <w:spacing/>
      <w:ind/>
    </w:pPr>
    <w:rPr>
      <w:b/>
      <w:bCs/>
      <w:smallCaps/>
      <w:color w:val="365f91" w:themeColor="accent1" w:themeShade="BF"/>
      <w:spacing w:val="5"/>
    </w:rPr>
  </w:style>
  <w:style w:type="paragraph" w:styleId="1075">
    <w:name w:val="No Spacing"/>
    <w:basedOn w:val="924"/>
    <w:uiPriority w:val="1"/>
    <w:qFormat/>
    <w:pPr>
      <w:pBdr/>
      <w:spacing/>
      <w:ind/>
    </w:pPr>
  </w:style>
  <w:style w:type="character" w:styleId="1076">
    <w:name w:val="Subtle Emphasis"/>
    <w:basedOn w:val="934"/>
    <w:uiPriority w:val="19"/>
    <w:qFormat/>
    <w:pPr>
      <w:pBdr/>
      <w:spacing/>
      <w:ind/>
    </w:pPr>
    <w:rPr>
      <w:i/>
      <w:iCs/>
      <w:color w:val="404040" w:themeColor="text1" w:themeTint="BF"/>
    </w:rPr>
  </w:style>
  <w:style w:type="character" w:styleId="1077">
    <w:name w:val="Subtle Reference"/>
    <w:basedOn w:val="934"/>
    <w:uiPriority w:val="31"/>
    <w:qFormat/>
    <w:pPr>
      <w:pBdr/>
      <w:spacing/>
      <w:ind/>
    </w:pPr>
    <w:rPr>
      <w:smallCaps/>
      <w:color w:val="5a5a5a" w:themeColor="text1" w:themeTint="A5"/>
    </w:rPr>
  </w:style>
  <w:style w:type="character" w:styleId="1078">
    <w:name w:val="Book Title"/>
    <w:basedOn w:val="934"/>
    <w:uiPriority w:val="33"/>
    <w:qFormat/>
    <w:pPr>
      <w:pBdr/>
      <w:spacing/>
      <w:ind/>
    </w:pPr>
    <w:rPr>
      <w:b/>
      <w:bCs/>
      <w:i/>
      <w:iCs/>
      <w:spacing w:val="5"/>
    </w:rPr>
  </w:style>
  <w:style w:type="paragraph" w:styleId="1079">
    <w:name w:val="Caption"/>
    <w:basedOn w:val="924"/>
    <w:next w:val="924"/>
    <w:uiPriority w:val="35"/>
    <w:unhideWhenUsed/>
    <w:qFormat/>
    <w:pPr>
      <w:pBdr/>
      <w:spacing w:after="200"/>
      <w:ind/>
    </w:pPr>
    <w:rPr>
      <w:i/>
      <w:iCs/>
      <w:color w:val="1f497d" w:themeColor="text2"/>
      <w:sz w:val="18"/>
      <w:szCs w:val="18"/>
    </w:rPr>
  </w:style>
  <w:style w:type="paragraph" w:styleId="1080">
    <w:name w:val="footnote text"/>
    <w:basedOn w:val="924"/>
    <w:link w:val="1081"/>
    <w:uiPriority w:val="99"/>
    <w:semiHidden/>
    <w:unhideWhenUsed/>
    <w:pPr>
      <w:pBdr/>
      <w:spacing/>
      <w:ind/>
    </w:pPr>
    <w:rPr>
      <w:sz w:val="20"/>
      <w:szCs w:val="20"/>
    </w:rPr>
  </w:style>
  <w:style w:type="character" w:styleId="1081" w:customStyle="1">
    <w:name w:val="Footnote Text Char"/>
    <w:basedOn w:val="934"/>
    <w:link w:val="1080"/>
    <w:uiPriority w:val="99"/>
    <w:semiHidden/>
    <w:pPr>
      <w:pBdr/>
      <w:spacing/>
      <w:ind/>
    </w:pPr>
    <w:rPr>
      <w:sz w:val="20"/>
      <w:szCs w:val="20"/>
    </w:rPr>
  </w:style>
  <w:style w:type="character" w:styleId="1082">
    <w:name w:val="footnote reference"/>
    <w:basedOn w:val="934"/>
    <w:uiPriority w:val="99"/>
    <w:semiHidden/>
    <w:unhideWhenUsed/>
    <w:pPr>
      <w:pBdr/>
      <w:spacing/>
      <w:ind/>
    </w:pPr>
    <w:rPr>
      <w:vertAlign w:val="superscript"/>
    </w:rPr>
  </w:style>
  <w:style w:type="paragraph" w:styleId="1083">
    <w:name w:val="endnote text"/>
    <w:basedOn w:val="924"/>
    <w:link w:val="1084"/>
    <w:uiPriority w:val="99"/>
    <w:semiHidden/>
    <w:unhideWhenUsed/>
    <w:pPr>
      <w:pBdr/>
      <w:spacing/>
      <w:ind/>
    </w:pPr>
    <w:rPr>
      <w:sz w:val="20"/>
      <w:szCs w:val="20"/>
    </w:rPr>
  </w:style>
  <w:style w:type="character" w:styleId="1084" w:customStyle="1">
    <w:name w:val="Endnote Text Char"/>
    <w:basedOn w:val="934"/>
    <w:link w:val="1083"/>
    <w:uiPriority w:val="99"/>
    <w:semiHidden/>
    <w:pPr>
      <w:pBdr/>
      <w:spacing/>
      <w:ind/>
    </w:pPr>
    <w:rPr>
      <w:sz w:val="20"/>
      <w:szCs w:val="20"/>
    </w:rPr>
  </w:style>
  <w:style w:type="character" w:styleId="1085">
    <w:name w:val="endnote reference"/>
    <w:basedOn w:val="934"/>
    <w:uiPriority w:val="99"/>
    <w:semiHidden/>
    <w:unhideWhenUsed/>
    <w:pPr>
      <w:pBdr/>
      <w:spacing/>
      <w:ind/>
    </w:pPr>
    <w:rPr>
      <w:vertAlign w:val="superscript"/>
    </w:rPr>
  </w:style>
  <w:style w:type="paragraph" w:styleId="1086">
    <w:name w:val="toc 1"/>
    <w:basedOn w:val="924"/>
    <w:next w:val="924"/>
    <w:uiPriority w:val="39"/>
    <w:unhideWhenUsed/>
    <w:pPr>
      <w:pBdr/>
      <w:spacing w:after="100"/>
      <w:ind/>
    </w:pPr>
  </w:style>
  <w:style w:type="paragraph" w:styleId="1087">
    <w:name w:val="toc 2"/>
    <w:basedOn w:val="924"/>
    <w:next w:val="924"/>
    <w:uiPriority w:val="39"/>
    <w:unhideWhenUsed/>
    <w:pPr>
      <w:pBdr/>
      <w:spacing w:after="100"/>
      <w:ind w:left="220"/>
    </w:pPr>
  </w:style>
  <w:style w:type="paragraph" w:styleId="1088">
    <w:name w:val="toc 3"/>
    <w:basedOn w:val="924"/>
    <w:next w:val="924"/>
    <w:uiPriority w:val="39"/>
    <w:unhideWhenUsed/>
    <w:pPr>
      <w:pBdr/>
      <w:spacing w:after="100"/>
      <w:ind w:left="440"/>
    </w:pPr>
  </w:style>
  <w:style w:type="paragraph" w:styleId="1089">
    <w:name w:val="toc 4"/>
    <w:basedOn w:val="924"/>
    <w:next w:val="924"/>
    <w:uiPriority w:val="39"/>
    <w:unhideWhenUsed/>
    <w:pPr>
      <w:pBdr/>
      <w:spacing w:after="100"/>
      <w:ind w:left="660"/>
    </w:pPr>
  </w:style>
  <w:style w:type="paragraph" w:styleId="1090">
    <w:name w:val="toc 5"/>
    <w:basedOn w:val="924"/>
    <w:next w:val="924"/>
    <w:uiPriority w:val="39"/>
    <w:unhideWhenUsed/>
    <w:pPr>
      <w:pBdr/>
      <w:spacing w:after="100"/>
      <w:ind w:left="880"/>
    </w:pPr>
  </w:style>
  <w:style w:type="paragraph" w:styleId="1091">
    <w:name w:val="toc 6"/>
    <w:basedOn w:val="924"/>
    <w:next w:val="924"/>
    <w:uiPriority w:val="39"/>
    <w:unhideWhenUsed/>
    <w:pPr>
      <w:pBdr/>
      <w:spacing w:after="100"/>
      <w:ind w:left="1100"/>
    </w:pPr>
  </w:style>
  <w:style w:type="paragraph" w:styleId="1092">
    <w:name w:val="toc 7"/>
    <w:basedOn w:val="924"/>
    <w:next w:val="924"/>
    <w:uiPriority w:val="39"/>
    <w:unhideWhenUsed/>
    <w:pPr>
      <w:pBdr/>
      <w:spacing w:after="100"/>
      <w:ind w:left="1320"/>
    </w:pPr>
  </w:style>
  <w:style w:type="paragraph" w:styleId="1093">
    <w:name w:val="toc 8"/>
    <w:basedOn w:val="924"/>
    <w:next w:val="924"/>
    <w:uiPriority w:val="39"/>
    <w:unhideWhenUsed/>
    <w:pPr>
      <w:pBdr/>
      <w:spacing w:after="100"/>
      <w:ind w:left="1540"/>
    </w:pPr>
  </w:style>
  <w:style w:type="paragraph" w:styleId="1094">
    <w:name w:val="toc 9"/>
    <w:basedOn w:val="924"/>
    <w:next w:val="924"/>
    <w:uiPriority w:val="39"/>
    <w:unhideWhenUsed/>
    <w:pPr>
      <w:pBdr/>
      <w:spacing w:after="100"/>
      <w:ind w:left="1760"/>
    </w:pPr>
  </w:style>
  <w:style w:type="character" w:styleId="1095">
    <w:name w:val="Placeholder Text"/>
    <w:basedOn w:val="934"/>
    <w:uiPriority w:val="99"/>
    <w:semiHidden/>
    <w:pPr>
      <w:pBdr/>
      <w:spacing/>
      <w:ind/>
    </w:pPr>
    <w:rPr>
      <w:color w:val="666666"/>
    </w:rPr>
  </w:style>
  <w:style w:type="paragraph" w:styleId="1096">
    <w:name w:val="TOC Heading"/>
    <w:uiPriority w:val="39"/>
    <w:unhideWhenUsed/>
    <w:pPr>
      <w:pBdr/>
      <w:spacing/>
      <w:ind/>
    </w:pPr>
  </w:style>
  <w:style w:type="paragraph" w:styleId="1097">
    <w:name w:val="table of figures"/>
    <w:basedOn w:val="924"/>
    <w:next w:val="924"/>
    <w:uiPriority w:val="99"/>
    <w:unhideWhenUsed/>
    <w:pPr>
      <w:pBdr/>
      <w:spacing/>
      <w:ind/>
    </w:pPr>
  </w:style>
  <w:style w:type="character" w:styleId="1098" w:customStyle="1">
    <w:name w:val="Heading 1 Char"/>
    <w:basedOn w:val="934"/>
    <w:link w:val="925"/>
    <w:pPr>
      <w:pBdr/>
      <w:spacing/>
      <w:ind/>
    </w:pPr>
    <w:rPr>
      <w:rFonts w:ascii="Times New Roman" w:hAnsi="Times New Roman" w:eastAsia="Times New Roman" w:cs="Times New Roman"/>
      <w:b/>
      <w:bCs/>
      <w:sz w:val="27"/>
      <w:szCs w:val="27"/>
    </w:rPr>
  </w:style>
  <w:style w:type="character" w:styleId="1099" w:customStyle="1">
    <w:name w:val="Heading 2 Char"/>
    <w:basedOn w:val="934"/>
    <w:link w:val="926"/>
    <w:uiPriority w:val="9"/>
    <w:pPr>
      <w:pBdr/>
      <w:spacing/>
      <w:ind/>
    </w:pPr>
    <w:rPr>
      <w:rFonts w:asciiTheme="majorHAnsi" w:hAnsiTheme="majorHAnsi" w:eastAsiaTheme="majorEastAsia" w:cstheme="majorBidi"/>
      <w:color w:val="365f91" w:themeColor="accent1" w:themeShade="BF"/>
      <w:sz w:val="26"/>
      <w:szCs w:val="26"/>
    </w:rPr>
  </w:style>
  <w:style w:type="character" w:styleId="1100" w:customStyle="1">
    <w:name w:val="Heading 3 Char"/>
    <w:basedOn w:val="934"/>
    <w:link w:val="927"/>
    <w:pPr>
      <w:pBdr/>
      <w:spacing/>
      <w:ind/>
    </w:pPr>
    <w:rPr>
      <w:rFonts w:ascii="Times New Roman" w:hAnsi="Times New Roman" w:eastAsia="Times New Roman" w:cs="Times New Roman"/>
      <w:sz w:val="28"/>
      <w:szCs w:val="28"/>
    </w:rPr>
  </w:style>
  <w:style w:type="character" w:styleId="1101" w:customStyle="1">
    <w:name w:val="Heading 4 Char"/>
    <w:basedOn w:val="934"/>
    <w:link w:val="928"/>
    <w:pPr>
      <w:pBdr/>
      <w:spacing/>
      <w:ind/>
    </w:pPr>
    <w:rPr>
      <w:rFonts w:ascii="Times New Roman" w:hAnsi="Times New Roman" w:eastAsia="Times New Roman" w:cs="Times New Roman"/>
      <w:b/>
      <w:bCs/>
      <w:sz w:val="24"/>
      <w:szCs w:val="24"/>
    </w:rPr>
  </w:style>
  <w:style w:type="character" w:styleId="1102">
    <w:name w:val="Hyperlink"/>
    <w:uiPriority w:val="99"/>
    <w:pPr>
      <w:pBdr/>
      <w:spacing/>
      <w:ind/>
    </w:pPr>
    <w:rPr>
      <w:color w:val="000000"/>
      <w:u w:val="single"/>
    </w:rPr>
  </w:style>
  <w:style w:type="character" w:styleId="1103">
    <w:name w:val="Strong"/>
    <w:uiPriority w:val="22"/>
    <w:qFormat/>
    <w:pPr>
      <w:pBdr/>
      <w:spacing/>
      <w:ind/>
    </w:pPr>
    <w:rPr>
      <w:b/>
      <w:bCs/>
    </w:rPr>
  </w:style>
  <w:style w:type="paragraph" w:styleId="1104">
    <w:name w:val="Balloon Text"/>
    <w:basedOn w:val="924"/>
    <w:link w:val="1105"/>
    <w:uiPriority w:val="99"/>
    <w:semiHidden/>
    <w:unhideWhenUsed/>
    <w:pPr>
      <w:pBdr/>
      <w:spacing/>
      <w:ind/>
    </w:pPr>
    <w:rPr>
      <w:rFonts w:ascii="Tahoma" w:hAnsi="Tahoma" w:cs="Tahoma"/>
      <w:sz w:val="16"/>
      <w:szCs w:val="16"/>
    </w:rPr>
  </w:style>
  <w:style w:type="character" w:styleId="1105" w:customStyle="1">
    <w:name w:val="Balloon Text Char"/>
    <w:basedOn w:val="934"/>
    <w:link w:val="1104"/>
    <w:uiPriority w:val="99"/>
    <w:semiHidden/>
    <w:pPr>
      <w:pBdr/>
      <w:spacing/>
      <w:ind/>
    </w:pPr>
    <w:rPr>
      <w:rFonts w:ascii="Tahoma" w:hAnsi="Tahoma" w:eastAsia="Times New Roman" w:cs="Tahoma"/>
      <w:sz w:val="16"/>
      <w:szCs w:val="16"/>
    </w:rPr>
  </w:style>
  <w:style w:type="paragraph" w:styleId="1106">
    <w:name w:val="Header"/>
    <w:basedOn w:val="924"/>
    <w:link w:val="1107"/>
    <w:unhideWhenUsed/>
    <w:pPr>
      <w:pBdr/>
      <w:tabs>
        <w:tab w:val="center" w:leader="none" w:pos="4680"/>
        <w:tab w:val="right" w:leader="none" w:pos="9360"/>
      </w:tabs>
      <w:spacing/>
      <w:ind/>
    </w:pPr>
  </w:style>
  <w:style w:type="character" w:styleId="1107" w:customStyle="1">
    <w:name w:val="Header Char"/>
    <w:basedOn w:val="934"/>
    <w:link w:val="1106"/>
    <w:pPr>
      <w:pBdr/>
      <w:spacing/>
      <w:ind/>
    </w:pPr>
    <w:rPr>
      <w:rFonts w:ascii="Times New Roman" w:hAnsi="Times New Roman" w:eastAsia="Times New Roman" w:cs="Times New Roman"/>
      <w:sz w:val="24"/>
      <w:szCs w:val="24"/>
    </w:rPr>
  </w:style>
  <w:style w:type="paragraph" w:styleId="1108">
    <w:name w:val="Footer"/>
    <w:basedOn w:val="924"/>
    <w:link w:val="1109"/>
    <w:uiPriority w:val="99"/>
    <w:unhideWhenUsed/>
    <w:pPr>
      <w:pBdr/>
      <w:tabs>
        <w:tab w:val="center" w:leader="none" w:pos="4680"/>
        <w:tab w:val="right" w:leader="none" w:pos="9360"/>
      </w:tabs>
      <w:spacing/>
      <w:ind/>
    </w:pPr>
  </w:style>
  <w:style w:type="character" w:styleId="1109" w:customStyle="1">
    <w:name w:val="Footer Char"/>
    <w:basedOn w:val="934"/>
    <w:link w:val="1108"/>
    <w:uiPriority w:val="99"/>
    <w:pPr>
      <w:pBdr/>
      <w:spacing/>
      <w:ind/>
    </w:pPr>
    <w:rPr>
      <w:rFonts w:ascii="Times New Roman" w:hAnsi="Times New Roman" w:eastAsia="Times New Roman" w:cs="Times New Roman"/>
      <w:sz w:val="24"/>
      <w:szCs w:val="24"/>
    </w:rPr>
  </w:style>
  <w:style w:type="character" w:styleId="1110" w:customStyle="1">
    <w:name w:val="normal-h1"/>
    <w:pPr>
      <w:pBdr/>
      <w:spacing/>
      <w:ind/>
    </w:pPr>
    <w:rPr>
      <w:rFonts w:hint="default" w:ascii=".VnTime" w:hAnsi=".VnTime"/>
      <w:color w:val="0000ff"/>
      <w:sz w:val="24"/>
      <w:szCs w:val="24"/>
    </w:rPr>
  </w:style>
  <w:style w:type="paragraph" w:styleId="1111" w:customStyle="1">
    <w:name w:val="normal-p"/>
    <w:basedOn w:val="924"/>
    <w:pPr>
      <w:pBdr/>
      <w:spacing/>
      <w:ind/>
      <w:jc w:val="both"/>
    </w:pPr>
    <w:rPr>
      <w:sz w:val="20"/>
      <w:szCs w:val="20"/>
    </w:rPr>
  </w:style>
  <w:style w:type="paragraph" w:styleId="1112">
    <w:name w:val="List Paragraph"/>
    <w:basedOn w:val="924"/>
    <w:link w:val="1199"/>
    <w:uiPriority w:val="34"/>
    <w:qFormat/>
    <w:pPr>
      <w:pBdr/>
      <w:spacing/>
      <w:ind w:left="720"/>
    </w:pPr>
  </w:style>
  <w:style w:type="paragraph" w:styleId="1113">
    <w:name w:val="Normal (Web)"/>
    <w:basedOn w:val="924"/>
    <w:uiPriority w:val="99"/>
    <w:pPr>
      <w:pBdr/>
      <w:spacing w:after="100" w:afterAutospacing="1" w:before="100" w:beforeAutospacing="1"/>
      <w:ind/>
    </w:pPr>
  </w:style>
  <w:style w:type="paragraph" w:styleId="1114">
    <w:name w:val="Body Text"/>
    <w:basedOn w:val="924"/>
    <w:link w:val="1115"/>
    <w:pPr>
      <w:pBdr/>
      <w:spacing w:after="120"/>
      <w:ind/>
      <w:jc w:val="both"/>
    </w:pPr>
  </w:style>
  <w:style w:type="character" w:styleId="1115" w:customStyle="1">
    <w:name w:val="Body Text Char"/>
    <w:basedOn w:val="934"/>
    <w:link w:val="1114"/>
    <w:pPr>
      <w:pBdr/>
      <w:spacing/>
      <w:ind/>
    </w:pPr>
    <w:rPr>
      <w:rFonts w:ascii="Times New Roman" w:hAnsi="Times New Roman" w:eastAsia="Times New Roman" w:cs="Times New Roman"/>
      <w:sz w:val="24"/>
      <w:szCs w:val="24"/>
    </w:rPr>
  </w:style>
  <w:style w:type="table" w:styleId="1116">
    <w:name w:val="Table Grid"/>
    <w:basedOn w:val="93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17"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118">
    <w:name w:val="annotation reference"/>
    <w:basedOn w:val="934"/>
    <w:uiPriority w:val="99"/>
    <w:semiHidden/>
    <w:unhideWhenUsed/>
    <w:pPr>
      <w:pBdr/>
      <w:spacing/>
      <w:ind/>
    </w:pPr>
    <w:rPr>
      <w:sz w:val="16"/>
      <w:szCs w:val="16"/>
    </w:rPr>
  </w:style>
  <w:style w:type="paragraph" w:styleId="1119">
    <w:name w:val="annotation text"/>
    <w:basedOn w:val="924"/>
    <w:link w:val="1120"/>
    <w:uiPriority w:val="99"/>
    <w:unhideWhenUsed/>
    <w:pPr>
      <w:pBdr/>
      <w:spacing/>
      <w:ind/>
    </w:pPr>
    <w:rPr>
      <w:sz w:val="20"/>
      <w:szCs w:val="20"/>
    </w:rPr>
  </w:style>
  <w:style w:type="character" w:styleId="1120" w:customStyle="1">
    <w:name w:val="Comment Text Char"/>
    <w:basedOn w:val="934"/>
    <w:link w:val="1119"/>
    <w:uiPriority w:val="99"/>
    <w:pPr>
      <w:pBdr/>
      <w:spacing/>
      <w:ind/>
    </w:pPr>
    <w:rPr>
      <w:rFonts w:ascii="Times New Roman" w:hAnsi="Times New Roman" w:eastAsia="Times New Roman" w:cs="Times New Roman"/>
      <w:sz w:val="20"/>
      <w:szCs w:val="20"/>
    </w:rPr>
  </w:style>
  <w:style w:type="paragraph" w:styleId="1121">
    <w:name w:val="annotation subject"/>
    <w:basedOn w:val="1119"/>
    <w:next w:val="1119"/>
    <w:link w:val="1122"/>
    <w:uiPriority w:val="99"/>
    <w:semiHidden/>
    <w:unhideWhenUsed/>
    <w:pPr>
      <w:pBdr/>
      <w:spacing/>
      <w:ind/>
    </w:pPr>
    <w:rPr>
      <w:b/>
      <w:bCs/>
    </w:rPr>
  </w:style>
  <w:style w:type="character" w:styleId="1122" w:customStyle="1">
    <w:name w:val="Comment Subject Char"/>
    <w:basedOn w:val="1120"/>
    <w:link w:val="1121"/>
    <w:uiPriority w:val="99"/>
    <w:semiHidden/>
    <w:pPr>
      <w:pBdr/>
      <w:spacing/>
      <w:ind/>
    </w:pPr>
    <w:rPr>
      <w:rFonts w:ascii="Times New Roman" w:hAnsi="Times New Roman" w:eastAsia="Times New Roman" w:cs="Times New Roman"/>
      <w:b/>
      <w:bCs/>
      <w:sz w:val="20"/>
      <w:szCs w:val="20"/>
    </w:rPr>
  </w:style>
  <w:style w:type="paragraph" w:styleId="1123" w:customStyle="1">
    <w:name w:val="font5"/>
    <w:basedOn w:val="924"/>
    <w:pPr>
      <w:pBdr/>
      <w:spacing w:after="100" w:afterAutospacing="1" w:before="100" w:beforeAutospacing="1"/>
      <w:ind/>
    </w:pPr>
    <w:rPr>
      <w:rFonts w:ascii="Tahoma" w:hAnsi="Tahoma" w:cs="Tahoma"/>
      <w:color w:val="000000"/>
      <w:sz w:val="18"/>
      <w:szCs w:val="18"/>
    </w:rPr>
  </w:style>
  <w:style w:type="paragraph" w:styleId="1124" w:customStyle="1">
    <w:name w:val="font6"/>
    <w:basedOn w:val="924"/>
    <w:pPr>
      <w:pBdr/>
      <w:spacing w:after="100" w:afterAutospacing="1" w:before="100" w:beforeAutospacing="1"/>
      <w:ind/>
    </w:pPr>
    <w:rPr>
      <w:rFonts w:ascii="Tahoma" w:hAnsi="Tahoma" w:cs="Tahoma"/>
      <w:b/>
      <w:bCs/>
      <w:color w:val="000000"/>
      <w:sz w:val="18"/>
      <w:szCs w:val="18"/>
    </w:rPr>
  </w:style>
  <w:style w:type="paragraph" w:styleId="1125" w:customStyle="1">
    <w:name w:val="xl233"/>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6" w:customStyle="1">
    <w:name w:val="xl234"/>
    <w:basedOn w:val="924"/>
    <w:pPr>
      <w:pBdr/>
      <w:spacing w:after="100" w:afterAutospacing="1" w:before="100" w:beforeAutospacing="1"/>
      <w:ind/>
      <w:jc w:val="center"/>
    </w:pPr>
  </w:style>
  <w:style w:type="paragraph" w:styleId="1127" w:customStyle="1">
    <w:name w:val="xl235"/>
    <w:basedOn w:val="924"/>
    <w:pPr>
      <w:pBdr/>
      <w:spacing w:after="100" w:afterAutospacing="1" w:before="100" w:beforeAutospacing="1"/>
      <w:ind/>
      <w:jc w:val="center"/>
    </w:pPr>
    <w:rPr>
      <w:b/>
      <w:bCs/>
    </w:rPr>
  </w:style>
  <w:style w:type="paragraph" w:styleId="1128" w:customStyle="1">
    <w:name w:val="xl236"/>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29" w:customStyle="1">
    <w:name w:val="xl237"/>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0" w:customStyle="1">
    <w:name w:val="xl238"/>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31" w:customStyle="1">
    <w:name w:val="xl23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32" w:customStyle="1">
    <w:name w:val="xl240"/>
    <w:basedOn w:val="924"/>
    <w:pPr>
      <w:pBdr/>
      <w:spacing w:after="100" w:afterAutospacing="1" w:before="100" w:beforeAutospacing="1"/>
      <w:ind/>
    </w:pPr>
  </w:style>
  <w:style w:type="paragraph" w:styleId="1133" w:customStyle="1">
    <w:name w:val="xl241"/>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4" w:customStyle="1">
    <w:name w:val="xl242"/>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5" w:customStyle="1">
    <w:name w:val="xl243"/>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36" w:customStyle="1">
    <w:name w:val="xl244"/>
    <w:basedOn w:val="924"/>
    <w:pPr>
      <w:pBdr/>
      <w:spacing w:after="100" w:afterAutospacing="1" w:before="100" w:beforeAutospacing="1"/>
      <w:ind/>
    </w:pPr>
    <w:rPr>
      <w:b/>
      <w:bCs/>
    </w:rPr>
  </w:style>
  <w:style w:type="paragraph" w:styleId="1137" w:customStyle="1">
    <w:name w:val="xl245"/>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8" w:customStyle="1">
    <w:name w:val="xl246"/>
    <w:basedOn w:val="92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39" w:customStyle="1">
    <w:name w:val="xl247"/>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40" w:customStyle="1">
    <w:name w:val="xl248"/>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41" w:customStyle="1">
    <w:name w:val="xl24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42" w:customStyle="1">
    <w:name w:val="xl250"/>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43" w:customStyle="1">
    <w:name w:val="xl251"/>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44" w:customStyle="1">
    <w:name w:val="xl252"/>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5" w:customStyle="1">
    <w:name w:val="xl253"/>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6" w:customStyle="1">
    <w:name w:val="xl254"/>
    <w:basedOn w:val="92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47" w:customStyle="1">
    <w:name w:val="xl255"/>
    <w:basedOn w:val="92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48" w:customStyle="1">
    <w:name w:val="xl256"/>
    <w:basedOn w:val="92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49" w:customStyle="1">
    <w:name w:val="xl257"/>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0" w:customStyle="1">
    <w:name w:val="xl258"/>
    <w:basedOn w:val="92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1" w:customStyle="1">
    <w:name w:val="xl25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2" w:customStyle="1">
    <w:name w:val="xl260"/>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3" w:customStyle="1">
    <w:name w:val="xl261"/>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4" w:customStyle="1">
    <w:name w:val="xl262"/>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55" w:customStyle="1">
    <w:name w:val="xl263"/>
    <w:basedOn w:val="924"/>
    <w:pPr>
      <w:pBdr/>
      <w:shd w:val="clear" w:color="000000" w:fill="ffffff"/>
      <w:spacing w:after="100" w:afterAutospacing="1" w:before="100" w:beforeAutospacing="1"/>
      <w:ind/>
    </w:pPr>
  </w:style>
  <w:style w:type="paragraph" w:styleId="1156" w:customStyle="1">
    <w:name w:val="xl264"/>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7" w:customStyle="1">
    <w:name w:val="xl265"/>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58" w:customStyle="1">
    <w:name w:val="xl266"/>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59" w:customStyle="1">
    <w:name w:val="xl267"/>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60" w:customStyle="1">
    <w:name w:val="xl268"/>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1" w:customStyle="1">
    <w:name w:val="xl269"/>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2" w:customStyle="1">
    <w:name w:val="xl270"/>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3" w:customStyle="1">
    <w:name w:val="xl271"/>
    <w:basedOn w:val="92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64" w:customStyle="1">
    <w:name w:val="xl272"/>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65" w:customStyle="1">
    <w:name w:val="xl273"/>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66" w:customStyle="1">
    <w:name w:val="xl274"/>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7" w:customStyle="1">
    <w:name w:val="xl275"/>
    <w:basedOn w:val="924"/>
    <w:pPr>
      <w:pBdr/>
      <w:spacing w:after="100" w:afterAutospacing="1" w:before="100" w:beforeAutospacing="1"/>
      <w:ind/>
    </w:pPr>
  </w:style>
  <w:style w:type="paragraph" w:styleId="1168" w:customStyle="1">
    <w:name w:val="xl276"/>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69" w:customStyle="1">
    <w:name w:val="xl277"/>
    <w:basedOn w:val="92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70" w:customStyle="1">
    <w:name w:val="xl278"/>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1" w:customStyle="1">
    <w:name w:val="xl27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2" w:customStyle="1">
    <w:name w:val="xl280"/>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73" w:customStyle="1">
    <w:name w:val="xl281"/>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74" w:customStyle="1">
    <w:name w:val="xl282"/>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5" w:customStyle="1">
    <w:name w:val="xl283"/>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76" w:customStyle="1">
    <w:name w:val="xl284"/>
    <w:basedOn w:val="924"/>
    <w:pPr>
      <w:pBdr>
        <w:left w:val="single" w:color="000000" w:sz="4" w:space="0"/>
        <w:bottom w:val="single" w:color="000000" w:sz="4" w:space="0"/>
        <w:right w:val="single" w:color="000000" w:sz="4" w:space="0"/>
      </w:pBdr>
      <w:spacing w:after="100" w:afterAutospacing="1" w:before="100" w:beforeAutospacing="1"/>
      <w:ind/>
    </w:pPr>
  </w:style>
  <w:style w:type="paragraph" w:styleId="1177" w:customStyle="1">
    <w:name w:val="xl285"/>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8" w:customStyle="1">
    <w:name w:val="xl286"/>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9" w:customStyle="1">
    <w:name w:val="xl287"/>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80" w:customStyle="1">
    <w:name w:val="xl288"/>
    <w:basedOn w:val="924"/>
    <w:pPr>
      <w:pBdr>
        <w:top w:val="single" w:color="000000" w:sz="4" w:space="0"/>
        <w:left w:val="single" w:color="000000" w:sz="4" w:space="0"/>
        <w:right w:val="single" w:color="000000" w:sz="4" w:space="0"/>
      </w:pBdr>
      <w:spacing w:after="100" w:afterAutospacing="1" w:before="100" w:beforeAutospacing="1"/>
      <w:ind/>
    </w:pPr>
  </w:style>
  <w:style w:type="paragraph" w:styleId="1181" w:customStyle="1">
    <w:name w:val="xl289"/>
    <w:basedOn w:val="924"/>
    <w:pPr>
      <w:pBdr>
        <w:left w:val="single" w:color="000000" w:sz="4" w:space="0"/>
        <w:right w:val="single" w:color="000000" w:sz="4" w:space="0"/>
      </w:pBdr>
      <w:spacing w:after="100" w:afterAutospacing="1" w:before="100" w:beforeAutospacing="1"/>
      <w:ind/>
    </w:pPr>
    <w:rPr>
      <w:b/>
      <w:bCs/>
    </w:rPr>
  </w:style>
  <w:style w:type="paragraph" w:styleId="1182" w:customStyle="1">
    <w:name w:val="xl290"/>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83" w:customStyle="1">
    <w:name w:val="xl291"/>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84" w:customStyle="1">
    <w:name w:val="xl292"/>
    <w:basedOn w:val="924"/>
    <w:pPr>
      <w:pBdr>
        <w:top w:val="single" w:color="000000" w:sz="4" w:space="0"/>
        <w:left w:val="single" w:color="000000" w:sz="4" w:space="0"/>
        <w:right w:val="single" w:color="000000" w:sz="4" w:space="0"/>
      </w:pBdr>
      <w:spacing w:after="100" w:afterAutospacing="1" w:before="100" w:beforeAutospacing="1"/>
      <w:ind/>
    </w:pPr>
  </w:style>
  <w:style w:type="paragraph" w:styleId="1185" w:customStyle="1">
    <w:name w:val="xl293"/>
    <w:basedOn w:val="924"/>
    <w:pPr>
      <w:pBdr>
        <w:left w:val="single" w:color="000000" w:sz="4" w:space="0"/>
        <w:bottom w:val="single" w:color="000000" w:sz="4" w:space="0"/>
        <w:right w:val="single" w:color="000000" w:sz="4" w:space="0"/>
      </w:pBdr>
      <w:spacing w:after="100" w:afterAutospacing="1" w:before="100" w:beforeAutospacing="1"/>
      <w:ind/>
    </w:pPr>
  </w:style>
  <w:style w:type="paragraph" w:styleId="1186" w:customStyle="1">
    <w:name w:val="xl294"/>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87">
    <w:name w:val="Title"/>
    <w:basedOn w:val="924"/>
    <w:link w:val="1188"/>
    <w:qFormat/>
    <w:pPr>
      <w:pBdr/>
      <w:spacing/>
      <w:ind/>
      <w:jc w:val="center"/>
    </w:pPr>
    <w:rPr>
      <w:b/>
      <w:bCs/>
      <w:sz w:val="32"/>
      <w:szCs w:val="26"/>
    </w:rPr>
  </w:style>
  <w:style w:type="character" w:styleId="1188" w:customStyle="1">
    <w:name w:val="Title Char"/>
    <w:basedOn w:val="934"/>
    <w:link w:val="1187"/>
    <w:pPr>
      <w:pBdr/>
      <w:spacing/>
      <w:ind/>
    </w:pPr>
    <w:rPr>
      <w:rFonts w:ascii="Times New Roman" w:hAnsi="Times New Roman" w:eastAsia="Times New Roman" w:cs="Times New Roman"/>
      <w:b/>
      <w:bCs/>
      <w:sz w:val="32"/>
      <w:szCs w:val="26"/>
    </w:rPr>
  </w:style>
  <w:style w:type="character" w:styleId="1189" w:customStyle="1">
    <w:name w:val="Unresolved Mention1"/>
    <w:basedOn w:val="934"/>
    <w:uiPriority w:val="99"/>
    <w:semiHidden/>
    <w:unhideWhenUsed/>
    <w:pPr>
      <w:pBdr/>
      <w:spacing/>
      <w:ind/>
    </w:pPr>
    <w:rPr>
      <w:color w:val="605e5c"/>
      <w:shd w:val="clear" w:color="auto" w:fill="e1dfdd"/>
    </w:rPr>
  </w:style>
  <w:style w:type="character" w:styleId="1190" w:customStyle="1">
    <w:name w:val="Body text (3)_"/>
    <w:link w:val="1191"/>
    <w:pPr>
      <w:pBdr/>
      <w:spacing/>
      <w:ind/>
    </w:pPr>
    <w:rPr>
      <w:rFonts w:ascii="Times New Roman" w:hAnsi="Times New Roman" w:cs="Times New Roman"/>
      <w:i/>
      <w:iCs/>
      <w:spacing w:val="4"/>
      <w:shd w:val="clear" w:color="auto" w:fill="ffffff"/>
    </w:rPr>
  </w:style>
  <w:style w:type="paragraph" w:styleId="1191" w:customStyle="1">
    <w:name w:val="Body text (3)1"/>
    <w:basedOn w:val="924"/>
    <w:link w:val="1190"/>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92" w:customStyle="1">
    <w:name w:val="t-j"/>
    <w:basedOn w:val="924"/>
    <w:pPr>
      <w:pBdr/>
      <w:spacing w:after="100" w:afterAutospacing="1" w:before="100" w:beforeAutospacing="1"/>
      <w:ind/>
    </w:pPr>
  </w:style>
  <w:style w:type="character" w:styleId="1193" w:customStyle="1">
    <w:name w:val="Unresolved Mention2"/>
    <w:basedOn w:val="934"/>
    <w:uiPriority w:val="99"/>
    <w:semiHidden/>
    <w:unhideWhenUsed/>
    <w:pPr>
      <w:pBdr/>
      <w:spacing/>
      <w:ind/>
    </w:pPr>
    <w:rPr>
      <w:color w:val="605e5c"/>
      <w:shd w:val="clear" w:color="auto" w:fill="e1dfdd"/>
    </w:rPr>
  </w:style>
  <w:style w:type="character" w:styleId="1194">
    <w:name w:val="FollowedHyperlink"/>
    <w:basedOn w:val="934"/>
    <w:uiPriority w:val="99"/>
    <w:semiHidden/>
    <w:unhideWhenUsed/>
    <w:pPr>
      <w:pBdr/>
      <w:spacing/>
      <w:ind/>
    </w:pPr>
    <w:rPr>
      <w:color w:val="800080" w:themeColor="followedHyperlink"/>
      <w:u w:val="single"/>
    </w:rPr>
  </w:style>
  <w:style w:type="character" w:styleId="1195" w:customStyle="1">
    <w:name w:val="text"/>
    <w:basedOn w:val="934"/>
    <w:pPr>
      <w:pBdr/>
      <w:spacing/>
      <w:ind/>
    </w:pPr>
  </w:style>
  <w:style w:type="character" w:styleId="1196" w:customStyle="1">
    <w:name w:val="card-send-time__sendtime"/>
    <w:basedOn w:val="934"/>
    <w:pPr>
      <w:pBdr/>
      <w:spacing/>
      <w:ind/>
    </w:pPr>
  </w:style>
  <w:style w:type="character" w:styleId="1197" w:customStyle="1">
    <w:name w:val="Đề cập Chưa giải quyết1"/>
    <w:basedOn w:val="934"/>
    <w:uiPriority w:val="99"/>
    <w:semiHidden/>
    <w:unhideWhenUsed/>
    <w:pPr>
      <w:pBdr/>
      <w:spacing/>
      <w:ind/>
    </w:pPr>
    <w:rPr>
      <w:color w:val="605e5c"/>
      <w:shd w:val="clear" w:color="auto" w:fill="e1dfdd"/>
    </w:rPr>
  </w:style>
  <w:style w:type="paragraph" w:styleId="1198" w:customStyle="1">
    <w:name w:val="nqtitle"/>
    <w:basedOn w:val="924"/>
    <w:pPr>
      <w:pBdr/>
      <w:spacing w:after="100" w:afterAutospacing="1" w:before="100" w:beforeAutospacing="1"/>
      <w:ind/>
    </w:pPr>
    <w:rPr>
      <w:lang w:val="vi-VN" w:eastAsia="vi-VN"/>
    </w:rPr>
  </w:style>
  <w:style w:type="character" w:styleId="1199" w:customStyle="1">
    <w:name w:val="List Paragraph Char"/>
    <w:link w:val="1112"/>
    <w:uiPriority w:val="34"/>
    <w:qFormat/>
    <w:pPr>
      <w:pBdr/>
      <w:spacing/>
      <w:ind/>
    </w:pPr>
    <w:rPr>
      <w:rFonts w:ascii="Times New Roman" w:hAnsi="Times New Roman" w:eastAsia="Times New Roman" w:cs="Times New Roman"/>
      <w:sz w:val="24"/>
      <w:szCs w:val="24"/>
    </w:rPr>
  </w:style>
  <w:style w:type="character" w:styleId="1200" w:customStyle="1">
    <w:name w:val="Đề cập Chưa giải quyết2"/>
    <w:basedOn w:val="934"/>
    <w:uiPriority w:val="99"/>
    <w:semiHidden/>
    <w:unhideWhenUsed/>
    <w:pPr>
      <w:pBdr/>
      <w:spacing/>
      <w:ind/>
    </w:pPr>
    <w:rPr>
      <w:color w:val="605e5c"/>
      <w:shd w:val="clear" w:color="auto" w:fill="e1dfdd"/>
    </w:rPr>
  </w:style>
  <w:style w:type="character" w:styleId="1201" w:customStyle="1">
    <w:name w:val="Unresolved Mention3"/>
    <w:basedOn w:val="934"/>
    <w:uiPriority w:val="99"/>
    <w:semiHidden/>
    <w:unhideWhenUsed/>
    <w:pPr>
      <w:pBdr/>
      <w:spacing/>
      <w:ind/>
    </w:pPr>
    <w:rPr>
      <w:color w:val="605e5c"/>
      <w:shd w:val="clear" w:color="auto" w:fill="e1dfdd"/>
    </w:rPr>
  </w:style>
  <w:style w:type="character" w:styleId="1202" w:customStyle="1">
    <w:name w:val="copy"/>
    <w:basedOn w:val="934"/>
    <w:pPr>
      <w:pBdr/>
      <w:spacing/>
      <w:ind/>
    </w:pPr>
  </w:style>
  <w:style w:type="paragraph" w:styleId="1203" w:customStyle="1">
    <w:name w:val="align-justify"/>
    <w:basedOn w:val="924"/>
    <w:pPr>
      <w:pBdr/>
      <w:spacing w:after="100" w:afterAutospacing="1" w:before="100" w:beforeAutospacing="1"/>
      <w:ind/>
    </w:pPr>
  </w:style>
  <w:style w:type="character" w:styleId="1204" w:customStyle="1">
    <w:name w:val="btn"/>
    <w:basedOn w:val="934"/>
    <w:pPr>
      <w:pBdr/>
      <w:spacing/>
      <w:ind/>
    </w:pPr>
  </w:style>
  <w:style w:type="character" w:styleId="1205" w:customStyle="1">
    <w:name w:val="hide_mobile"/>
    <w:basedOn w:val="934"/>
    <w:pPr>
      <w:pBdr/>
      <w:spacing/>
      <w:ind/>
    </w:pPr>
  </w:style>
  <w:style w:type="character" w:styleId="1206">
    <w:name w:val="Emphasis"/>
    <w:basedOn w:val="934"/>
    <w:uiPriority w:val="20"/>
    <w:qFormat/>
    <w:pPr>
      <w:pBdr/>
      <w:spacing/>
      <w:ind/>
    </w:pPr>
    <w:rPr>
      <w:i/>
      <w:iCs/>
    </w:rPr>
  </w:style>
  <w:style w:type="character" w:styleId="1207" w:customStyle="1">
    <w:name w:val="t1"/>
    <w:basedOn w:val="934"/>
    <w:pPr>
      <w:pBdr/>
      <w:spacing/>
      <w:ind/>
    </w:pPr>
  </w:style>
  <w:style w:type="character" w:styleId="1208" w:customStyle="1">
    <w:name w:val="Unresolved Mention4"/>
    <w:basedOn w:val="934"/>
    <w:uiPriority w:val="99"/>
    <w:semiHidden/>
    <w:unhideWhenUsed/>
    <w:pPr>
      <w:pBdr/>
      <w:spacing/>
      <w:ind/>
    </w:pPr>
    <w:rPr>
      <w:color w:val="605e5c"/>
      <w:shd w:val="clear" w:color="auto" w:fill="e1dfdd"/>
    </w:rPr>
  </w:style>
  <w:style w:type="character" w:styleId="1209">
    <w:name w:val="Unresolved Mention"/>
    <w:basedOn w:val="93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jpg"/><Relationship Id="rId18" Type="http://schemas.openxmlformats.org/officeDocument/2006/relationships/image" Target="media/image4.png"/><Relationship Id="rId19" Type="http://schemas.openxmlformats.org/officeDocument/2006/relationships/hyperlink" Target="https://thanglong.chinhphu.vn/buc-tranh-thi-truong-bat-dong-san-ha-noi-nam-2026-ha-tang-dan-dat-thi-truong-buoc-vao-chu-ky-tang-truong-moi-103260101181315972.htm" TargetMode="External"/><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jpg"/><Relationship Id="rId25" Type="http://schemas.openxmlformats.org/officeDocument/2006/relationships/image" Target="media/image10.jpg"/><Relationship Id="rId26" Type="http://schemas.openxmlformats.org/officeDocument/2006/relationships/image" Target="media/image11.jpg"/><Relationship Id="rId27" Type="http://schemas.openxmlformats.org/officeDocument/2006/relationships/image" Target="media/image12.jpg"/><Relationship Id="rId28" Type="http://schemas.openxmlformats.org/officeDocument/2006/relationships/image" Target="media/image13.jpg"/><Relationship Id="rId29" Type="http://schemas.openxmlformats.org/officeDocument/2006/relationships/image" Target="media/image14.png"/><Relationship Id="rId30" Type="http://schemas.openxmlformats.org/officeDocument/2006/relationships/image" Target="media/image15.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Phạm Thị Mận</cp:lastModifiedBy>
  <cp:revision>35</cp:revision>
  <dcterms:created xsi:type="dcterms:W3CDTF">2026-06-19T03:43:00Z</dcterms:created>
  <dcterms:modified xsi:type="dcterms:W3CDTF">2026-09-24T03:36:12Z</dcterms:modified>
</cp:coreProperties>
</file>