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275/2026/1488/VFI-CT.T04.A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Nguyễn Thị Kim Hồng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Căn hộ chung cư số 1114, Tòa T2  có địa chỉ: Chung cư CT01, Trung tâm tài chính thương mại và các công trình phụ trợ, Khu đô thị mới Mỗ Lao, phường Hà Đông, thành phố Hà Nội , theo Giấy c</w:t>
                            </w:r>
                            <w:r>
                              <w:rPr>
                                <w:color w:val="000000"/>
                              </w:rPr>
                              <w:t xml:space="preserve">hứng nhận Quyền sử dụng đất, quyền sở hữu nhà ở và tài sản khác gắn liền với đất số: AA05550164, số vào sổ cấp GCN: VP 55531 do Văn phòng đăng ký đất đai Hà Nội  cấp ngày 10/01/2026; Chủ sở hữu căn hộ chung cư là Ông Phan Văn Tuấn và bà Nguyễn Thị Kim Hồng</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50.6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275/2026/1488/VFI-CT.T04.A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Nguyễn Thị Kim Hồng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Căn hộ chung cư số 1114, Tòa T2  có địa chỉ: Chung cư CT01, Trung tâm tài chính thương mại và các công trình phụ trợ, Khu đô thị mới Mỗ Lao, phường Hà Đông, thành phố Hà Nội , theo Giấy c</w:t>
                      </w:r>
                      <w:r>
                        <w:rPr>
                          <w:color w:val="000000"/>
                        </w:rPr>
                        <w:t xml:space="preserve">hứng nhận Quyền sử dụng đất, quyền sở hữu nhà ở và tài sản khác gắn liền với đất số: AA05550164, số vào sổ cấp GCN: VP 55531 do Văn phòng đăng ký đất đai Hà Nội  cấp ngày 10/01/2026; Chủ sở hữu căn hộ chung cư là Ông Phan Văn Tuấn và bà Nguyễn Thị Kim Hồng</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w:t>
            </w:r>
            <w:r>
              <w:rPr>
                <w:b/>
                <w:color w:val="000000" w:themeColor="text1"/>
                <w:highlight w:val="white"/>
              </w:rPr>
              <w:t xml:space="preserve">22</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130"/>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highlight w:val="white"/>
              </w:rPr>
              <w:t xml:space="preserve">23-24</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130"/>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 + Hồ sơ pháp lý + BBKS</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highlight w:val="white"/>
              </w:rPr>
              <w:t xml:space="preserve">25-2</w:t>
            </w:r>
            <w:r>
              <w:rPr>
                <w:b/>
                <w:bCs/>
                <w:highlight w:val="white"/>
              </w:rPr>
              <w:t xml:space="preserve">9</w:t>
            </w:r>
            <w:r>
              <w:rPr>
                <w:b/>
                <w:bCs/>
                <w:color w:val="000000" w:themeColor="text1"/>
                <w:highlight w:val="white"/>
              </w:rPr>
            </w:r>
            <w:r>
              <w:rPr>
                <w:b/>
                <w:bCs/>
                <w:color w:val="000000" w:themeColor="text1"/>
                <w:highlight w:val="white"/>
              </w:rPr>
            </w:r>
          </w:p>
        </w:tc>
      </w:tr>
    </w:tbl>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29"/>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tbl>
      <w:tblPr>
        <w:tblInd w:w="-284" w:type="dxa"/>
        <w:tblW w:w="9950" w:type="dxa"/>
        <w:tblBorders/>
        <w:tblLayout w:type="fixed"/>
        <w:tblLook w:val="04A0" w:firstRow="1" w:lastRow="0" w:firstColumn="1" w:lastColumn="0" w:noHBand="0" w:noVBand="1"/>
      </w:tblPr>
      <w:tblGrid>
        <w:gridCol w:w="1134"/>
        <w:gridCol w:w="1134"/>
        <w:gridCol w:w="1134"/>
        <w:gridCol w:w="1134"/>
      </w:tblGrid>
      <w:tr>
        <w:trPr>
          <w:trHeight w:val="1123"/>
        </w:trPr>
        <w:tc>
          <w:tcPr>
            <w:tcBorders/>
            <w:tcW w:w="1446"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3"/>
            <w:tcBorders/>
            <w:tcW w:w="8504"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right="-28"/>
              <w:jc w:val="both"/>
              <w:rPr>
                <w:color w:val="000000" w:themeColor="text1"/>
                <w:highlight w:val="white"/>
              </w:rPr>
            </w:pPr>
            <w:r>
              <w:rPr>
                <w:color w:val="000000" w:themeColor="text1"/>
                <w:highlight w:val="white"/>
                <w:lang w:val="da-DK"/>
              </w:rPr>
              <w:t xml:space="preserve">Trụ sở: BT5 - 23, Khu đô thị mới Văn Phú, Phường Kiến Hưng, Thành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120"/>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gridAfter w:val="1"/>
          <w:trHeight w:val="432"/>
        </w:trPr>
        <w:tc>
          <w:tcPr>
            <w:gridSpan w:val="2"/>
            <w:tcBorders/>
            <w:tcMar>
              <w:left w:w="108" w:type="dxa"/>
              <w:top w:w="0" w:type="dxa"/>
              <w:right w:w="108" w:type="dxa"/>
              <w:bottom w:w="0" w:type="dxa"/>
            </w:tcMar>
            <w:tcW w:w="4281" w:type="dxa"/>
            <w:textDirection w:val="lrTb"/>
            <w:noWrap w:val="false"/>
          </w:tcPr>
          <w:p>
            <w:pPr>
              <w:pStyle w:val="1129"/>
              <w:pBdr/>
              <w:spacing w:after="60"/>
              <w:ind/>
              <w:rPr>
                <w:rFonts w:ascii="Times New Roman" w:hAnsi="Times New Roman" w:cs="Times New Roman"/>
                <w:color w:val="000000" w:themeColor="text1"/>
                <w:sz w:val="24"/>
                <w:szCs w:val="24"/>
                <w:highlight w:val="white"/>
              </w:rPr>
            </w:pPr>
            <w:r>
              <w:rPr>
                <w:rStyle w:val="1128"/>
                <w:rFonts w:ascii="Times New Roman" w:hAnsi="Times New Roman" w:eastAsia="Times New Roman" w:cs="Times New Roman"/>
                <w:color w:val="000000" w:themeColor="text1"/>
                <w:highlight w:val="white"/>
                <w:lang w:val="pt-BR"/>
              </w:rPr>
              <w:t xml:space="preserve">Số: </w:t>
            </w:r>
            <w:r>
              <w:rPr>
                <w:rStyle w:val="1128"/>
                <w:rFonts w:ascii="Times New Roman" w:hAnsi="Times New Roman" w:eastAsia="Times New Roman" w:cs="Times New Roman"/>
                <w:color w:val="000000" w:themeColor="text1"/>
                <w:highlight w:val="white"/>
                <w:lang w:val="pt-BR"/>
              </w:rPr>
              <w:t xml:space="preserve">275/2026/1488/VFI-CT.T04.A</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cMar>
              <w:left w:w="108" w:type="dxa"/>
              <w:top w:w="0" w:type="dxa"/>
              <w:right w:w="108" w:type="dxa"/>
              <w:bottom w:w="0" w:type="dxa"/>
            </w:tcMar>
            <w:tcW w:w="5669" w:type="dxa"/>
            <w:textDirection w:val="lrTb"/>
            <w:noWrap w:val="false"/>
          </w:tcPr>
          <w:p>
            <w:pPr>
              <w:pStyle w:val="1129"/>
              <w:pBdr/>
              <w:spacing w:after="60"/>
              <w:ind w:right="-56"/>
              <w:jc w:val="right"/>
              <w:rPr>
                <w:rFonts w:ascii="Times New Roman" w:hAnsi="Times New Roman" w:cs="Times New Roman"/>
                <w:color w:val="000000" w:themeColor="text1"/>
                <w:sz w:val="24"/>
                <w:szCs w:val="24"/>
                <w:highlight w:val="white"/>
              </w:rPr>
            </w:pPr>
            <w:r>
              <w:rPr>
                <w:rStyle w:val="1128"/>
                <w:rFonts w:ascii="Times New Roman" w:hAnsi="Times New Roman" w:eastAsia="Times New Roman" w:cs="Times New Roman"/>
                <w:i/>
                <w:color w:val="000000" w:themeColor="text1"/>
                <w:highlight w:val="white"/>
              </w:rPr>
              <w:t xml:space="preserve">TP. Hà Nội</w:t>
            </w:r>
            <w:r>
              <w:rPr>
                <w:rStyle w:val="1128"/>
                <w:rFonts w:ascii="Times New Roman" w:hAnsi="Times New Roman" w:eastAsia="Times New Roman" w:cs="Times New Roman"/>
                <w:i/>
                <w:color w:val="000000" w:themeColor="text1"/>
                <w:highlight w:val="white"/>
                <w:lang w:val="vi-VN"/>
              </w:rPr>
              <w:t xml:space="preserve">, </w:t>
            </w:r>
            <w:r>
              <w:rPr>
                <w:rStyle w:val="1128"/>
                <w:rFonts w:ascii="Times New Roman" w:hAnsi="Times New Roman" w:eastAsia="Times New Roman" w:cs="Times New Roman"/>
                <w:i/>
                <w:color w:val="000000" w:themeColor="text1"/>
                <w:highlight w:val="white"/>
                <w:lang w:val="vi-VN"/>
              </w:rPr>
              <w:t xml:space="preserve">ngày 22 tháng 9 năm 2026</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bl>
    <w:p>
      <w:pPr>
        <w:pStyle w:val="1129"/>
        <w:pBdr/>
        <w:spacing w:after="120" w:before="200" w:line="288" w:lineRule="auto"/>
        <w:ind/>
        <w:jc w:val="center"/>
        <w:rPr>
          <w:rStyle w:val="1128"/>
          <w:rFonts w:ascii="Times New Roman" w:hAnsi="Times New Roman"/>
          <w:b/>
          <w:bCs/>
          <w:color w:val="000000" w:themeColor="text1"/>
          <w:sz w:val="30"/>
          <w:szCs w:val="30"/>
          <w:highlight w:val="white"/>
        </w:rPr>
      </w:pPr>
      <w:r>
        <w:rPr>
          <w:rStyle w:val="1128"/>
          <w:rFonts w:ascii="Times New Roman" w:hAnsi="Times New Roman"/>
          <w:b/>
          <w:bCs/>
          <w:color w:val="000000" w:themeColor="text1"/>
          <w:sz w:val="30"/>
          <w:szCs w:val="30"/>
          <w:highlight w:val="white"/>
          <w:lang w:val="vi-VN"/>
        </w:rPr>
        <w:t xml:space="preserve">CHỨNG THƯ THẨM ĐỊNH GIÁ</w:t>
      </w:r>
      <w:r>
        <w:rPr>
          <w:rStyle w:val="1128"/>
          <w:rFonts w:ascii="Times New Roman" w:hAnsi="Times New Roman"/>
          <w:b/>
          <w:bCs/>
          <w:color w:val="000000" w:themeColor="text1"/>
          <w:sz w:val="30"/>
          <w:szCs w:val="30"/>
          <w:highlight w:val="white"/>
        </w:rPr>
      </w:r>
      <w:r>
        <w:rPr>
          <w:rStyle w:val="1128"/>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Nguyễn Thị Kim Hồng</w:t>
      </w:r>
      <w:r>
        <w:rPr>
          <w:rFonts w:ascii="Times New Roman Bold" w:hAnsi="Times New Roman Bold"/>
          <w:b/>
          <w:color w:val="000000" w:themeColor="text1"/>
          <w:highlight w:val="white"/>
        </w:rPr>
      </w:r>
      <w:r>
        <w:rPr>
          <w:rFonts w:ascii="Times New Roman Bold" w:hAnsi="Times New Roman Bold"/>
          <w:b/>
          <w:color w:val="000000" w:themeColor="text1"/>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Hợp đồng dịch vụ thẩm định giá số: </w:t>
      </w:r>
      <w:r>
        <w:rPr>
          <w:color w:val="000000" w:themeColor="text1"/>
          <w:spacing w:val="-4"/>
          <w:highlight w:val="white"/>
          <w:lang w:val="vi-VN"/>
        </w:rPr>
        <w:t xml:space="preserve">275/2026/1488/VFI-HĐTĐ.T04.A</w:t>
      </w:r>
      <w:r>
        <w:rPr>
          <w:color w:val="000000" w:themeColor="text1"/>
          <w:spacing w:val="-2"/>
          <w:highlight w:val="white"/>
          <w:lang w:val="pt-BR"/>
        </w:rPr>
        <w:t xml:space="preserve"> ký </w:t>
      </w:r>
      <w:r>
        <w:rPr>
          <w:color w:val="000000" w:themeColor="text1"/>
          <w:spacing w:val="-4"/>
          <w:highlight w:val="white"/>
        </w:rPr>
        <w:t xml:space="preserve">18 tháng 9 năm 2026</w:t>
      </w:r>
      <w:r>
        <w:rPr>
          <w:color w:val="000000" w:themeColor="text1"/>
          <w:spacing w:val="-4"/>
          <w:highlight w:val="white"/>
        </w:rPr>
        <w:t xml:space="preserve"> </w:t>
      </w:r>
      <w:r>
        <w:rPr>
          <w:color w:val="000000" w:themeColor="text1"/>
          <w:spacing w:val="-2"/>
          <w:highlight w:val="white"/>
          <w:lang w:val="pt-BR"/>
        </w:rPr>
        <w:t xml:space="preserve">giữa </w:t>
      </w:r>
      <w:r>
        <w:rPr>
          <w:color w:val="000000" w:themeColor="text1"/>
          <w:spacing w:val="-4"/>
          <w:highlight w:val="white"/>
        </w:rPr>
        <w:t xml:space="preserve">Nguyễn Thị Kim Hồng</w:t>
      </w:r>
      <w:r>
        <w:rPr>
          <w:color w:val="000000" w:themeColor="text1"/>
          <w:spacing w:val="-2"/>
          <w:highlight w:val="white"/>
          <w:lang w:val="pt-BR"/>
        </w:rPr>
        <w:t xml:space="preserve"> với</w:t>
      </w:r>
      <w:r>
        <w:rPr>
          <w:color w:val="000000" w:themeColor="text1"/>
          <w:spacing w:val="-2"/>
          <w:highlight w:val="white"/>
          <w:lang w:val="pt-BR"/>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275/2026/1488/VFI-BC.T04.A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b050"/>
          <w:spacing w:val="-2"/>
          <w:highlight w:val="white"/>
          <w:lang w:val="pt-BR"/>
        </w:rPr>
        <w:t xml:space="preserve"> </w:t>
      </w:r>
      <w:r>
        <w:rPr>
          <w:color w:val="000000" w:themeColor="text1"/>
          <w:spacing w:val="-2"/>
          <w:highlight w:val="white"/>
        </w:rPr>
        <w:t xml:space="preserve">22 tháng 9 năm 2026</w:t>
      </w:r>
      <w:r>
        <w:rPr>
          <w:color w:val="000000" w:themeColor="text1"/>
          <w:spacing w:val="-2"/>
          <w:highlight w:val="white"/>
          <w:lang w:val="vi-VN"/>
        </w:rPr>
        <w:t xml:space="preserve"> </w:t>
      </w:r>
      <w:r>
        <w:rPr>
          <w:color w:val="000000" w:themeColor="text1"/>
          <w:spacing w:val="-2"/>
          <w:highlight w:val="white"/>
          <w:lang w:val="pt-BR"/>
        </w:rPr>
        <w:t xml:space="preserve">của Công ty Cổ phần Thẩm định và Đầu tư Tài chính Hoa Sen;</w:t>
      </w:r>
      <w:r>
        <w:rPr>
          <w:color w:val="000000" w:themeColor="text1"/>
          <w:spacing w:val="-2"/>
          <w:highlight w:val="white"/>
        </w:rPr>
      </w:r>
      <w:r>
        <w:rPr>
          <w:color w:val="000000" w:themeColor="text1"/>
          <w:spacing w:val="-2"/>
          <w:highlight w:val="white"/>
        </w:rPr>
      </w:r>
    </w:p>
    <w:p>
      <w:pPr>
        <w:pBdr/>
        <w:spacing w:after="120" w:before="120" w:line="288" w:lineRule="auto"/>
        <w:ind w:firstLine="432"/>
        <w:rPr>
          <w:color w:val="000000" w:themeColor="text1"/>
          <w:highlight w:val="white"/>
        </w:rPr>
      </w:pPr>
      <w:r>
        <w:rPr>
          <w:color w:val="000000" w:themeColor="text1"/>
          <w:highlight w:val="white"/>
          <w:lang w:val="pt-BR"/>
        </w:rPr>
        <w:t xml:space="preserve">Công ty Cổ phần Thẩm định và Đầu tư Tài chính Hoa Sen 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ind/>
              <w:rPr>
                <w:highlight w:val="white"/>
              </w:rPr>
            </w:pPr>
            <w:r>
              <w:rPr>
                <w:b/>
                <w:bCs/>
                <w:highlight w:val="none"/>
              </w:rPr>
              <w:t xml:space="preserve">Bà </w:t>
            </w:r>
            <w:r>
              <w:rPr>
                <w:b/>
                <w:bCs/>
                <w:highlight w:val="white"/>
              </w:rPr>
              <w:t xml:space="preserve">Nguyễn Thị Kim Hồng</w:t>
            </w:r>
            <w:r>
              <w:rPr>
                <w:highlight w:val="white"/>
              </w:rPr>
            </w:r>
            <w:r>
              <w:rPr>
                <w:highlight w:val="white"/>
              </w:rPr>
            </w:r>
          </w:p>
        </w:tc>
      </w:tr>
      <w:tr>
        <w:trPr>
          <w:trHeight w:val="414"/>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070187002752</w:t>
            </w:r>
            <w:r>
              <w:rPr>
                <w:color w:val="ff0000"/>
                <w:highlight w:val="white"/>
              </w:rPr>
            </w:r>
            <w:r>
              <w:rPr>
                <w:color w:val="ff0000"/>
                <w:highlight w:val="white"/>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none"/>
                <w:lang w:val="vi-VN"/>
              </w:rPr>
              <w:t xml:space="preserve">Khu vực Đề Thám, Nam Tiến, Phú Xuyên, thành phố Hà Nội </w:t>
            </w:r>
            <w:r>
              <w:rPr>
                <w:color w:val="ff0000"/>
                <w:highlight w:val="white"/>
              </w:rPr>
            </w:r>
            <w:r>
              <w:rPr>
                <w:color w:val="ff0000"/>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color w:val="000000" w:themeColor="text1"/>
                <w:spacing w:val="-16"/>
                <w:highlight w:val="white"/>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highlight w:val="white"/>
              </w:rPr>
            </w:pPr>
            <w:r>
              <w:rPr>
                <w:color w:val="000000" w:themeColor="text1"/>
                <w:highlight w:val="white"/>
              </w:rPr>
              <w:t xml:space="preserve">GCN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w:t>
            </w:r>
            <w:r>
              <w:rPr>
                <w:b/>
                <w:bCs/>
                <w:highlight w:val="white"/>
              </w:rPr>
              <w:t xml:space="preserve">Vũ Văn Quân</w:t>
            </w:r>
            <w:r>
              <w:rPr>
                <w:b/>
                <w:bCs/>
                <w:highlight w:val="white"/>
                <w:lang w:val="vi-VN"/>
              </w:rPr>
              <w:tab/>
            </w:r>
            <w:r>
              <w:rPr>
                <w:b/>
                <w:bCs/>
                <w:color w:val="000000" w:themeColor="text1"/>
                <w:highlight w:val="white"/>
              </w:rPr>
            </w:r>
            <w:r>
              <w:rPr>
                <w:b/>
                <w:bCs/>
                <w:color w:val="000000" w:themeColor="text1"/>
                <w:highlight w:val="white"/>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Chức vụ</w:t>
            </w:r>
            <w:r>
              <w:rPr>
                <w:bCs/>
                <w:color w:val="000000" w:themeColor="text1"/>
                <w:highlight w:val="white"/>
              </w:rPr>
            </w:r>
            <w:r>
              <w:rPr>
                <w:bCs/>
                <w:color w:val="000000" w:themeColor="text1"/>
                <w:highlight w:val="white"/>
              </w:rPr>
            </w:r>
          </w:p>
        </w:tc>
        <w:tc>
          <w:tcPr>
            <w:tcBorders/>
            <w:tcW w:w="289" w:type="dxa"/>
            <w:vAlign w:val="center"/>
            <w:vMerge w:val="restart"/>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vMerge w:val="restart"/>
            <w:textDirection w:val="lrTb"/>
            <w:noWrap w:val="false"/>
          </w:tcPr>
          <w:p>
            <w:pPr>
              <w:pBdr/>
              <w:spacing w:after="40" w:before="40" w:line="288" w:lineRule="auto"/>
              <w:ind/>
              <w:rPr>
                <w:b/>
                <w:bCs/>
                <w:color w:val="000000" w:themeColor="text1"/>
                <w:highlight w:val="white"/>
              </w:rPr>
            </w:pPr>
            <w:r>
              <w:rPr>
                <w:b/>
                <w:bCs/>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color w:val="000000" w:themeColor="text1"/>
          <w:highlight w:val="white"/>
        </w:rPr>
        <w:t xml:space="preserve">Căn hộ chung cư số 1114, Tòa T2  có địa chỉ: Chung cư CT01, Trung tâm tài chính thương mại và các công trình phụ trợ, Khu đô thị mới Mỗ Lao, phường Hà Đông, thành phố Hà Nội , theo Giấy c</w:t>
      </w:r>
      <w:r>
        <w:rPr>
          <w:color w:val="000000" w:themeColor="text1"/>
          <w:highlight w:val="white"/>
        </w:rPr>
        <w:t xml:space="preserve">hứng nhận Quyền sử dụng đất, quyền sở hữu nhà ở và tài sản khác gắn liền với đất số: AA05550164, số vào sổ cấp GCN: VP 55531 do Văn phòng đăng ký đất đai Hà Nội  cấp ngày 10/01/2026; Chủ sở hữu căn hộ chung cư là ông Phan Văn Tuấn và bà Nguyễn Thị Kim Hồng</w:t>
      </w:r>
      <w:r>
        <w:rPr>
          <w:bCs/>
          <w:color w:val="000000" w:themeColor="text1"/>
          <w:highlight w:val="white"/>
        </w:rPr>
        <w:t xml:space="preserve">.</w:t>
      </w:r>
      <w:r>
        <w:rPr>
          <w:b/>
          <w:bCs/>
          <w:color w:val="000000" w:themeColor="text1"/>
          <w:highlight w:val="white"/>
        </w:rPr>
      </w:r>
      <w:r>
        <w:rPr>
          <w:b/>
          <w:bCs/>
          <w:color w:val="000000" w:themeColor="text1"/>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 Thời điểm thẩm định giá:</w:t>
      </w:r>
      <w:r>
        <w:rPr>
          <w:bCs/>
          <w:color w:val="000000" w:themeColor="text1"/>
          <w:highlight w:val="white"/>
          <w:lang w:val="nl-NL"/>
        </w:rPr>
        <w:t xml:space="preserve"> </w:t>
      </w:r>
      <w:r>
        <w:rPr>
          <w:bCs/>
          <w:color w:val="000000" w:themeColor="text1"/>
          <w:highlight w:val="white"/>
          <w:lang w:val="nl-NL"/>
        </w:rPr>
        <w:t xml:space="preserve">Tháng 09/2026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Cs/>
          <w:color w:val="000000" w:themeColor="text1"/>
          <w:spacing w:val="-4"/>
          <w:highlight w:val="white"/>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12"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Cơ sở giá trị của tài sản thẩm định giá:</w:t>
      </w:r>
      <w:r>
        <w:rPr>
          <w:b/>
          <w:color w:val="000000" w:themeColor="text1"/>
          <w:highlight w:val="white"/>
        </w:rPr>
      </w:r>
      <w:r>
        <w:rPr>
          <w:b/>
          <w:color w:val="000000" w:themeColor="text1"/>
          <w:highlight w:val="white"/>
        </w:rPr>
      </w:r>
    </w:p>
    <w:p>
      <w:pPr>
        <w:pBdr/>
        <w:tabs>
          <w:tab w:val="left" w:leader="none" w:pos="5202"/>
        </w:tabs>
        <w:spacing w:after="120" w:before="120" w:line="312" w:lineRule="auto"/>
        <w:ind w:firstLine="432"/>
        <w:jc w:val="both"/>
        <w:rPr>
          <w:color w:val="000000" w:themeColor="text1"/>
          <w:highlight w:val="white"/>
        </w:rPr>
      </w:pPr>
      <w:r>
        <w:rPr>
          <w:bCs/>
          <w:i/>
          <w:color w:val="000000" w:themeColor="text1"/>
          <w:highlight w:val="white"/>
          <w:lang w:val="pt-BR"/>
        </w:rPr>
        <w:t xml:space="preserve">Chi tiết như Báo cáo kèm theo </w:t>
      </w:r>
      <w:r>
        <w:rPr>
          <w:color w:val="000000" w:themeColor="text1"/>
          <w:highlight w:val="white"/>
        </w:rPr>
      </w:r>
      <w:r>
        <w:rPr>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Giả thiết và giả thiết đặc biệt:</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Cách tiếp cận và phương pháp thẩm định giá</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lang w:val="pt-BR"/>
        </w:rPr>
        <w:t xml:space="preserve">9.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highlight w:val="white"/>
        </w:rPr>
      </w:r>
      <w:bookmarkEnd w:id="1"/>
      <w:r>
        <w:rPr>
          <w:highlight w:val="white"/>
        </w:rPr>
      </w:r>
      <w:bookmarkEnd w:id="2"/>
      <w:r>
        <w:rPr>
          <w:b/>
          <w:bCs/>
          <w:color w:val="000000" w:themeColor="text1"/>
          <w:highlight w:val="white"/>
        </w:rPr>
      </w:r>
      <w:r>
        <w:rPr>
          <w:b/>
          <w:bCs/>
          <w:color w:val="000000" w:themeColor="text1"/>
          <w:highlight w:val="white"/>
        </w:rPr>
      </w:r>
    </w:p>
    <w:p>
      <w:pPr>
        <w:pBdr/>
        <w:spacing w:after="120" w:before="120" w:line="312"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 khách hàng tại thời điểm </w:t>
      </w:r>
      <w:r>
        <w:rPr>
          <w:bCs/>
          <w:color w:val="000000" w:themeColor="text1"/>
          <w:highlight w:val="white"/>
          <w:lang w:val="nl-NL"/>
        </w:rPr>
        <w:t xml:space="preserve">Tháng 09/2026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364" w:type="pct"/>
            <w:vAlign w:val="center"/>
            <w:textDirection w:val="lrTb"/>
            <w:noWrap w:val="false"/>
          </w:tcPr>
          <w:p>
            <w:pPr>
              <w:pBdr/>
              <w:spacing w:after="40" w:before="40" w:line="288" w:lineRule="auto"/>
              <w:ind/>
              <w:jc w:val="both"/>
              <w:rPr>
                <w:b/>
                <w:bCs/>
                <w:highlight w:val="white"/>
              </w:rPr>
            </w:pPr>
            <w:r>
              <w:rPr>
                <w:color w:val="000000"/>
                <w:highlight w:val="white"/>
              </w:rPr>
              <w:t xml:space="preserve">Căn hộ chung cư số 1114, Tòa T2  có địa chỉ: Chung cư CT01, Trung tâm tài chính thương mại và các công trình phụ trợ, Khu đô thị mới Mỗ Lao, phường Hà Đông, thành phố Hà Nội , theo Giấy c</w:t>
            </w:r>
            <w:r>
              <w:rPr>
                <w:color w:val="000000"/>
                <w:highlight w:val="white"/>
              </w:rPr>
              <w:t xml:space="preserve">hứng nhận Quyền sử dụng đất, quyền sở hữu nhà ở và tài sản khác gắn liền với đất số: AA05550164, số vào sổ cấp GCN: VP 55531 do Văn phòng đăng ký đất đai Hà Nội  cấp ngày 10/01/2026; Chủ sở hữu căn hộ chung cư là Ông Phan Văn Tuấn và bà Nguyễn Thị Kim Hồng</w:t>
            </w:r>
            <w:r>
              <w:rPr>
                <w:b/>
                <w:bCs/>
                <w:highlight w:val="white"/>
              </w:rPr>
              <w:t xml:space="preserve">.</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highlight w:val="white"/>
              </w:rPr>
            </w:pPr>
            <w:r>
              <w:rPr>
                <w:b/>
                <w:bCs/>
                <w:highlight w:val="white"/>
              </w:rPr>
              <w:t xml:space="preserve">1</w:t>
            </w:r>
            <w:r>
              <w:rPr>
                <w:highlight w:val="white"/>
              </w:rPr>
            </w:r>
            <w:r>
              <w:rPr>
                <w:highlight w:val="white"/>
              </w:rPr>
            </w:r>
          </w:p>
        </w:tc>
        <w:tc>
          <w:tcPr>
            <w:shd w:val="clear" w:color="000000" w:fill="ffffff"/>
            <w:tcBorders/>
            <w:tcW w:w="1063" w:type="pct"/>
            <w:vAlign w:val="center"/>
            <w:textDirection w:val="lrTb"/>
            <w:noWrap w:val="false"/>
          </w:tcPr>
          <w:p>
            <w:pPr>
              <w:pBdr/>
              <w:spacing w:after="40" w:before="40" w:line="288" w:lineRule="auto"/>
              <w:ind/>
              <w:rPr>
                <w:highlight w:val="white"/>
              </w:rPr>
            </w:pPr>
            <w:r>
              <w:rPr>
                <w:b/>
                <w:bCs/>
                <w:highlight w:val="white"/>
              </w:rPr>
              <w:t xml:space="preserve">Căn hộ chung cư</w:t>
            </w:r>
            <w:r>
              <w:rPr>
                <w:highlight w:val="white"/>
              </w:rPr>
            </w:r>
            <w:r>
              <w:rPr>
                <w:highlight w:val="white"/>
              </w:rPr>
            </w:r>
          </w:p>
        </w:tc>
        <w:tc>
          <w:tcPr>
            <w:tcBorders/>
            <w:tcW w:w="946"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141,2</w:t>
            </w:r>
            <w:r>
              <w:rPr>
                <w:color w:val="000000"/>
                <w:highlight w:val="white"/>
              </w:rPr>
            </w:r>
            <w:r>
              <w:rPr>
                <w:color w:val="000000"/>
                <w:highlight w:val="white"/>
              </w:rPr>
            </w:r>
          </w:p>
        </w:tc>
        <w:tc>
          <w:tcPr>
            <w:shd w:val="clear" w:color="000000" w:fill="ffffff"/>
            <w:tcBorders/>
            <w:tcW w:w="1355"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57.300.000</w:t>
            </w:r>
            <w:r>
              <w:rPr>
                <w:highlight w:val="white"/>
              </w:rPr>
            </w:r>
            <w:r>
              <w:rPr>
                <w:highlight w:val="white"/>
              </w:rPr>
            </w:r>
          </w:p>
        </w:tc>
        <w:tc>
          <w:tcPr>
            <w:shd w:val="clear" w:color="000000" w:fill="ffffff"/>
            <w:tcBorders/>
            <w:tcW w:w="1136"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8.090.760.000</w:t>
            </w:r>
            <w:r>
              <w:rPr>
                <w:highlight w:val="white"/>
              </w:rPr>
            </w:r>
            <w:r>
              <w:rPr>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highlight w:val="white"/>
              </w:rPr>
            </w:pPr>
            <w:r>
              <w:rPr>
                <w:highlight w:val="white"/>
              </w:rPr>
              <w:t xml:space="preserve">8.090.760.000</w:t>
            </w:r>
            <w:r>
              <w:rPr>
                <w:b/>
                <w:bCs/>
                <w:color w:val="000000"/>
                <w:highlight w:val="white"/>
              </w:rPr>
            </w:r>
            <w:r>
              <w:rPr>
                <w:b/>
                <w:bCs/>
                <w:color w:val="000000"/>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8.090.800.000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Tám tỷ chín mươi triệu tám trăm nghìn đồng </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color w:val="000000" w:themeColor="text1"/>
          <w:highlight w:val="white"/>
        </w:rPr>
      </w:pPr>
      <w:r>
        <w:rPr>
          <w:color w:val="000000" w:themeColor="text1"/>
          <w:highlight w:val="white"/>
          <w:lang w:val="pt-BR"/>
        </w:rPr>
        <w:t xml:space="preserve">- Chi tiết như Báo cáo kèm theo.</w:t>
      </w:r>
      <w:r>
        <w:rPr>
          <w:color w:val="000000" w:themeColor="text1"/>
          <w:highlight w:val="white"/>
        </w:rPr>
      </w:r>
      <w:r>
        <w:rPr>
          <w:color w:val="000000" w:themeColor="text1"/>
          <w:highlight w:val="white"/>
        </w:rPr>
      </w:r>
    </w:p>
    <w:p>
      <w:pPr>
        <w:pBdr/>
        <w:spacing w:after="120" w:before="120" w:line="312" w:lineRule="auto"/>
        <w:ind/>
        <w:rPr>
          <w:rFonts w:eastAsia="Calibri"/>
          <w:b/>
          <w:bCs/>
          <w:color w:val="000000" w:themeColor="text1"/>
          <w:spacing w:val="-4"/>
          <w:highlight w:val="white"/>
        </w:rPr>
      </w:pP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rFonts w:eastAsia="Calibri"/>
          <w:b/>
          <w:bCs/>
          <w:color w:val="000000" w:themeColor="text1"/>
          <w:spacing w:val="-4"/>
          <w:highlight w:val="white"/>
        </w:rPr>
      </w:r>
      <w:r>
        <w:rPr>
          <w:rFonts w:eastAsia="Calibri"/>
          <w:b/>
          <w:bCs/>
          <w:color w:val="000000" w:themeColor="text1"/>
          <w:spacing w:val="-4"/>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highlight w:val="white"/>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Đỗ Thanh Thảo</w:t>
            </w:r>
            <w:r>
              <w:rPr>
                <w:rFonts w:eastAsia="Calibri"/>
                <w:b/>
                <w:bCs/>
                <w:highlight w:val="white"/>
              </w:rPr>
            </w:r>
            <w:r>
              <w:rPr>
                <w:rFonts w:eastAsia="Calibri"/>
                <w:b/>
                <w:bCs/>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XV23.2485</w:t>
            </w:r>
            <w:r>
              <w:rPr>
                <w:rFonts w:eastAsia="Calibri"/>
                <w:bCs/>
                <w:highlight w:val="white"/>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rPr>
            </w:r>
            <w:r>
              <w:rPr>
                <w:rFonts w:eastAsia="Calibri"/>
                <w:b/>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9950" w:type="dxa"/>
        <w:tblBorders/>
        <w:tblLayout w:type="fixed"/>
        <w:tblLook w:val="04A0" w:firstRow="1" w:lastRow="0" w:firstColumn="1" w:lastColumn="0" w:noHBand="0" w:noVBand="1"/>
      </w:tblPr>
      <w:tblGrid>
        <w:gridCol w:w="29"/>
        <w:gridCol w:w="1787"/>
        <w:gridCol w:w="2335"/>
        <w:gridCol w:w="5799"/>
      </w:tblGrid>
      <w:tr>
        <w:trPr>
          <w:trHeight w:val="1843"/>
        </w:trPr>
        <w:tc>
          <w:tcPr>
            <w:gridSpan w:val="2"/>
            <w:tcBorders/>
            <w:tcW w:w="1816"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rPr>
            </w:r>
            <w:r>
              <w:rPr>
                <w:i/>
                <w:szCs w:val="26"/>
                <w:highlight w:val="white"/>
              </w:rPr>
            </w:r>
          </w:p>
        </w:tc>
        <w:tc>
          <w:tcPr>
            <w:gridSpan w:val="2"/>
            <w:tcBorders/>
            <w:tcW w:w="8134"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rPr>
            </w:r>
            <w:r>
              <w:rPr>
                <w:b/>
                <w:highlight w:val="white"/>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rPr>
            </w:r>
            <w:r>
              <w:rPr>
                <w:highlight w:val="white"/>
              </w:rPr>
            </w:r>
          </w:p>
          <w:p>
            <w:pPr>
              <w:pBdr/>
              <w:spacing w:line="312" w:lineRule="auto"/>
              <w:ind/>
              <w:jc w:val="both"/>
              <w:rPr>
                <w:highlight w:val="white"/>
              </w:rPr>
            </w:pPr>
            <w:r>
              <w:rPr>
                <w:highlight w:val="white"/>
                <w:lang w:val="da-DK"/>
              </w:rPr>
              <w:t xml:space="preserve">Điện thoại:  085 329 3333/ 024 2264 4333</w:t>
            </w:r>
            <w:r>
              <w:rPr>
                <w:highlight w:val="white"/>
              </w:rPr>
            </w:r>
            <w:r>
              <w:rPr>
                <w:highlight w:val="white"/>
              </w:rPr>
            </w:r>
          </w:p>
          <w:p>
            <w:pPr>
              <w:pBdr/>
              <w:spacing w:line="276" w:lineRule="auto"/>
              <w:ind/>
              <w:jc w:val="both"/>
              <w:rPr>
                <w:highlight w:val="white"/>
              </w:rPr>
            </w:pPr>
            <w:r>
              <w:rPr>
                <w:highlight w:val="white"/>
                <w:lang w:val="da-DK"/>
              </w:rPr>
              <w:t xml:space="preserve">Email: </w:t>
            </w:r>
            <w:r>
              <w:rPr>
                <w:highlight w:val="white"/>
                <w:lang w:val="da-DK"/>
              </w:rPr>
              <w:tab/>
            </w:r>
            <w:hyperlink r:id="rId16" w:tooltip="mailto:ilotus.contact@gmail.com" w:history="1">
              <w:r>
                <w:rPr>
                  <w:rStyle w:val="1120"/>
                  <w:rFonts w:eastAsiaTheme="majorEastAsia"/>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rPr>
            </w:r>
            <w:r>
              <w:rPr>
                <w:highlight w:val="white"/>
              </w:rP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129"/>
              <w:pBdr/>
              <w:spacing w:after="60"/>
              <w:ind/>
              <w:rPr>
                <w:rFonts w:ascii="Times New Roman" w:hAnsi="Times New Roman" w:cs="Times New Roman"/>
                <w:color w:val="000000" w:themeColor="text1"/>
                <w:sz w:val="24"/>
                <w:szCs w:val="24"/>
                <w:highlight w:val="white"/>
              </w:rPr>
            </w:pPr>
            <w:r>
              <w:rPr>
                <w:rStyle w:val="1128"/>
                <w:rFonts w:ascii="Times New Roman" w:hAnsi="Times New Roman" w:eastAsia="Times New Roman" w:cs="Times New Roman"/>
                <w:color w:val="000000" w:themeColor="text1"/>
                <w:highlight w:val="white"/>
                <w:lang w:val="pt-BR"/>
              </w:rPr>
              <w:t xml:space="preserve">Số: </w:t>
            </w:r>
            <w:r>
              <w:rPr>
                <w:rStyle w:val="1128"/>
                <w:rFonts w:ascii="Times New Roman" w:hAnsi="Times New Roman" w:eastAsia="Times New Roman" w:cs="Times New Roman"/>
                <w:color w:val="000000" w:themeColor="text1"/>
                <w:highlight w:val="white"/>
                <w:lang w:val="pt-BR"/>
              </w:rPr>
              <w:t xml:space="preserve">275/2026/1488/VFI-CT.T04.A</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shd w:val="clear" w:color="auto" w:fill="auto"/>
            <w:tcBorders/>
            <w:tcMar>
              <w:left w:w="108" w:type="dxa"/>
              <w:top w:w="0" w:type="dxa"/>
              <w:right w:w="108" w:type="dxa"/>
              <w:bottom w:w="0" w:type="dxa"/>
            </w:tcMar>
            <w:tcW w:w="5799" w:type="dxa"/>
            <w:textDirection w:val="lrTb"/>
            <w:noWrap w:val="false"/>
          </w:tcPr>
          <w:p>
            <w:pPr>
              <w:pStyle w:val="1129"/>
              <w:pBdr/>
              <w:spacing w:after="60"/>
              <w:ind w:right="-56"/>
              <w:jc w:val="right"/>
              <w:rPr>
                <w:rFonts w:ascii="Times New Roman" w:hAnsi="Times New Roman" w:cs="Times New Roman"/>
                <w:color w:val="000000" w:themeColor="text1"/>
                <w:sz w:val="24"/>
                <w:szCs w:val="24"/>
                <w:highlight w:val="white"/>
              </w:rPr>
            </w:pPr>
            <w:r>
              <w:rPr>
                <w:rStyle w:val="1128"/>
                <w:rFonts w:ascii="Times New Roman" w:hAnsi="Times New Roman" w:eastAsia="Times New Roman" w:cs="Times New Roman"/>
                <w:i/>
                <w:color w:val="000000" w:themeColor="text1"/>
                <w:highlight w:val="white"/>
              </w:rPr>
              <w:t xml:space="preserve">TP. Hà Nội</w:t>
            </w:r>
            <w:r>
              <w:rPr>
                <w:rStyle w:val="1128"/>
                <w:rFonts w:ascii="Times New Roman" w:hAnsi="Times New Roman" w:eastAsia="Times New Roman" w:cs="Times New Roman"/>
                <w:i/>
                <w:highlight w:val="white"/>
                <w:lang w:val="vi-VN"/>
              </w:rPr>
              <w:t xml:space="preserve">, </w:t>
            </w:r>
            <w:r>
              <w:rPr>
                <w:rStyle w:val="1128"/>
                <w:rFonts w:ascii="Times New Roman" w:hAnsi="Times New Roman" w:eastAsia="Times New Roman" w:cs="Times New Roman"/>
                <w:i/>
                <w:color w:val="000000" w:themeColor="text1"/>
                <w:highlight w:val="white"/>
                <w:lang w:val="vi-VN"/>
              </w:rPr>
              <w:t xml:space="preserve">ngày 22 tháng 9 năm 2026</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129"/>
              <w:pBdr/>
              <w:spacing w:after="60"/>
              <w:ind/>
              <w:rPr>
                <w:rStyle w:val="1128"/>
                <w:color w:val="000000" w:themeColor="text1"/>
                <w:highlight w:val="white"/>
              </w:rPr>
            </w:pPr>
            <w:r>
              <w:rPr>
                <w:rStyle w:val="1128"/>
                <w:color w:val="000000" w:themeColor="text1"/>
                <w:highlight w:val="white"/>
                <w:lang w:val="pt-BR"/>
              </w:rPr>
            </w:r>
            <w:r>
              <w:rPr>
                <w:rStyle w:val="1128"/>
                <w:color w:val="000000" w:themeColor="text1"/>
                <w:highlight w:val="white"/>
              </w:rPr>
            </w:r>
            <w:r>
              <w:rPr>
                <w:rStyle w:val="1128"/>
                <w:color w:val="000000" w:themeColor="text1"/>
                <w:highlight w:val="white"/>
              </w:rPr>
            </w:r>
          </w:p>
        </w:tc>
        <w:tc>
          <w:tcPr>
            <w:shd w:val="clear" w:color="auto" w:fill="auto"/>
            <w:tcBorders/>
            <w:tcMar>
              <w:left w:w="108" w:type="dxa"/>
              <w:top w:w="0" w:type="dxa"/>
              <w:right w:w="108" w:type="dxa"/>
              <w:bottom w:w="0" w:type="dxa"/>
            </w:tcMar>
            <w:tcW w:w="5799" w:type="dxa"/>
            <w:textDirection w:val="lrTb"/>
            <w:noWrap w:val="false"/>
          </w:tcPr>
          <w:p>
            <w:pPr>
              <w:pStyle w:val="1129"/>
              <w:pBdr/>
              <w:spacing w:after="60"/>
              <w:ind w:right="-56"/>
              <w:rPr>
                <w:rStyle w:val="1128"/>
                <w:i/>
                <w:highlight w:val="white"/>
              </w:rPr>
            </w:pPr>
            <w:r>
              <w:rPr>
                <w:i/>
                <w:highlight w:val="white"/>
              </w:rPr>
            </w:r>
            <w:r>
              <w:rPr>
                <w:rStyle w:val="1128"/>
                <w:i/>
                <w:highlight w:val="white"/>
              </w:rPr>
            </w:r>
            <w:r>
              <w:rPr>
                <w:rStyle w:val="1128"/>
                <w:i/>
                <w:highlight w:val="white"/>
              </w:rPr>
            </w:r>
          </w:p>
        </w:tc>
      </w:tr>
    </w:tbl>
    <w:p>
      <w:pPr>
        <w:pStyle w:val="1129"/>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rPr>
      </w:r>
      <w:r>
        <w:rPr>
          <w:i/>
          <w:iCs/>
          <w:color w:val="000000" w:themeColor="text1"/>
          <w:sz w:val="30"/>
          <w:szCs w:val="30"/>
          <w:highlight w:val="white"/>
        </w:rPr>
      </w:r>
    </w:p>
    <w:p>
      <w:pPr>
        <w:pStyle w:val="943"/>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theo Chứng thư thẩm định giá số: </w:t>
      </w:r>
      <w:r>
        <w:rPr>
          <w:b w:val="0"/>
          <w:i/>
          <w:color w:val="000000" w:themeColor="text1"/>
          <w:spacing w:val="-6"/>
          <w:sz w:val="24"/>
          <w:szCs w:val="24"/>
          <w:highlight w:val="white"/>
          <w:lang w:val="pt-BR"/>
        </w:rPr>
        <w:t xml:space="preserve">275/2026/1488/VFI-CT.T04.A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22 tháng 9 năm 2026</w:t>
      </w:r>
      <w:r>
        <w:rPr>
          <w:b w:val="0"/>
          <w:i/>
          <w:spacing w:val="-6"/>
          <w:sz w:val="24"/>
          <w:szCs w:val="24"/>
          <w:highlight w:val="white"/>
          <w:lang w:val="pt-BR"/>
        </w:rPr>
        <w:t xml:space="preserve">)</w:t>
      </w:r>
      <w:r>
        <w:rPr>
          <w:b w:val="0"/>
          <w:i/>
          <w:spacing w:val="-6"/>
          <w:sz w:val="24"/>
          <w:szCs w:val="24"/>
          <w:highlight w:val="white"/>
        </w:rPr>
      </w:r>
      <w:r>
        <w:rPr>
          <w:b w:val="0"/>
          <w:i/>
          <w:spacing w:val="-6"/>
          <w:sz w:val="24"/>
          <w:szCs w:val="24"/>
          <w:highlight w:val="white"/>
        </w:rPr>
      </w:r>
    </w:p>
    <w:p>
      <w:pPr>
        <w:pStyle w:val="943"/>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THÔNG TIN VỀ DOANH NGHIỆP THẨM ĐỊNH GIÁ </w:t>
      </w:r>
      <w:r>
        <w:rPr>
          <w:b w:val="0"/>
          <w:i/>
          <w:color w:val="000000" w:themeColor="text1"/>
          <w:spacing w:val="-6"/>
          <w:sz w:val="24"/>
          <w:szCs w:val="24"/>
          <w:highlight w:val="white"/>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CỔ PHẦN THẨM ĐỊNH VÀ ĐẦU TƯ TÀI CHÍNH HOA SEN</w:t>
            </w:r>
            <w:r>
              <w:rPr>
                <w:b/>
                <w:bCs/>
                <w:color w:val="000000" w:themeColor="text1"/>
                <w:spacing w:val="-4"/>
                <w:highlight w:val="white"/>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w:t>
            </w:r>
            <w:r>
              <w:rPr>
                <w:b/>
                <w:bCs/>
                <w:highlight w:val="white"/>
              </w:rPr>
              <w:t xml:space="preserve">Vũ Văn Quân</w:t>
            </w:r>
            <w:r>
              <w:rPr>
                <w:b/>
                <w:bCs/>
                <w:color w:val="000000" w:themeColor="text1"/>
                <w:highlight w:val="white"/>
              </w:rPr>
            </w:r>
            <w:r>
              <w:rPr>
                <w:b/>
                <w:bCs/>
                <w:color w:val="000000" w:themeColor="text1"/>
                <w:highlight w:val="white"/>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Chức vụ</w:t>
            </w:r>
            <w:r>
              <w:rPr>
                <w:bCs/>
                <w:color w:val="000000" w:themeColor="text1"/>
                <w:highlight w:val="white"/>
              </w:rPr>
            </w:r>
            <w:r>
              <w:rPr>
                <w:bCs/>
                <w:color w:val="000000" w:themeColor="text1"/>
                <w:highlight w:val="white"/>
              </w:rPr>
            </w:r>
          </w:p>
        </w:tc>
        <w:tc>
          <w:tcPr>
            <w:tcBorders/>
            <w:tcW w:w="289" w:type="dxa"/>
            <w:vAlign w:val="center"/>
            <w:vMerge w:val="restart"/>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vMerge w:val="restart"/>
            <w:textDirection w:val="lrTb"/>
            <w:noWrap w:val="false"/>
          </w:tcPr>
          <w:p>
            <w:pPr>
              <w:pBdr/>
              <w:spacing w:after="40" w:before="40" w:line="276" w:lineRule="auto"/>
              <w:ind/>
              <w:rPr>
                <w:b/>
                <w:bCs/>
                <w:color w:val="000000" w:themeColor="text1"/>
                <w:highlight w:val="white"/>
              </w:rPr>
            </w:pPr>
            <w:r>
              <w:rPr>
                <w:b/>
                <w:bCs/>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Style w:val="1130"/>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THÔNG TIN CƠ BẢN VỀ CUỘC THẨM ĐỊNH GIÁ</w:t>
      </w:r>
      <w:r>
        <w:rPr>
          <w:b/>
          <w:bCs/>
          <w:color w:val="000000" w:themeColor="text1"/>
          <w:highlight w:val="white"/>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 Thông tin cơ bản về cuộc thẩm định giá:</w:t>
      </w:r>
      <w:r>
        <w:rPr>
          <w:b/>
          <w:bCs/>
          <w:color w:val="000000" w:themeColor="text1"/>
          <w:highlight w:val="white"/>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Tên khách hàng</w:t>
            </w:r>
            <w:r>
              <w:rPr>
                <w:bCs/>
                <w:highlight w:val="white"/>
              </w:rPr>
            </w:r>
            <w:r>
              <w:rPr>
                <w:bCs/>
                <w:highlight w:val="white"/>
              </w:rPr>
            </w:r>
          </w:p>
        </w:tc>
        <w:tc>
          <w:tcPr>
            <w:tcBorders/>
            <w:tcW w:w="284" w:type="dxa"/>
            <w:vAlign w:val="center"/>
            <w:textDirection w:val="lrTb"/>
            <w:noWrap w:val="false"/>
          </w:tcPr>
          <w:p>
            <w:pPr>
              <w:pStyle w:val="1130"/>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ind/>
              <w:rPr>
                <w:highlight w:val="white"/>
              </w:rPr>
            </w:pPr>
            <w:r>
              <w:rPr>
                <w:b/>
                <w:bCs/>
                <w:highlight w:val="none"/>
              </w:rPr>
              <w:t xml:space="preserve">Bà </w:t>
            </w:r>
            <w:r>
              <w:rPr>
                <w:b/>
                <w:bCs/>
                <w:highlight w:val="white"/>
              </w:rPr>
              <w:t xml:space="preserve">Nguyễn Thị Kim Hồng</w:t>
            </w:r>
            <w:r>
              <w:rPr>
                <w:highlight w:val="white"/>
              </w:rPr>
            </w:r>
            <w:r>
              <w:rPr>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CCCD:</w:t>
            </w:r>
            <w:r>
              <w:rPr>
                <w:bCs/>
                <w:highlight w:val="white"/>
              </w:rPr>
            </w:r>
            <w:r>
              <w:rPr>
                <w:bCs/>
                <w:highlight w:val="white"/>
              </w:rPr>
            </w:r>
          </w:p>
        </w:tc>
        <w:tc>
          <w:tcPr>
            <w:tcBorders/>
            <w:tcW w:w="284" w:type="dxa"/>
            <w:vAlign w:val="center"/>
            <w:textDirection w:val="lrTb"/>
            <w:noWrap w:val="false"/>
          </w:tcPr>
          <w:p>
            <w:pPr>
              <w:pStyle w:val="1130"/>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070187002752</w:t>
            </w:r>
            <w:r>
              <w:rPr>
                <w:color w:val="ff0000"/>
                <w:highlight w:val="white"/>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Địa chỉ</w:t>
            </w:r>
            <w:r>
              <w:rPr>
                <w:bCs/>
                <w:highlight w:val="white"/>
              </w:rPr>
            </w:r>
            <w:r>
              <w:rPr>
                <w:bCs/>
                <w:highlight w:val="white"/>
              </w:rPr>
            </w:r>
          </w:p>
        </w:tc>
        <w:tc>
          <w:tcPr>
            <w:tcBorders/>
            <w:tcW w:w="284" w:type="dxa"/>
            <w:vAlign w:val="center"/>
            <w:textDirection w:val="lrTb"/>
            <w:noWrap w:val="false"/>
          </w:tcPr>
          <w:p>
            <w:pPr>
              <w:pStyle w:val="1130"/>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none"/>
                <w:lang w:val="vi-VN"/>
              </w:rPr>
              <w:t xml:space="preserve">Khu vực Đề Thám, Nam Tiến, Phú Xuyên, thành phố Hà Nội </w:t>
            </w:r>
            <w:r>
              <w:rPr>
                <w:color w:val="ff0000"/>
                <w:highlight w:val="white"/>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rPr>
            </w:r>
            <w:r>
              <w:rPr>
                <w:bCs/>
                <w:highlight w:val="white"/>
              </w:rPr>
            </w:r>
          </w:p>
        </w:tc>
        <w:tc>
          <w:tcPr>
            <w:tcBorders/>
            <w:tcW w:w="284" w:type="dxa"/>
            <w:vAlign w:val="center"/>
            <w:textDirection w:val="lrTb"/>
            <w:noWrap w:val="false"/>
          </w:tcPr>
          <w:p>
            <w:pPr>
              <w:pStyle w:val="1130"/>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60" w:before="60" w:line="276" w:lineRule="auto"/>
              <w:ind/>
              <w:jc w:val="both"/>
              <w:rPr>
                <w:b/>
                <w:bCs/>
                <w:spacing w:val="2"/>
                <w:highlight w:val="white"/>
              </w:rPr>
            </w:pPr>
            <w:r>
              <w:rPr>
                <w:bCs/>
                <w:color w:val="000000" w:themeColor="text1"/>
                <w:highlight w:val="white"/>
                <w:lang w:val="pt-BR"/>
              </w:rPr>
              <w:t xml:space="preserve">Căn hộ chung cư số 1114, Tòa T2  có địa chỉ: Chung cư CT01, Trung tâm tài chính thương mại và các công trình phụ trợ, Khu đô thị mới Mỗ Lao, phường Hà Đông, thành phố Hà Nội , theo Giấy c</w:t>
            </w:r>
            <w:r>
              <w:rPr>
                <w:bCs/>
                <w:color w:val="000000" w:themeColor="text1"/>
                <w:highlight w:val="white"/>
                <w:lang w:val="pt-BR"/>
              </w:rPr>
              <w:t xml:space="preserve">hứng nhận Quyền sử dụng đất, quyền sở hữu nhà ở và tài sản khác gắn liền với đất số: AA05550164, số vào sổ cấp GCN: VP 55531 do Văn phòng đăng ký đất đai Hà Nội  cấp ngày 10/01/2026; Chủ sở hữu căn hộ chung cư là Ông Phan Văn Tuấn và bà Nguyễn Thị Kim Hồng</w:t>
            </w:r>
            <w:r>
              <w:rPr>
                <w:bCs/>
                <w:spacing w:val="2"/>
                <w:highlight w:val="white"/>
              </w:rPr>
              <w:t xml:space="preserve">.</w:t>
            </w:r>
            <w:r>
              <w:rPr>
                <w:b/>
                <w:bCs/>
                <w:spacing w:val="2"/>
                <w:highlight w:val="white"/>
              </w:rPr>
            </w:r>
            <w:r>
              <w:rPr>
                <w:b/>
                <w:bCs/>
                <w:spacing w:val="2"/>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rPr>
            </w:r>
            <w:r>
              <w:rPr>
                <w:bCs/>
                <w:highlight w:val="white"/>
              </w:rPr>
            </w:r>
          </w:p>
        </w:tc>
        <w:tc>
          <w:tcPr>
            <w:tcBorders/>
            <w:tcW w:w="284" w:type="dxa"/>
            <w:vAlign w:val="center"/>
            <w:textDirection w:val="lrTb"/>
            <w:noWrap w:val="false"/>
          </w:tcPr>
          <w:p>
            <w:pPr>
              <w:pStyle w:val="1130"/>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rPr>
            </w:r>
            <w:r>
              <w:rPr>
                <w:bCs/>
                <w:spacing w:val="-12"/>
                <w:highlight w:val="white"/>
              </w:rPr>
            </w:r>
          </w:p>
        </w:tc>
        <w:tc>
          <w:tcPr>
            <w:tcBorders/>
            <w:tcW w:w="284" w:type="dxa"/>
            <w:vAlign w:val="center"/>
            <w:textDirection w:val="lrTb"/>
            <w:noWrap w:val="false"/>
          </w:tcPr>
          <w:p>
            <w:pPr>
              <w:pStyle w:val="1130"/>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rPr>
            </w:r>
            <w:r>
              <w:rPr>
                <w:bCs/>
                <w:spacing w:val="-6"/>
                <w:highlight w:val="white"/>
              </w:rPr>
            </w:r>
          </w:p>
        </w:tc>
        <w:tc>
          <w:tcPr>
            <w:tcBorders/>
            <w:tcW w:w="284" w:type="dxa"/>
            <w:vAlign w:val="center"/>
            <w:textDirection w:val="lrTb"/>
            <w:noWrap w:val="false"/>
          </w:tcPr>
          <w:p>
            <w:pPr>
              <w:pStyle w:val="1130"/>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09/2026</w:t>
            </w:r>
            <w:r>
              <w:rPr>
                <w:highlight w:val="white"/>
                <w:lang w:val="pt-BR"/>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rPr>
            </w:r>
            <w:r>
              <w:rPr>
                <w:bCs/>
                <w:spacing w:val="-6"/>
                <w:highlight w:val="white"/>
              </w:rPr>
            </w:r>
          </w:p>
        </w:tc>
        <w:tc>
          <w:tcPr>
            <w:tcBorders/>
            <w:tcW w:w="284" w:type="dxa"/>
            <w:vAlign w:val="center"/>
            <w:textDirection w:val="lrTb"/>
            <w:noWrap w:val="false"/>
          </w:tcPr>
          <w:p>
            <w:pPr>
              <w:pStyle w:val="1130"/>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Chung cư 01, Trung tâm tài chính thương mại và các công trình phụ trợ, Khu đô thị Mỗ Lao, Quận Hà Đông, Thành phố Hà Nội</w:t>
            </w:r>
            <w:r>
              <w:rPr>
                <w:color w:val="ee0000"/>
                <w:highlight w:val="white"/>
              </w:rPr>
            </w:r>
            <w:r>
              <w:rPr>
                <w:color w:val="ee0000"/>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rPr>
            </w:r>
            <w:r>
              <w:rPr>
                <w:bCs/>
                <w:spacing w:val="-6"/>
                <w:highlight w:val="white"/>
              </w:rPr>
            </w:r>
          </w:p>
        </w:tc>
        <w:tc>
          <w:tcPr>
            <w:tcBorders/>
            <w:tcW w:w="284" w:type="dxa"/>
            <w:vAlign w:val="center"/>
            <w:textDirection w:val="lrTb"/>
            <w:noWrap w:val="false"/>
          </w:tcPr>
          <w:p>
            <w:pPr>
              <w:pStyle w:val="1130"/>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Style w:val="944"/>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20.98674, 105.7828642</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rPr>
            </w:r>
            <w:r>
              <w:rPr>
                <w:bCs/>
                <w:spacing w:val="-6"/>
                <w:highlight w:val="white"/>
              </w:rPr>
            </w:r>
          </w:p>
        </w:tc>
        <w:tc>
          <w:tcPr>
            <w:tcBorders/>
            <w:tcW w:w="284" w:type="dxa"/>
            <w:vAlign w:val="center"/>
            <w:textDirection w:val="lrTb"/>
            <w:noWrap w:val="false"/>
          </w:tcPr>
          <w:p>
            <w:pPr>
              <w:pStyle w:val="1130"/>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t xml:space="preserve">18/09/2026</w:t>
            </w:r>
            <w:r>
              <w:rPr>
                <w:highlight w:val="white"/>
                <w:lang w:val="pt-BR"/>
              </w:rPr>
              <w:t xml:space="preserve">.</w:t>
            </w:r>
            <w:r>
              <w:rPr>
                <w:highlight w:val="white"/>
              </w:rPr>
            </w:r>
            <w:r>
              <w:rPr>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 Các nguồn thông tin được sử dụng trong quá trình thẩm định giá và xem xét đánh giá các thông tin thu thập</w:t>
      </w:r>
      <w:r>
        <w:rPr>
          <w:b/>
          <w:bCs/>
          <w:color w:val="000000" w:themeColor="text1"/>
          <w:spacing w:val="-6"/>
          <w:highlight w:val="white"/>
        </w:rPr>
      </w:r>
      <w:r>
        <w:rPr>
          <w:b/>
          <w:bCs/>
          <w:color w:val="000000" w:themeColor="text1"/>
          <w:spacing w:val="-6"/>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 gọi điện trực tiếp</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những</w:t>
      </w:r>
      <w:r>
        <w:rPr>
          <w:color w:val="000000" w:themeColor="text1"/>
          <w:highlight w:val="white"/>
          <w:lang w:val="vi-VN"/>
        </w:rPr>
        <w:t xml:space="preserve"> người </w:t>
      </w:r>
      <w:r>
        <w:rPr>
          <w:color w:val="000000" w:themeColor="text1"/>
          <w:highlight w:val="white"/>
          <w:lang w:val="pt-BR"/>
        </w:rPr>
        <w:t xml:space="preserve">dân sinh</w:t>
      </w:r>
      <w:r>
        <w:rPr>
          <w:color w:val="000000" w:themeColor="text1"/>
          <w:highlight w:val="white"/>
          <w:lang w:val="vi-VN"/>
        </w:rPr>
        <w:t xml:space="preserve"> s</w:t>
      </w:r>
      <w:r>
        <w:rPr>
          <w:color w:val="000000" w:themeColor="text1"/>
          <w:highlight w:val="white"/>
          <w:lang w:val="pt-BR"/>
        </w:rPr>
        <w:t xml:space="preserve">ống xung quanh trên địa bàn.</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 và phổ biến trên thị trường.</w:t>
      </w:r>
      <w:r>
        <w:rPr>
          <w:color w:val="000000" w:themeColor="text1"/>
          <w:highlight w:val="white"/>
        </w:rPr>
      </w:r>
      <w:r>
        <w:rPr>
          <w:color w:val="000000" w:themeColor="text1"/>
          <w:highlight w:val="white"/>
        </w:rPr>
      </w:r>
    </w:p>
    <w:p>
      <w:pPr>
        <w:pStyle w:val="1130"/>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 Căn cứ pháp lý</w:t>
      </w:r>
      <w:r>
        <w:rPr>
          <w:b/>
          <w:bCs/>
          <w:color w:val="000000" w:themeColor="text1"/>
          <w:highlight w:val="white"/>
        </w:rPr>
      </w:r>
      <w:r>
        <w:rPr>
          <w:b/>
          <w:bCs/>
          <w:color w:val="000000" w:themeColor="text1"/>
          <w:highlight w:val="white"/>
        </w:rPr>
      </w:r>
    </w:p>
    <w:p>
      <w:pPr>
        <w:pStyle w:val="1130"/>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 Văn bản quy phạm pháp luật:</w:t>
      </w:r>
      <w:r>
        <w:rPr>
          <w:b/>
          <w:color w:val="000000" w:themeColor="text1"/>
          <w:highlight w:val="white"/>
        </w:rPr>
      </w:r>
      <w:r>
        <w:rPr>
          <w:b/>
          <w:color w:val="000000" w:themeColor="text1"/>
          <w:highlight w:val="white"/>
        </w:rPr>
      </w:r>
    </w:p>
    <w:p>
      <w:pPr>
        <w:pStyle w:val="1130"/>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rPr>
      </w:r>
      <w:r>
        <w:rPr>
          <w:color w:val="000000" w:themeColor="text1"/>
          <w:highlight w:val="white"/>
        </w:rPr>
      </w:r>
    </w:p>
    <w:p>
      <w:pPr>
        <w:pStyle w:val="1130"/>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của Bộ Tài chính 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 của Bộ Tài chính ban hành chuẩn mực thẩm định giá Việt Nam về thẩm định giá doanh nghiệp;</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của Bộ Tài chính ban hành chuẩn mực thẩm định giá Việt Nam về thẩm định giá tài sản vô hình;</w:t>
      </w:r>
      <w:r>
        <w:rPr>
          <w:color w:val="000000" w:themeColor="text1"/>
          <w:highlight w:val="white"/>
        </w:rPr>
      </w:r>
      <w:r>
        <w:rPr>
          <w:color w:val="000000" w:themeColor="text1"/>
          <w:highlight w:val="white"/>
        </w:rPr>
      </w:r>
    </w:p>
    <w:p>
      <w:pPr>
        <w:pStyle w:val="1130"/>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của Bộ Tài chính ban hành chuẩn mực thẩm định giá Việt Nam về thẩm định giá bất động sản;</w:t>
      </w:r>
      <w:r>
        <w:rPr>
          <w:color w:val="000000" w:themeColor="text1"/>
          <w:highlight w:val="white"/>
        </w:rPr>
      </w:r>
      <w:r>
        <w:rPr>
          <w:color w:val="000000" w:themeColor="text1"/>
          <w:highlight w:val="white"/>
        </w:rPr>
      </w:r>
    </w:p>
    <w:p>
      <w:pPr>
        <w:pStyle w:val="1130"/>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rPr>
      </w:r>
      <w:r>
        <w:rPr>
          <w:b/>
          <w:color w:val="000000" w:themeColor="text1"/>
          <w:highlight w:val="white"/>
        </w:rPr>
      </w:r>
    </w:p>
    <w:p>
      <w:pPr>
        <w:pStyle w:val="1130"/>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3.2. Các văn bản liên quan khác:</w:t>
      </w:r>
      <w:r>
        <w:rPr>
          <w:b/>
          <w:color w:val="000000" w:themeColor="text1"/>
          <w:highlight w:val="white"/>
        </w:rPr>
      </w:r>
      <w:r>
        <w:rPr>
          <w:b/>
          <w:color w:val="000000" w:themeColor="text1"/>
          <w:highlight w:val="white"/>
        </w:rPr>
      </w:r>
    </w:p>
    <w:p>
      <w:pPr>
        <w:pStyle w:val="1130"/>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Hồ sơ pháp lý của tài sản: </w:t>
      </w:r>
      <w:r>
        <w:rPr>
          <w:b/>
          <w:color w:val="000000" w:themeColor="text1"/>
          <w:highlight w:val="white"/>
        </w:rPr>
      </w:r>
      <w:r>
        <w:rPr>
          <w:b/>
          <w:color w:val="000000" w:themeColor="text1"/>
          <w:highlight w:val="white"/>
        </w:rPr>
      </w:r>
    </w:p>
    <w:p>
      <w:pPr>
        <w:pStyle w:val="1130"/>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r>
      <w:r>
        <w:rPr>
          <w:color w:val="000000" w:themeColor="text1"/>
          <w:highlight w:val="white"/>
          <w:lang w:val="pt-BR"/>
        </w:rPr>
        <w:t xml:space="preserve">.</w:t>
      </w:r>
      <w:r>
        <w:rPr>
          <w:bCs/>
          <w:color w:val="000000" w:themeColor="text1"/>
          <w:highlight w:val="white"/>
          <w:lang w:val="pt-BR"/>
        </w:rPr>
        <w:t xml:space="preserve">Giấy c</w:t>
      </w:r>
      <w:r>
        <w:rPr>
          <w:bCs/>
          <w:color w:val="000000" w:themeColor="text1"/>
          <w:highlight w:val="white"/>
          <w:lang w:val="pt-BR"/>
        </w:rPr>
        <w:t xml:space="preserve">hứng nhận Quyền sử dụng đất, quyền sở hữu nhà ở và tài sản khác gắn liền với đất số: AA05550164, số vào sổ cấp GCN: VP 55531 do Văn phòng đăng ký đất đai Hà Nội  cấp ngày 10/01/2026; Chủ sở hữu căn hộ chung cư là Ông Phan Văn Tuấn và bà Nguyễn Thị Kim Hồng</w:t>
      </w:r>
      <w:r>
        <w:rPr>
          <w:bCs/>
          <w:spacing w:val="2"/>
          <w:highlight w:val="white"/>
        </w:rPr>
        <w:t xml:space="preserve">.</w:t>
      </w:r>
      <w:r>
        <w:rPr>
          <w:i/>
          <w:iCs/>
          <w:color w:val="000000" w:themeColor="text1"/>
          <w:highlight w:val="white"/>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130"/>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dịch vụ thẩm định giá số 275/2026/1488/VFI-HĐTĐ.T04.A ngày 18/09/2026 giữa bà Nguyễn Thị Kim Hồng với Công ty Cổ phần Thẩm định và Đầu tư Tài chính Hoa Sen.</w:t>
      </w:r>
      <w:r>
        <w:rPr>
          <w:color w:val="000000" w:themeColor="text1"/>
          <w:highlight w:val="white"/>
          <w:lang w:val="pt-BR"/>
        </w:rPr>
        <w:t xml:space="preserve">.</w:t>
      </w:r>
      <w:r>
        <w:rPr>
          <w:b/>
          <w:color w:val="000000" w:themeColor="text1"/>
          <w:highlight w:val="white"/>
        </w:rPr>
      </w:r>
      <w:r>
        <w:rPr>
          <w:b/>
          <w:color w:val="000000" w:themeColor="text1"/>
          <w:highlight w:val="white"/>
        </w:rPr>
      </w:r>
    </w:p>
    <w:p>
      <w:pPr>
        <w:pStyle w:val="1130"/>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 TỔNG QUAN VỀ THỊ TRƯỜNG CỦA TÀI SẢN THẨM ĐỊNH GIÁ</w:t>
      </w:r>
      <w:r>
        <w:rPr>
          <w:b/>
          <w:bCs/>
          <w:color w:val="000000" w:themeColor="text1"/>
          <w:highlight w:val="white"/>
        </w:rPr>
      </w:r>
      <w:r>
        <w:rPr>
          <w:b/>
          <w:bCs/>
          <w:color w:val="000000" w:themeColor="text1"/>
          <w:highlight w:val="white"/>
        </w:rPr>
      </w:r>
    </w:p>
    <w:p>
      <w:pPr>
        <w:pStyle w:val="1130"/>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highlight w:val="white"/>
        </w:rPr>
      </w:pPr>
      <w:r>
        <w:rPr>
          <w:b/>
          <w:bCs/>
          <w:iCs/>
          <w:color w:val="000000" w:themeColor="text1"/>
          <w:highlight w:val="white"/>
        </w:rPr>
        <w:t xml:space="preserve">Tổng quan thị trường</w:t>
      </w:r>
      <w:r>
        <w:rPr>
          <w:b/>
          <w:bCs/>
          <w:iCs/>
          <w:color w:val="000000" w:themeColor="text1"/>
          <w:highlight w:val="white"/>
        </w:rPr>
      </w:r>
      <w:r>
        <w:rPr>
          <w:b/>
          <w:bCs/>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Thị trường căn hộ Hà Nội đang bước vào chu kỳ tăng trưởng nguồ</w:t>
      </w:r>
      <w:r>
        <w:rPr>
          <w:iCs/>
          <w:color w:val="000000" w:themeColor="text1"/>
          <w:highlight w:val="white"/>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highlight w:val="white"/>
        </w:rPr>
      </w:pPr>
      <w:r>
        <w:rPr>
          <w:highlight w:val="white"/>
        </w:rP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highlight w:val="white"/>
        </w:rPr>
      </w:r>
      <w:r>
        <w:rPr>
          <w:iCs/>
          <w:color w:val="000000" w:themeColor="text1"/>
          <w:highlight w:val="white"/>
        </w:rPr>
      </w:r>
    </w:p>
    <w:p>
      <w:pPr>
        <w:pStyle w:val="1130"/>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Tại khu đất công nghiệp cũ Cao - Xà - Lá trên đường Nguyễn Trãi, Masterise Homes đang phát triển tổ </w:t>
      </w:r>
      <w:r>
        <w:rPr>
          <w:iCs/>
          <w:color w:val="000000" w:themeColor="text1"/>
          <w:highlight w:val="white"/>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highlight w:val="white"/>
        </w:rPr>
      </w:r>
      <w:r>
        <w:rPr>
          <w:iCs/>
          <w:color w:val="000000" w:themeColor="text1"/>
          <w:highlight w:val="white"/>
        </w:rPr>
      </w:r>
    </w:p>
    <w:p>
      <w:pPr>
        <w:pStyle w:val="1130"/>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Ngoài dự án trung tâm này, Masterise Homes</w:t>
      </w:r>
      <w:r>
        <w:rPr>
          <w:iCs/>
          <w:color w:val="000000" w:themeColor="text1"/>
          <w:highlight w:val="white"/>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highlight w:val="white"/>
        </w:rPr>
      </w:r>
      <w:r>
        <w:rPr>
          <w:iCs/>
          <w:color w:val="000000" w:themeColor="text1"/>
          <w:highlight w:val="white"/>
        </w:rPr>
      </w:r>
    </w:p>
    <w:p>
      <w:pPr>
        <w:pStyle w:val="1130"/>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Trong khi đó, MIK Group liên tục gia tăng hiện diện tại Hà Nội trong khoảng 3 năm gần đây. Sau loạt dự án tại Vinhomes Smart City và The Matrix One giai đoạn 2, doanh </w:t>
      </w:r>
      <w:r>
        <w:rPr>
          <w:iCs/>
          <w:color w:val="000000" w:themeColor="text1"/>
          <w:highlight w:val="white"/>
        </w:rPr>
        <w:t xml:space="preserve">nghiệp tiếp tục tung ra Imperia Sky Park tại Nam An Khánh với 6 tòa nhà cao từ 31 - 40 tầng, cung cấp khoảng 3.000 căn hộ.</w:t>
      </w:r>
      <w:r>
        <w:rPr>
          <w:iCs/>
          <w:color w:val="000000" w:themeColor="text1"/>
          <w:highlight w:val="white"/>
        </w:rPr>
      </w:r>
      <w:r>
        <w:rPr>
          <w:iCs/>
          <w:color w:val="000000" w:themeColor="text1"/>
          <w:highlight w:val="white"/>
        </w:rPr>
      </w:r>
    </w:p>
    <w:p>
      <w:pPr>
        <w:pStyle w:val="1130"/>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Tại Long Biên, MIK Group cũng triển khai dự án The Magnolia gồm 3 tòa cao 33 tầng với hơn 500 căn hộ, nối tiếp chuỗi dự án Imperia Signature Cổ Loa và Imperia Ocean City.</w:t>
      </w:r>
      <w:r>
        <w:rPr>
          <w:iCs/>
          <w:color w:val="000000" w:themeColor="text1"/>
          <w:highlight w:val="white"/>
        </w:rPr>
      </w:r>
      <w:r>
        <w:rPr>
          <w:iCs/>
          <w:color w:val="000000" w:themeColor="text1"/>
          <w:highlight w:val="white"/>
        </w:rPr>
      </w:r>
    </w:p>
    <w:p>
      <w:pPr>
        <w:pStyle w:val="1130"/>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Sunshine Group cũng cho thấy tham vọng lớn khi đồng loạt khởi công 3 dự án gồm Noble West Lake Hanoi, Sunshine River Park và Sunshine Continental.</w:t>
      </w:r>
      <w:r>
        <w:rPr>
          <w:iCs/>
          <w:color w:val="000000" w:themeColor="text1"/>
          <w:highlight w:val="white"/>
        </w:rPr>
      </w:r>
      <w:r>
        <w:rPr>
          <w:iCs/>
          <w:color w:val="000000" w:themeColor="text1"/>
          <w:highlight w:val="white"/>
        </w:rPr>
      </w:r>
    </w:p>
    <w:p>
      <w:pPr>
        <w:pStyle w:val="1130"/>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Tr</w:t>
      </w:r>
      <w:r>
        <w:rPr>
          <w:iCs/>
          <w:color w:val="000000" w:themeColor="text1"/>
          <w:highlight w:val="white"/>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Điểm đáng chú ý là phần lớn nguồn cung mới đều thuộc phân khúc cao cấp và hạng sang.</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Các d</w:t>
      </w:r>
      <w:r>
        <w:rPr>
          <w:iCs/>
          <w:color w:val="000000" w:themeColor="text1"/>
          <w:highlight w:val="white"/>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Dữ liệu của CBRE Hà Nội cho thấy quý 1 vừa qua là quý thứ 3 liên tiếp giá căn hộ sơ cấp tại Hà Nội duy trì trên ngưỡng 100 triệu đồng/m2.</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Giá bán bình quân đạt 102 triệu đồng/m2, tăng 29% so với cùng kỳ năm trước và thậm chí vượt TP.HCM trước thời điểm sáp nhập.</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w:t>
      </w:r>
      <w:r>
        <w:rPr>
          <w:i/>
          <w:color w:val="000000" w:themeColor="text1"/>
          <w:highlight w:val="white"/>
        </w:rPr>
        <w:t xml:space="preserve">Các doanh nghiệp lớn sở hữu quỹ đất tố</w:t>
      </w:r>
      <w:r>
        <w:rPr>
          <w:i/>
          <w:color w:val="000000" w:themeColor="text1"/>
          <w:highlight w:val="white"/>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highlight w:val="white"/>
        </w:rPr>
        <w:t xml:space="preserve">”, ông Đính nhận định.</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highlight w:val="white"/>
        </w:rPr>
      </w:pPr>
      <w:r>
        <w:rPr>
          <w:highlight w:val="white"/>
        </w:rP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Đồng quan điểm, ông Phạm Đức Toản, Tổng giám đốc Công ty Bất động sản EZ cho rằng thị trường căn hộ Hà Nội đang rơi vào trạng thái “lệch pha cung - cầu”.</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w:t>
      </w:r>
      <w:r>
        <w:rPr>
          <w:i/>
          <w:color w:val="000000" w:themeColor="text1"/>
          <w:highlight w:val="white"/>
        </w:rPr>
        <w:t xml:space="preserve">Nhu </w:t>
      </w:r>
      <w:r>
        <w:rPr>
          <w:i/>
          <w:color w:val="000000" w:themeColor="text1"/>
          <w:highlight w:val="white"/>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highlight w:val="white"/>
        </w:rPr>
        <w:t xml:space="preserve">”, ông Toản nói.</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Dù đang chiếm ưu thế tuyệt đối về nguồn cung, các chủ đầu tư lớn cũng sẽ đối mặt nhiều áp lực hơn khi thị trường bước vào chu kỳ cạnh tranh mới.</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CBRE dự báo tổng nguồn cung mở bán mới tại Hà Nội trong năm nay có thể đạt khoảng 36.000 căn, tương đương năm trước và vượt xa giai đoạn 2020 - 2024.</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Trong khi đó, nhu cầu đầu tư căn hộ đã có dấu hiệu chững lại từ cuối năm ngoái khi lãi suất vay mua nhà tăng trở lại, còn mặt bằng giá tiếp tục neo cao.</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Các chuyên gia cho rằng trong bối cảnh cạnh tranh ngày càng lớn, các chủ đầu tư sẽ buộc phải điều chỉnh</w:t>
      </w:r>
      <w:r>
        <w:rPr>
          <w:iCs/>
          <w:color w:val="000000" w:themeColor="text1"/>
          <w:highlight w:val="white"/>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highlight w:val="white"/>
        </w:rPr>
      </w:r>
      <w:r>
        <w:rPr>
          <w:iCs/>
          <w:color w:val="000000" w:themeColor="text1"/>
          <w:highlight w:val="white"/>
        </w:rPr>
      </w:r>
    </w:p>
    <w:p>
      <w:pPr>
        <w:pStyle w:val="1130"/>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highlight w:val="white"/>
        </w:rPr>
      </w:pPr>
      <w:r>
        <w:rPr>
          <w:i/>
          <w:color w:val="000000" w:themeColor="text1"/>
          <w:highlight w:val="white"/>
        </w:rPr>
        <w:t xml:space="preserve">(Nguồn tham khảo: </w:t>
      </w:r>
      <w:r>
        <w:rPr>
          <w:i/>
          <w:iCs/>
          <w:highlight w:val="white"/>
        </w:rPr>
        <w:t xml:space="preserve">https://24hmoney.vn/news/dien-bien-thi-truong-chung-cu-ha-noi-c3a2791802.html)</w:t>
      </w:r>
      <w:r>
        <w:rPr>
          <w:iCs/>
          <w:color w:val="000000" w:themeColor="text1"/>
          <w:highlight w:val="white"/>
        </w:rPr>
      </w:r>
      <w:r>
        <w:rPr>
          <w:iCs/>
          <w:color w:val="000000" w:themeColor="text1"/>
          <w:highlight w:val="white"/>
        </w:rPr>
      </w:r>
    </w:p>
    <w:p>
      <w:pPr>
        <w:pStyle w:val="1130"/>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highlight w:val="white"/>
        </w:rPr>
      </w:pPr>
      <w:r>
        <w:rPr>
          <w:b/>
          <w:bCs/>
          <w:iCs/>
          <w:color w:val="000000" w:themeColor="text1"/>
          <w:highlight w:val="white"/>
        </w:rPr>
        <w:t xml:space="preserve">Tổng quan dự án</w:t>
      </w:r>
      <w:r>
        <w:rPr>
          <w:b/>
          <w:bCs/>
          <w:iCs/>
          <w:color w:val="000000" w:themeColor="text1"/>
          <w:highlight w:val="white"/>
        </w:rPr>
      </w:r>
      <w:r>
        <w:rPr>
          <w:b/>
          <w:bCs/>
          <w:iCs/>
          <w:color w:val="000000" w:themeColor="text1"/>
          <w:highlight w:val="white"/>
        </w:rPr>
      </w:r>
    </w:p>
    <w:p>
      <w:pPr>
        <w:pStyle w:val="1130"/>
        <w:numPr>
          <w:ilvl w:val="0"/>
          <w:numId w:val="41"/>
        </w:numPr>
        <w:pBdr/>
        <w:spacing/>
        <w:ind/>
        <w:rPr>
          <w:sz w:val="22"/>
          <w:szCs w:val="22"/>
          <w:highlight w:val="white"/>
        </w:rPr>
      </w:pPr>
      <w:r>
        <w:rPr>
          <w:b/>
          <w:bCs/>
          <w:sz w:val="24"/>
          <w:szCs w:val="24"/>
          <w:highlight w:val="white"/>
        </w:rPr>
        <w:t xml:space="preserve">Giới thiệu dự án</w:t>
      </w:r>
      <w:r>
        <w:rPr>
          <w:sz w:val="22"/>
          <w:szCs w:val="22"/>
          <w:highlight w:val="white"/>
        </w:rPr>
      </w:r>
      <w:r>
        <w:rPr>
          <w:sz w:val="22"/>
          <w:szCs w:val="22"/>
          <w:highlight w:val="white"/>
        </w:rPr>
      </w:r>
    </w:p>
    <w:p>
      <w:pPr>
        <w:pBdr/>
        <w:spacing/>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Khu đô thị Mỗ Lao tọa lạc tại quận Hà Đông, cách </w:t>
      </w:r>
      <w:r>
        <w:rPr>
          <w:rFonts w:ascii="Times New Roman" w:hAnsi="Times New Roman" w:eastAsia="Times New Roman" w:cs="Times New Roman"/>
          <w:sz w:val="24"/>
          <w:szCs w:val="24"/>
          <w:highlight w:val="white"/>
        </w:rPr>
        <w:t xml:space="preserve">trung tâm Hà Nội 10km, nằm giữa 2 trục đường quốc lộ 6 và Lê Văn Lương kéo dài. Được xem là điểm sáng của các Khu đô thị phía Bắc với vị trí rất thuận lợi, Khu đô thị Mỗ Lao chỉ cách trung tâm Thủ đô 10km, nằm giữa 2 trục đường lớn: đường cao tốc Láng - Hò</w:t>
      </w:r>
      <w:r>
        <w:rPr>
          <w:rFonts w:ascii="Times New Roman" w:hAnsi="Times New Roman" w:eastAsia="Times New Roman" w:cs="Times New Roman"/>
          <w:sz w:val="24"/>
          <w:szCs w:val="24"/>
          <w:highlight w:val="white"/>
        </w:rPr>
        <w:t xml:space="preserve">a Lạc kéo dài và Quốc lộ 6, được quy hoạch trên diện tích 126 ha. Trong đó, Khu đô thị mới chiếm 62 ha, khu dân cư đang ở được chỉnh trang là 64 ha.
Đáng chú ý nhất ở Khu đô thị Mỗ Lao là Khu trung tâm tài chính, thương mại, văn phòng... Tại đây sẽ có một </w:t>
      </w:r>
      <w:r>
        <w:rPr>
          <w:rFonts w:ascii="Times New Roman" w:hAnsi="Times New Roman" w:eastAsia="Times New Roman" w:cs="Times New Roman"/>
          <w:sz w:val="24"/>
          <w:szCs w:val="24"/>
          <w:highlight w:val="white"/>
        </w:rPr>
        <w:t xml:space="preserve">tòa tháp đôi cao 37 tầng, khu Triển lãm ngoài trời, Trung tâm ngôn ngữ, Trụ sở các cơ quan, đơn vị... Ngoài ra, Khu đô thị còn dành hơn 6,6 ha để trồng cây xanh. Hệ thống giao thông được quy hoạch hiện đại, với quy mô hẹp nhất là 11,5m và rộng nhất là 36m.</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Bdr/>
        <w:spacing/>
        <w:ind/>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4677115" cy="308533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859940" name=""/>
                        <pic:cNvPicPr>
                          <a:picLocks noChangeAspect="1"/>
                        </pic:cNvPicPr>
                        <pic:nvPr/>
                      </pic:nvPicPr>
                      <pic:blipFill rotWithShape="1">
                        <a:blip r:embed="rId19"/>
                        <a:stretch/>
                      </pic:blipFill>
                      <pic:spPr bwMode="auto">
                        <a:xfrm flipH="0" flipV="0">
                          <a:off x="0" y="0"/>
                          <a:ext cx="4677114" cy="30853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68.28pt;height:242.94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Bdr/>
        <w:spacing/>
        <w:ind/>
        <w:jc w:val="center"/>
        <w:rPr>
          <w:rFonts w:ascii="Times New Roman" w:hAnsi="Times New Roman" w:cs="Times New Roman"/>
          <w:b/>
          <w:bCs/>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color w:val="000000"/>
          <w:sz w:val="24"/>
          <w:szCs w:val="24"/>
          <w:highlight w:val="white"/>
        </w:rPr>
        <w:t xml:space="preserve">Phối cảnh khu đô thị mỗ lao hà đông</w:t>
      </w:r>
      <w:r>
        <w:rPr>
          <w:rFonts w:ascii="Times New Roman" w:hAnsi="Times New Roman" w:cs="Times New Roman"/>
          <w:b/>
          <w:bCs/>
          <w:sz w:val="24"/>
          <w:szCs w:val="24"/>
          <w:highlight w:val="white"/>
        </w:rPr>
      </w:r>
      <w:r>
        <w:rPr>
          <w:rFonts w:ascii="Times New Roman" w:hAnsi="Times New Roman" w:cs="Times New Roman"/>
          <w:b/>
          <w:bCs/>
          <w:sz w:val="24"/>
          <w:szCs w:val="24"/>
          <w:highlight w:val="white"/>
        </w:rPr>
      </w:r>
    </w:p>
    <w:p>
      <w:pPr>
        <w:pStyle w:val="1130"/>
        <w:numPr>
          <w:ilvl w:val="0"/>
          <w:numId w:val="42"/>
        </w:numPr>
        <w:pBdr/>
        <w:spacing/>
        <w:ind/>
        <w:jc w:val="left"/>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b/>
          <w:bCs/>
          <w:sz w:val="24"/>
          <w:szCs w:val="24"/>
          <w:highlight w:val="white"/>
        </w:rPr>
        <w:t xml:space="preserve">Vị trí dự án</w:t>
      </w:r>
      <w:r>
        <w:rPr>
          <w:rFonts w:ascii="Times New Roman" w:hAnsi="Times New Roman" w:eastAsia="Times New Roman" w:cs="Times New Roman"/>
          <w:sz w:val="24"/>
          <w:szCs w:val="24"/>
          <w:highlight w:val="white"/>
        </w:rPr>
        <w:t xml:space="preserve">: </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Bdr/>
        <w:spacing/>
        <w:ind w:firstLine="0" w:left="0"/>
        <w:jc w:val="both"/>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color w:val="000000"/>
          <w:sz w:val="24"/>
          <w:szCs w:val="24"/>
          <w:highlight w:val="white"/>
        </w:rPr>
        <w:t xml:space="preserve">Chung cư cao cấp Euro Land được xây dựng trên diện tích 8.238 m2 tại Khu Đô thị Mỗ Lao, phường Mộ Lao, quận Hà Đông, thành phố Hà Nội. Euro Land nằm giữa hai tuyến đường chính là Quốc lộ 6 và đường Lê Văn Lương kéo dài, cách Trung tâm Hội nghị Quốc gia kho</w:t>
      </w:r>
      <w:r>
        <w:rPr>
          <w:rFonts w:ascii="Times New Roman" w:hAnsi="Times New Roman" w:eastAsia="Times New Roman" w:cs="Times New Roman"/>
          <w:color w:val="000000"/>
          <w:sz w:val="24"/>
          <w:szCs w:val="24"/>
          <w:highlight w:val="white"/>
        </w:rPr>
        <w:t xml:space="preserve">ảng 1,5 km. Đây là một trong những dự án do Công ty TSQ Việt Nam làm Chủ Đầu tư.</w:t>
      </w:r>
      <w:r>
        <w:rPr>
          <w:rFonts w:ascii="Times New Roman" w:hAnsi="Times New Roman" w:eastAsia="Times New Roman" w:cs="Times New Roman"/>
          <w:sz w:val="24"/>
          <w:szCs w:val="24"/>
          <w:highlight w:val="white"/>
        </w:rPr>
        <w:t xml:space="preserve"> </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1124"/>
        <w:numPr>
          <w:ilvl w:val="0"/>
          <w:numId w:val="43"/>
        </w:numPr>
        <w:pBdr/>
        <w:spacing/>
        <w:ind/>
        <w:rPr>
          <w:rFonts w:ascii="Times New Roman" w:hAnsi="Times New Roman" w:cs="Times New Roman"/>
          <w:szCs w:val="24"/>
          <w:highlight w:val="white"/>
        </w:rPr>
      </w:pPr>
      <w:r>
        <w:rPr>
          <w:rFonts w:ascii="Times New Roman" w:hAnsi="Times New Roman" w:eastAsia="Times New Roman" w:cs="Times New Roman"/>
          <w:color w:val="000000"/>
          <w:sz w:val="24"/>
          <w:szCs w:val="24"/>
          <w:highlight w:val="white"/>
        </w:rPr>
        <w:t xml:space="preserve">Tổng diện tích: 8.238 m2</w:t>
      </w:r>
      <w:r>
        <w:rPr>
          <w:rFonts w:ascii="Times New Roman" w:hAnsi="Times New Roman" w:cs="Times New Roman"/>
          <w:szCs w:val="24"/>
          <w:highlight w:val="white"/>
        </w:rPr>
      </w:r>
      <w:r>
        <w:rPr>
          <w:rFonts w:ascii="Times New Roman" w:hAnsi="Times New Roman" w:cs="Times New Roman"/>
          <w:szCs w:val="24"/>
          <w:highlight w:val="white"/>
        </w:rPr>
      </w:r>
    </w:p>
    <w:p>
      <w:pPr>
        <w:pStyle w:val="1124"/>
        <w:numPr>
          <w:ilvl w:val="0"/>
          <w:numId w:val="43"/>
        </w:numPr>
        <w:pBdr/>
        <w:spacing/>
        <w:ind/>
        <w:rPr>
          <w:rFonts w:ascii="Times New Roman" w:hAnsi="Times New Roman" w:cs="Times New Roman"/>
          <w:szCs w:val="24"/>
          <w:highlight w:val="white"/>
        </w:rPr>
      </w:pPr>
      <w:r>
        <w:rPr>
          <w:rFonts w:ascii="Times New Roman" w:hAnsi="Times New Roman" w:eastAsia="Times New Roman" w:cs="Times New Roman"/>
          <w:color w:val="000000"/>
          <w:sz w:val="24"/>
          <w:szCs w:val="24"/>
          <w:highlight w:val="white"/>
        </w:rPr>
        <w:t xml:space="preserve">Số tầng cao: 29 tầng</w:t>
      </w:r>
      <w:r>
        <w:rPr>
          <w:rFonts w:ascii="Times New Roman" w:hAnsi="Times New Roman" w:cs="Times New Roman"/>
          <w:szCs w:val="24"/>
          <w:highlight w:val="white"/>
        </w:rPr>
      </w:r>
      <w:r>
        <w:rPr>
          <w:rFonts w:ascii="Times New Roman" w:hAnsi="Times New Roman" w:cs="Times New Roman"/>
          <w:szCs w:val="24"/>
          <w:highlight w:val="white"/>
        </w:rPr>
      </w:r>
    </w:p>
    <w:p>
      <w:pPr>
        <w:pStyle w:val="1124"/>
        <w:numPr>
          <w:ilvl w:val="0"/>
          <w:numId w:val="43"/>
        </w:numPr>
        <w:pBdr/>
        <w:spacing/>
        <w:ind/>
        <w:rPr>
          <w:rFonts w:ascii="Times New Roman" w:hAnsi="Times New Roman" w:cs="Times New Roman"/>
          <w:szCs w:val="24"/>
          <w:highlight w:val="white"/>
        </w:rPr>
      </w:pPr>
      <w:r>
        <w:rPr>
          <w:rFonts w:ascii="Times New Roman" w:hAnsi="Times New Roman" w:eastAsia="Times New Roman" w:cs="Times New Roman"/>
          <w:color w:val="000000"/>
          <w:sz w:val="24"/>
          <w:szCs w:val="24"/>
          <w:highlight w:val="white"/>
        </w:rPr>
        <w:t xml:space="preserve">Thời gian khởi công: 2008</w:t>
      </w:r>
      <w:r>
        <w:rPr>
          <w:rFonts w:ascii="Times New Roman" w:hAnsi="Times New Roman" w:cs="Times New Roman"/>
          <w:szCs w:val="24"/>
          <w:highlight w:val="white"/>
        </w:rPr>
      </w:r>
      <w:r>
        <w:rPr>
          <w:rFonts w:ascii="Times New Roman" w:hAnsi="Times New Roman" w:cs="Times New Roman"/>
          <w:szCs w:val="24"/>
          <w:highlight w:val="white"/>
        </w:rPr>
      </w:r>
    </w:p>
    <w:p>
      <w:pPr>
        <w:pStyle w:val="1124"/>
        <w:numPr>
          <w:ilvl w:val="0"/>
          <w:numId w:val="43"/>
        </w:numPr>
        <w:pBdr/>
        <w:spacing/>
        <w:ind/>
        <w:rPr>
          <w:rFonts w:ascii="Times New Roman" w:hAnsi="Times New Roman" w:cs="Times New Roman"/>
          <w:sz w:val="24"/>
          <w:szCs w:val="24"/>
          <w:highlight w:val="white"/>
        </w:rPr>
      </w:pPr>
      <w:r>
        <w:rPr>
          <w:rFonts w:ascii="Times New Roman" w:hAnsi="Times New Roman" w:eastAsia="Times New Roman" w:cs="Times New Roman"/>
          <w:color w:val="000000"/>
          <w:sz w:val="24"/>
          <w:szCs w:val="24"/>
          <w:highlight w:val="white"/>
        </w:rPr>
        <w:t xml:space="preserve">Tông vốn đầu tư: 800 tỷ VNĐ</w:t>
      </w:r>
      <w:r>
        <w:rPr>
          <w:rFonts w:ascii="Times New Roman" w:hAnsi="Times New Roman" w:eastAsia="Times New Roman" w:cs="Times New Roman"/>
          <w:color w:val="000000"/>
          <w:sz w:val="24"/>
          <w:szCs w:val="24"/>
          <w:highlight w:val="white"/>
        </w:rPr>
        <w:t xml:space="preserve">Tiến độ: Đã hoàn thành</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1124"/>
        <w:pBdr/>
        <w:spacing/>
        <w:ind w:firstLine="0" w:left="0"/>
        <w:rPr>
          <w:rFonts w:ascii="Times New Roman" w:hAnsi="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t xml:space="preserve">Chung cư cao cấp có kiểu dáng kiến trúc công trình cũng như sự bố trí công năng của căn hộ hiện đại, độc đáo và sang trọng nhưng vẫn gần gũi với phong cách Á Đông, bởi vừa hiện đại, tiện nghi cho người sử dụng, vừa đảm bảo điều kiện sống, mức sống và tập q</w:t>
      </w:r>
      <w:r>
        <w:rPr>
          <w:rFonts w:ascii="Times New Roman" w:hAnsi="Times New Roman" w:eastAsia="Times New Roman" w:cs="Times New Roman"/>
          <w:color w:val="000000"/>
          <w:sz w:val="24"/>
          <w:szCs w:val="24"/>
          <w:highlight w:val="white"/>
        </w:rPr>
        <w:t xml:space="preserve">uán của địa phương. Với diện tích 80 m2 và 125 m2 mỗi căn hộ, Euro Land gồm 2 tòa nhà, mỗi tòa 29 tầng trên mặt đất và một tầng hầm, cung cấp khoảng 600 căn hộ cao cấp cùng các dịch vụ thương mại và hạ tầng phụ trợ khác.</w:t>
      </w:r>
      <w:r>
        <w:rPr>
          <w:rFonts w:ascii="Times New Roman" w:hAnsi="Times New Roman" w:cs="Times New Roman"/>
          <w:color w:val="000000"/>
          <w:sz w:val="24"/>
          <w:szCs w:val="24"/>
          <w:highlight w:val="white"/>
        </w:rPr>
      </w:r>
      <w:r>
        <w:rPr>
          <w:rFonts w:ascii="Times New Roman" w:hAnsi="Times New Roman" w:cs="Times New Roman"/>
          <w:color w:val="000000"/>
          <w:sz w:val="24"/>
          <w:szCs w:val="24"/>
          <w:highlight w:val="white"/>
        </w:rPr>
      </w:r>
    </w:p>
    <w:p>
      <w:pPr>
        <w:pBdr/>
        <w:spacing/>
        <w:ind w:firstLine="0" w:left="0"/>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3592075" cy="256555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76649" name=""/>
                        <pic:cNvPicPr>
                          <a:picLocks noChangeAspect="1"/>
                        </pic:cNvPicPr>
                        <pic:nvPr/>
                      </pic:nvPicPr>
                      <pic:blipFill rotWithShape="1">
                        <a:blip r:embed="rId20"/>
                        <a:stretch/>
                      </pic:blipFill>
                      <pic:spPr bwMode="auto">
                        <a:xfrm flipH="0" flipV="0">
                          <a:off x="0" y="0"/>
                          <a:ext cx="3592074" cy="25655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82.84pt;height:202.01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b/>
          <w:bCs/>
          <w:sz w:val="24"/>
          <w:szCs w:val="24"/>
          <w:highlight w:val="white"/>
        </w:rPr>
        <w:t xml:space="preserve">Hình ảnh vị trí dự án</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1130"/>
        <w:numPr>
          <w:ilvl w:val="0"/>
          <w:numId w:val="44"/>
        </w:numPr>
        <w:pBdr/>
        <w:spacing/>
        <w:ind/>
        <w:jc w:val="left"/>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rPr>
      </w:r>
      <w:r>
        <w:rPr>
          <w:rFonts w:ascii="Times New Roman" w:hAnsi="Times New Roman" w:eastAsia="Times New Roman" w:cs="Times New Roman"/>
          <w:b/>
          <w:bCs/>
          <w:sz w:val="24"/>
          <w:szCs w:val="24"/>
          <w:highlight w:val="white"/>
        </w:rPr>
        <w:t xml:space="preserve">Mô tả liên kết khu vực dự án</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Bdr>
          <w:top w:val="none" w:color="000000" w:sz="4" w:space="0"/>
          <w:left w:val="none" w:color="000000" w:sz="4" w:space="0"/>
          <w:bottom w:val="none" w:color="000000" w:sz="4" w:space="0"/>
          <w:right w:val="none" w:color="000000" w:sz="4" w:space="0"/>
        </w:pBdr>
        <w:shd w:val="clear" w:color="ffffff" w:fill="ffffff"/>
        <w:spacing w:after="143"/>
        <w:ind w:right="0" w:firstLine="0" w:left="0"/>
        <w:rPr>
          <w:rFonts w:ascii="Times New Roman" w:hAnsi="Times New Roman" w:cs="Times New Roman"/>
          <w:b w:val="0"/>
          <w:bCs w:val="0"/>
          <w:szCs w:val="24"/>
          <w:highlight w:val="white"/>
        </w:rPr>
      </w:pPr>
      <w:r>
        <w:rPr>
          <w:rFonts w:ascii="Times New Roman" w:hAnsi="Times New Roman" w:eastAsia="Times New Roman" w:cs="Times New Roman"/>
          <w:b w:val="0"/>
          <w:bCs w:val="0"/>
          <w:color w:val="2d2d2d"/>
          <w:sz w:val="24"/>
          <w:szCs w:val="24"/>
          <w:highlight w:val="white"/>
        </w:rPr>
        <w:t xml:space="preserve">Đường trục chính:</w:t>
      </w:r>
      <w:r>
        <w:rPr>
          <w:rFonts w:ascii="Times New Roman" w:hAnsi="Times New Roman" w:eastAsia="Times New Roman" w:cs="Times New Roman"/>
          <w:b w:val="0"/>
          <w:bCs w:val="0"/>
          <w:color w:val="2d2d2d"/>
          <w:sz w:val="24"/>
          <w:szCs w:val="24"/>
          <w:highlight w:val="white"/>
        </w:rPr>
        <w:t xml:space="preserve"> Mặt tiền đường </w:t>
      </w:r>
      <w:r>
        <w:rPr>
          <w:rFonts w:ascii="Times New Roman" w:hAnsi="Times New Roman" w:eastAsia="Times New Roman" w:cs="Times New Roman"/>
          <w:b w:val="0"/>
          <w:bCs w:val="0"/>
          <w:color w:val="2d2d2d"/>
          <w:sz w:val="24"/>
          <w:szCs w:val="24"/>
          <w:highlight w:val="white"/>
        </w:rPr>
        <w:t xml:space="preserve">Lê Trọng Tấn</w:t>
      </w:r>
      <w:r>
        <w:rPr>
          <w:rFonts w:ascii="Times New Roman" w:hAnsi="Times New Roman" w:eastAsia="Times New Roman" w:cs="Times New Roman"/>
          <w:b w:val="0"/>
          <w:bCs w:val="0"/>
          <w:color w:val="2d2d2d"/>
          <w:sz w:val="24"/>
          <w:szCs w:val="24"/>
          <w:highlight w:val="white"/>
        </w:rPr>
        <w:t xml:space="preserve"> (đường 4 làn, rộng 40m) – trục đường huyết mạch nối trung tâm Hà Nội (Cầu Giấy, Thanh Xuân) với Hà Đông, Hòa Lạc, Cao tốc CT08.</w:t>
      </w:r>
      <w:r>
        <w:rPr>
          <w:rFonts w:ascii="Times New Roman" w:hAnsi="Times New Roman" w:cs="Times New Roman"/>
          <w:b w:val="0"/>
          <w:bCs w:val="0"/>
          <w:szCs w:val="24"/>
          <w:highlight w:val="white"/>
        </w:rPr>
      </w:r>
      <w:r>
        <w:rPr>
          <w:rFonts w:ascii="Times New Roman" w:hAnsi="Times New Roman" w:cs="Times New Roman"/>
          <w:b w:val="0"/>
          <w:bCs w:val="0"/>
          <w:szCs w:val="24"/>
          <w:highlight w:val="white"/>
        </w:rPr>
      </w:r>
    </w:p>
    <w:p>
      <w:pPr>
        <w:pBdr>
          <w:top w:val="none" w:color="000000" w:sz="4" w:space="0"/>
          <w:left w:val="none" w:color="000000" w:sz="4" w:space="0"/>
          <w:bottom w:val="none" w:color="000000" w:sz="4" w:space="0"/>
          <w:right w:val="none" w:color="000000" w:sz="4" w:space="0"/>
        </w:pBdr>
        <w:shd w:val="clear" w:color="ffffff" w:fill="ffffff"/>
        <w:spacing w:after="143"/>
        <w:ind w:right="0" w:firstLine="0" w:left="0"/>
        <w:rPr>
          <w:rFonts w:ascii="Times New Roman" w:hAnsi="Times New Roman" w:cs="Times New Roman"/>
          <w:b w:val="0"/>
          <w:bCs w:val="0"/>
          <w:szCs w:val="24"/>
          <w:highlight w:val="white"/>
        </w:rPr>
      </w:pPr>
      <w:r>
        <w:rPr>
          <w:rFonts w:ascii="Times New Roman" w:hAnsi="Times New Roman" w:eastAsia="Times New Roman" w:cs="Times New Roman"/>
          <w:b w:val="0"/>
          <w:bCs w:val="0"/>
          <w:color w:val="2d2d2d"/>
          <w:sz w:val="24"/>
          <w:szCs w:val="24"/>
          <w:highlight w:val="white"/>
        </w:rPr>
        <w:t xml:space="preserve">Metro Ga Hà Đông (Ga Cát Linh – Hà Đông):</w:t>
      </w:r>
      <w:r>
        <w:rPr>
          <w:rFonts w:ascii="Times New Roman" w:hAnsi="Times New Roman" w:eastAsia="Times New Roman" w:cs="Times New Roman"/>
          <w:b w:val="0"/>
          <w:bCs w:val="0"/>
          <w:color w:val="2d2d2d"/>
          <w:sz w:val="24"/>
          <w:szCs w:val="24"/>
          <w:highlight w:val="white"/>
        </w:rPr>
        <w:t xml:space="preserve"> Chỉ cách dự án </w:t>
      </w:r>
      <w:r>
        <w:rPr>
          <w:rFonts w:ascii="Times New Roman" w:hAnsi="Times New Roman" w:eastAsia="Times New Roman" w:cs="Times New Roman"/>
          <w:b w:val="0"/>
          <w:bCs w:val="0"/>
          <w:color w:val="2d2d2d"/>
          <w:sz w:val="24"/>
          <w:szCs w:val="24"/>
          <w:highlight w:val="white"/>
        </w:rPr>
        <w:t xml:space="preserve">~500m – 700m</w:t>
      </w:r>
      <w:r>
        <w:rPr>
          <w:rFonts w:ascii="Times New Roman" w:hAnsi="Times New Roman" w:eastAsia="Times New Roman" w:cs="Times New Roman"/>
          <w:b w:val="0"/>
          <w:bCs w:val="0"/>
          <w:color w:val="2d2d2d"/>
          <w:sz w:val="24"/>
          <w:szCs w:val="24"/>
          <w:highlight w:val="white"/>
        </w:rPr>
        <w:t xml:space="preserve"> (đi bộ 5-8 phút). Đây là “cây gậy phép thuật” đẩy giá trị bất động sản khu vực bứt phá. Người dân di chuyển vào trung tâm Hà Nội (Cát Linh, Văn Miếu, Hồ Gươm) chỉ trong 20-25 phút, tránh hoàn toàn kẹt xe giờ cao điểm.</w:t>
      </w:r>
      <w:r>
        <w:rPr>
          <w:rFonts w:ascii="Times New Roman" w:hAnsi="Times New Roman" w:cs="Times New Roman"/>
          <w:b w:val="0"/>
          <w:bCs w:val="0"/>
          <w:szCs w:val="24"/>
          <w:highlight w:val="white"/>
        </w:rPr>
      </w:r>
      <w:r>
        <w:rPr>
          <w:rFonts w:ascii="Times New Roman" w:hAnsi="Times New Roman" w:cs="Times New Roman"/>
          <w:b w:val="0"/>
          <w:bCs w:val="0"/>
          <w:szCs w:val="24"/>
          <w:highlight w:val="white"/>
        </w:rPr>
      </w:r>
    </w:p>
    <w:p>
      <w:pPr>
        <w:pBdr>
          <w:top w:val="none" w:color="000000" w:sz="4" w:space="0"/>
          <w:left w:val="none" w:color="000000" w:sz="4" w:space="0"/>
          <w:bottom w:val="none" w:color="000000" w:sz="4" w:space="0"/>
          <w:right w:val="none" w:color="000000" w:sz="4" w:space="0"/>
        </w:pBdr>
        <w:shd w:val="clear" w:color="ffffff" w:fill="ffffff"/>
        <w:spacing w:after="143"/>
        <w:ind w:right="0" w:firstLine="0" w:left="0"/>
        <w:rPr>
          <w:rFonts w:ascii="Times New Roman" w:hAnsi="Times New Roman" w:cs="Times New Roman"/>
          <w:b w:val="0"/>
          <w:bCs w:val="0"/>
          <w:szCs w:val="24"/>
          <w:highlight w:val="white"/>
        </w:rPr>
      </w:pPr>
      <w:r>
        <w:rPr>
          <w:rFonts w:ascii="Times New Roman" w:hAnsi="Times New Roman" w:eastAsia="Times New Roman" w:cs="Times New Roman"/>
          <w:b w:val="0"/>
          <w:bCs w:val="0"/>
          <w:color w:val="2d2d2d"/>
          <w:sz w:val="24"/>
          <w:szCs w:val="24"/>
          <w:highlight w:val="white"/>
        </w:rPr>
        <w:t xml:space="preserve">Cây cầu mới/Cầu vượt:</w:t>
      </w:r>
      <w:r>
        <w:rPr>
          <w:rFonts w:ascii="Times New Roman" w:hAnsi="Times New Roman" w:eastAsia="Times New Roman" w:cs="Times New Roman"/>
          <w:b w:val="0"/>
          <w:bCs w:val="0"/>
          <w:color w:val="2d2d2d"/>
          <w:sz w:val="24"/>
          <w:szCs w:val="24"/>
          <w:highlight w:val="white"/>
        </w:rPr>
        <w:t xml:space="preserve"> Cầu Vĩnh Tuy, Cầu Nguyễn Trãi, Cầu Phùng, Cầu vượt Lê Trọng Tấn giúp phân luồng giao thông cực kỳ hiệu quả.</w:t>
      </w:r>
      <w:r>
        <w:rPr>
          <w:rFonts w:ascii="Times New Roman" w:hAnsi="Times New Roman" w:cs="Times New Roman"/>
          <w:b w:val="0"/>
          <w:bCs w:val="0"/>
          <w:szCs w:val="24"/>
          <w:highlight w:val="white"/>
        </w:rPr>
      </w:r>
      <w:r>
        <w:rPr>
          <w:rFonts w:ascii="Times New Roman" w:hAnsi="Times New Roman" w:cs="Times New Roman"/>
          <w:b w:val="0"/>
          <w:bCs w:val="0"/>
          <w:szCs w:val="24"/>
          <w:highlight w:val="white"/>
        </w:rPr>
      </w:r>
    </w:p>
    <w:p>
      <w:pPr>
        <w:pBdr>
          <w:top w:val="none" w:color="000000" w:sz="4" w:space="0"/>
          <w:left w:val="none" w:color="000000" w:sz="4" w:space="0"/>
          <w:bottom w:val="none" w:color="000000" w:sz="4" w:space="0"/>
          <w:right w:val="none" w:color="000000" w:sz="4" w:space="0"/>
        </w:pBdr>
        <w:shd w:val="clear" w:color="ffffff" w:fill="ffffff"/>
        <w:spacing w:after="143"/>
        <w:ind w:right="0" w:firstLine="0" w:left="0"/>
        <w:rPr>
          <w:rFonts w:ascii="Times New Roman" w:hAnsi="Times New Roman" w:cs="Times New Roman"/>
          <w:b w:val="0"/>
          <w:bCs w:val="0"/>
          <w:szCs w:val="24"/>
          <w:highlight w:val="white"/>
        </w:rPr>
      </w:pPr>
      <w:r>
        <w:rPr>
          <w:rFonts w:ascii="Times New Roman" w:hAnsi="Times New Roman" w:eastAsia="Times New Roman" w:cs="Times New Roman"/>
          <w:b w:val="0"/>
          <w:bCs w:val="0"/>
          <w:color w:val="2d2d2d"/>
          <w:sz w:val="24"/>
          <w:szCs w:val="24"/>
          <w:highlight w:val="white"/>
        </w:rPr>
        <w:t xml:space="preserve">Cao tốc/CT08:</w:t>
      </w:r>
      <w:r>
        <w:rPr>
          <w:rFonts w:ascii="Times New Roman" w:hAnsi="Times New Roman" w:eastAsia="Times New Roman" w:cs="Times New Roman"/>
          <w:b w:val="0"/>
          <w:bCs w:val="0"/>
          <w:color w:val="2d2d2d"/>
          <w:sz w:val="24"/>
          <w:szCs w:val="24"/>
          <w:highlight w:val="white"/>
        </w:rPr>
        <w:t xml:space="preserve"> Ra vào cao tốc Hà Nội – Hòa Lạc chỉ 3-5 phút, thuận lợi đi sân bay Nội Bài, các khu công nghiệp phía Tây.</w:t>
      </w:r>
      <w:r>
        <w:rPr>
          <w:rFonts w:ascii="Times New Roman" w:hAnsi="Times New Roman" w:cs="Times New Roman"/>
          <w:b w:val="0"/>
          <w:bCs w:val="0"/>
          <w:szCs w:val="24"/>
          <w:highlight w:val="white"/>
        </w:rPr>
      </w:r>
      <w:r>
        <w:rPr>
          <w:rFonts w:ascii="Times New Roman" w:hAnsi="Times New Roman" w:cs="Times New Roman"/>
          <w:b w:val="0"/>
          <w:bCs w:val="0"/>
          <w:szCs w:val="24"/>
          <w:highlight w:val="white"/>
        </w:rPr>
      </w:r>
    </w:p>
    <w:p>
      <w:pPr>
        <w:pBdr/>
        <w:spacing/>
        <w:ind w:firstLine="0" w:left="0"/>
        <w:jc w:val="left"/>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Bdr/>
        <w:spacing/>
        <w:ind w:firstLine="0" w:left="709"/>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mc:AlternateContent>
          <mc:Choice Requires="wpg">
            <w:drawing>
              <wp:inline xmlns:wp="http://schemas.openxmlformats.org/drawingml/2006/wordprocessingDrawing" distT="0" distB="0" distL="0" distR="0">
                <wp:extent cx="3553839" cy="216282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840076" name=""/>
                        <pic:cNvPicPr>
                          <a:picLocks noChangeAspect="1"/>
                        </pic:cNvPicPr>
                        <pic:nvPr/>
                      </pic:nvPicPr>
                      <pic:blipFill rotWithShape="1">
                        <a:blip r:embed="rId21"/>
                        <a:stretch/>
                      </pic:blipFill>
                      <pic:spPr bwMode="auto">
                        <a:xfrm flipH="0" flipV="0">
                          <a:off x="0" y="0"/>
                          <a:ext cx="3553839" cy="21628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79.83pt;height:170.30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Bdr/>
        <w:spacing/>
        <w:ind/>
        <w:jc w:val="center"/>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t xml:space="preserve">.</w:t>
      </w:r>
      <w:r>
        <w:rPr>
          <w:rFonts w:ascii="Times New Roman" w:hAnsi="Times New Roman" w:eastAsia="Times New Roman" w:cs="Times New Roman"/>
          <w:b/>
          <w:bCs/>
          <w:sz w:val="24"/>
          <w:szCs w:val="24"/>
          <w:highlight w:val="white"/>
        </w:rPr>
        <w:t xml:space="preserve">Hình ảnh tổng quan liên kết dự án</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1130"/>
        <w:numPr>
          <w:ilvl w:val="0"/>
          <w:numId w:val="46"/>
        </w:numPr>
        <w:pBdr/>
        <w:spacing/>
        <w:ind/>
        <w:jc w:val="left"/>
        <w:rPr>
          <w:rFonts w:ascii="Times New Roman" w:hAnsi="Times New Roman" w:cs="Times New Roman"/>
          <w:sz w:val="24"/>
          <w:szCs w:val="24"/>
          <w:highlight w:val="white"/>
        </w:rPr>
      </w:pPr>
      <w:r>
        <w:rPr>
          <w:rFonts w:ascii="Times New Roman" w:hAnsi="Times New Roman" w:eastAsia="Times New Roman" w:cs="Times New Roman"/>
          <w:b/>
          <w:bCs/>
          <w:sz w:val="24"/>
          <w:szCs w:val="24"/>
          <w:highlight w:val="white"/>
        </w:rPr>
        <w:t xml:space="preserve">Giới thiệu các phân khu chức năng</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Bdr>
          <w:top w:val="none" w:color="000000" w:sz="4" w:space="0"/>
          <w:left w:val="none" w:color="000000" w:sz="4" w:space="0"/>
          <w:bottom w:val="none" w:color="000000" w:sz="4" w:space="0"/>
          <w:right w:val="none" w:color="000000" w:sz="4" w:space="0"/>
        </w:pBdr>
        <w:shd w:val="clear" w:color="ffffff" w:fill="ffffff"/>
        <w:spacing w:after="311" w:before="0"/>
        <w:ind w:right="0" w:firstLine="0" w:left="0"/>
        <w:rPr>
          <w:rFonts w:ascii="Times New Roman" w:hAnsi="Times New Roman" w:cs="Times New Roman"/>
          <w:szCs w:val="24"/>
          <w:highlight w:val="white"/>
        </w:rPr>
      </w:pPr>
      <w:r>
        <w:rPr>
          <w:rFonts w:ascii="Times New Roman" w:hAnsi="Times New Roman" w:eastAsia="Times New Roman" w:cs="Times New Roman"/>
          <w:color w:val="2d2d2d"/>
          <w:sz w:val="24"/>
          <w:szCs w:val="24"/>
          <w:highlight w:val="white"/>
        </w:rPr>
        <w:t xml:space="preserve">Một yếu tố quan trọng khi đánh giá </w:t>
      </w:r>
      <w:r>
        <w:rPr>
          <w:rFonts w:ascii="Times New Roman" w:hAnsi="Times New Roman" w:eastAsia="Times New Roman" w:cs="Times New Roman"/>
          <w:b/>
          <w:color w:val="2d2d2d"/>
          <w:sz w:val="24"/>
          <w:szCs w:val="24"/>
          <w:highlight w:val="white"/>
        </w:rPr>
        <w:t xml:space="preserve">mặt bằng chung cư TSQ Euroland</w:t>
      </w:r>
      <w:r>
        <w:rPr>
          <w:rFonts w:ascii="Times New Roman" w:hAnsi="Times New Roman" w:eastAsia="Times New Roman" w:cs="Times New Roman"/>
          <w:color w:val="2d2d2d"/>
          <w:sz w:val="24"/>
          <w:szCs w:val="24"/>
          <w:highlight w:val="white"/>
        </w:rPr>
        <w:t xml:space="preserve"> không thể bỏ qua chính là hệ thống tiện ích nội khu. Dự án hướng tới xây dựng một cộng đồng văn minh với đầy đủ các dịch vụ thiết yếu.</w:t>
      </w:r>
      <w:r>
        <w:rPr>
          <w:rFonts w:ascii="Times New Roman" w:hAnsi="Times New Roman" w:cs="Times New Roman"/>
          <w:szCs w:val="24"/>
          <w:highlight w:val="white"/>
        </w:rPr>
      </w:r>
      <w:r>
        <w:rPr>
          <w:rFonts w:ascii="Times New Roman" w:hAnsi="Times New Roman" w:cs="Times New Roman"/>
          <w:szCs w:val="24"/>
          <w:highlight w:val="white"/>
        </w:rPr>
      </w:r>
    </w:p>
    <w:p>
      <w:pPr>
        <w:pStyle w:val="1130"/>
        <w:numPr>
          <w:ilvl w:val="0"/>
          <w:numId w:val="47"/>
        </w:numPr>
        <w:pBdr>
          <w:top w:val="none" w:color="000000" w:sz="4" w:space="0"/>
          <w:left w:val="none" w:color="000000" w:sz="4" w:space="0"/>
          <w:bottom w:val="none" w:color="000000" w:sz="4" w:space="0"/>
          <w:right w:val="none" w:color="000000" w:sz="4" w:space="0"/>
        </w:pBdr>
        <w:shd w:val="clear" w:color="ffffff" w:fill="ffffff"/>
        <w:spacing w:after="143"/>
        <w:ind w:right="0"/>
        <w:rPr>
          <w:rFonts w:ascii="Times New Roman" w:hAnsi="Times New Roman" w:cs="Times New Roman"/>
          <w:szCs w:val="24"/>
          <w:highlight w:val="white"/>
        </w:rPr>
      </w:pPr>
      <w:r>
        <w:rPr>
          <w:rFonts w:ascii="Times New Roman" w:hAnsi="Times New Roman" w:eastAsia="Times New Roman" w:cs="Times New Roman"/>
          <w:b/>
          <w:color w:val="2d2d2d"/>
          <w:sz w:val="24"/>
          <w:szCs w:val="24"/>
          <w:highlight w:val="white"/>
        </w:rPr>
        <w:t xml:space="preserve">Tiện ích thương mại:</w:t>
      </w:r>
      <w:r>
        <w:rPr>
          <w:rFonts w:ascii="Times New Roman" w:hAnsi="Times New Roman" w:eastAsia="Times New Roman" w:cs="Times New Roman"/>
          <w:color w:val="2d2d2d"/>
          <w:sz w:val="24"/>
          <w:szCs w:val="24"/>
          <w:highlight w:val="white"/>
        </w:rPr>
        <w:t xml:space="preserve"> Tầng trệt và các khu vực đế của tòa nhà được bố trí shophouse, cửa hàng tiện lợi, nhà hàng, quán cà phê, đáp ứng nhu cầu mua sắm và vui chơi giải trí ngay trong nội khu.</w:t>
      </w:r>
      <w:r>
        <w:rPr>
          <w:rFonts w:ascii="Times New Roman" w:hAnsi="Times New Roman" w:cs="Times New Roman"/>
          <w:szCs w:val="24"/>
          <w:highlight w:val="white"/>
        </w:rPr>
      </w:r>
      <w:r>
        <w:rPr>
          <w:rFonts w:ascii="Times New Roman" w:hAnsi="Times New Roman" w:cs="Times New Roman"/>
          <w:szCs w:val="24"/>
          <w:highlight w:val="white"/>
        </w:rPr>
      </w:r>
    </w:p>
    <w:p>
      <w:pPr>
        <w:pStyle w:val="1130"/>
        <w:numPr>
          <w:ilvl w:val="0"/>
          <w:numId w:val="47"/>
        </w:numPr>
        <w:pBdr>
          <w:top w:val="none" w:color="000000" w:sz="4" w:space="0"/>
          <w:left w:val="none" w:color="000000" w:sz="4" w:space="0"/>
          <w:bottom w:val="none" w:color="000000" w:sz="4" w:space="0"/>
          <w:right w:val="none" w:color="000000" w:sz="4" w:space="0"/>
        </w:pBdr>
        <w:shd w:val="clear" w:color="ffffff" w:fill="ffffff"/>
        <w:spacing w:after="143"/>
        <w:ind w:right="0"/>
        <w:rPr>
          <w:rFonts w:ascii="Times New Roman" w:hAnsi="Times New Roman" w:cs="Times New Roman"/>
          <w:szCs w:val="24"/>
          <w:highlight w:val="white"/>
        </w:rPr>
      </w:pPr>
      <w:r>
        <w:rPr>
          <w:rFonts w:ascii="Times New Roman" w:hAnsi="Times New Roman" w:eastAsia="Times New Roman" w:cs="Times New Roman"/>
          <w:b/>
          <w:color w:val="2d2d2d"/>
          <w:sz w:val="24"/>
          <w:szCs w:val="24"/>
          <w:highlight w:val="white"/>
        </w:rPr>
        <w:t xml:space="preserve">Tiện ích giáo dục:</w:t>
      </w:r>
      <w:r>
        <w:rPr>
          <w:rFonts w:ascii="Times New Roman" w:hAnsi="Times New Roman" w:eastAsia="Times New Roman" w:cs="Times New Roman"/>
          <w:color w:val="2d2d2d"/>
          <w:sz w:val="24"/>
          <w:szCs w:val="24"/>
          <w:highlight w:val="white"/>
        </w:rPr>
        <w:t xml:space="preserve"> Trường mầm non quốc tế được xây dựng ngay trong khuôn viên dự án, rất thuận tiện cho các gia đình có con nhỏ.</w:t>
      </w:r>
      <w:r>
        <w:rPr>
          <w:rFonts w:ascii="Times New Roman" w:hAnsi="Times New Roman" w:cs="Times New Roman"/>
          <w:szCs w:val="24"/>
          <w:highlight w:val="white"/>
        </w:rPr>
      </w:r>
      <w:r>
        <w:rPr>
          <w:rFonts w:ascii="Times New Roman" w:hAnsi="Times New Roman" w:cs="Times New Roman"/>
          <w:szCs w:val="24"/>
          <w:highlight w:val="white"/>
        </w:rPr>
      </w:r>
    </w:p>
    <w:p>
      <w:pPr>
        <w:pStyle w:val="1130"/>
        <w:numPr>
          <w:ilvl w:val="0"/>
          <w:numId w:val="47"/>
        </w:numPr>
        <w:pBdr>
          <w:top w:val="none" w:color="000000" w:sz="4" w:space="0"/>
          <w:left w:val="none" w:color="000000" w:sz="4" w:space="0"/>
          <w:bottom w:val="none" w:color="000000" w:sz="4" w:space="0"/>
          <w:right w:val="none" w:color="000000" w:sz="4" w:space="0"/>
        </w:pBdr>
        <w:shd w:val="clear" w:color="ffffff" w:fill="ffffff"/>
        <w:spacing w:after="143"/>
        <w:ind w:right="0"/>
        <w:rPr>
          <w:rFonts w:ascii="Times New Roman" w:hAnsi="Times New Roman" w:cs="Times New Roman"/>
          <w:szCs w:val="24"/>
          <w:highlight w:val="white"/>
        </w:rPr>
      </w:pPr>
      <w:r>
        <w:rPr>
          <w:rFonts w:ascii="Times New Roman" w:hAnsi="Times New Roman" w:eastAsia="Times New Roman" w:cs="Times New Roman"/>
          <w:b/>
          <w:color w:val="2d2d2d"/>
          <w:sz w:val="24"/>
          <w:szCs w:val="24"/>
          <w:highlight w:val="white"/>
        </w:rPr>
        <w:t xml:space="preserve">Tiện ích thể thao và sức khỏe:</w:t>
      </w:r>
      <w:r>
        <w:rPr>
          <w:rFonts w:ascii="Times New Roman" w:hAnsi="Times New Roman" w:eastAsia="Times New Roman" w:cs="Times New Roman"/>
          <w:color w:val="2d2d2d"/>
          <w:sz w:val="24"/>
          <w:szCs w:val="24"/>
          <w:highlight w:val="white"/>
        </w:rPr>
        <w:t xml:space="preserve"> Khuôn viên cây xanh, đường dạo bộ, khu tập thể dục ngoài trời, sân chơi trẻ em. Một số tòa tháp còn được trang bị bể bơi bốn mùa, phòng gym, spa.</w:t>
      </w:r>
      <w:r>
        <w:rPr>
          <w:rFonts w:ascii="Times New Roman" w:hAnsi="Times New Roman" w:cs="Times New Roman"/>
          <w:szCs w:val="24"/>
          <w:highlight w:val="white"/>
        </w:rPr>
      </w:r>
      <w:r>
        <w:rPr>
          <w:rFonts w:ascii="Times New Roman" w:hAnsi="Times New Roman" w:cs="Times New Roman"/>
          <w:szCs w:val="24"/>
          <w:highlight w:val="white"/>
        </w:rPr>
      </w:r>
    </w:p>
    <w:p>
      <w:pPr>
        <w:pStyle w:val="1130"/>
        <w:numPr>
          <w:ilvl w:val="0"/>
          <w:numId w:val="47"/>
        </w:numPr>
        <w:pBdr>
          <w:top w:val="none" w:color="000000" w:sz="4" w:space="0"/>
          <w:left w:val="none" w:color="000000" w:sz="4" w:space="0"/>
          <w:bottom w:val="none" w:color="000000" w:sz="4" w:space="0"/>
          <w:right w:val="none" w:color="000000" w:sz="4" w:space="0"/>
        </w:pBdr>
        <w:shd w:val="clear" w:color="ffffff" w:fill="ffffff"/>
        <w:spacing w:after="143"/>
        <w:ind w:right="0"/>
        <w:rPr>
          <w:rFonts w:ascii="Times New Roman" w:hAnsi="Times New Roman" w:cs="Times New Roman"/>
          <w:szCs w:val="24"/>
          <w:highlight w:val="white"/>
        </w:rPr>
      </w:pPr>
      <w:r>
        <w:rPr>
          <w:rFonts w:ascii="Times New Roman" w:hAnsi="Times New Roman" w:eastAsia="Times New Roman" w:cs="Times New Roman"/>
          <w:b/>
          <w:color w:val="2d2d2d"/>
          <w:sz w:val="24"/>
          <w:szCs w:val="24"/>
          <w:highlight w:val="white"/>
        </w:rPr>
        <w:t xml:space="preserve">An ninh và quản lý:</w:t>
      </w:r>
      <w:r>
        <w:rPr>
          <w:rFonts w:ascii="Times New Roman" w:hAnsi="Times New Roman" w:eastAsia="Times New Roman" w:cs="Times New Roman"/>
          <w:color w:val="2d2d2d"/>
          <w:sz w:val="24"/>
          <w:szCs w:val="24"/>
          <w:highlight w:val="white"/>
        </w:rPr>
        <w:t xml:space="preserve"> Hệ thống camera an ninh 24/24, thẻ từ thang máy, bảo vệ túc trực. Dịch vụ quản lý chuyên nghiệp giúp bảo trì và vận hành tòa nhà ổn định.</w:t>
      </w:r>
      <w:r>
        <w:rPr>
          <w:rFonts w:ascii="Times New Roman" w:hAnsi="Times New Roman" w:cs="Times New Roman"/>
          <w:szCs w:val="24"/>
          <w:highlight w:val="white"/>
        </w:rPr>
      </w:r>
      <w:r>
        <w:rPr>
          <w:rFonts w:ascii="Times New Roman" w:hAnsi="Times New Roman" w:cs="Times New Roman"/>
          <w:szCs w:val="24"/>
          <w:highlight w:val="white"/>
        </w:rPr>
      </w:r>
    </w:p>
    <w:p>
      <w:pPr>
        <w:pBdr>
          <w:top w:val="none" w:color="000000" w:sz="4" w:space="0"/>
          <w:left w:val="none" w:color="000000" w:sz="4" w:space="0"/>
          <w:bottom w:val="none" w:color="000000" w:sz="4" w:space="0"/>
          <w:right w:val="none" w:color="000000" w:sz="4" w:space="0"/>
        </w:pBdr>
        <w:shd w:val="clear" w:color="ffffff" w:fill="ffffff"/>
        <w:spacing w:after="311" w:before="0"/>
        <w:ind w:right="0" w:firstLine="0" w:left="0"/>
        <w:rPr>
          <w:rFonts w:ascii="Times New Roman" w:hAnsi="Times New Roman" w:eastAsia="Times New Roman" w:cs="Times New Roman"/>
          <w:color w:val="2d2d2d"/>
          <w:sz w:val="24"/>
          <w:szCs w:val="24"/>
          <w:highlight w:val="white"/>
        </w:rPr>
      </w:pPr>
      <w:r>
        <w:rPr>
          <w:rFonts w:ascii="Times New Roman" w:hAnsi="Times New Roman" w:eastAsia="Times New Roman" w:cs="Times New Roman"/>
          <w:color w:val="2d2d2d"/>
          <w:sz w:val="24"/>
          <w:szCs w:val="24"/>
          <w:highlight w:val="white"/>
        </w:rPr>
        <w:t xml:space="preserve">Theo các chuyên gia bất động sản, việc sở hữu một hệ thống tiện ích nội khu đồng bộ giúp nâng cao giá trị sống và giảm áp lực cho các dịch vụ ngoại khu. Đây là điểm cộng lớn cho những ai đang cân nhắc lựa chọn an cư tại đây.</w:t>
      </w:r>
      <w:r>
        <w:rPr>
          <w:rFonts w:ascii="Times New Roman" w:hAnsi="Times New Roman" w:eastAsia="Times New Roman" w:cs="Times New Roman"/>
          <w:color w:val="2d2d2d"/>
          <w:sz w:val="24"/>
          <w:szCs w:val="24"/>
          <w:highlight w:val="white"/>
        </w:rPr>
      </w:r>
      <w:r>
        <w:rPr>
          <w:rFonts w:ascii="Times New Roman" w:hAnsi="Times New Roman" w:eastAsia="Times New Roman" w:cs="Times New Roman"/>
          <w:color w:val="2d2d2d"/>
          <w:sz w:val="24"/>
          <w:szCs w:val="24"/>
          <w:highlight w:val="white"/>
        </w:rPr>
      </w:r>
    </w:p>
    <w:p>
      <w:pPr>
        <w:pStyle w:val="1130"/>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IV. THÔNG TIN VỀ TÀI SẢN THẨM ĐỊNH GIÁ</w:t>
      </w:r>
      <w:r>
        <w:rPr>
          <w:b/>
          <w:bCs/>
          <w:color w:val="000000" w:themeColor="text1"/>
          <w:highlight w:val="white"/>
        </w:rPr>
      </w:r>
      <w:r>
        <w:rPr>
          <w:b/>
          <w:bCs/>
          <w:color w:val="000000" w:themeColor="text1"/>
          <w:highlight w:val="white"/>
        </w:rPr>
      </w:r>
    </w:p>
    <w:tbl>
      <w:tblPr>
        <w:tblStyle w:val="1134"/>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2086"/>
        <w:gridCol w:w="2490"/>
        <w:gridCol w:w="1884"/>
        <w:gridCol w:w="2549"/>
      </w:tblGrid>
      <w:tr>
        <w:trPr>
          <w:trHeight w:val="215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Tên tài sản</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0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Căn hộ chung cư số 1114, Tòa T2  có địa chỉ: Chung cư CT01, Trung tâm tài chính thương mại và các công trình phụ trợ, Khu đô thị mới Mỗ Lao, phường Hà Đông, thành phố Hà Nội , theo Giấy chứng nhận Quyền sử dụng đất, quyền sở hữu nhà ở và tài sản khác gắn l</w:t>
            </w:r>
            <w:r>
              <w:rPr>
                <w:rFonts w:ascii="Times New Roman" w:hAnsi="Times New Roman" w:eastAsia="Times New Roman" w:cs="Times New Roman"/>
                <w:b/>
                <w:color w:val="000000"/>
                <w:sz w:val="24"/>
                <w:highlight w:val="white"/>
              </w:rPr>
              <w:t xml:space="preserve">iền với đất số: AA05550164, số vào sổ cấp GCN: VP 55531 do Văn phòng đăng ký đất đai Hà Nội  cấp ngày 10/01/2026; Chủ sở hữu căn hộ chung cư là Ông Phan Văn Tuấn và bà Nguyễn Thị Kim Hồng </w:t>
            </w:r>
            <w:r>
              <w:rPr>
                <w:highlight w:val="white"/>
              </w:rPr>
            </w:r>
            <w:r>
              <w:rPr>
                <w:highlight w:val="white"/>
              </w:rPr>
            </w:r>
          </w:p>
        </w:tc>
      </w:tr>
      <w:tr>
        <w:trPr>
          <w:trHeight w:val="31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0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Nội dung Thửa đất theo Hồ sơ pháp lý</w:t>
            </w:r>
            <w:r>
              <w:rPr>
                <w:highlight w:val="white"/>
              </w:rPr>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color w:val="000000"/>
                <w:sz w:val="24"/>
                <w:highlight w:val="white"/>
              </w:rPr>
              <w:t xml:space="preserve">Thửa đất số:</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90" w:type="dxa"/>
            <w:vAlign w:val="center"/>
            <w:textDirection w:val="lrTb"/>
            <w:noWrap w:val="false"/>
          </w:tcPr>
          <w:p>
            <w:pPr>
              <w:pBdr/>
              <w:spacing w:after="0" w:before="0" w:line="240" w:lineRule="auto"/>
              <w:ind w:right="0" w:firstLine="90" w:left="0"/>
              <w:jc w:val="center"/>
              <w:rPr>
                <w:highlight w:val="white"/>
              </w:rPr>
            </w:pPr>
            <w:r>
              <w:rPr>
                <w:rFonts w:ascii="Times New Roman" w:hAnsi="Times New Roman" w:eastAsia="Times New Roman" w:cs="Times New Roman"/>
                <w:color w:val="000000"/>
                <w:sz w:val="24"/>
                <w:highlight w:val="white"/>
              </w:rPr>
              <w:t xml:space="preserve">92</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884"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color w:val="000000"/>
                <w:sz w:val="24"/>
                <w:highlight w:val="white"/>
              </w:rPr>
              <w:t xml:space="preserve">Tờ bản đồ số:</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90" w:left="0"/>
              <w:jc w:val="center"/>
              <w:rPr>
                <w:highlight w:val="white"/>
              </w:rPr>
            </w:pPr>
            <w:r>
              <w:rPr>
                <w:rFonts w:ascii="Times New Roman" w:hAnsi="Times New Roman" w:eastAsia="Times New Roman" w:cs="Times New Roman"/>
                <w:color w:val="000000"/>
                <w:sz w:val="24"/>
                <w:highlight w:val="white"/>
              </w:rPr>
              <w:t xml:space="preserve">06</w:t>
            </w:r>
            <w:r>
              <w:rPr>
                <w:highlight w:val="white"/>
              </w:rPr>
            </w:r>
            <w:r>
              <w:rPr>
                <w:highlight w:val="white"/>
              </w:rPr>
            </w:r>
          </w:p>
        </w:tc>
      </w:tr>
      <w:tr>
        <w:trPr>
          <w:trHeight w:val="899"/>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color w:val="000000"/>
                <w:sz w:val="24"/>
                <w:highlight w:val="white"/>
              </w:rPr>
              <w:t xml:space="preserve">Địa chỉ:</w:t>
            </w:r>
            <w:r>
              <w:rPr>
                <w:highlight w:val="white"/>
              </w:rPr>
            </w:r>
            <w:r>
              <w:rPr>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924"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color w:val="000000"/>
                <w:sz w:val="24"/>
                <w:highlight w:val="white"/>
              </w:rPr>
              <w:t xml:space="preserve">Chung cư CT01, Trung tâm tài chính thương mại và các công trình phụ trợ, Khu đô thị mới Mỗ Lao, phường Hà Đông, thành phố Hà Nội </w:t>
            </w:r>
            <w:r>
              <w:rPr>
                <w:highlight w:val="white"/>
              </w:rPr>
            </w:r>
            <w:r>
              <w:rPr>
                <w:highlight w:val="white"/>
              </w:rPr>
            </w:r>
          </w:p>
        </w:tc>
      </w:tr>
      <w:tr>
        <w:trPr>
          <w:trHeight w:val="83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color w:val="000000"/>
                <w:sz w:val="24"/>
                <w:highlight w:val="white"/>
              </w:rPr>
              <w:t xml:space="preserve">Diện tích (m²):</w:t>
            </w:r>
            <w:r>
              <w:rPr>
                <w:highlight w:val="white"/>
              </w:rPr>
            </w:r>
            <w:r>
              <w:rPr>
                <w:highlight w:val="white"/>
              </w:rPr>
            </w:r>
          </w:p>
        </w:tc>
        <w:tc>
          <w:tcPr>
            <w:tcBorders/>
            <w:tcMar>
              <w:left w:w="0" w:type="dxa"/>
              <w:top w:w="0" w:type="dxa"/>
              <w:right w:w="0" w:type="dxa"/>
              <w:bottom w:w="0" w:type="dxa"/>
            </w:tcMar>
            <w:tcW w:w="2490" w:type="dxa"/>
            <w:vAlign w:val="center"/>
            <w:textDirection w:val="lrTb"/>
            <w:noWrap w:val="false"/>
          </w:tcPr>
          <w:p>
            <w:pPr>
              <w:pBdr/>
              <w:spacing w:after="0" w:before="0" w:line="240" w:lineRule="auto"/>
              <w:ind w:right="0" w:firstLine="90" w:left="0"/>
              <w:jc w:val="center"/>
              <w:rPr>
                <w:highlight w:val="white"/>
              </w:rPr>
            </w:pPr>
            <w:r>
              <w:rPr>
                <w:rFonts w:ascii="Times New Roman" w:hAnsi="Times New Roman" w:eastAsia="Times New Roman" w:cs="Times New Roman"/>
                <w:color w:val="000000"/>
                <w:sz w:val="24"/>
                <w:highlight w:val="white"/>
              </w:rPr>
              <w:t xml:space="preserve">8238,0</w:t>
            </w:r>
            <w:r>
              <w:rPr>
                <w:highlight w:val="white"/>
              </w:rPr>
            </w:r>
            <w:r>
              <w:rPr>
                <w:highlight w:val="white"/>
              </w:rPr>
            </w:r>
          </w:p>
        </w:tc>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1884"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color w:val="000000"/>
                <w:sz w:val="24"/>
                <w:highlight w:val="white"/>
              </w:rPr>
              <w:t xml:space="preserve">Hình thức sử dụng:</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90" w:left="0"/>
              <w:jc w:val="center"/>
              <w:rPr>
                <w:highlight w:val="white"/>
              </w:rPr>
            </w:pPr>
            <w:r>
              <w:rPr>
                <w:rFonts w:ascii="Times New Roman" w:hAnsi="Times New Roman" w:eastAsia="Times New Roman" w:cs="Times New Roman"/>
                <w:color w:val="000000"/>
                <w:sz w:val="24"/>
                <w:highlight w:val="white"/>
              </w:rPr>
              <w:t xml:space="preserve">Sử dụng chung của các chủ sở hữu căn hộ chung cư </w:t>
            </w:r>
            <w:r>
              <w:rPr>
                <w:highlight w:val="white"/>
              </w:rPr>
            </w:r>
            <w:r>
              <w:rPr>
                <w:highlight w:val="white"/>
              </w:rPr>
            </w:r>
          </w:p>
        </w:tc>
      </w:tr>
      <w:tr>
        <w:trPr>
          <w:trHeight w:val="25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color w:val="000000"/>
                <w:sz w:val="24"/>
                <w:highlight w:val="white"/>
              </w:rPr>
              <w:t xml:space="preserve">Mục đích sử dụng:</w:t>
            </w:r>
            <w:r>
              <w:rPr>
                <w:highlight w:val="white"/>
              </w:rPr>
            </w:r>
            <w:r>
              <w:rPr>
                <w:highlight w:val="white"/>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490" w:type="dxa"/>
            <w:vAlign w:val="center"/>
            <w:textDirection w:val="lrTb"/>
            <w:noWrap w:val="false"/>
          </w:tcPr>
          <w:p>
            <w:pPr>
              <w:pBdr/>
              <w:spacing w:after="0" w:before="0" w:line="240" w:lineRule="auto"/>
              <w:ind w:right="0" w:firstLine="90" w:left="0"/>
              <w:jc w:val="center"/>
              <w:rPr>
                <w:highlight w:val="white"/>
              </w:rPr>
            </w:pPr>
            <w:r>
              <w:rPr>
                <w:rFonts w:ascii="Times New Roman" w:hAnsi="Times New Roman" w:eastAsia="Times New Roman" w:cs="Times New Roman"/>
                <w:color w:val="000000"/>
                <w:sz w:val="24"/>
                <w:highlight w:val="white"/>
              </w:rPr>
              <w:t xml:space="preserve">Đất ở tại đô thị</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884"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color w:val="000000"/>
                <w:sz w:val="24"/>
                <w:highlight w:val="white"/>
              </w:rPr>
              <w:t xml:space="preserve">Thời hạn sử dụng:</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49" w:type="dxa"/>
            <w:vAlign w:val="center"/>
            <w:textDirection w:val="lrTb"/>
            <w:noWrap w:val="false"/>
          </w:tcPr>
          <w:p>
            <w:pPr>
              <w:pBdr/>
              <w:spacing w:after="0" w:before="0" w:line="240" w:lineRule="auto"/>
              <w:ind w:right="0" w:firstLine="90" w:left="0"/>
              <w:jc w:val="center"/>
              <w:rPr>
                <w:highlight w:val="white"/>
              </w:rPr>
            </w:pPr>
            <w:r>
              <w:rPr>
                <w:rFonts w:ascii="Times New Roman" w:hAnsi="Times New Roman" w:eastAsia="Times New Roman" w:cs="Times New Roman"/>
                <w:color w:val="000000"/>
                <w:sz w:val="24"/>
                <w:highlight w:val="white"/>
              </w:rPr>
              <w:t xml:space="preserve">Lâu dài</w:t>
            </w:r>
            <w:r>
              <w:rPr>
                <w:highlight w:val="white"/>
              </w:rPr>
            </w:r>
            <w:r>
              <w:rPr>
                <w:highlight w:val="white"/>
              </w:rPr>
            </w:r>
          </w:p>
        </w:tc>
      </w:tr>
      <w:tr>
        <w:trPr>
          <w:trHeight w:val="50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color w:val="000000"/>
                <w:sz w:val="24"/>
                <w:highlight w:val="white"/>
              </w:rPr>
              <w:t xml:space="preserve">Ghi chú:</w:t>
            </w:r>
            <w:r>
              <w:rPr>
                <w:highlight w:val="white"/>
              </w:rPr>
            </w:r>
            <w:r>
              <w:rPr>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924" w:type="dxa"/>
            <w:vAlign w:val="center"/>
            <w:textDirection w:val="lrTb"/>
            <w:noWrap w:val="false"/>
          </w:tcPr>
          <w:p>
            <w:pPr>
              <w:pStyle w:val="1130"/>
              <w:numPr>
                <w:ilvl w:val="0"/>
                <w:numId w:val="49"/>
              </w:numPr>
              <w:pBdr>
                <w:top w:val="none" w:color="000000" w:sz="4" w:space="0"/>
                <w:left w:val="none" w:color="000000" w:sz="4" w:space="0"/>
                <w:bottom w:val="none" w:color="000000" w:sz="4" w:space="0"/>
                <w:right w:val="none" w:color="000000" w:sz="4" w:space="0"/>
              </w:pBdr>
              <w:spacing/>
              <w:ind w:right="0" w:hanging="180" w:left="360"/>
              <w:rPr>
                <w:highlight w:val="white"/>
              </w:rPr>
            </w:pPr>
            <w:r>
              <w:rPr>
                <w:rFonts w:ascii="Times New Roman" w:hAnsi="Times New Roman" w:eastAsia="Times New Roman" w:cs="Times New Roman"/>
                <w:color w:val="000000"/>
                <w:sz w:val="24"/>
                <w:highlight w:val="white"/>
              </w:rPr>
              <w:t xml:space="preserve">Số thứ tự thửa đất 92, số tờ bản đồ 6 thuộc phường Mộ Lao, quận Hà Đông, Hà Nội (cũ)</w:t>
            </w:r>
            <w:r>
              <w:rPr>
                <w:highlight w:val="white"/>
              </w:rPr>
            </w:r>
            <w:r>
              <w:rPr>
                <w:highlight w:val="white"/>
              </w:rPr>
            </w:r>
          </w:p>
          <w:p>
            <w:pPr>
              <w:pStyle w:val="1130"/>
              <w:numPr>
                <w:ilvl w:val="0"/>
                <w:numId w:val="49"/>
              </w:numPr>
              <w:pBdr>
                <w:top w:val="none" w:color="000000" w:sz="4" w:space="0"/>
                <w:left w:val="none" w:color="000000" w:sz="4" w:space="0"/>
                <w:bottom w:val="none" w:color="000000" w:sz="4" w:space="0"/>
                <w:right w:val="none" w:color="000000" w:sz="4" w:space="0"/>
              </w:pBdr>
              <w:spacing/>
              <w:ind w:right="0" w:hanging="180" w:left="360"/>
              <w:rPr>
                <w:highlight w:val="white"/>
              </w:rPr>
            </w:pPr>
            <w:r>
              <w:rPr>
                <w:rFonts w:ascii="Times New Roman" w:hAnsi="Times New Roman" w:eastAsia="Times New Roman" w:cs="Times New Roman"/>
                <w:color w:val="000000"/>
                <w:sz w:val="24"/>
                <w:highlight w:val="white"/>
              </w:rPr>
              <w:t xml:space="preserve">Số tờ, số thửa được cập nhật theo bản đồ dự án tổng thể.</w:t>
            </w:r>
            <w:r>
              <w:rPr>
                <w:highlight w:val="white"/>
              </w:rPr>
            </w:r>
            <w:r>
              <w:rPr>
                <w:highlight w:val="white"/>
              </w:rPr>
            </w:r>
          </w:p>
          <w:p>
            <w:pPr>
              <w:pStyle w:val="1130"/>
              <w:numPr>
                <w:ilvl w:val="0"/>
                <w:numId w:val="49"/>
              </w:numPr>
              <w:pBdr>
                <w:top w:val="none" w:color="000000" w:sz="4" w:space="0"/>
                <w:left w:val="none" w:color="000000" w:sz="4" w:space="0"/>
                <w:bottom w:val="none" w:color="000000" w:sz="4" w:space="0"/>
                <w:right w:val="none" w:color="000000" w:sz="4" w:space="0"/>
              </w:pBdr>
              <w:spacing/>
              <w:ind w:right="0" w:hanging="180" w:left="360"/>
              <w:rPr>
                <w:highlight w:val="white"/>
              </w:rPr>
            </w:pPr>
            <w:r>
              <w:rPr>
                <w:rFonts w:ascii="Times New Roman" w:hAnsi="Times New Roman" w:eastAsia="Times New Roman" w:cs="Times New Roman"/>
                <w:color w:val="000000"/>
                <w:sz w:val="24"/>
                <w:highlight w:val="white"/>
              </w:rPr>
              <w:t xml:space="preserve">Giấy chứng nhận này được cấp đổi từ Giấy chứng nhận quyền sử dụng đất, quyền sở hữu nhà ở và tài sản khác gắn liền với đất số CG 999793 do Sở Tài nguyên và Môi trường thành phố Hà Nội cấp ngày 19/05/2017 do nhận chuyển nhượng.</w:t>
            </w:r>
            <w:r>
              <w:rPr>
                <w:highlight w:val="white"/>
              </w:rPr>
            </w:r>
            <w:r>
              <w:rPr>
                <w:highlight w:val="white"/>
              </w:rPr>
            </w:r>
          </w:p>
        </w:tc>
      </w:tr>
      <w:tr>
        <w:trPr>
          <w:trHeight w:val="4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09"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b/>
                <w:color w:val="000000"/>
                <w:sz w:val="24"/>
                <w:highlight w:val="white"/>
              </w:rPr>
              <w:t xml:space="preserve">Thông tin về căn hộ</w:t>
            </w:r>
            <w:r>
              <w:rPr>
                <w:highlight w:val="white"/>
              </w:rPr>
            </w:r>
            <w:r>
              <w:rPr>
                <w:highlight w:val="white"/>
              </w:rPr>
            </w:r>
          </w:p>
        </w:tc>
      </w:tr>
      <w:tr>
        <w:trPr>
          <w:trHeight w:val="34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2.1</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09"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b/>
                <w:color w:val="000000"/>
                <w:sz w:val="24"/>
                <w:highlight w:val="white"/>
              </w:rPr>
              <w:t xml:space="preserve">Vị trí; Giao thông;</w:t>
            </w:r>
            <w:r>
              <w:rPr>
                <w:highlight w:val="white"/>
              </w:rPr>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09" w:type="dxa"/>
            <w:vAlign w:val="center"/>
            <w:textDirection w:val="lrTb"/>
            <w:noWrap w:val="false"/>
          </w:tcPr>
          <w:p>
            <w:pPr>
              <w:pBdr/>
              <w:spacing w:after="0" w:before="0" w:line="240" w:lineRule="auto"/>
              <w:ind w:right="0" w:firstLine="90" w:left="0"/>
              <w:rPr>
                <w:highlight w:val="white"/>
              </w:rPr>
            </w:pPr>
            <w:r>
              <w:rPr>
                <w:rFonts w:ascii="Times New Roman" w:hAnsi="Times New Roman" w:eastAsia="Times New Roman" w:cs="Times New Roman"/>
                <w:color w:val="000000"/>
                <w:sz w:val="24"/>
                <w:highlight w:val="white"/>
              </w:rPr>
              <w:t xml:space="preserve">Vị trí tài sản thẩm định trên bản đồ vệ tinh : (20.98674, 105.7828642)</w:t>
            </w:r>
            <w:r>
              <w:rPr>
                <w:highlight w:val="white"/>
              </w:rPr>
            </w:r>
            <w:r>
              <w:rPr>
                <w:highlight w:val="white"/>
              </w:rPr>
            </w:r>
          </w:p>
        </w:tc>
      </w:tr>
      <w:tr>
        <w:trPr>
          <w:trHeight w:val="54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0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r>
            <w:r>
              <w:rPr>
                <w:highlight w:val="white"/>
              </w:rPr>
              <mc:AlternateContent>
                <mc:Choice Requires="wpg">
                  <w:drawing>
                    <wp:inline xmlns:wp="http://schemas.openxmlformats.org/drawingml/2006/wordprocessingDrawing" distT="0" distB="0" distL="0" distR="0">
                      <wp:extent cx="5781958" cy="310248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88840" name=""/>
                              <pic:cNvPicPr>
                                <a:picLocks noChangeAspect="1"/>
                              </pic:cNvPicPr>
                              <pic:nvPr/>
                            </pic:nvPicPr>
                            <pic:blipFill rotWithShape="1">
                              <a:blip r:embed="rId22"/>
                              <a:stretch/>
                            </pic:blipFill>
                            <pic:spPr bwMode="auto">
                              <a:xfrm flipH="0" flipV="0">
                                <a:off x="0" y="0"/>
                                <a:ext cx="5781958" cy="31024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55.27pt;height:244.29pt;mso-wrap-distance-left:0.00pt;mso-wrap-distance-top:0.00pt;mso-wrap-distance-right:0.00pt;mso-wrap-distance-bottom:0.00pt;z-index:1;" stroked="false">
                      <v:imagedata r:id="rId22" o:title=""/>
                      <o:lock v:ext="edit" rotation="t"/>
                    </v:shape>
                  </w:pict>
                </mc:Fallback>
              </mc:AlternateContent>
            </w:r>
            <w:r>
              <w:rPr>
                <w:highlight w:val="white"/>
              </w:rPr>
            </w:r>
            <w:r>
              <w:rPr>
                <w:highlight w:val="white"/>
              </w:rPr>
            </w:r>
          </w:p>
        </w:tc>
      </w:tr>
      <w:tr>
        <w:trPr>
          <w:trHeight w:val="91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Địa chỉ thực tế:</w:t>
            </w:r>
            <w:r>
              <w:rPr>
                <w:highlight w:val="white"/>
              </w:rPr>
            </w:r>
            <w:r>
              <w:rPr>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924"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color w:val="000000"/>
                <w:sz w:val="24"/>
                <w:highlight w:val="white"/>
              </w:rPr>
              <w:t xml:space="preserve">Chung cư CT01, Trung tâm tài chính thương mại và các công trình phụ trợ, Khu đô thị mới Mỗ Lao, phường Hà Đông, thành phố Hà Nội </w:t>
            </w:r>
            <w:r>
              <w:rPr>
                <w:highlight w:val="white"/>
              </w:rPr>
            </w:r>
            <w:r>
              <w:rPr>
                <w:highlight w:val="white"/>
              </w:rPr>
            </w:r>
          </w:p>
        </w:tc>
      </w:tr>
      <w:tr>
        <w:trPr>
          <w:trHeight w:val="37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09" w:type="dxa"/>
            <w:vAlign w:val="center"/>
            <w:textDirection w:val="lrTb"/>
            <w:noWrap w:val="false"/>
          </w:tcPr>
          <w:p>
            <w:pPr>
              <w:pBdr/>
              <w:spacing w:after="0" w:before="0" w:line="240" w:lineRule="auto"/>
              <w:ind w:right="0" w:firstLine="0" w:left="90"/>
              <w:rPr>
                <w:highlight w:val="white"/>
              </w:rPr>
            </w:pPr>
            <w:r>
              <w:rPr>
                <w:rFonts w:ascii="Times New Roman" w:hAnsi="Times New Roman" w:eastAsia="Times New Roman" w:cs="Times New Roman"/>
                <w:b/>
                <w:color w:val="000000"/>
                <w:sz w:val="24"/>
                <w:highlight w:val="white"/>
              </w:rPr>
              <w:t xml:space="preserve">Thông tin về căn hộ</w:t>
            </w:r>
            <w:r>
              <w:rPr>
                <w:highlight w:val="white"/>
              </w:rPr>
            </w:r>
            <w:r>
              <w:rPr>
                <w:highlight w:val="white"/>
              </w:rPr>
            </w:r>
          </w:p>
        </w:tc>
      </w:tr>
      <w:tr>
        <w:trPr>
          <w:trHeight w:val="124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Loại nhà ở:</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9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Căn hộ chung cư số 1114</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88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Vị trí căn hộ:</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4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Chung cư CT01, Trung tâm Tài chính thương mại và các công trình phụ trợ, Khu đô thị mới Mỗ Lao </w:t>
            </w:r>
            <w:r>
              <w:rPr>
                <w:highlight w:val="white"/>
              </w:rPr>
            </w:r>
            <w:r>
              <w:rPr>
                <w:highlight w:val="white"/>
              </w:rP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Diện tích sàn sử dụng (m²):</w:t>
            </w:r>
            <w:r>
              <w:rPr>
                <w:highlight w:val="white"/>
              </w:rPr>
            </w:r>
            <w:r>
              <w:rPr>
                <w:highlight w:val="white"/>
              </w:rPr>
            </w:r>
          </w:p>
        </w:tc>
        <w:tc>
          <w:tcPr>
            <w:shd w:val="clear" w:color="ffffff" w:fill="ffffff"/>
            <w:tcBorders>
              <w:bottom w:val="single" w:color="000000" w:sz="4" w:space="0"/>
              <w:right w:val="single" w:color="000000" w:sz="6" w:space="0"/>
            </w:tcBorders>
            <w:tcMar>
              <w:left w:w="0" w:type="dxa"/>
              <w:top w:w="0" w:type="dxa"/>
              <w:right w:w="0" w:type="dxa"/>
              <w:bottom w:w="0" w:type="dxa"/>
            </w:tcMar>
            <w:tcW w:w="249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141,2</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88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Hình thức sở hữu:</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4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Sở hữu chung của hai vợ chồng </w:t>
            </w:r>
            <w:r>
              <w:rPr>
                <w:highlight w:val="white"/>
              </w:rPr>
            </w:r>
            <w:r>
              <w:rPr>
                <w:highlight w:val="white"/>
              </w:rPr>
            </w:r>
          </w:p>
        </w:tc>
      </w:tr>
      <w:tr>
        <w:trPr>
          <w:trHeight w:val="909"/>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4"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Tòa nhà:</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49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Tòa T2 </w:t>
            </w:r>
            <w:r>
              <w:rPr>
                <w:highlight w:val="white"/>
              </w:rPr>
            </w:r>
            <w:r>
              <w:rPr>
                <w:highlight w:val="white"/>
              </w:rP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88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Vị trí tầng:</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4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Tầng 11/37 tầng + 03 tầng hầm</w:t>
            </w:r>
            <w:r>
              <w:rPr>
                <w:highlight w:val="white"/>
              </w:rPr>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4"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Hướng cửa:</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49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Đông Bắc</w:t>
            </w:r>
            <w:r>
              <w:rPr>
                <w:highlight w:val="white"/>
              </w:rPr>
            </w:r>
            <w:r>
              <w:rPr>
                <w:highlight w:val="white"/>
              </w:rP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88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Hướng ban công:</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4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Tây Nam </w:t>
            </w:r>
            <w:r>
              <w:rPr>
                <w:highlight w:val="white"/>
              </w:rPr>
            </w:r>
            <w:r>
              <w:rPr>
                <w:highlight w:val="white"/>
              </w:rPr>
            </w:r>
          </w:p>
        </w:tc>
      </w:tr>
      <w:tr>
        <w:trPr>
          <w:trHeight w:val="93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Cấu trúc:</w:t>
            </w:r>
            <w:r>
              <w:rPr>
                <w:highlight w:val="white"/>
              </w:rPr>
            </w:r>
            <w:r>
              <w:rPr>
                <w:highlight w:val="white"/>
              </w:rPr>
            </w:r>
          </w:p>
        </w:tc>
        <w:tc>
          <w:tcPr>
            <w:shd w:val="clear" w:color="ffffff" w:fill="ffffff"/>
            <w:tcBorders>
              <w:top w:val="single" w:color="000000" w:sz="4" w:space="0"/>
              <w:bottom w:val="single" w:color="000000" w:sz="6" w:space="0"/>
              <w:right w:val="single" w:color="000000" w:sz="6" w:space="0"/>
            </w:tcBorders>
            <w:tcMar>
              <w:left w:w="0" w:type="dxa"/>
              <w:top w:w="0" w:type="dxa"/>
              <w:right w:w="0" w:type="dxa"/>
              <w:bottom w:w="0" w:type="dxa"/>
            </w:tcMar>
            <w:tcW w:w="249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 phòng ngủ, 2 phòng vệ sinh, 1 phòng khách, 1 bếp, 3 ban công</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88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Nội thất:</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54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Cơ bản</w:t>
            </w:r>
            <w:r>
              <w:rPr>
                <w:highlight w:val="white"/>
              </w:rPr>
            </w:r>
            <w:r>
              <w:rPr>
                <w:highlight w:val="white"/>
              </w:rPr>
            </w:r>
          </w:p>
        </w:tc>
      </w:tr>
      <w:tr>
        <w:trPr>
          <w:trHeight w:val="42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3.</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0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 Điều kiện kinh doanh; Hạ tầng nội bộ; Hạ tầng xung quanh</w:t>
            </w:r>
            <w:r>
              <w:rPr>
                <w:highlight w:val="white"/>
              </w:rPr>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Hạ tầng nội bộ:</w:t>
            </w:r>
            <w:r>
              <w:rPr>
                <w:highlight w:val="white"/>
              </w:rPr>
            </w:r>
            <w:r>
              <w:rPr>
                <w:highlight w:val="white"/>
              </w:rP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92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Cấp điện, cấp nước sạch, mạng internet,… hoàn thiện</w:t>
            </w:r>
            <w:r>
              <w:rPr>
                <w:highlight w:val="white"/>
              </w:rPr>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Hạ tầng xung quanh:</w:t>
            </w:r>
            <w:r>
              <w:rPr>
                <w:highlight w:val="white"/>
              </w:rPr>
            </w:r>
            <w:r>
              <w:rPr>
                <w:highlight w:val="white"/>
              </w:rP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92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Môi trường trong lành, an ninh đảm bảo, dân trí tốt</w:t>
            </w:r>
            <w:r>
              <w:rPr>
                <w:highlight w:val="white"/>
              </w:rPr>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Mật độ dân cư:</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9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Đông đúc</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8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Đời sống dân cư:</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4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Ổn định</w:t>
            </w:r>
            <w:r>
              <w:rPr>
                <w:highlight w:val="white"/>
              </w:rPr>
            </w:r>
            <w:r>
              <w:rPr>
                <w:highlight w:val="white"/>
              </w:rP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Lợi thế kinh doanh:</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9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Thích hợp để ở</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8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Khả năng chuyển nhượng:</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4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Tốt</w:t>
            </w:r>
            <w:r>
              <w:rPr>
                <w:highlight w:val="white"/>
              </w:rPr>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086"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Hiện trạng:</w:t>
            </w:r>
            <w:r>
              <w:rPr>
                <w:highlight w:val="white"/>
              </w:rPr>
            </w:r>
            <w:r>
              <w:rPr>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924" w:type="dxa"/>
            <w:vAlign w:val="center"/>
            <w:textDirection w:val="lrTb"/>
            <w:noWrap w:val="false"/>
          </w:tcPr>
          <w:p>
            <w:pPr>
              <w:pBdr/>
              <w:spacing w:after="0" w:before="0" w:line="240" w:lineRule="auto"/>
              <w:ind/>
              <w:jc w:val="left"/>
              <w:rPr>
                <w:highlight w:val="white"/>
              </w:rPr>
            </w:pPr>
            <w:r>
              <w:rPr>
                <w:rFonts w:ascii="Times New Roman" w:hAnsi="Times New Roman" w:eastAsia="Times New Roman" w:cs="Times New Roman"/>
                <w:color w:val="000000"/>
                <w:sz w:val="24"/>
                <w:highlight w:val="white"/>
              </w:rPr>
              <w:t xml:space="preserve"> Căn hộ chung cư đang được sử dụng để ở</w:t>
            </w:r>
            <w:r>
              <w:rPr>
                <w:highlight w:val="white"/>
              </w:rPr>
            </w:r>
            <w:r>
              <w:rPr>
                <w:highlight w:val="white"/>
              </w:rPr>
            </w:r>
          </w:p>
        </w:tc>
      </w:tr>
    </w:tbl>
    <w:p>
      <w:pPr>
        <w:pStyle w:val="1130"/>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rPr>
      </w:r>
      <w:r>
        <w:rPr>
          <w:b/>
          <w:color w:val="000000" w:themeColor="text1"/>
          <w:highlight w:val="white"/>
        </w:rPr>
      </w:r>
    </w:p>
    <w:p>
      <w:pPr>
        <w:pStyle w:val="1130"/>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định giá không xảy ra tranh chấp, </w:t>
      </w:r>
      <w:r>
        <w:rPr>
          <w:color w:val="000000" w:themeColor="text1"/>
          <w:spacing w:val="-2"/>
          <w:highlight w:val="white"/>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highlight w:val="white"/>
        </w:rPr>
      </w:r>
      <w:r>
        <w:rPr>
          <w:color w:val="000000" w:themeColor="text1"/>
          <w:spacing w:val="-2"/>
          <w:highlight w:val="white"/>
        </w:rPr>
      </w:r>
    </w:p>
    <w:p>
      <w:pPr>
        <w:pStyle w:val="1130"/>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VI. CƠ SỞ GIÁ TRỊ THẨM ĐỊNH GIÁ</w:t>
      </w:r>
      <w:r>
        <w:rPr>
          <w:b/>
          <w:bCs/>
          <w:color w:val="000000" w:themeColor="text1"/>
          <w:highlight w:val="white"/>
        </w:rPr>
      </w:r>
      <w:r>
        <w:rPr>
          <w:b/>
          <w:bCs/>
          <w:color w:val="000000" w:themeColor="text1"/>
          <w:highlight w:val="white"/>
        </w:rPr>
      </w:r>
    </w:p>
    <w:p>
      <w:pPr>
        <w:pStyle w:val="1130"/>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color w:val="000000" w:themeColor="text1"/>
          <w:highlight w:val="white"/>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highlight w:val="white"/>
          <w:lang w:val="pt-BR"/>
        </w:rPr>
        <w:t xml:space="preserve">“Giá trị thị trường là khoản tiền ước t</w:t>
      </w:r>
      <w:r>
        <w:rPr>
          <w:i/>
          <w:iCs/>
          <w:color w:val="000000" w:themeColor="text1"/>
          <w:highlight w:val="white"/>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highlight w:val="white"/>
          <w:lang w:val="pt-BR"/>
        </w:rPr>
        <w:t xml:space="preserve">. </w:t>
      </w:r>
      <w:r>
        <w:rPr>
          <w:color w:val="000000" w:themeColor="text1"/>
          <w:highlight w:val="white"/>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rPr>
      </w:r>
      <w:r>
        <w:rPr>
          <w:color w:val="000000" w:themeColor="text1"/>
          <w:highlight w:val="white"/>
        </w:rPr>
      </w:r>
    </w:p>
    <w:p>
      <w:pPr>
        <w:pStyle w:val="1130"/>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rPr>
      </w:r>
      <w:r>
        <w:rPr>
          <w:b/>
          <w:color w:val="000000" w:themeColor="text1"/>
          <w:highlight w:val="white"/>
        </w:rPr>
      </w:r>
    </w:p>
    <w:p>
      <w:pPr>
        <w:pStyle w:val="1130"/>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tiếp cận từ thị trường: </w:t>
      </w:r>
      <w:r>
        <w:rPr>
          <w:bCs/>
          <w:color w:val="000000" w:themeColor="text1"/>
          <w:highlight w:val="white"/>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rPr>
      </w:r>
      <w:r>
        <w:rPr>
          <w:bCs/>
          <w:color w:val="000000" w:themeColor="text1"/>
          <w:highlight w:val="white"/>
        </w:rPr>
      </w:r>
    </w:p>
    <w:p>
      <w:pPr>
        <w:pStyle w:val="1130"/>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Xác đị</w:t>
      </w:r>
      <w:r>
        <w:rPr>
          <w:bCs/>
          <w:color w:val="000000" w:themeColor="text1"/>
          <w:highlight w:val="white"/>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rPr>
      </w:r>
      <w:r>
        <w:rPr>
          <w:bCs/>
          <w:color w:val="000000" w:themeColor="text1"/>
          <w:highlight w:val="white"/>
        </w:rPr>
      </w:r>
    </w:p>
    <w:p>
      <w:pPr>
        <w:pStyle w:val="1130"/>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rPr>
      </w:r>
      <w:r>
        <w:rPr>
          <w:b/>
          <w:color w:val="000000" w:themeColor="text1"/>
          <w:highlight w:val="white"/>
        </w:rPr>
      </w:r>
    </w:p>
    <w:p>
      <w:pPr>
        <w:pStyle w:val="1130"/>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w:t>
      </w:r>
      <w:r>
        <w:rPr>
          <w:color w:val="000000" w:themeColor="text1"/>
          <w:spacing w:val="-4"/>
          <w:highlight w:val="white"/>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highlight w:val="white"/>
        </w:rPr>
      </w:r>
      <w:r>
        <w:rPr>
          <w:color w:val="000000" w:themeColor="text1"/>
          <w:spacing w:val="-4"/>
          <w:highlight w:val="white"/>
        </w:rPr>
      </w:r>
    </w:p>
    <w:p>
      <w:pPr>
        <w:pStyle w:val="1130"/>
        <w:pBdr/>
        <w:spacing w:after="120" w:before="120" w:line="276" w:lineRule="auto"/>
        <w:ind w:left="0"/>
        <w:jc w:val="both"/>
        <w:rPr>
          <w:color w:val="000000" w:themeColor="text1"/>
          <w:highlight w:val="white"/>
        </w:rPr>
      </w:pPr>
      <w:r>
        <w:rPr>
          <w:b/>
          <w:bCs/>
          <w:color w:val="000000" w:themeColor="text1"/>
          <w:highlight w:val="white"/>
          <w:lang w:val="pt-BR"/>
        </w:rPr>
        <w:t xml:space="preserve">VIII. GIÁ TRỊ TÀI SẢN THẨM ĐỊNH</w:t>
      </w:r>
      <w:r>
        <w:rPr>
          <w:color w:val="000000" w:themeColor="text1"/>
          <w:highlight w:val="white"/>
        </w:rPr>
      </w:r>
      <w:r>
        <w:rPr>
          <w:color w:val="000000" w:themeColor="text1"/>
          <w:highlight w:val="white"/>
        </w:rPr>
      </w:r>
    </w:p>
    <w:p>
      <w:pPr>
        <w:pStyle w:val="1130"/>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đơn giá quyền sử dụng đất:</w:t>
      </w:r>
      <w:r>
        <w:rPr>
          <w:b/>
          <w:color w:val="000000" w:themeColor="text1"/>
          <w:highlight w:val="white"/>
        </w:rPr>
      </w:r>
      <w:r>
        <w:rPr>
          <w:b/>
          <w:color w:val="000000" w:themeColor="text1"/>
          <w:highlight w:val="white"/>
        </w:rPr>
      </w:r>
    </w:p>
    <w:p>
      <w:pPr>
        <w:pStyle w:val="1130"/>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highlight w:val="white"/>
        </w:rPr>
      </w:r>
      <w:r>
        <w:rPr>
          <w:bCs/>
          <w:color w:val="000000" w:themeColor="text1"/>
          <w:highlight w:val="white"/>
        </w:rPr>
      </w:r>
    </w:p>
    <w:p>
      <w:pPr>
        <w:pStyle w:val="1130"/>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rPr>
      </w:r>
      <w:r>
        <w:rPr>
          <w:b/>
          <w:color w:val="000000" w:themeColor="text1"/>
          <w:highlight w:val="white"/>
        </w:rPr>
      </w:r>
    </w:p>
    <w:tbl>
      <w:tblPr>
        <w:tblW w:w="9515" w:type="dxa"/>
        <w:tblBorders/>
        <w:tblLayout w:type="fixed"/>
        <w:tblLook w:val="04A0" w:firstRow="1" w:lastRow="0" w:firstColumn="1" w:lastColumn="0" w:noHBand="0" w:noVBand="1"/>
      </w:tblPr>
      <w:tblGrid>
        <w:gridCol w:w="704"/>
        <w:gridCol w:w="1843"/>
        <w:gridCol w:w="1733"/>
        <w:gridCol w:w="1751"/>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Địa chỉ</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sz w:val="22"/>
                <w:szCs w:val="22"/>
                <w:highlight w:val="white"/>
              </w:rPr>
            </w:r>
            <w:r>
              <w:rPr>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https://ba</w:t>
            </w:r>
            <w:r>
              <w:rPr>
                <w:color w:val="000000" w:themeColor="text1"/>
                <w:sz w:val="22"/>
                <w:szCs w:val="22"/>
                <w:highlight w:val="white"/>
              </w:rPr>
              <w:t xml:space="preserve">tdongsan.com.vn/ban-can-ho-chung-cu-phuong-mo-lao-lang-viet-kieu-chau-au-euroland/toi-la-chinh-chu-ban-2pn-72m2-toa-tsq-noi-that-xin-gia-ca-toi-thien-chi-lh-pr46267428?gidzl=ZsNkKRDfNL2DUUnIl7vLK8Dou5saBbS9oNBb3V8g1W7E8xu0yYfS3CWixm6bSLe1b7xj3JK9Fe0rjs9TKm</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Thông tin liên 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0967069664</w:t>
            </w:r>
            <w:r>
              <w:rPr>
                <w:sz w:val="22"/>
                <w:szCs w:val="22"/>
                <w:highlight w:val="white"/>
              </w:rPr>
              <w:t xml:space="preserve"> </w:t>
            </w:r>
            <w:r>
              <w:rPr>
                <w:sz w:val="22"/>
                <w:szCs w:val="22"/>
                <w:highlight w:val="white"/>
              </w:rPr>
              <w:br/>
              <w:t xml:space="preserve">(</w:t>
            </w:r>
            <w:r>
              <w:rPr>
                <w:sz w:val="22"/>
                <w:szCs w:val="22"/>
                <w:highlight w:val="white"/>
              </w:rPr>
              <w:t xml:space="preserve">Cúc Phí</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0986787283</w:t>
            </w:r>
            <w:r>
              <w:rPr>
                <w:sz w:val="22"/>
                <w:szCs w:val="22"/>
                <w:highlight w:val="white"/>
              </w:rPr>
              <w:br/>
              <w:t xml:space="preserve">(</w:t>
            </w:r>
            <w:r>
              <w:rPr>
                <w:sz w:val="22"/>
                <w:szCs w:val="22"/>
                <w:highlight w:val="white"/>
              </w:rPr>
              <w:t xml:space="preserve">Hoàng Huy</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0936203001</w:t>
            </w:r>
            <w:r>
              <w:rPr>
                <w:sz w:val="22"/>
                <w:szCs w:val="22"/>
                <w:highlight w:val="white"/>
              </w:rPr>
              <w:br/>
              <w:t xml:space="preserve">(</w:t>
            </w:r>
            <w:r>
              <w:rPr>
                <w:sz w:val="22"/>
                <w:szCs w:val="22"/>
                <w:highlight w:val="white"/>
              </w:rPr>
              <w:t xml:space="preserve">Phan Vĩnh</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Loại hình tài sản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Phổ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Phổ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Phổ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Phổ thông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là căn hộ 1114 chung cư tại Tòa T2 Chung Cư CT01 Dự án Khu đô thị Mỗ Lao chủ đầu tư Tổng công ty Vinaconex</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là căn hộ chung cư tại Tòa T2 Chung Cư CT01 Dự án Khu đô thị Mỗ Lao chủ đầu tư Tổng công ty Vinaconex</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là căn hộ chung cư tại Tòa T2 Chung Cư CT01 Dự án Khu đô thị Mỗ Lao chủ đầu tư Tổng công ty Vinaconex</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là căn hộ chung cư tại Tòa T2 Chung Cư CT01 Dự án Khu đô thị Mỗ Lao chủ đầu tư Tổng công ty Vinaconex</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 tương quan giữa TSTĐ và TSSS</w:t>
            </w:r>
            <w:r>
              <w:rPr>
                <w:color w:val="000000" w:themeColor="text1"/>
                <w:sz w:val="22"/>
                <w:szCs w:val="22"/>
                <w:highlight w:val="white"/>
              </w:rPr>
            </w:r>
            <w:r>
              <w:rPr>
                <w:color w:val="000000" w:themeColor="text1"/>
                <w:sz w:val="22"/>
                <w:szCs w:val="22"/>
                <w:highlight w:val="white"/>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highlight w:val="white"/>
              </w:rPr>
              <mc:AlternateContent>
                <mc:Choice Requires="wpg">
                  <w:drawing>
                    <wp:inline xmlns:wp="http://schemas.openxmlformats.org/drawingml/2006/wordprocessingDrawing" distT="0" distB="0" distL="0" distR="0">
                      <wp:extent cx="4277868" cy="2540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1190163823" name="" descr=""/>
                              <pic:cNvPicPr/>
                              <pic:nvPr/>
                            </pic:nvPicPr>
                            <pic:blipFill rotWithShape="1">
                              <a:blip r:embed="rId23"/>
                              <a:stretch/>
                            </pic:blipFill>
                            <pic:spPr bwMode="auto">
                              <a:xfrm rot="0" flipH="0" flipV="0">
                                <a:off x="0" y="0"/>
                                <a:ext cx="4277868"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36.84pt;height:200.00pt;mso-wrap-distance-left:0.00pt;mso-wrap-distance-top:0.00pt;mso-wrap-distance-right:0.00pt;mso-wrap-distance-bottom:0.00pt;rotation:0;z-index:1;" stroked="false">
                      <v:imagedata r:id="rId23" o:title=""/>
                      <o:lock v:ext="edit" rotation="t"/>
                    </v:shape>
                  </w:pict>
                </mc:Fallback>
              </mc:AlternateConten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Mô tả 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Tuổi đời – hiện trạng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thông thủy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141,2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138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122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72</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thoáng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 mặt thoáng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 mặt thoáng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 mặt thoáng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 mặt thoáng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Tầng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Tầng 11, Thuộc nhóm tầng: Trung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Tầng 2-6, Thuộc nhóm tầng: Thấp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Tầng 9, Thuộc nhóm tầng: Thấp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Tầng 24, Thuộc nhóm tầng: Cao</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Hướng ban công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Tây Nam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Tây Nam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Đông Bắc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Đông Nam</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Cấu trúc tài sản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 phòng ngủ, 2 nhà vệ sinh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 phòng ngủ, 2 nhà vệ sinh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 phòng ngủ, 2 nhà vệ sinh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 phòng ngủ, 2 nhà vệ sinh</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Nội thất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Cơ bản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Cơ bản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Cơ bản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Cơ bản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Không gian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Không gian, diện tích Khép kín (Không gian khép kín toàn khu: có bảo vệ toàn khu, trung tâm thương mại, siêu thị, sân chơi, sân vườn, bể bơi riêng)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Không gian, diện tích Khép kín (Không gian khép kín toàn khu: có bảo vệ toàn khu, trung tâm thương mại, siêu thị, sân chơi, sân vườn, bể bơi riêng)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Không gian, diện tích Khép kín (Không gian khép kín toàn khu: có bảo vệ toàn khu, trung tâm thương mại, siêu thị, sân chơi, sân vườn, bể bơi riêng)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Không gian, diện tích Khép kín (Không gian khép kín toàn khu: có bảo vệ toàn khu, trung tâm thương mại, siêu thị, sân chơi, sân vườn, bể bơi riêng)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9.300.000.000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8.250.000.000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5.000.000.000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Giá thương lượng/bán (đồng) (đã giảm trừ giá trị nội thất nếu có)</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7.905.000.000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7.012.500.000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4.000.000.000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Đơn giá QSD căn hộ (đồng/m2)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57.282.609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57.479.508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55.555.556</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Loại hình tài sản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Mô tả 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Tuổi đời – hiện trạng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thông thủy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thoáng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Tầng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Hướng ban công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Cấu trúc tài sản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Nội thất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rPr>
      </w:r>
      <w:r>
        <w:rPr>
          <w:color w:val="000000" w:themeColor="text1"/>
          <w:highlight w:val="white"/>
        </w:rPr>
      </w:r>
    </w:p>
    <w:p>
      <w:pPr>
        <w:pStyle w:val="1130"/>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Đơn vị tính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color w:val="000000" w:themeColor="text1"/>
                <w:sz w:val="22"/>
                <w:highlight w:val="white"/>
              </w:rPr>
              <w:t xml:space="preserve">Giá trị BĐS thị trường (Ước </w:t>
            </w:r>
            <w:r>
              <w:rPr>
                <w:b/>
                <w:color w:val="000000" w:themeColor="text1"/>
                <w:sz w:val="22"/>
                <w:highlight w:val="white"/>
              </w:rPr>
              <w:t xml:space="preserve">tính trước điều chỉnh)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Đồng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7.905.000.042</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7.012.499.976</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4.000.000.032</w:t>
            </w:r>
            <w:r>
              <w:rPr>
                <w:color w:val="000000"/>
                <w:sz w:val="20"/>
                <w:szCs w:val="20"/>
                <w:highlight w:val="white"/>
              </w:rPr>
            </w:r>
            <w:r>
              <w:rPr>
                <w:color w:val="000000"/>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color w:val="000000" w:themeColor="text1"/>
                <w:sz w:val="22"/>
                <w:highlight w:val="white"/>
              </w:rPr>
              <w:t xml:space="preserve">Đơn giá QSD căn hộ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57.282.609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57.479.508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55.555.556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Điều chỉnh các 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57.282.609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57.479.508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55.555.556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Loại hình tài sản</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Phổ thông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Phổ thông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Phổ thông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Phổ thông</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57.282.609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57.479.508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55.555.556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Vị trí</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Tài sản là căn hộ chung cư tại Tòa T2 Chung Cư CT01 Dự án Khu đô thị Mỗ Lao chủ đầu tư Tổng công ty Vinaconex</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Tài sản là căn hộ chung cư tại Tòa T2 Chung Cư CT01 Dự án Khu đô thị Mỗ Lao chủ đầu tư Tổng công ty Vinaconex</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Tài sản là căn hộ chung cư tại Tòa T2 Chung Cư CT01 Dự án Khu đô thị Mỗ Lao chủ đầu tư Tổng công ty Vinaconex</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Tài sản là căn hộ chung cư tại Tòa T2 Chung Cư CT01 Dự án Khu đô thị Mỗ Lao chủ đầu tư Tổng công ty Vinaconex</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57.282.609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57.479.508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55.555.556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Mô tả vị trí</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Chung cư 01, Trung tâm tài chính thương mại và các công trình phụ trợ, Khu đô thị Mỗ Lao, Quận Hà Đông, Thành phố Hà Nội</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57.282.609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57.479.508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55.555.556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C.5</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Tuổi đời – hiện trạng sử dụng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57.282.609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57.479.508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55.555.556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C.6</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Diện tích thông thủy (m²)</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(m2)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141,2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138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122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72</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-2.873.975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-5.555.556</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57.282.609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54.605.533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50.000.000</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C.7</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Số lượng mặt thoáng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 mặt thoáng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 mặt thoáng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 mặt thoáng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 mặt thoáng</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1.724.385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3.888.889</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57.282.609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56.329.918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53.888.889</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C.8</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Tầng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Tầng 11, Thuộc nhóm tầng: Trung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Tầng 2-6, Thuộc nhóm tầng: Thấp</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Tầng 9, Thuộc nhóm tầng: Thấp</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Tầng 24, Thuộc nhóm tầng: Cao</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2.864.130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2.873.975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1.666.667</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60.146.739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59.203.893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55.555.556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C.9</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Hướng ban công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Tây Nam</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Tây Nam</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Đông Bắc</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Đông Nam</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60.146.739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59.203.893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55.555.556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C.10</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Cấu trúc tài sản</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 phòng ngủ, 2 nhà vệ sinh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 phòng ngủ, 2 nhà vệ sinh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 phòng ngủ, 2 nhà vệ sinh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 phòng ngủ, 2 nhà vệ sinh</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-2.777.778</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60.146.739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59.203.893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52.777.778</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Nội thất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Cơ bản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Cơ bản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Cơ bản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Cơ bản</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60.146.739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59.203.893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52.777.778</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D</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Mức giá chỉ dẫn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60.146.739</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59.203.893</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52.777.778</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trị trung bình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57.376.137</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độ chênh lệch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4,83%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3,19%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-8,01%</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E</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Tổng hợp các số liệu điều chỉnh tại mục C</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gộp</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2.864.130</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7.472.335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13.888.890</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số lần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Lần</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1</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Biên độ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- 10%</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thuần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2.864.130</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1.724.385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2.777.778</w:t>
            </w:r>
            <w:r>
              <w:rPr>
                <w:sz w:val="22"/>
                <w:szCs w:val="22"/>
                <w:highlight w:val="white"/>
              </w:rPr>
            </w:r>
            <w:r>
              <w:rPr>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số liệu tại mục D2, chênh lệch giữa mức giá trung bình của các mức giá chỉ dẫn nằm trong khoảng từ  </w:t>
      </w:r>
      <w:r>
        <w:rPr>
          <w:highlight w:val="white"/>
        </w:rPr>
        <w:t xml:space="preserve">-8,01% đến 4,83%,</w:t>
      </w:r>
      <w:r>
        <w:rPr>
          <w:color w:val="00b050"/>
          <w:highlight w:val="white"/>
        </w:rPr>
        <w:t xml:space="preserve"> </w:t>
      </w:r>
      <w:r>
        <w:rPr>
          <w:color w:val="000000" w:themeColor="text1"/>
          <w:highlight w:val="white"/>
        </w:rPr>
        <w:t xml:space="preserve">đảm bảo không quá 15% (theo Thông tư số 32/2024/TT-BTC ngày 16/5/2024 của Bộ Tài chính).</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r>
      <w:r>
        <w:rPr>
          <w:b/>
          <w:bCs/>
          <w:i/>
          <w:iCs/>
          <w:color w:val="000000" w:themeColor="text1"/>
          <w:highlight w:val="white"/>
          <w:u w:val="single"/>
        </w:rPr>
      </w:r>
    </w:p>
    <w:p>
      <w:pPr>
        <w:pBdr/>
        <w:spacing w:after="120" w:before="120" w:line="276" w:lineRule="auto"/>
        <w:ind/>
        <w:rPr>
          <w:b/>
          <w:bCs/>
          <w:i/>
          <w:color w:val="000000" w:themeColor="text1"/>
          <w:highlight w:val="white"/>
          <w:u w:val="single"/>
        </w:rPr>
      </w:pPr>
      <w:r>
        <w:rPr>
          <w:b/>
          <w:bCs/>
          <w:i/>
          <w:color w:val="000000" w:themeColor="text1"/>
          <w:highlight w:val="white"/>
          <w:u w:val="single"/>
        </w:rPr>
      </w:r>
      <w:r>
        <w:rPr>
          <w:b/>
          <w:bCs/>
          <w:i/>
          <w:color w:val="000000" w:themeColor="text1"/>
          <w:highlight w:val="white"/>
          <w:u w:val="single"/>
        </w:rPr>
      </w:r>
      <w:r>
        <w:rPr>
          <w:b/>
          <w:bCs/>
          <w:i/>
          <w:color w:val="000000" w:themeColor="text1"/>
          <w:highlight w:val="white"/>
          <w:u w:val="single"/>
        </w:rPr>
      </w:r>
    </w:p>
    <w:p>
      <w:pPr>
        <w:pBdr/>
        <w:spacing w:after="120" w:before="120" w:line="276" w:lineRule="auto"/>
        <w:ind/>
        <w:rPr>
          <w:b/>
          <w:bCs/>
          <w:i/>
          <w:color w:val="000000" w:themeColor="text1"/>
          <w:highlight w:val="white"/>
          <w:u w:val="single"/>
        </w:rPr>
      </w:pPr>
      <w:r>
        <w:rPr>
          <w:b/>
          <w:bCs/>
          <w:i/>
          <w:color w:val="000000" w:themeColor="text1"/>
          <w:highlight w:val="white"/>
          <w:u w:val="single"/>
        </w:rPr>
      </w:r>
      <w:r>
        <w:rPr>
          <w:b/>
          <w:bCs/>
          <w:i/>
          <w:color w:val="000000" w:themeColor="text1"/>
          <w:highlight w:val="white"/>
          <w:u w:val="single"/>
        </w:rPr>
      </w:r>
      <w:r>
        <w:rPr>
          <w:b/>
          <w:bCs/>
          <w:i/>
          <w:color w:val="000000" w:themeColor="text1"/>
          <w:highlight w:val="white"/>
          <w:u w:val="single"/>
        </w:rPr>
      </w:r>
    </w:p>
    <w:p>
      <w:pPr>
        <w:pBdr/>
        <w:spacing w:after="120" w:before="120" w:line="276" w:lineRule="auto"/>
        <w:ind/>
        <w:rPr>
          <w:b/>
          <w:bCs/>
          <w:i/>
          <w:color w:val="000000" w:themeColor="text1"/>
          <w:highlight w:val="white"/>
          <w:u w:val="single"/>
        </w:rPr>
      </w:pPr>
      <w:r>
        <w:rPr>
          <w:b/>
          <w:bCs/>
          <w:i/>
          <w:color w:val="000000" w:themeColor="text1"/>
          <w:highlight w:val="white"/>
          <w:u w:val="single"/>
        </w:rPr>
      </w:r>
      <w:r>
        <w:rPr>
          <w:b/>
          <w:bCs/>
          <w:i/>
          <w:color w:val="000000" w:themeColor="text1"/>
          <w:highlight w:val="white"/>
          <w:u w:val="single"/>
        </w:rPr>
      </w:r>
      <w:r>
        <w:rPr>
          <w:b/>
          <w:bCs/>
          <w:i/>
          <w:color w:val="000000" w:themeColor="text1"/>
          <w:highlight w:val="white"/>
          <w:u w:val="single"/>
        </w:rPr>
      </w:r>
    </w:p>
    <w:p>
      <w:pPr>
        <w:pBdr/>
        <w:spacing w:after="120" w:before="120" w:line="276" w:lineRule="auto"/>
        <w:ind/>
        <w:rPr>
          <w:b/>
          <w:bCs/>
          <w:i/>
          <w:color w:val="000000" w:themeColor="text1"/>
          <w:highlight w:val="white"/>
          <w:u w:val="single"/>
        </w:rPr>
      </w:pPr>
      <w:r>
        <w:rPr>
          <w:b/>
          <w:bCs/>
          <w:i/>
          <w:color w:val="000000" w:themeColor="text1"/>
          <w:highlight w:val="white"/>
          <w:u w:val="single"/>
        </w:rPr>
      </w:r>
      <w:r>
        <w:rPr>
          <w:b/>
          <w:bCs/>
          <w:i/>
          <w:color w:val="000000" w:themeColor="text1"/>
          <w:highlight w:val="white"/>
          <w:u w:val="single"/>
        </w:rPr>
      </w:r>
      <w:r>
        <w:rPr>
          <w:b/>
          <w:bCs/>
          <w:i/>
          <w:color w:val="000000" w:themeColor="text1"/>
          <w:highlight w:val="white"/>
          <w:u w:val="single"/>
        </w:rPr>
      </w:r>
    </w:p>
    <w:p>
      <w:pPr>
        <w:pBdr/>
        <w:spacing w:after="120" w:before="120" w:line="276" w:lineRule="auto"/>
        <w:ind/>
        <w:rPr>
          <w:b/>
          <w:bCs/>
          <w:i/>
          <w:color w:val="000000" w:themeColor="text1"/>
          <w:highlight w:val="white"/>
          <w:u w:val="single"/>
        </w:rPr>
      </w:pPr>
      <w:r>
        <w:rPr>
          <w:b/>
          <w:bCs/>
          <w:i/>
          <w:iCs/>
          <w:color w:val="000000" w:themeColor="text1"/>
          <w:highlight w:val="white"/>
          <w:u w:val="single"/>
        </w:rPr>
      </w:r>
      <w:r>
        <w:rPr>
          <w:b/>
          <w:bCs/>
          <w:i/>
          <w:color w:val="000000" w:themeColor="text1"/>
          <w:highlight w:val="white"/>
          <w:u w:val="single"/>
        </w:rPr>
      </w:r>
      <w:r>
        <w:rPr>
          <w:b/>
          <w:bCs/>
          <w:i/>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white"/>
              </w:rPr>
            </w:pPr>
            <w:r>
              <w:rPr>
                <w:b/>
                <w:bCs/>
                <w:color w:val="000000"/>
                <w:highlight w:val="white"/>
              </w:rPr>
              <w:t xml:space="preserve">TT</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white"/>
              </w:rPr>
            </w:pPr>
            <w:r>
              <w:rPr>
                <w:b/>
                <w:bCs/>
                <w:color w:val="000000"/>
                <w:highlight w:val="white"/>
              </w:rPr>
              <w:t xml:space="preserve">Tài sản</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white"/>
              </w:rPr>
            </w:pPr>
            <w:r>
              <w:rPr>
                <w:b/>
                <w:bCs/>
                <w:color w:val="000000"/>
                <w:highlight w:val="white"/>
              </w:rPr>
              <w:t xml:space="preserve">Mức giá chỉ dẫn của các TSSS</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white"/>
              </w:rPr>
            </w:pPr>
            <w:r>
              <w:rPr>
                <w:b/>
                <w:bCs/>
                <w:color w:val="000000"/>
                <w:highlight w:val="white"/>
              </w:rPr>
              <w:t xml:space="preserve">Trọng số của các TSSS sau điều chỉnh</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highlight w:val="white"/>
              </w:rPr>
              <w:t xml:space="preserve">Giá trị trung bình của mức giá chỉ dẫn sau điều chỉnh</w:t>
            </w:r>
            <w:r>
              <w:rPr>
                <w:b/>
                <w:bCs/>
                <w:color w:val="000000"/>
                <w:highlight w:val="white"/>
              </w:rPr>
            </w:r>
            <w:r>
              <w:rPr>
                <w:b/>
                <w:bCs/>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60.146.739</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20.052.923</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59.203.893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19.732.658</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52.777.778</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17.590.833</w:t>
            </w:r>
            <w:r>
              <w:rPr>
                <w:color w:val="000000"/>
                <w:highlight w:val="white"/>
              </w:rPr>
            </w:r>
            <w:r>
              <w:rPr>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 trị bình quân theo trọng số:</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57.376.414</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57.300.000</w:t>
            </w:r>
            <w:r>
              <w:rPr>
                <w:b/>
                <w:bCs/>
                <w:color w:val="000000"/>
                <w:highlight w:val="white"/>
              </w:rPr>
            </w:r>
            <w:r>
              <w:rPr>
                <w:b/>
                <w:bCs/>
                <w:color w:val="000000"/>
                <w:highlight w:val="white"/>
              </w:rPr>
            </w:r>
          </w:p>
        </w:tc>
      </w:tr>
    </w:tbl>
    <w:p>
      <w:pPr>
        <w:pBdr/>
        <w:spacing w:after="120" w:before="120" w:line="276"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 </w:t>
      </w:r>
      <w:r>
        <w:rPr>
          <w:b/>
          <w:bCs/>
          <w:color w:val="000000" w:themeColor="text1"/>
          <w:highlight w:val="white"/>
          <w:lang w:val="vi-VN"/>
        </w:rPr>
        <w:t xml:space="preserve">57.300.000</w:t>
      </w:r>
      <w:r>
        <w:rPr>
          <w:b/>
          <w:bCs/>
          <w:color w:val="000000" w:themeColor="text1"/>
          <w:highlight w:val="white"/>
        </w:rPr>
        <w:t xml:space="preserve"> </w:t>
      </w:r>
      <w:r>
        <w:rPr>
          <w:b/>
          <w:bCs/>
          <w:highlight w:val="white"/>
        </w:rPr>
        <w:t xml:space="preserve">đồng/m²</w:t>
      </w:r>
      <w:r>
        <w:rPr>
          <w:b/>
          <w:bCs/>
          <w:highlight w:val="white"/>
        </w:rPr>
        <w:t xml:space="preserve">.</w:t>
      </w:r>
      <w:r>
        <w:rPr>
          <w:b/>
          <w:bCs/>
          <w:color w:val="000000" w:themeColor="text1"/>
          <w:highlight w:val="white"/>
        </w:rPr>
      </w:r>
      <w:r>
        <w:rPr>
          <w:b/>
          <w:bCs/>
          <w:color w:val="000000" w:themeColor="text1"/>
          <w:highlight w:val="white"/>
        </w:rPr>
      </w:r>
    </w:p>
    <w:p>
      <w:pPr>
        <w:pStyle w:val="1130"/>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rPr>
      </w:r>
      <w:r>
        <w:rPr>
          <w:b/>
          <w:color w:val="000000" w:themeColor="text1"/>
          <w:highlight w:val="white"/>
        </w:rPr>
      </w:r>
    </w:p>
    <w:p>
      <w:pPr>
        <w:pStyle w:val="1130"/>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Tổ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highlight w:val="white"/>
        </w:rPr>
        <w:t xml:space="preserve">Tháng 09/2026</w:t>
      </w:r>
      <w:r>
        <w:rPr>
          <w:color w:val="000000" w:themeColor="text1"/>
          <w:highlight w:val="white"/>
        </w:rPr>
        <w:t xml:space="preserve"> ước tính như sau:</w:t>
      </w:r>
      <w:r>
        <w:rPr>
          <w:color w:val="000000" w:themeColor="text1"/>
          <w:highlight w:val="white"/>
        </w:rPr>
      </w:r>
      <w:r>
        <w:rPr>
          <w:color w:val="000000" w:themeColor="text1"/>
          <w:highlight w:val="white"/>
        </w:rPr>
      </w:r>
    </w:p>
    <w:tbl>
      <w:tblPr>
        <w:tblStyle w:val="1134"/>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highlight w:val="white"/>
              </w:rPr>
            </w:pPr>
            <w:r>
              <w:rPr>
                <w:b/>
                <w:color w:val="000000" w:themeColor="text1"/>
                <w:highlight w:val="white"/>
              </w:rPr>
              <w:t xml:space="preserve">TT</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highlight w:val="white"/>
              </w:rPr>
            </w:pPr>
            <w:r>
              <w:rPr>
                <w:b/>
                <w:color w:val="000000" w:themeColor="text1"/>
                <w:highlight w:val="white"/>
              </w:rPr>
              <w:t xml:space="preserve">Tài sản</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highlight w:val="white"/>
              </w:rPr>
            </w:pPr>
            <w:r>
              <w:rPr>
                <w:b/>
                <w:color w:val="000000" w:themeColor="text1"/>
                <w:highlight w:val="white"/>
              </w:rPr>
              <w:t xml:space="preserve">Diện tích</w:t>
            </w:r>
            <w:r>
              <w:rPr>
                <w:b/>
                <w:color w:val="000000" w:themeColor="text1"/>
                <w:highlight w:val="white"/>
              </w:rPr>
              <w:br/>
              <w:t xml:space="preserve"> (m²)</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highlight w:val="white"/>
              </w:rPr>
            </w:pPr>
            <w:r>
              <w:rPr>
                <w:b/>
                <w:color w:val="000000" w:themeColor="text1"/>
                <w:highlight w:val="white"/>
              </w:rPr>
              <w:t xml:space="preserve">Đơn giá </w:t>
            </w:r>
            <w:r>
              <w:rPr>
                <w:b/>
                <w:bCs/>
                <w:color w:val="000000" w:themeColor="text1"/>
                <w:highlight w:val="white"/>
              </w:rPr>
            </w:r>
            <w:r>
              <w:rPr>
                <w:b/>
                <w:bCs/>
                <w:color w:val="000000" w:themeColor="text1"/>
                <w:highlight w:val="white"/>
              </w:rPr>
            </w:r>
          </w:p>
          <w:p>
            <w:pPr>
              <w:pBdr/>
              <w:spacing w:line="312" w:lineRule="auto"/>
              <w:ind/>
              <w:jc w:val="center"/>
              <w:rPr>
                <w:color w:val="000000" w:themeColor="text1"/>
                <w:highlight w:val="white"/>
              </w:rPr>
            </w:pPr>
            <w:r>
              <w:rPr>
                <w:b/>
                <w:color w:val="000000" w:themeColor="text1"/>
                <w:highlight w:val="white"/>
              </w:rPr>
              <w:t xml:space="preserve">(đồng/m²)</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highlight w:val="white"/>
              </w:rPr>
            </w:pPr>
            <w:r>
              <w:rPr>
                <w:b/>
                <w:highlight w:val="white"/>
                <w:lang w:val="nl-NL"/>
              </w:rPr>
              <w:t xml:space="preserve">Giá trị thẩm định</w:t>
            </w:r>
            <w:r>
              <w:rPr>
                <w:b/>
                <w:highlight w:val="white"/>
              </w:rPr>
              <w:t xml:space="preserve"> </w:t>
            </w:r>
            <w:r>
              <w:rPr>
                <w:b/>
                <w:highlight w:val="white"/>
              </w:rPr>
              <w:br/>
              <w:t xml:space="preserve">(đồng)</w:t>
            </w:r>
            <w:r>
              <w:rPr>
                <w:color w:val="000000" w:themeColor="text1"/>
                <w:highlight w:val="white"/>
              </w:rPr>
            </w:r>
            <w:r>
              <w:rPr>
                <w:color w:val="000000" w:themeColor="text1"/>
                <w:highlight w:val="white"/>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highlight w:val="white"/>
              </w:rPr>
            </w:pPr>
            <w:r>
              <w:rPr>
                <w:b/>
                <w:color w:val="000000" w:themeColor="text1"/>
                <w:highlight w:val="white"/>
              </w:rPr>
              <w:t xml:space="preserve"> </w:t>
            </w:r>
            <w:r>
              <w:rPr>
                <w:color w:val="000000" w:themeColor="text1"/>
                <w:highlight w:val="white"/>
              </w:rPr>
            </w:r>
            <w:r>
              <w:rPr>
                <w:color w:val="000000" w:themeColor="text1"/>
                <w:highlight w:val="white"/>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color w:val="000000" w:themeColor="text1"/>
                <w:highlight w:val="white"/>
              </w:rPr>
            </w:pPr>
            <w:r>
              <w:rPr>
                <w:color w:val="000000"/>
                <w:highlight w:val="white"/>
              </w:rPr>
              <w:t xml:space="preserve">Căn hộ chung cư số 1114, Tòa T2  có địa chỉ: Chung cư CT01, Trung tâm tài chính thương mại và các công trình phụ trợ, Khu đô thị mới Mỗ Lao, phường Hà Đông, thành phố Hà Nội , theo Giấy c</w:t>
            </w:r>
            <w:r>
              <w:rPr>
                <w:color w:val="000000"/>
                <w:highlight w:val="white"/>
              </w:rPr>
              <w:t xml:space="preserve">hứng nhận Quyền sử dụng đất, quyền sở hữu nhà ở và tài sản khác gắn liền với đất số: AA05550164, số vào sổ cấp GCN: VP 55531 do Văn phòng đăng ký đất đai Hà Nội  cấp ngày 10/01/2026; Chủ sở hữu căn hộ chung cư là Ông Phan Văn Tuấn và bà Nguyễn Thị Kim Hồng</w:t>
            </w:r>
            <w:r>
              <w:rPr>
                <w:b/>
                <w:color w:val="000000" w:themeColor="text1"/>
                <w:highlight w:val="white"/>
              </w:rPr>
              <w:t xml:space="preserve">.</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highlight w:val="white"/>
              </w:rPr>
            </w:pPr>
            <w:r>
              <w:rPr>
                <w:b/>
                <w:color w:val="000000" w:themeColor="text1"/>
                <w:highlight w:val="white"/>
              </w:rPr>
              <w:t xml:space="preserve"> </w:t>
            </w:r>
            <w:r>
              <w:rPr>
                <w:color w:val="000000" w:themeColor="text1"/>
                <w:highlight w:val="white"/>
              </w:rPr>
            </w:r>
            <w:r>
              <w:rPr>
                <w:color w:val="000000" w:themeColor="text1"/>
                <w:highlight w:val="white"/>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highlight w:val="white"/>
              </w:rPr>
            </w:pPr>
            <w:r>
              <w:rPr>
                <w:b/>
                <w:bCs/>
                <w:highlight w:val="white"/>
              </w:rPr>
              <w:t xml:space="preserve">1</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color w:val="000000" w:themeColor="text1"/>
                <w:highlight w:val="white"/>
              </w:rPr>
            </w:pPr>
            <w:r>
              <w:rPr>
                <w:b/>
                <w:bCs/>
                <w:highlight w:val="white"/>
              </w:rPr>
              <w:t xml:space="preserve">Căn hộ chung cư</w:t>
            </w:r>
            <w:r>
              <w:rPr>
                <w:color w:val="000000" w:themeColor="text1"/>
                <w:highlight w:val="white"/>
              </w:rPr>
            </w:r>
            <w:r>
              <w:rPr>
                <w:color w:val="000000" w:themeColor="text1"/>
                <w:highlight w:val="white"/>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highlight w:val="white"/>
              </w:rPr>
            </w:pPr>
            <w:r>
              <w:rPr>
                <w:color w:val="000000" w:themeColor="text1"/>
                <w:highlight w:val="white"/>
              </w:rPr>
              <w:t xml:space="preserve">141,2</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highlight w:val="white"/>
              </w:rPr>
            </w:pPr>
            <w:r>
              <w:rPr>
                <w:color w:val="000000" w:themeColor="text1"/>
                <w:highlight w:val="white"/>
              </w:rPr>
              <w:t xml:space="preserve">57.300.000</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highlight w:val="white"/>
              </w:rPr>
            </w:pPr>
            <w:r>
              <w:rPr>
                <w:color w:val="000000" w:themeColor="text1"/>
                <w:highlight w:val="white"/>
              </w:rPr>
              <w:t xml:space="preserve">8.090.760.000</w:t>
            </w:r>
            <w:r>
              <w:rPr>
                <w:color w:val="000000" w:themeColor="text1"/>
                <w:highlight w:val="white"/>
              </w:rPr>
            </w:r>
            <w:r>
              <w:rPr>
                <w:color w:val="000000" w:themeColor="text1"/>
                <w:highlight w:val="white"/>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highlight w:val="white"/>
              </w:rPr>
            </w:pPr>
            <w:r>
              <w:rPr>
                <w:b/>
                <w:color w:val="000000" w:themeColor="text1"/>
                <w:highlight w:val="white"/>
              </w:rPr>
              <w:t xml:space="preserve">TỔNG CỘNG:</w:t>
            </w:r>
            <w:r>
              <w:rPr>
                <w:color w:val="000000" w:themeColor="text1"/>
                <w:highlight w:val="white"/>
              </w:rPr>
            </w:r>
            <w:r>
              <w:rPr>
                <w:color w:val="000000" w:themeColor="text1"/>
                <w:highlight w:val="white"/>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highlight w:val="white"/>
              </w:rPr>
            </w:pPr>
            <w:r>
              <w:rPr>
                <w:highlight w:val="white"/>
              </w:rPr>
              <w:t xml:space="preserve">8.090.760.000</w:t>
            </w:r>
            <w:r>
              <w:rPr>
                <w:b/>
                <w:color w:val="000000" w:themeColor="text1"/>
                <w:highlight w:val="white"/>
              </w:rPr>
            </w:r>
            <w:r>
              <w:rPr>
                <w:b/>
                <w:color w:val="000000" w:themeColor="text1"/>
                <w:highlight w:val="white"/>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highlight w:val="white"/>
              </w:rPr>
            </w:pPr>
            <w:r>
              <w:rPr>
                <w:b/>
                <w:color w:val="000000" w:themeColor="text1"/>
                <w:highlight w:val="white"/>
              </w:rPr>
              <w:t xml:space="preserve">LÀM TRÒN:</w:t>
            </w:r>
            <w:r>
              <w:rPr>
                <w:color w:val="000000" w:themeColor="text1"/>
                <w:highlight w:val="white"/>
              </w:rPr>
            </w:r>
            <w:r>
              <w:rPr>
                <w:color w:val="000000" w:themeColor="text1"/>
                <w:highlight w:val="white"/>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highlight w:val="white"/>
              </w:rPr>
            </w:pPr>
            <w:r>
              <w:rPr>
                <w:b/>
                <w:bCs/>
                <w:color w:val="000000"/>
                <w:highlight w:val="white"/>
              </w:rPr>
              <w:t xml:space="preserve">8.090.800.000</w:t>
            </w:r>
            <w:r>
              <w:rPr>
                <w:b/>
                <w:color w:val="000000" w:themeColor="text1"/>
                <w:highlight w:val="white"/>
              </w:rPr>
            </w:r>
            <w:r>
              <w:rPr>
                <w:b/>
                <w:color w:val="000000" w:themeColor="text1"/>
                <w:highlight w:val="white"/>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highlight w:val="white"/>
              </w:rPr>
            </w:pPr>
            <w:r>
              <w:rPr>
                <w:b/>
                <w:i/>
                <w:color w:val="000000" w:themeColor="text1"/>
                <w:highlight w:val="white"/>
              </w:rPr>
              <w:t xml:space="preserve">(Bằng chữ:</w:t>
            </w:r>
            <w:r>
              <w:rPr>
                <w:b/>
                <w:bCs/>
                <w:i/>
                <w:iCs/>
                <w:color w:val="000000"/>
                <w:highlight w:val="white"/>
              </w:rPr>
              <w:t xml:space="preserve"> Tám tỷ chín mươi triệu tám trăm nghìn đồng </w:t>
            </w:r>
            <w:r>
              <w:rPr>
                <w:b/>
                <w:i/>
                <w:color w:val="000000" w:themeColor="text1"/>
                <w:highlight w:val="white"/>
              </w:rPr>
              <w:t xml:space="preserve">./.)</w:t>
            </w:r>
            <w:r>
              <w:rPr>
                <w:color w:val="000000" w:themeColor="text1"/>
                <w:highlight w:val="white"/>
              </w:rPr>
            </w:r>
            <w:r>
              <w:rPr>
                <w:color w:val="000000" w:themeColor="text1"/>
                <w:highlight w:val="white"/>
              </w:rPr>
            </w:r>
          </w:p>
        </w:tc>
      </w:tr>
    </w:tbl>
    <w:p>
      <w:pPr>
        <w:pStyle w:val="1130"/>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 </w:t>
      </w:r>
      <w:r>
        <w:rPr>
          <w:b/>
          <w:bCs/>
          <w:color w:val="000000" w:themeColor="text1"/>
          <w:highlight w:val="white"/>
          <w:lang w:val="pt-BR"/>
        </w:rPr>
        <w:t xml:space="preserve">THỜI HẠN HIỆU LỰC CỦA KẾT QUẢ THẨM ĐỊNH GIÁ</w:t>
      </w:r>
      <w:r>
        <w:rPr>
          <w:b/>
          <w:color w:val="000000" w:themeColor="text1"/>
          <w:highlight w:val="white"/>
        </w:rPr>
      </w:r>
      <w:r>
        <w:rPr>
          <w:b/>
          <w:color w:val="000000" w:themeColor="text1"/>
          <w:highlight w:val="white"/>
        </w:rPr>
      </w:r>
    </w:p>
    <w:p>
      <w:pPr>
        <w:pStyle w:val="1130"/>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rPr>
      </w:r>
      <w:r>
        <w:rPr>
          <w:b/>
          <w:color w:val="000000" w:themeColor="text1"/>
          <w:highlight w:val="white"/>
        </w:rPr>
      </w:r>
    </w:p>
    <w:p>
      <w:pPr>
        <w:pStyle w:val="1130"/>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rPr>
      </w:r>
      <w:r>
        <w:rPr>
          <w:rFonts w:ascii="Times New Roman Bold" w:hAnsi="Times New Roman Bold"/>
          <w:b/>
          <w:bCs/>
          <w:color w:val="000000" w:themeColor="text1"/>
          <w:spacing w:val="-4"/>
          <w:highlight w:val="white"/>
        </w:rPr>
      </w:r>
    </w:p>
    <w:p>
      <w:pPr>
        <w:pStyle w:val="1130"/>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rPr>
      </w:r>
      <w:r>
        <w:rPr>
          <w:color w:val="000000" w:themeColor="text1"/>
          <w:highlight w:val="white"/>
        </w:rPr>
      </w:r>
    </w:p>
    <w:p>
      <w:pPr>
        <w:pStyle w:val="1130"/>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rPr>
      </w:r>
      <w:r>
        <w:rPr>
          <w:color w:val="000000" w:themeColor="text1"/>
          <w:highlight w:val="white"/>
        </w:rPr>
      </w:r>
    </w:p>
    <w:p>
      <w:pPr>
        <w:pStyle w:val="1130"/>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 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rPr>
      </w:r>
      <w:r>
        <w:rPr>
          <w:color w:val="000000" w:themeColor="text1"/>
          <w:highlight w:val="white"/>
        </w:rPr>
      </w:r>
    </w:p>
    <w:p>
      <w:pPr>
        <w:pStyle w:val="1130"/>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rPr>
      </w:r>
      <w:r>
        <w:rPr>
          <w:color w:val="000000" w:themeColor="text1"/>
          <w:highlight w:val="white"/>
        </w:rPr>
      </w:r>
    </w:p>
    <w:p>
      <w:pPr>
        <w:pStyle w:val="1130"/>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rPr>
      </w:r>
      <w:r>
        <w:rPr>
          <w:color w:val="000000" w:themeColor="text1"/>
          <w:highlight w:val="white"/>
        </w:rPr>
      </w:r>
    </w:p>
    <w:p>
      <w:pPr>
        <w:pStyle w:val="1130"/>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rPr>
      </w:r>
      <w:r>
        <w:rPr>
          <w:color w:val="000000" w:themeColor="text1"/>
          <w:highlight w:val="white"/>
        </w:rPr>
      </w:r>
    </w:p>
    <w:p>
      <w:pPr>
        <w:pStyle w:val="1130"/>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rPr>
      </w:r>
      <w:r>
        <w:rPr>
          <w:color w:val="000000" w:themeColor="text1"/>
          <w:highlight w:val="white"/>
        </w:rPr>
      </w:r>
    </w:p>
    <w:p>
      <w:pPr>
        <w:pStyle w:val="1130"/>
        <w:pBdr/>
        <w:tabs>
          <w:tab w:val="left" w:leader="none" w:pos="993"/>
        </w:tabs>
        <w:spacing w:after="120" w:before="120" w:line="288"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XI. NHỮNG ĐIỀU KHOẢN LOẠI TRỪ VÀ HẠN CHẾ CỦA KẾT QUẢ THẨM ĐỊNH GIÁ</w:t>
      </w:r>
      <w:r>
        <w:rPr>
          <w:rFonts w:ascii="Times New Roman Bold" w:hAnsi="Times New Roman Bold"/>
          <w:b/>
          <w:color w:val="000000" w:themeColor="text1"/>
          <w:spacing w:val="-4"/>
          <w:highlight w:val="white"/>
        </w:rPr>
      </w:r>
      <w:r>
        <w:rPr>
          <w:rFonts w:ascii="Times New Roman Bold" w:hAnsi="Times New Roman Bold"/>
          <w:b/>
          <w:color w:val="000000" w:themeColor="text1"/>
          <w:spacing w:val="-4"/>
          <w:highlight w:val="white"/>
        </w:rPr>
      </w:r>
    </w:p>
    <w:p>
      <w:pPr>
        <w:pStyle w:val="1130"/>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w:t>
      </w:r>
      <w:r>
        <w:rPr>
          <w:color w:val="000000" w:themeColor="text1"/>
          <w:highlight w:val="white"/>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highlight w:val="white"/>
        </w:rPr>
      </w:r>
      <w:r>
        <w:rPr>
          <w:color w:val="000000" w:themeColor="text1"/>
          <w:highlight w:val="white"/>
        </w:rPr>
      </w:r>
    </w:p>
    <w:p>
      <w:pPr>
        <w:pStyle w:val="1130"/>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rPr>
      </w:r>
      <w:r>
        <w:rPr>
          <w:color w:val="000000" w:themeColor="text1"/>
          <w:highlight w:val="white"/>
        </w:rPr>
      </w:r>
    </w:p>
    <w:p>
      <w:pPr>
        <w:pStyle w:val="1130"/>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rPr>
      </w:r>
      <w:r>
        <w:rPr>
          <w:color w:val="000000" w:themeColor="text1"/>
          <w:highlight w:val="white"/>
        </w:rPr>
      </w:r>
    </w:p>
    <w:p>
      <w:pPr>
        <w:pStyle w:val="1130"/>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rPr>
      </w:r>
      <w:r>
        <w:rPr>
          <w:b/>
          <w:color w:val="000000" w:themeColor="text1"/>
          <w:highlight w:val="white"/>
        </w:rPr>
      </w:r>
    </w:p>
    <w:p>
      <w:pPr>
        <w:pStyle w:val="1130"/>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w:t>
      </w:r>
      <w:r>
        <w:rPr>
          <w:color w:val="000000" w:themeColor="text1"/>
          <w:spacing w:val="2"/>
          <w:highlight w:val="white"/>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highlight w:val="white"/>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highlight w:val="white"/>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rPr>
      </w:r>
      <w:r>
        <w:rPr>
          <w:b/>
          <w:color w:val="000000" w:themeColor="text1"/>
          <w:spacing w:val="2"/>
          <w:highlight w:val="white"/>
        </w:rPr>
      </w:r>
    </w:p>
    <w:p>
      <w:pPr>
        <w:pStyle w:val="1130"/>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rPr>
      </w:r>
      <w:r>
        <w:rPr>
          <w:b/>
          <w:color w:val="000000" w:themeColor="text1"/>
          <w:highlight w:val="white"/>
        </w:rPr>
      </w:r>
    </w:p>
    <w:p>
      <w:pPr>
        <w:pStyle w:val="1130"/>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rPr>
      </w:r>
      <w:r>
        <w:rPr>
          <w:color w:val="000000" w:themeColor="text1"/>
          <w:highlight w:val="white"/>
        </w:rPr>
      </w:r>
    </w:p>
    <w:p>
      <w:pPr>
        <w:pStyle w:val="1130"/>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đất  đã cung cấp cho chúng tôi.</w:t>
      </w:r>
      <w:r>
        <w:rPr>
          <w:color w:val="000000" w:themeColor="text1"/>
          <w:highlight w:val="white"/>
          <w:shd w:val="clear" w:color="auto" w:fill="ffffff"/>
        </w:rPr>
      </w:r>
      <w:r>
        <w:rPr>
          <w:color w:val="000000" w:themeColor="text1"/>
          <w:highlight w:val="white"/>
          <w:shd w:val="clear" w:color="auto" w:fill="ffffff"/>
        </w:rPr>
      </w:r>
    </w:p>
    <w:p>
      <w:pPr>
        <w:pStyle w:val="1130"/>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tài sản thẩm định giá không xảy ra tranh chấp, </w:t>
      </w:r>
      <w:r>
        <w:rPr>
          <w:color w:val="000000" w:themeColor="text1"/>
          <w:highlight w:val="white"/>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highlight w:val="white"/>
        </w:rPr>
      </w:r>
      <w:r>
        <w:rPr>
          <w:color w:val="000000" w:themeColor="text1"/>
          <w:highlight w:val="white"/>
        </w:rPr>
      </w:r>
    </w:p>
    <w:p>
      <w:pPr>
        <w:pStyle w:val="1130"/>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rPr>
      </w:r>
      <w:r>
        <w:rPr>
          <w:color w:val="000000" w:themeColor="text1"/>
          <w:highlight w:val="white"/>
        </w:rPr>
      </w:r>
    </w:p>
    <w:p>
      <w:pPr>
        <w:pStyle w:val="1130"/>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w:t>
      </w:r>
      <w:r>
        <w:rPr>
          <w:color w:val="000000" w:themeColor="text1"/>
          <w:highlight w:val="white"/>
        </w:rPr>
        <w:t xml:space="preserve">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color w:val="000000" w:themeColor="text1"/>
          <w:highlight w:val="white"/>
        </w:rPr>
      </w:r>
      <w:r>
        <w:rPr>
          <w:color w:val="000000" w:themeColor="text1"/>
          <w:highlight w:val="white"/>
        </w:rPr>
      </w:r>
    </w:p>
    <w:p>
      <w:pPr>
        <w:pStyle w:val="1130"/>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rPr>
      </w:r>
      <w:r>
        <w:rPr>
          <w:bCs/>
          <w:color w:val="000000" w:themeColor="text1"/>
          <w:highlight w:val="white"/>
        </w:rPr>
      </w:r>
    </w:p>
    <w:p>
      <w:pPr>
        <w:pStyle w:val="1130"/>
        <w:numPr>
          <w:ilvl w:val="0"/>
          <w:numId w:val="5"/>
        </w:numPr>
        <w:pBdr/>
        <w:tabs>
          <w:tab w:val="left" w:leader="none" w:pos="993"/>
        </w:tabs>
        <w:spacing w:after="120" w:before="120" w:line="288" w:lineRule="auto"/>
        <w:ind w:hanging="357" w:left="357"/>
        <w:jc w:val="both"/>
        <w:rPr>
          <w:color w:val="000000" w:themeColor="text1"/>
          <w:highlight w:val="white"/>
        </w:rPr>
      </w:pPr>
      <w:r>
        <w:rPr>
          <w:highlight w:val="white"/>
        </w:rPr>
      </w:r>
      <w:bookmarkStart w:id="3"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highlight w:val="white"/>
        </w:rPr>
      </w:r>
      <w:r>
        <w:rPr>
          <w:color w:val="000000" w:themeColor="text1"/>
          <w:highlight w:val="white"/>
        </w:rPr>
      </w:r>
    </w:p>
    <w:p>
      <w:pPr>
        <w:pBdr/>
        <w:spacing w:after="120" w:before="120" w:line="288" w:lineRule="auto"/>
        <w:ind/>
        <w:rPr>
          <w:b/>
          <w:bCs/>
          <w:color w:val="000000" w:themeColor="text1"/>
          <w:highlight w:val="white"/>
        </w:rPr>
      </w:pPr>
      <w:r>
        <w:rPr>
          <w:b/>
          <w:bCs/>
          <w:color w:val="000000" w:themeColor="text1"/>
          <w:highlight w:val="white"/>
          <w:lang w:val="pt-BR"/>
        </w:rPr>
        <w:t xml:space="preserve">XII. CÁC PHỤ LỤC KÈM THEO </w:t>
      </w:r>
      <w:r>
        <w:rPr>
          <w:b/>
          <w:bCs/>
          <w:color w:val="000000" w:themeColor="text1"/>
          <w:highlight w:val="white"/>
        </w:rPr>
      </w:r>
      <w:r>
        <w:rPr>
          <w:b/>
          <w:bCs/>
          <w:color w:val="000000" w:themeColor="text1"/>
          <w:highlight w:val="white"/>
        </w:rPr>
      </w:r>
    </w:p>
    <w:p>
      <w:pPr>
        <w:pStyle w:val="1130"/>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rPr>
      </w:r>
      <w:r>
        <w:rPr>
          <w:bCs/>
          <w:color w:val="000000" w:themeColor="text1"/>
          <w:highlight w:val="white"/>
        </w:rPr>
      </w:r>
    </w:p>
    <w:p>
      <w:pPr>
        <w:pStyle w:val="1130"/>
        <w:pBdr/>
        <w:tabs>
          <w:tab w:val="left" w:leader="none" w:pos="993"/>
        </w:tabs>
        <w:spacing w:after="120" w:before="120" w:line="288" w:lineRule="auto"/>
        <w:ind w:left="0"/>
        <w:jc w:val="both"/>
        <w:rPr>
          <w:color w:val="000000" w:themeColor="text1"/>
          <w:highlight w:val="white"/>
        </w:rPr>
      </w:pPr>
      <w:r>
        <w:rPr>
          <w:color w:val="000000" w:themeColor="text1"/>
          <w:highlight w:val="white"/>
          <w:lang w:val="pt-BR"/>
        </w:rPr>
        <w:t xml:space="preserve">Phụ lục 2: Thông tin thu thập thị trường.</w:t>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lang w:val="vi-VN"/>
        </w:rPr>
      </w:r>
      <w:r>
        <w:rPr>
          <w:color w:val="000000" w:themeColor="text1"/>
          <w:highlight w:val="white"/>
          <w:lang w:val="vi-VN"/>
        </w:rPr>
        <w:t xml:space="preserve">Báo cáo kết quả thẩm định giá được phát hành 03 (ba) bản chính bằng tiếng Việt kèm theo Chứng thư thẩm định giá số </w:t>
      </w:r>
      <w:r>
        <w:rPr>
          <w:color w:val="000000" w:themeColor="text1"/>
          <w:highlight w:val="white"/>
          <w:lang w:val="vi-VN"/>
        </w:rPr>
        <w:t xml:space="preserve">275/2026/1488/VFI-CT.T04.A</w:t>
      </w:r>
      <w:r>
        <w:rPr>
          <w:color w:val="000000" w:themeColor="text1"/>
          <w:highlight w:val="white"/>
          <w:lang w:val="vi-VN"/>
        </w:rPr>
        <w:t xml:space="preserve"> </w:t>
      </w:r>
      <w:r>
        <w:rPr>
          <w:color w:val="000000" w:themeColor="text1"/>
          <w:highlight w:val="white"/>
        </w:rPr>
        <w:t xml:space="preserve">ngày 22 tháng 9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rPr>
        <w:t xml:space="preserve"> </w:t>
      </w:r>
      <w:r>
        <w:rPr>
          <w:color w:val="000000" w:themeColor="text1"/>
          <w:highlight w:val="white"/>
          <w:lang w:val="vi-VN"/>
        </w:rPr>
        <w:t xml:space="preserve">Công ty Cổ phần Thẩm định và Đầu tư Tài chính Hoa Sen.</w:t>
      </w:r>
      <w:r>
        <w:rPr>
          <w:color w:val="000000" w:themeColor="text1"/>
          <w:highlight w:val="white"/>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Đỗ Thanh Thảo</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XV23.2485</w:t>
            </w:r>
            <w:r>
              <w:rPr>
                <w:rFonts w:eastAsia="Calibri"/>
                <w:bCs/>
                <w:highlight w:val="white"/>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rPr>
            </w:r>
            <w:r>
              <w:rPr>
                <w:rFonts w:eastAsia="Calibri"/>
                <w:b/>
                <w:highlight w:val="white"/>
              </w:rPr>
            </w:r>
          </w:p>
        </w:tc>
      </w:tr>
    </w:tbl>
    <w:p>
      <w:pPr>
        <w:pBdr/>
        <w:spacing w:after="200" w:line="276" w:lineRule="auto"/>
        <w:ind/>
        <w:jc w:val="center"/>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p>
      <w:pPr>
        <w:pBdr/>
        <w:spacing w:after="200" w:line="276" w:lineRule="auto"/>
        <w:ind/>
        <w:jc w:val="center"/>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Khánh Hà</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rPr>
            </w:r>
            <w:r>
              <w:rPr>
                <w:rFonts w:eastAsia="Calibri"/>
                <w:b/>
                <w:highlight w:val="white"/>
              </w:rPr>
            </w:r>
          </w:p>
        </w:tc>
      </w:tr>
    </w:tbl>
    <w:p>
      <w:pPr>
        <w:pBdr/>
        <w:spacing w:after="200" w:line="276" w:lineRule="auto"/>
        <w:ind/>
        <w:rPr>
          <w:b/>
          <w:color w:val="000000" w:themeColor="text1"/>
          <w:highlight w:val="white"/>
          <w:u w:val="single"/>
        </w:rPr>
      </w:pPr>
      <w:r>
        <w:rPr>
          <w:b/>
          <w:color w:val="000000" w:themeColor="text1"/>
          <w:highlight w:val="white"/>
          <w:u w:val="single"/>
        </w:rPr>
      </w:r>
      <w:r>
        <w:rPr>
          <w:b/>
          <w:color w:val="000000" w:themeColor="text1"/>
          <w:highlight w:val="white"/>
          <w:u w:val="single"/>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01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VÀ PHÁP LÝ CỦA TÀI SẢN</w:t>
      </w:r>
      <w:r>
        <w:rPr>
          <w:b/>
          <w:color w:val="000000" w:themeColor="text1"/>
          <w:highlight w:val="white"/>
          <w:u w:val="single"/>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highlight w:val="white"/>
        </w:rPr>
        <w:t xml:space="preserve">275/2026/1488/VFI-BC.T04.A</w:t>
      </w:r>
      <w:r>
        <w:rPr>
          <w:i/>
          <w:highlight w:val="white"/>
          <w:lang w:val="pt-BR"/>
        </w:rPr>
        <w:t xml:space="preserve"> </w:t>
      </w:r>
      <w:r>
        <w:rPr>
          <w:i/>
          <w:highlight w:val="white"/>
          <w:lang w:val="pt-BR"/>
        </w:rPr>
        <w:t xml:space="preserve">22 tháng 9 năm 2026</w:t>
      </w:r>
      <w:r>
        <w:rPr>
          <w:i/>
          <w:color w:val="000000" w:themeColor="text1"/>
          <w:highlight w:val="white"/>
          <w:lang w:val="pt-BR"/>
        </w:rPr>
        <w:t xml:space="preserve"> 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tbl>
      <w:tblPr>
        <w:tblStyle w:val="113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 </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ind/>
              <w:jc w:val="center"/>
              <w:rPr>
                <w:i/>
                <w:iCs/>
                <w:color w:val="000000" w:themeColor="text1"/>
                <w:highlight w:val="white"/>
              </w:rPr>
            </w:pPr>
            <w:r>
              <w:rPr>
                <w:i/>
                <w:iCs/>
                <w:color w:val="000000" w:themeColor="text1"/>
                <w:highlight w:val="white"/>
              </w:rPr>
            </w:r>
            <w:r>
              <w:rPr>
                <w:highlight w:val="white"/>
              </w:rPr>
              <mc:AlternateContent>
                <mc:Choice Requires="wpg">
                  <w:drawing>
                    <wp:inline xmlns:wp="http://schemas.openxmlformats.org/drawingml/2006/wordprocessingDrawing" distT="0" distB="0" distL="0" distR="0">
                      <wp:extent cx="1935663" cy="276467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65275" name=""/>
                              <pic:cNvPicPr>
                                <a:picLocks noChangeAspect="1"/>
                              </pic:cNvPicPr>
                              <pic:nvPr/>
                            </pic:nvPicPr>
                            <pic:blipFill rotWithShape="1">
                              <a:blip r:embed="rId24"/>
                              <a:stretch/>
                            </pic:blipFill>
                            <pic:spPr bwMode="auto">
                              <a:xfrm flipH="0" flipV="0">
                                <a:off x="0" y="0"/>
                                <a:ext cx="1935663" cy="27646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52.41pt;height:217.69pt;mso-wrap-distance-left:0.00pt;mso-wrap-distance-top:0.00pt;mso-wrap-distance-right:0.00pt;mso-wrap-distance-bottom:0.00pt;z-index:1;" stroked="false">
                      <v:imagedata r:id="rId24" o:title=""/>
                      <o:lock v:ext="edit" rotation="t"/>
                    </v:shape>
                  </w:pict>
                </mc:Fallback>
              </mc:AlternateContent>
            </w:r>
            <w:r>
              <w:rPr>
                <w:i/>
                <w:iCs/>
                <w:color w:val="000000" w:themeColor="text1"/>
                <w:highlight w:val="white"/>
              </w:rPr>
            </w:r>
            <w:r>
              <w:rPr>
                <w:i/>
                <w:iCs/>
                <w:color w:val="000000" w:themeColor="text1"/>
                <w:highlight w:val="white"/>
              </w:rPr>
            </w:r>
          </w:p>
        </w:tc>
        <w:tc>
          <w:tcPr>
            <w:tcBorders/>
            <w:tcW w:w="4757" w:type="dxa"/>
            <w:vAlign w:val="center"/>
            <w:textDirection w:val="lrTb"/>
            <w:noWrap w:val="false"/>
          </w:tcPr>
          <w:p>
            <w:pPr>
              <w:pBdr/>
              <w:spacing w:after="120"/>
              <w:ind/>
              <w:jc w:val="center"/>
              <w:rPr>
                <w:i/>
                <w:iCs/>
                <w:color w:val="000000" w:themeColor="text1"/>
                <w:highlight w:val="white"/>
              </w:rPr>
            </w:pPr>
            <w:r>
              <w:rPr>
                <w:i/>
                <w:iCs/>
                <w:color w:val="000000" w:themeColor="text1"/>
                <w:highlight w:val="white"/>
              </w:rPr>
            </w:r>
            <w:r>
              <w:rPr>
                <w:highlight w:val="white"/>
              </w:rPr>
              <mc:AlternateContent>
                <mc:Choice Requires="wpg">
                  <w:drawing>
                    <wp:inline xmlns:wp="http://schemas.openxmlformats.org/drawingml/2006/wordprocessingDrawing" distT="0" distB="0" distL="0" distR="0">
                      <wp:extent cx="2941660" cy="220624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30669" name=""/>
                              <pic:cNvPicPr>
                                <a:picLocks noChangeAspect="1"/>
                              </pic:cNvPicPr>
                              <pic:nvPr/>
                            </pic:nvPicPr>
                            <pic:blipFill rotWithShape="1">
                              <a:blip r:embed="rId25"/>
                              <a:stretch/>
                            </pic:blipFill>
                            <pic:spPr bwMode="auto">
                              <a:xfrm rot="0" flipH="0" flipV="0">
                                <a:off x="0" y="0"/>
                                <a:ext cx="2941659" cy="22062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1.63pt;height:173.72pt;mso-wrap-distance-left:0.00pt;mso-wrap-distance-top:0.00pt;mso-wrap-distance-right:0.00pt;mso-wrap-distance-bottom:0.00pt;rotation:0;z-index:1;" stroked="false">
                      <v:imagedata r:id="rId25" o:title=""/>
                      <o:lock v:ext="edit" rotation="t"/>
                    </v:shape>
                  </w:pict>
                </mc:Fallback>
              </mc:AlternateContent>
            </w:r>
            <w:r>
              <w:rPr>
                <w:i/>
                <w:iCs/>
                <w:color w:val="000000" w:themeColor="text1"/>
                <w:highlight w:val="white"/>
              </w:rPr>
            </w:r>
            <w:r>
              <w:rPr>
                <w:i/>
                <w:iCs/>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toà nhà</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rPr>
            </w:r>
            <w:r>
              <w:rPr>
                <w:highlight w:val="white"/>
              </w:rPr>
              <mc:AlternateContent>
                <mc:Choice Requires="wpg">
                  <w:drawing>
                    <wp:inline xmlns:wp="http://schemas.openxmlformats.org/drawingml/2006/wordprocessingDrawing" distT="0" distB="0" distL="0" distR="0">
                      <wp:extent cx="3036910" cy="226856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358" name=""/>
                              <pic:cNvPicPr>
                                <a:picLocks noChangeAspect="1"/>
                              </pic:cNvPicPr>
                              <pic:nvPr/>
                            </pic:nvPicPr>
                            <pic:blipFill rotWithShape="1">
                              <a:blip r:embed="rId26"/>
                              <a:stretch/>
                            </pic:blipFill>
                            <pic:spPr bwMode="auto">
                              <a:xfrm flipH="0" flipV="0">
                                <a:off x="0" y="0"/>
                                <a:ext cx="3036909" cy="22685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9.13pt;height:178.63pt;mso-wrap-distance-left:0.00pt;mso-wrap-distance-top:0.00pt;mso-wrap-distance-right:0.00pt;mso-wrap-distance-bottom:0.00pt;z-index:1;" stroked="false">
                      <v:imagedata r:id="rId26"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rPr>
            </w:r>
            <w:r>
              <w:rPr>
                <w:highlight w:val="white"/>
              </w:rPr>
              <mc:AlternateContent>
                <mc:Choice Requires="wpg">
                  <w:drawing>
                    <wp:inline xmlns:wp="http://schemas.openxmlformats.org/drawingml/2006/wordprocessingDrawing" distT="0" distB="0" distL="0" distR="0">
                      <wp:extent cx="2926862" cy="219514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67248" name=""/>
                              <pic:cNvPicPr>
                                <a:picLocks noChangeAspect="1"/>
                              </pic:cNvPicPr>
                              <pic:nvPr/>
                            </pic:nvPicPr>
                            <pic:blipFill rotWithShape="1">
                              <a:blip r:embed="rId27"/>
                              <a:stretch/>
                            </pic:blipFill>
                            <pic:spPr bwMode="auto">
                              <a:xfrm flipH="0" flipV="0">
                                <a:off x="0" y="0"/>
                                <a:ext cx="2926861" cy="21951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0.46pt;height:172.85pt;mso-wrap-distance-left:0.00pt;mso-wrap-distance-top:0.00pt;mso-wrap-distance-right:0.00pt;mso-wrap-distance-bottom:0.00pt;z-index:1;" stroked="false">
                      <v:imagedata r:id="rId27" o:title=""/>
                      <o:lock v:ext="edit" rotation="t"/>
                    </v:shape>
                  </w:pict>
                </mc:Fallback>
              </mc:AlternateContent>
            </w:r>
            <w:r>
              <w:rPr>
                <w:i/>
                <w:color w:val="000000" w:themeColor="text1"/>
                <w:highlight w:val="white"/>
              </w:rPr>
            </w:r>
            <w:r>
              <w:rPr>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rPr>
            </w:r>
            <w:r>
              <w:rPr>
                <w:highlight w:val="white"/>
              </w:rPr>
              <mc:AlternateContent>
                <mc:Choice Requires="wpg">
                  <w:drawing>
                    <wp:inline xmlns:wp="http://schemas.openxmlformats.org/drawingml/2006/wordprocessingDrawing" distT="0" distB="0" distL="0" distR="0">
                      <wp:extent cx="2913063" cy="2184798"/>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52113" name=""/>
                              <pic:cNvPicPr>
                                <a:picLocks noChangeAspect="1"/>
                              </pic:cNvPicPr>
                              <pic:nvPr/>
                            </pic:nvPicPr>
                            <pic:blipFill rotWithShape="1">
                              <a:blip r:embed="rId28"/>
                              <a:stretch/>
                            </pic:blipFill>
                            <pic:spPr bwMode="auto">
                              <a:xfrm flipH="0" flipV="0">
                                <a:off x="0" y="0"/>
                                <a:ext cx="2913063" cy="21847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9.38pt;height:172.03pt;mso-wrap-distance-left:0.00pt;mso-wrap-distance-top:0.00pt;mso-wrap-distance-right:0.00pt;mso-wrap-distance-bottom:0.00pt;z-index:1;" stroked="false">
                      <v:imagedata r:id="rId28"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rPr>
            </w:r>
            <w:r>
              <w:rPr>
                <w:highlight w:val="white"/>
              </w:rPr>
              <mc:AlternateContent>
                <mc:Choice Requires="wpg">
                  <w:drawing>
                    <wp:inline xmlns:wp="http://schemas.openxmlformats.org/drawingml/2006/wordprocessingDrawing" distT="0" distB="0" distL="0" distR="0">
                      <wp:extent cx="2922035" cy="212353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74971" name=""/>
                              <pic:cNvPicPr>
                                <a:picLocks noChangeAspect="1"/>
                              </pic:cNvPicPr>
                              <pic:nvPr/>
                            </pic:nvPicPr>
                            <pic:blipFill rotWithShape="1">
                              <a:blip r:embed="rId29"/>
                              <a:stretch/>
                            </pic:blipFill>
                            <pic:spPr bwMode="auto">
                              <a:xfrm flipH="0" flipV="0">
                                <a:off x="0" y="0"/>
                                <a:ext cx="2922035" cy="21235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30.08pt;height:167.21pt;mso-wrap-distance-left:0.00pt;mso-wrap-distance-top:0.00pt;mso-wrap-distance-right:0.00pt;mso-wrap-distance-bottom:0.00pt;z-index:1;" stroked="false">
                      <v:imagedata r:id="rId29" o:title=""/>
                      <o:lock v:ext="edit" rotation="t"/>
                    </v:shape>
                  </w:pict>
                </mc:Fallback>
              </mc:AlternateContent>
            </w:r>
            <w:r>
              <w:rPr>
                <w:b/>
                <w:bCs/>
                <w:i/>
                <w:color w:val="000000" w:themeColor="text1"/>
                <w:highlight w:val="white"/>
              </w:rPr>
            </w:r>
            <w:r>
              <w:rPr>
                <w:b/>
                <w:bCs/>
                <w:i/>
                <w:color w:val="000000" w:themeColor="text1"/>
                <w:highlight w:val="white"/>
              </w:rPr>
            </w:r>
          </w:p>
        </w:tc>
      </w:tr>
    </w:tbl>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p>
      <w:pPr>
        <w:pBdr/>
        <w:spacing w:after="200" w:line="276" w:lineRule="auto"/>
        <w:ind/>
        <w:jc w:val="center"/>
        <w:rPr>
          <w:b/>
          <w:bCs/>
          <w:color w:val="000000" w:themeColor="text1"/>
          <w:highlight w:val="white"/>
        </w:rPr>
      </w:pPr>
      <w:r>
        <w:rPr>
          <w:b/>
          <w:bCs/>
          <w:color w:val="000000" w:themeColor="text1"/>
          <w:highlight w:val="white"/>
        </w:rPr>
        <w:t xml:space="preserve">Biên bản khảo sát </w:t>
      </w:r>
      <w:r>
        <w:rPr>
          <w:b/>
          <w:bCs/>
          <w:color w:val="000000" w:themeColor="text1"/>
          <w:highlight w:val="white"/>
        </w:rPr>
      </w:r>
      <w:r>
        <w:rPr>
          <w:b/>
          <w:bCs/>
          <w:color w:val="000000" w:themeColor="text1"/>
          <w:highlight w:val="white"/>
        </w:rPr>
      </w:r>
    </w:p>
    <w:p>
      <w:pPr>
        <w:pBdr/>
        <w:spacing w:after="200" w:line="276" w:lineRule="auto"/>
        <w:ind/>
        <w:jc w:val="center"/>
        <w:rPr>
          <w:b/>
          <w:bCs/>
          <w:color w:val="000000" w:themeColor="text1"/>
          <w:highlight w:val="white"/>
        </w:rPr>
      </w:pPr>
      <w:r>
        <w:rPr>
          <w:b/>
          <w:bCs/>
          <w:color w:val="000000" w:themeColor="text1"/>
          <w:highlight w:val="white"/>
        </w:rPr>
      </w:r>
      <w:r>
        <w:rPr>
          <w:highlight w:val="white"/>
        </w:rPr>
        <mc:AlternateContent>
          <mc:Choice Requires="wpg">
            <w:drawing>
              <wp:inline xmlns:wp="http://schemas.openxmlformats.org/drawingml/2006/wordprocessingDrawing" distT="0" distB="0" distL="0" distR="0">
                <wp:extent cx="6048375" cy="8862553"/>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06259" name=""/>
                        <pic:cNvPicPr>
                          <a:picLocks noChangeAspect="1"/>
                        </pic:cNvPicPr>
                        <pic:nvPr/>
                      </pic:nvPicPr>
                      <pic:blipFill rotWithShape="1">
                        <a:blip r:embed="rId30"/>
                        <a:stretch/>
                      </pic:blipFill>
                      <pic:spPr bwMode="auto">
                        <a:xfrm flipH="0" flipV="0">
                          <a:off x="0" y="0"/>
                          <a:ext cx="6048374" cy="88625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97.84pt;mso-wrap-distance-left:0.00pt;mso-wrap-distance-top:0.00pt;mso-wrap-distance-right:0.00pt;mso-wrap-distance-bottom:0.00pt;z-index:1;" stroked="false">
                <v:imagedata r:id="rId30" o:title=""/>
                <o:lock v:ext="edit" rotation="t"/>
              </v:shape>
            </w:pict>
          </mc:Fallback>
        </mc:AlternateContent>
      </w:r>
      <w:r>
        <w:rPr>
          <w:b/>
          <w:bCs/>
          <w:color w:val="000000" w:themeColor="text1"/>
          <w:highlight w:val="white"/>
        </w:rPr>
      </w:r>
      <w:r>
        <w:rPr>
          <w:b/>
          <w:bCs/>
          <w:color w:val="000000" w:themeColor="text1"/>
          <w:highlight w:val="white"/>
        </w:rPr>
      </w:r>
    </w:p>
    <w:p>
      <w:pPr>
        <w:pBdr/>
        <w:spacing w:after="200" w:line="276" w:lineRule="auto"/>
        <w:ind/>
        <w:jc w:val="center"/>
        <w:rPr>
          <w:i/>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02</w:t>
      </w:r>
      <w:r>
        <w:rPr>
          <w:b/>
          <w:color w:val="000000" w:themeColor="text1"/>
          <w:highlight w:val="white"/>
          <w:lang w:val="vi-VN"/>
        </w:rPr>
        <w:t xml:space="preserve">: THÔNG TIN THU THẬP THỊ TRƯỜN</w:t>
      </w:r>
      <w:r>
        <w:rPr>
          <w:b/>
          <w:color w:val="000000" w:themeColor="text1"/>
          <w:highlight w:val="white"/>
        </w:rPr>
        <w:t xml:space="preserve">G</w:t>
      </w:r>
      <w:r>
        <w:rPr>
          <w:i/>
          <w:color w:val="000000" w:themeColor="text1"/>
          <w:highlight w:val="white"/>
        </w:rPr>
      </w:r>
      <w:r>
        <w:rPr>
          <w:i/>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highlight w:val="white"/>
        </w:rPr>
        <w:t xml:space="preserve">275/2026/1488/VFI-BC.T04.A</w:t>
      </w:r>
      <w:r>
        <w:rPr>
          <w:i/>
          <w:highlight w:val="white"/>
          <w:lang w:val="pt-BR"/>
        </w:rPr>
        <w:t xml:space="preserve"> </w:t>
      </w:r>
      <w:r>
        <w:rPr>
          <w:i/>
          <w:highlight w:val="white"/>
          <w:lang w:val="pt-BR"/>
        </w:rPr>
        <w:t xml:space="preserve">22 tháng 9 năm 2026</w:t>
      </w:r>
      <w:r>
        <w:rPr>
          <w:i/>
          <w:color w:val="000000" w:themeColor="text1"/>
          <w:highlight w:val="white"/>
          <w:lang w:val="pt-BR"/>
        </w:rPr>
        <w:t xml:space="preserve"> 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Trực tiếp</w:t>
            </w:r>
            <w:r>
              <w:rPr>
                <w:color w:val="000000" w:themeColor="text1"/>
                <w:sz w:val="22"/>
                <w:szCs w:val="22"/>
                <w:highlight w:val="white"/>
              </w:rPr>
              <w:br/>
              <w:t xml:space="preserve">0967069664</w:t>
            </w:r>
            <w:r>
              <w:rPr>
                <w:sz w:val="22"/>
                <w:szCs w:val="22"/>
                <w:highlight w:val="white"/>
              </w:rPr>
              <w:t xml:space="preserve"> </w:t>
            </w:r>
            <w:r>
              <w:rPr>
                <w:sz w:val="22"/>
                <w:szCs w:val="22"/>
                <w:highlight w:val="white"/>
              </w:rPr>
              <w:br/>
              <w:t xml:space="preserve">(Cúc Phí</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9.300.000.000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7.905.000.000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09/2026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Loại hình tài sản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Căn hộ chung cư</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là căn hộ chung cư tại Tòa T2 Chung Cư CT01 Dự án Khu đô thị Mỗ Lao chủ đầu tư Tổng công ty Vinaconex</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138</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w:t>
            </w:r>
            <w:r>
              <w:rPr>
                <w:color w:val="000000"/>
                <w:sz w:val="22"/>
                <w:szCs w:val="22"/>
                <w:highlight w:val="white"/>
              </w:rPr>
              <w:t xml:space="preserve">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 mặt thoáng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Tầng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Tầng 2-6, Thuộc nhóm tầng: Thấp</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Hướng ban công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Tây Nam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Cấu trúc</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 phòng ngủ, 2 nhà vệ sinh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Nội thất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Cơ bản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 </w:t>
              <mc:AlternateContent>
                <mc:Choice Requires="wpg">
                  <w:drawing>
                    <wp:inline xmlns:wp="http://schemas.openxmlformats.org/drawingml/2006/wordprocessingDrawing" distT="0" distB="0" distL="0" distR="0">
                      <wp:extent cx="1276691" cy="2968174"/>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1276691" cy="29681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00.53pt;height:233.71pt;mso-wrap-distance-left:0.00pt;mso-wrap-distance-top:0.00pt;mso-wrap-distance-right:0.00pt;mso-wrap-distance-bottom:0.00pt;z-index:1;" stroked="false">
                      <v:imagedata r:id="rId31"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393902" cy="2968174"/>
                      <wp:effectExtent l="0" t="0" r="0" b="0"/>
                      <wp:docPr id="20" name=""/>
                      <wp:cNvGraphicFramePr/>
                      <a:graphic xmlns:a="http://schemas.openxmlformats.org/drawingml/2006/main">
                        <a:graphicData uri="http://schemas.openxmlformats.org/drawingml/2006/picture">
                          <pic:pic xmlns:pic="http://schemas.openxmlformats.org/drawingml/2006/picture">
                            <pic:nvPicPr>
                              <pic:cNvPr id="360382441" name="" descr=""/>
                              <pic:cNvPicPr/>
                              <pic:nvPr/>
                            </pic:nvPicPr>
                            <pic:blipFill rotWithShape="1">
                              <a:blip r:embed="rId32"/>
                              <a:stretch/>
                            </pic:blipFill>
                            <pic:spPr bwMode="auto">
                              <a:xfrm flipH="0" flipV="0">
                                <a:off x="0" y="0"/>
                                <a:ext cx="1393901" cy="29681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09.76pt;height:233.71pt;mso-wrap-distance-left:0.00pt;mso-wrap-distance-top:0.00pt;mso-wrap-distance-right:0.00pt;mso-wrap-distance-bottom:0.00pt;z-index:1;" stroked="false">
                      <v:imagedata r:id="rId32"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393902" cy="2968174"/>
                      <wp:effectExtent l="0" t="0" r="0" b="0"/>
                      <wp:docPr id="21" name=""/>
                      <wp:cNvGraphicFramePr/>
                      <a:graphic xmlns:a="http://schemas.openxmlformats.org/drawingml/2006/main">
                        <a:graphicData uri="http://schemas.openxmlformats.org/drawingml/2006/picture">
                          <pic:pic xmlns:pic="http://schemas.openxmlformats.org/drawingml/2006/picture">
                            <pic:nvPicPr>
                              <pic:cNvPr id="900617170" name="" descr=""/>
                              <pic:cNvPicPr/>
                              <pic:nvPr/>
                            </pic:nvPicPr>
                            <pic:blipFill rotWithShape="1">
                              <a:blip r:embed="rId33"/>
                              <a:stretch/>
                            </pic:blipFill>
                            <pic:spPr bwMode="auto">
                              <a:xfrm flipH="0" flipV="0">
                                <a:off x="0" y="0"/>
                                <a:ext cx="1393901" cy="29681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09.76pt;height:233.71pt;mso-wrap-distance-left:0.00pt;mso-wrap-distance-top:0.00pt;mso-wrap-distance-right:0.00pt;mso-wrap-distance-bottom:0.00pt;z-index:1;" stroked="false">
                      <v:imagedata r:id="rId33"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346051" cy="2968174"/>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1346050" cy="29681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05.99pt;height:233.71pt;mso-wrap-distance-left:0.00pt;mso-wrap-distance-top:0.00pt;mso-wrap-distance-right:0.00pt;mso-wrap-distance-bottom:0.00pt;z-index:1;" stroked="false">
                      <v:imagedata r:id="rId34"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highlight w:val="white"/>
              </w:rPr>
            </w:r>
            <w:r>
              <w:rPr>
                <w:highlight w:val="white"/>
              </w:rPr>
            </w:r>
          </w:p>
          <w:p>
            <w:pPr>
              <w:pBdr/>
              <w:spacing/>
              <w:ind/>
              <w:rPr>
                <w:highlight w:val="white"/>
              </w:rPr>
            </w:pPr>
            <w:r>
              <w:rPr>
                <w:highlight w:val="white"/>
              </w:rPr>
            </w:r>
            <w:r>
              <w:rPr>
                <w:highlight w:val="white"/>
              </w:rPr>
            </w:r>
            <w:r>
              <w:rPr>
                <w:highlight w:val="white"/>
              </w:rPr>
            </w:r>
          </w:p>
        </w:tc>
      </w:tr>
    </w:tbl>
    <w:p>
      <w:pPr>
        <w:pBdr/>
        <w:spacing w:after="120"/>
        <w:ind/>
        <w:jc w:val="center"/>
        <w:rPr>
          <w:i/>
          <w:color w:val="000000" w:themeColor="text1"/>
          <w:highlight w:val="white"/>
        </w:rPr>
      </w:pPr>
      <w:r>
        <w:rPr>
          <w:i/>
          <w:color w:val="000000" w:themeColor="text1"/>
          <w:highlight w:val="white"/>
        </w:rPr>
      </w:r>
      <w:r>
        <w:rPr>
          <w:i/>
          <w:color w:val="000000" w:themeColor="text1"/>
          <w:highlight w:val="white"/>
        </w:rPr>
      </w:r>
      <w:r>
        <w:rPr>
          <w:i/>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w:t>
            </w: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trực tiếp</w:t>
            </w:r>
            <w:r>
              <w:rPr>
                <w:color w:val="000000" w:themeColor="text1"/>
                <w:sz w:val="22"/>
                <w:szCs w:val="22"/>
                <w:highlight w:val="white"/>
              </w:rPr>
              <w:br/>
              <w:t xml:space="preserve">0986787283</w:t>
            </w:r>
            <w:r>
              <w:rPr>
                <w:sz w:val="22"/>
                <w:szCs w:val="22"/>
                <w:highlight w:val="white"/>
              </w:rPr>
              <w:t xml:space="preserve"> </w:t>
            </w:r>
            <w:r>
              <w:rPr>
                <w:sz w:val="22"/>
                <w:szCs w:val="22"/>
                <w:highlight w:val="white"/>
              </w:rPr>
              <w:br/>
              <w:t xml:space="preserve">(Hoàng Huy</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8.250.000.000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7.012.500.000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09/2026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Loại hình tài sản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Căn hộ chung cư</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là căn hộ chung cư tại Tòa T2 Chung Cư CT01 Dự án Khu đô thị Mỗ Lao chủ đầu tư Tổng công ty Vinaconex</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122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w:t>
            </w:r>
            <w:r>
              <w:rPr>
                <w:color w:val="000000"/>
                <w:sz w:val="22"/>
                <w:szCs w:val="22"/>
                <w:highlight w:val="white"/>
              </w:rPr>
              <w:t xml:space="preserve">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 mặt thoáng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Tầng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Tầng 9, Thuộc nhóm tầng: Thấp</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Hướng ban công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Đông Bắc</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Cấu trúc</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 phòng ngủ, 2 nhà vệ sinh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Nội thất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Cơ bản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594308" cy="2612485"/>
                      <wp:effectExtent l="0" t="0" r="0" b="0"/>
                      <wp:docPr id="23" name=""/>
                      <wp:cNvGraphicFramePr/>
                      <a:graphic xmlns:a="http://schemas.openxmlformats.org/drawingml/2006/main">
                        <a:graphicData uri="http://schemas.openxmlformats.org/drawingml/2006/picture">
                          <pic:pic xmlns:pic="http://schemas.openxmlformats.org/drawingml/2006/picture">
                            <pic:nvPicPr>
                              <pic:cNvPr id="245103472" name="" descr=""/>
                              <pic:cNvPicPr/>
                              <pic:nvPr/>
                            </pic:nvPicPr>
                            <pic:blipFill rotWithShape="1">
                              <a:blip r:embed="rId35"/>
                              <a:stretch/>
                            </pic:blipFill>
                            <pic:spPr bwMode="auto">
                              <a:xfrm flipH="0" flipV="0">
                                <a:off x="0" y="0"/>
                                <a:ext cx="2594308" cy="2612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04.28pt;height:205.71pt;mso-wrap-distance-left:0.00pt;mso-wrap-distance-top:0.00pt;mso-wrap-distance-right:0.00pt;mso-wrap-distance-bottom:0.00pt;z-index:1;" stroked="false">
                      <v:imagedata r:id="rId35"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587648" cy="2612485"/>
                      <wp:effectExtent l="0" t="0" r="0" b="0"/>
                      <wp:docPr id="24" name=""/>
                      <wp:cNvGraphicFramePr/>
                      <a:graphic xmlns:a="http://schemas.openxmlformats.org/drawingml/2006/main">
                        <a:graphicData uri="http://schemas.openxmlformats.org/drawingml/2006/picture">
                          <pic:pic xmlns:pic="http://schemas.openxmlformats.org/drawingml/2006/picture">
                            <pic:nvPicPr>
                              <pic:cNvPr id="592493072" name="" descr=""/>
                              <pic:cNvPicPr/>
                              <pic:nvPr/>
                            </pic:nvPicPr>
                            <pic:blipFill rotWithShape="1">
                              <a:blip r:embed="rId36"/>
                              <a:stretch/>
                            </pic:blipFill>
                            <pic:spPr bwMode="auto">
                              <a:xfrm flipH="0" flipV="0">
                                <a:off x="0" y="0"/>
                                <a:ext cx="2587646" cy="2612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03.75pt;height:205.71pt;mso-wrap-distance-left:0.00pt;mso-wrap-distance-top:0.00pt;mso-wrap-distance-right:0.00pt;mso-wrap-distance-bottom:0.00pt;z-index:1;" stroked="false">
                      <v:imagedata r:id="rId36"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785938" cy="2612485"/>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1785937" cy="2612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40.63pt;height:205.71pt;mso-wrap-distance-left:0.00pt;mso-wrap-distance-top:0.00pt;mso-wrap-distance-right:0.00pt;mso-wrap-distance-bottom:0.00pt;z-index:1;" stroked="false">
                      <v:imagedata r:id="rId37"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785938" cy="2612485"/>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1785937" cy="2612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40.63pt;height:205.71pt;mso-wrap-distance-left:0.00pt;mso-wrap-distance-top:0.00pt;mso-wrap-distance-right:0.00pt;mso-wrap-distance-bottom:0.00pt;z-index:1;" stroked="false">
                      <v:imagedata r:id="rId38"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785938" cy="2612485"/>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1785937" cy="2612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40.63pt;height:205.71pt;mso-wrap-distance-left:0.00pt;mso-wrap-distance-top:0.00pt;mso-wrap-distance-right:0.00pt;mso-wrap-distance-bottom:0.00pt;z-index:1;" stroked="false">
                      <v:imagedata r:id="rId39" o:title=""/>
                      <o:lock v:ext="edit" rotation="t"/>
                    </v:shape>
                  </w:pict>
                </mc:Fallback>
              </mc:AlternateConten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jc w:val="center"/>
              <w:rPr>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054570" cy="2599561"/>
                      <wp:effectExtent l="0" t="0" r="0" b="0"/>
                      <wp:docPr id="28" name=""/>
                      <wp:cNvGraphicFramePr/>
                      <a:graphic xmlns:a="http://schemas.openxmlformats.org/drawingml/2006/main">
                        <a:graphicData uri="http://schemas.openxmlformats.org/drawingml/2006/picture">
                          <pic:pic xmlns:pic="http://schemas.openxmlformats.org/drawingml/2006/picture">
                            <pic:nvPicPr>
                              <pic:cNvPr id="711427890" name="" descr=""/>
                              <pic:cNvPicPr/>
                              <pic:nvPr/>
                            </pic:nvPicPr>
                            <pic:blipFill rotWithShape="1">
                              <a:blip r:embed="rId40"/>
                              <a:stretch/>
                            </pic:blipFill>
                            <pic:spPr bwMode="auto">
                              <a:xfrm flipH="0" flipV="0">
                                <a:off x="0" y="0"/>
                                <a:ext cx="2054569" cy="259956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61.78pt;height:204.69pt;mso-wrap-distance-left:0.00pt;mso-wrap-distance-top:0.00pt;mso-wrap-distance-right:0.00pt;mso-wrap-distance-bottom:0.00pt;z-index:1;" stroked="false">
                      <v:imagedata r:id="rId40" o:title=""/>
                      <o:lock v:ext="edit" rotation="t"/>
                    </v:shape>
                  </w:pict>
                </mc:Fallback>
              </mc:AlternateContent>
            </w:r>
            <w:r>
              <w:rPr>
                <w:highlight w:val="white"/>
              </w:rPr>
            </w:r>
            <w:r>
              <w:rPr>
                <w:highlight w:val="white"/>
              </w:rPr>
            </w:r>
          </w:p>
          <w:p>
            <w:pPr>
              <w:pBdr/>
              <w:spacing/>
              <w:ind/>
              <w:rPr>
                <w:highlight w:val="white"/>
              </w:rPr>
            </w:pPr>
            <w:r>
              <w:rPr>
                <w:highlight w:val="white"/>
              </w:rPr>
            </w:r>
            <w:r>
              <w:rPr>
                <w:highlight w:val="white"/>
              </w:rPr>
            </w:r>
            <w:r>
              <w:rPr>
                <w:highlight w:val="white"/>
              </w:rPr>
            </w:r>
          </w:p>
        </w:tc>
      </w:tr>
    </w:tbl>
    <w:p>
      <w:pPr>
        <w:pBdr/>
        <w:spacing w:after="120"/>
        <w:ind/>
        <w:jc w:val="center"/>
        <w:rPr>
          <w:i/>
          <w:color w:val="000000" w:themeColor="text1"/>
          <w:highlight w:val="white"/>
        </w:rPr>
      </w:pPr>
      <w:r>
        <w:rPr>
          <w:i/>
          <w:color w:val="000000" w:themeColor="text1"/>
          <w:highlight w:val="white"/>
        </w:rPr>
      </w:r>
      <w:r>
        <w:rPr>
          <w:i/>
          <w:color w:val="000000" w:themeColor="text1"/>
          <w:highlight w:val="white"/>
        </w:rPr>
      </w:r>
      <w:r>
        <w:rPr>
          <w:i/>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after="200" w:line="276" w:lineRule="auto"/>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lang w:val="pt-BR"/>
        </w:rPr>
        <w:br w:type="page" w:clear="all"/>
      </w:r>
      <w:r>
        <w:rPr>
          <w:b/>
          <w:bCs/>
          <w:color w:val="000000" w:themeColor="text1"/>
          <w:highlight w:val="white"/>
        </w:rPr>
      </w:r>
      <w:r>
        <w:rPr>
          <w:b/>
          <w:b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w:t>
            </w: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https://ba</w:t>
            </w:r>
            <w:r>
              <w:rPr>
                <w:color w:val="000000" w:themeColor="text1"/>
                <w:sz w:val="22"/>
                <w:szCs w:val="22"/>
                <w:highlight w:val="white"/>
              </w:rPr>
              <w:t xml:space="preserve">tdongsan.com.vn/ban-can-ho-chung-cu-phuong-mo-lao-lang-viet-kieu-chau-au-euroland/toi-la-chinh-chu-ban-2pn-72m2-toa-tsq-noi-that-xin-gia-ca-toi-thien-chi-lh-pr46267428?gidzl=ZsNkKRDfNL2DUUnIl7vLK8Dou5saBbS9oNBb3V8g1W7E8xu0yYfS3CWixm6bSLe1b7xj3JK9Fe0rjs9TKm</w:t>
            </w:r>
            <w:r>
              <w:rPr>
                <w:color w:val="000000" w:themeColor="text1"/>
                <w:sz w:val="22"/>
                <w:szCs w:val="22"/>
                <w:highlight w:val="white"/>
              </w:rPr>
              <w:br/>
              <w:t xml:space="preserve">0936203001</w:t>
            </w:r>
            <w:r>
              <w:rPr>
                <w:sz w:val="22"/>
                <w:szCs w:val="22"/>
                <w:highlight w:val="white"/>
              </w:rPr>
              <w:t xml:space="preserve"> </w:t>
            </w:r>
            <w:r>
              <w:rPr>
                <w:sz w:val="22"/>
                <w:szCs w:val="22"/>
                <w:highlight w:val="white"/>
              </w:rPr>
              <w:br/>
              <w:t xml:space="preserve">(Phan Vĩnh</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09/2026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Loại hình tài sản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Căn hộ chung cư</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là căn hộ chung cư tại Tòa T2 Chung Cư CT01 Dự án Khu đô thị Mỗ Lao chủ đầu tư Tổng công ty Vinaconex</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72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w:t>
            </w:r>
            <w:r>
              <w:rPr>
                <w:color w:val="000000"/>
                <w:sz w:val="22"/>
                <w:szCs w:val="22"/>
                <w:highlight w:val="white"/>
              </w:rPr>
              <w:t xml:space="preserve">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 mặt thoáng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Tầng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Tầng 24, Thuộc nhóm tầng: Cao</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Hướng ban công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Đông Nam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Cấu trúc</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 phòng ngủ, 2 nhà vệ sinh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Nội thất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Cơ bản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83"/>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5200992" cy="2815933"/>
                      <wp:effectExtent l="0" t="0" r="0" b="0"/>
                      <wp:docPr id="29" name=""/>
                      <wp:cNvGraphicFramePr/>
                      <a:graphic xmlns:a="http://schemas.openxmlformats.org/drawingml/2006/main">
                        <a:graphicData uri="http://schemas.openxmlformats.org/drawingml/2006/picture">
                          <pic:pic xmlns:pic="http://schemas.openxmlformats.org/drawingml/2006/picture">
                            <pic:nvPicPr>
                              <pic:cNvPr id="1849143458" name="" descr=""/>
                              <pic:cNvPicPr/>
                              <pic:nvPr/>
                            </pic:nvPicPr>
                            <pic:blipFill rotWithShape="1">
                              <a:blip r:embed="rId41"/>
                              <a:stretch/>
                            </pic:blipFill>
                            <pic:spPr bwMode="auto">
                              <a:xfrm flipH="0" flipV="0">
                                <a:off x="0" y="0"/>
                                <a:ext cx="5200991" cy="28159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09.53pt;height:221.73pt;mso-wrap-distance-left:0.00pt;mso-wrap-distance-top:0.00pt;mso-wrap-distance-right:0.00pt;mso-wrap-distance-bottom:0.00pt;z-index:1;" stroked="false">
                      <v:imagedata r:id="rId41"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highlight w:val="white"/>
              </w:rPr>
            </w:r>
            <w:r>
              <w:rPr>
                <w:highlight w:val="white"/>
              </w:rPr>
            </w:r>
          </w:p>
          <w:p>
            <w:pPr>
              <w:pBdr/>
              <w:spacing/>
              <w:ind/>
              <w:rPr>
                <w:highlight w:val="white"/>
              </w:rPr>
            </w:pPr>
            <w:r>
              <w:rPr>
                <w:highlight w:val="white"/>
              </w:rPr>
              <mc:AlternateContent>
                <mc:Choice Requires="wpg">
                  <w:drawing>
                    <wp:inline xmlns:wp="http://schemas.openxmlformats.org/drawingml/2006/wordprocessingDrawing" distT="0" distB="0" distL="0" distR="0">
                      <wp:extent cx="1568790" cy="291728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818218" name=""/>
                              <pic:cNvPicPr>
                                <a:picLocks noChangeAspect="1"/>
                              </pic:cNvPicPr>
                              <pic:nvPr/>
                            </pic:nvPicPr>
                            <pic:blipFill rotWithShape="1">
                              <a:blip r:embed="rId42"/>
                              <a:stretch/>
                            </pic:blipFill>
                            <pic:spPr bwMode="auto">
                              <a:xfrm flipH="0" flipV="0">
                                <a:off x="0" y="0"/>
                                <a:ext cx="1568790" cy="29172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23.53pt;height:229.71pt;mso-wrap-distance-left:0.00pt;mso-wrap-distance-top:0.00pt;mso-wrap-distance-right:0.00pt;mso-wrap-distance-bottom:0.00pt;z-index:1;" stroked="false">
                      <v:imagedata r:id="rId42" o:title=""/>
                      <o:lock v:ext="edit" rotation="t"/>
                    </v:shape>
                  </w:pict>
                </mc:Fallback>
              </mc:AlternateContent>
              <w:t xml:space="preserve">      </w:t>
            </w:r>
            <w:r>
              <w:rPr>
                <w:highlight w:val="white"/>
              </w:rPr>
              <mc:AlternateContent>
                <mc:Choice Requires="wpg">
                  <w:drawing>
                    <wp:inline xmlns:wp="http://schemas.openxmlformats.org/drawingml/2006/wordprocessingDrawing" distT="0" distB="0" distL="0" distR="0">
                      <wp:extent cx="1676409" cy="2917285"/>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291125" name=""/>
                              <pic:cNvPicPr>
                                <a:picLocks noChangeAspect="1"/>
                              </pic:cNvPicPr>
                              <pic:nvPr/>
                            </pic:nvPicPr>
                            <pic:blipFill rotWithShape="1">
                              <a:blip r:embed="rId43"/>
                              <a:stretch/>
                            </pic:blipFill>
                            <pic:spPr bwMode="auto">
                              <a:xfrm flipH="0" flipV="0">
                                <a:off x="0" y="0"/>
                                <a:ext cx="1676409" cy="29172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32.00pt;height:229.71pt;mso-wrap-distance-left:0.00pt;mso-wrap-distance-top:0.00pt;mso-wrap-distance-right:0.00pt;mso-wrap-distance-bottom:0.00pt;z-index:1;" stroked="false">
                      <v:imagedata r:id="rId43" o:title=""/>
                      <o:lock v:ext="edit" rotation="t"/>
                    </v:shape>
                  </w:pict>
                </mc:Fallback>
              </mc:AlternateContent>
              <w:t xml:space="preserve">     </w:t>
            </w:r>
            <w:r>
              <w:rPr>
                <w:highlight w:val="white"/>
              </w:rPr>
              <mc:AlternateContent>
                <mc:Choice Requires="wpg">
                  <w:drawing>
                    <wp:inline xmlns:wp="http://schemas.openxmlformats.org/drawingml/2006/wordprocessingDrawing" distT="0" distB="0" distL="0" distR="0">
                      <wp:extent cx="1711665" cy="2917285"/>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91782" name=""/>
                              <pic:cNvPicPr>
                                <a:picLocks noChangeAspect="1"/>
                              </pic:cNvPicPr>
                              <pic:nvPr/>
                            </pic:nvPicPr>
                            <pic:blipFill rotWithShape="1">
                              <a:blip r:embed="rId44"/>
                              <a:stretch/>
                            </pic:blipFill>
                            <pic:spPr bwMode="auto">
                              <a:xfrm flipH="0" flipV="0">
                                <a:off x="0" y="0"/>
                                <a:ext cx="1711665" cy="29172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34.78pt;height:229.71pt;mso-wrap-distance-left:0.00pt;mso-wrap-distance-top:0.00pt;mso-wrap-distance-right:0.00pt;mso-wrap-distance-bottom:0.00pt;z-index:1;" stroked="false">
                      <v:imagedata r:id="rId44" o:title=""/>
                      <o:lock v:ext="edit" rotation="t"/>
                    </v:shape>
                  </w:pict>
                </mc:Fallback>
              </mc:AlternateContent>
            </w:r>
            <w:r>
              <w:rPr>
                <w:highlight w:val="white"/>
              </w:rPr>
            </w:r>
            <w:r>
              <w:rPr>
                <w:highlight w:val="white"/>
              </w:rPr>
            </w:r>
          </w:p>
        </w:tc>
      </w:tr>
    </w:tbl>
    <w:p>
      <w:pPr>
        <w:pBdr/>
        <w:spacing w:after="120"/>
        <w:ind/>
        <w:jc w:val="center"/>
        <w:rPr>
          <w:i/>
          <w:color w:val="000000" w:themeColor="text1"/>
          <w:highlight w:val="white"/>
        </w:rPr>
      </w:pPr>
      <w:r>
        <w:rPr>
          <w:i/>
          <w:color w:val="000000" w:themeColor="text1"/>
          <w:highlight w:val="white"/>
        </w:rPr>
      </w:r>
      <w:r>
        <w:rPr>
          <w:i/>
          <w:color w:val="000000" w:themeColor="text1"/>
          <w:highlight w:val="white"/>
        </w:rPr>
      </w:r>
      <w:r>
        <w:rPr>
          <w:i/>
          <w:color w:val="000000" w:themeColor="text1"/>
          <w:highlight w:val="whit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tc>
      </w:tr>
      <w:tr>
        <w:trPr>
          <w:trHeight w:val="30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highlight w:val="white"/>
              </w:rPr>
            </w:pPr>
            <w:r>
              <w:rPr>
                <w:highlight w:val="white"/>
              </w:rPr>
              <w:t xml:space="preserve">Nguyễn Khánh Hà</w:t>
            </w:r>
            <w:r>
              <w:rPr>
                <w:highlight w:val="white"/>
              </w:rPr>
            </w:r>
            <w:r>
              <w:rPr>
                <w:highlight w:val="white"/>
              </w:rPr>
            </w:r>
          </w:p>
        </w:tc>
      </w:tr>
    </w:tbl>
    <w:p>
      <w:pPr>
        <w:pBdr/>
        <w:spacing w:after="200" w:line="276" w:lineRule="auto"/>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6"/>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26"/>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6"/>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4"/>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4E92800C"/>
    <w:lvl w:ilvl="0">
      <w:isLgl w:val="false"/>
      <w:lvlJc w:val="left"/>
      <w:lvlText w:val="·"/>
      <w:numFmt w:val="bullet"/>
      <w:pPr>
        <w:pBdr/>
        <w:spacing/>
        <w:ind w:hanging="360" w:left="709"/>
      </w:pPr>
      <w:rPr>
        <w:rFonts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239A7800"/>
    <w:lvl w:ilvl="0">
      <w:isLgl w:val="false"/>
      <w:lvlJc w:val="left"/>
      <w:lvlText w:val="·"/>
      <w:numFmt w:val="bullet"/>
      <w:pPr>
        <w:pBdr/>
        <w:spacing/>
        <w:ind w:hanging="360" w:left="709"/>
      </w:pPr>
      <w:rPr>
        <w:rFonts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41BE9B4C"/>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2">
    <w:nsid w:val="6A84F38D"/>
    <w:lvl w:ilvl="0">
      <w:isLgl w:val="false"/>
      <w:lvlJc w:val="left"/>
      <w:lvlText w:val="·"/>
      <w:numFmt w:val="bullet"/>
      <w:pPr>
        <w:pBdr/>
        <w:spacing/>
        <w:ind w:hanging="360" w:left="709"/>
      </w:pPr>
      <w:rPr>
        <w:rFonts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5482E309"/>
    <w:lvl w:ilvl="0">
      <w:isLgl w:val="false"/>
      <w:lvlJc w:val="left"/>
      <w:lvlText w:val="·"/>
      <w:numFmt w:val="bullet"/>
      <w:pPr>
        <w:pBdr/>
        <w:spacing/>
        <w:ind w:hanging="360" w:left="1021"/>
      </w:pPr>
      <w:rPr>
        <w:rFonts w:hint="default" w:ascii="Symbol" w:hAnsi="Symbol" w:eastAsia="Symbol" w:cs="Symbol"/>
      </w:rPr>
      <w:start w:val="1"/>
      <w:suff w:val="tab"/>
    </w:lvl>
    <w:lvl w:ilvl="1">
      <w:isLgl w:val="false"/>
      <w:lvlJc w:val="left"/>
      <w:lvlText w:val="o"/>
      <w:numFmt w:val="bullet"/>
      <w:pPr>
        <w:pBdr/>
        <w:spacing/>
        <w:ind w:hanging="360" w:left="1741"/>
      </w:pPr>
      <w:rPr>
        <w:rFonts w:hint="default" w:ascii="Courier New" w:hAnsi="Courier New" w:eastAsia="Courier New" w:cs="Courier New"/>
      </w:rPr>
      <w:start w:val="1"/>
      <w:suff w:val="tab"/>
    </w:lvl>
    <w:lvl w:ilvl="2">
      <w:isLgl w:val="false"/>
      <w:lvlJc w:val="left"/>
      <w:lvlText w:val="§"/>
      <w:numFmt w:val="bullet"/>
      <w:pPr>
        <w:pBdr/>
        <w:spacing/>
        <w:ind w:hanging="360" w:left="2461"/>
      </w:pPr>
      <w:rPr>
        <w:rFonts w:hint="default" w:ascii="Wingdings" w:hAnsi="Wingdings" w:eastAsia="Wingdings" w:cs="Wingdings"/>
      </w:rPr>
      <w:start w:val="1"/>
      <w:suff w:val="tab"/>
    </w:lvl>
    <w:lvl w:ilvl="3">
      <w:isLgl w:val="false"/>
      <w:lvlJc w:val="left"/>
      <w:lvlText w:val="·"/>
      <w:numFmt w:val="bullet"/>
      <w:pPr>
        <w:pBdr/>
        <w:spacing/>
        <w:ind w:hanging="360" w:left="3181"/>
      </w:pPr>
      <w:rPr>
        <w:rFonts w:hint="default" w:ascii="Symbol" w:hAnsi="Symbol" w:eastAsia="Symbol" w:cs="Symbol"/>
      </w:rPr>
      <w:start w:val="1"/>
      <w:suff w:val="tab"/>
    </w:lvl>
    <w:lvl w:ilvl="4">
      <w:isLgl w:val="false"/>
      <w:lvlJc w:val="left"/>
      <w:lvlText w:val="o"/>
      <w:numFmt w:val="bullet"/>
      <w:pPr>
        <w:pBdr/>
        <w:spacing/>
        <w:ind w:hanging="360" w:left="3901"/>
      </w:pPr>
      <w:rPr>
        <w:rFonts w:hint="default" w:ascii="Courier New" w:hAnsi="Courier New" w:eastAsia="Courier New" w:cs="Courier New"/>
      </w:rPr>
      <w:start w:val="1"/>
      <w:suff w:val="tab"/>
    </w:lvl>
    <w:lvl w:ilvl="5">
      <w:isLgl w:val="false"/>
      <w:lvlJc w:val="left"/>
      <w:lvlText w:val="§"/>
      <w:numFmt w:val="bullet"/>
      <w:pPr>
        <w:pBdr/>
        <w:spacing/>
        <w:ind w:hanging="360" w:left="4621"/>
      </w:pPr>
      <w:rPr>
        <w:rFonts w:hint="default" w:ascii="Wingdings" w:hAnsi="Wingdings" w:eastAsia="Wingdings" w:cs="Wingdings"/>
      </w:rPr>
      <w:start w:val="1"/>
      <w:suff w:val="tab"/>
    </w:lvl>
    <w:lvl w:ilvl="6">
      <w:isLgl w:val="false"/>
      <w:lvlJc w:val="left"/>
      <w:lvlText w:val="·"/>
      <w:numFmt w:val="bullet"/>
      <w:pPr>
        <w:pBdr/>
        <w:spacing/>
        <w:ind w:hanging="360" w:left="5341"/>
      </w:pPr>
      <w:rPr>
        <w:rFonts w:hint="default" w:ascii="Symbol" w:hAnsi="Symbol" w:eastAsia="Symbol" w:cs="Symbol"/>
      </w:rPr>
      <w:start w:val="1"/>
      <w:suff w:val="tab"/>
    </w:lvl>
    <w:lvl w:ilvl="7">
      <w:isLgl w:val="false"/>
      <w:lvlJc w:val="left"/>
      <w:lvlText w:val="o"/>
      <w:numFmt w:val="bullet"/>
      <w:pPr>
        <w:pBdr/>
        <w:spacing/>
        <w:ind w:hanging="360" w:left="6061"/>
      </w:pPr>
      <w:rPr>
        <w:rFonts w:hint="default" w:ascii="Courier New" w:hAnsi="Courier New" w:eastAsia="Courier New" w:cs="Courier New"/>
      </w:rPr>
      <w:start w:val="1"/>
      <w:suff w:val="tab"/>
    </w:lvl>
    <w:lvl w:ilvl="8">
      <w:isLgl w:val="false"/>
      <w:lvlJc w:val="left"/>
      <w:lvlText w:val="§"/>
      <w:numFmt w:val="bullet"/>
      <w:pPr>
        <w:pBdr/>
        <w:spacing/>
        <w:ind w:hanging="360" w:left="6781"/>
      </w:pPr>
      <w:rPr>
        <w:rFonts w:hint="default" w:ascii="Wingdings" w:hAnsi="Wingdings" w:eastAsia="Wingdings" w:cs="Wingdings"/>
      </w:rPr>
      <w:start w:val="1"/>
      <w:suff w:val="tab"/>
    </w:lvl>
  </w:abstractNum>
  <w:abstractNum w:abstractNumId="44">
    <w:nsid w:val="2FCBDC34"/>
    <w:lvl w:ilvl="0">
      <w:isLgl w:val="false"/>
      <w:lvlJc w:val="left"/>
      <w:lvlText w:val="·"/>
      <w:numFmt w:val="bullet"/>
      <w:pPr>
        <w:pBdr/>
        <w:spacing/>
        <w:ind w:hanging="360" w:left="709"/>
      </w:pPr>
      <w:rPr>
        <w:rFonts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5">
    <w:nsid w:val="343B3C42"/>
    <w:lvl w:ilvl="0">
      <w:isLgl w:val="false"/>
      <w:lvlJc w:val="left"/>
      <w:lvlText w:val="·"/>
      <w:numFmt w:val="bullet"/>
      <w:pPr>
        <w:pBdr/>
        <w:spacing/>
        <w:ind w:hanging="360" w:left="1021"/>
      </w:pPr>
      <w:rPr>
        <w:rFonts w:hint="default" w:ascii="Symbol" w:hAnsi="Symbol" w:eastAsia="Symbol" w:cs="Symbol"/>
      </w:rPr>
      <w:start w:val="1"/>
      <w:suff w:val="tab"/>
    </w:lvl>
    <w:lvl w:ilvl="1">
      <w:isLgl w:val="false"/>
      <w:lvlJc w:val="left"/>
      <w:lvlText w:val="o"/>
      <w:numFmt w:val="bullet"/>
      <w:pPr>
        <w:pBdr/>
        <w:spacing/>
        <w:ind w:hanging="360" w:left="1741"/>
      </w:pPr>
      <w:rPr>
        <w:rFonts w:hint="default" w:ascii="Courier New" w:hAnsi="Courier New" w:eastAsia="Courier New" w:cs="Courier New"/>
      </w:rPr>
      <w:start w:val="1"/>
      <w:suff w:val="tab"/>
    </w:lvl>
    <w:lvl w:ilvl="2">
      <w:isLgl w:val="false"/>
      <w:lvlJc w:val="left"/>
      <w:lvlText w:val="§"/>
      <w:numFmt w:val="bullet"/>
      <w:pPr>
        <w:pBdr/>
        <w:spacing/>
        <w:ind w:hanging="360" w:left="2461"/>
      </w:pPr>
      <w:rPr>
        <w:rFonts w:hint="default" w:ascii="Wingdings" w:hAnsi="Wingdings" w:eastAsia="Wingdings" w:cs="Wingdings"/>
      </w:rPr>
      <w:start w:val="1"/>
      <w:suff w:val="tab"/>
    </w:lvl>
    <w:lvl w:ilvl="3">
      <w:isLgl w:val="false"/>
      <w:lvlJc w:val="left"/>
      <w:lvlText w:val="·"/>
      <w:numFmt w:val="bullet"/>
      <w:pPr>
        <w:pBdr/>
        <w:spacing/>
        <w:ind w:hanging="360" w:left="3181"/>
      </w:pPr>
      <w:rPr>
        <w:rFonts w:hint="default" w:ascii="Symbol" w:hAnsi="Symbol" w:eastAsia="Symbol" w:cs="Symbol"/>
      </w:rPr>
      <w:start w:val="1"/>
      <w:suff w:val="tab"/>
    </w:lvl>
    <w:lvl w:ilvl="4">
      <w:isLgl w:val="false"/>
      <w:lvlJc w:val="left"/>
      <w:lvlText w:val="o"/>
      <w:numFmt w:val="bullet"/>
      <w:pPr>
        <w:pBdr/>
        <w:spacing/>
        <w:ind w:hanging="360" w:left="3901"/>
      </w:pPr>
      <w:rPr>
        <w:rFonts w:hint="default" w:ascii="Courier New" w:hAnsi="Courier New" w:eastAsia="Courier New" w:cs="Courier New"/>
      </w:rPr>
      <w:start w:val="1"/>
      <w:suff w:val="tab"/>
    </w:lvl>
    <w:lvl w:ilvl="5">
      <w:isLgl w:val="false"/>
      <w:lvlJc w:val="left"/>
      <w:lvlText w:val="§"/>
      <w:numFmt w:val="bullet"/>
      <w:pPr>
        <w:pBdr/>
        <w:spacing/>
        <w:ind w:hanging="360" w:left="4621"/>
      </w:pPr>
      <w:rPr>
        <w:rFonts w:hint="default" w:ascii="Wingdings" w:hAnsi="Wingdings" w:eastAsia="Wingdings" w:cs="Wingdings"/>
      </w:rPr>
      <w:start w:val="1"/>
      <w:suff w:val="tab"/>
    </w:lvl>
    <w:lvl w:ilvl="6">
      <w:isLgl w:val="false"/>
      <w:lvlJc w:val="left"/>
      <w:lvlText w:val="·"/>
      <w:numFmt w:val="bullet"/>
      <w:pPr>
        <w:pBdr/>
        <w:spacing/>
        <w:ind w:hanging="360" w:left="5341"/>
      </w:pPr>
      <w:rPr>
        <w:rFonts w:hint="default" w:ascii="Symbol" w:hAnsi="Symbol" w:eastAsia="Symbol" w:cs="Symbol"/>
      </w:rPr>
      <w:start w:val="1"/>
      <w:suff w:val="tab"/>
    </w:lvl>
    <w:lvl w:ilvl="7">
      <w:isLgl w:val="false"/>
      <w:lvlJc w:val="left"/>
      <w:lvlText w:val="o"/>
      <w:numFmt w:val="bullet"/>
      <w:pPr>
        <w:pBdr/>
        <w:spacing/>
        <w:ind w:hanging="360" w:left="6061"/>
      </w:pPr>
      <w:rPr>
        <w:rFonts w:hint="default" w:ascii="Courier New" w:hAnsi="Courier New" w:eastAsia="Courier New" w:cs="Courier New"/>
      </w:rPr>
      <w:start w:val="1"/>
      <w:suff w:val="tab"/>
    </w:lvl>
    <w:lvl w:ilvl="8">
      <w:isLgl w:val="false"/>
      <w:lvlJc w:val="left"/>
      <w:lvlText w:val="§"/>
      <w:numFmt w:val="bullet"/>
      <w:pPr>
        <w:pBdr/>
        <w:spacing/>
        <w:ind w:hanging="360" w:left="6781"/>
      </w:pPr>
      <w:rPr>
        <w:rFonts w:hint="default" w:ascii="Wingdings" w:hAnsi="Wingdings" w:eastAsia="Wingdings" w:cs="Wingdings"/>
      </w:rPr>
      <w:start w:val="1"/>
      <w:suff w:val="tab"/>
    </w:lvl>
  </w:abstractNum>
  <w:abstractNum w:abstractNumId="46">
    <w:nsid w:val="3A0B8B3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7">
    <w:nsid w:val="48FDA731"/>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9">
    <w:name w:val="Table Grid Light"/>
    <w:basedOn w:val="95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1"/>
    <w:basedOn w:val="95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2"/>
    <w:basedOn w:val="95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3"/>
    <w:basedOn w:val="95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4"/>
    <w:basedOn w:val="95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5"/>
    <w:basedOn w:val="95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6"/>
    <w:basedOn w:val="95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1"/>
    <w:basedOn w:val="95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2"/>
    <w:basedOn w:val="95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3"/>
    <w:basedOn w:val="95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4"/>
    <w:basedOn w:val="95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5"/>
    <w:basedOn w:val="95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6"/>
    <w:basedOn w:val="95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1"/>
    <w:basedOn w:val="95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2"/>
    <w:basedOn w:val="95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3"/>
    <w:basedOn w:val="95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4"/>
    <w:basedOn w:val="95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5"/>
    <w:basedOn w:val="95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6"/>
    <w:basedOn w:val="95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1"/>
    <w:basedOn w:val="95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2"/>
    <w:basedOn w:val="95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3"/>
    <w:basedOn w:val="95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4"/>
    <w:basedOn w:val="95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5"/>
    <w:basedOn w:val="95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6"/>
    <w:basedOn w:val="95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2"/>
    <w:basedOn w:val="95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3"/>
    <w:basedOn w:val="95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95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95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 Accent 1"/>
    <w:basedOn w:val="95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9">
    <w:name w:val="Grid Table 6 Colorful - Accent 2"/>
    <w:basedOn w:val="95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0">
    <w:name w:val="Grid Table 6 Colorful - Accent 3"/>
    <w:basedOn w:val="95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1">
    <w:name w:val="Grid Table 6 Colorful - Accent 4"/>
    <w:basedOn w:val="95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2">
    <w:name w:val="Grid Table 6 Colorful - Accent 5"/>
    <w:basedOn w:val="95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6 Colorful - Accent 6"/>
    <w:basedOn w:val="95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7 Colorful - Accent 1"/>
    <w:basedOn w:val="95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95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95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95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95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95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1"/>
    <w:basedOn w:val="95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2"/>
    <w:basedOn w:val="95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3"/>
    <w:basedOn w:val="95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4"/>
    <w:basedOn w:val="95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5"/>
    <w:basedOn w:val="95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6"/>
    <w:basedOn w:val="95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95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95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95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95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95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95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1"/>
    <w:basedOn w:val="95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2"/>
    <w:basedOn w:val="95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3"/>
    <w:basedOn w:val="95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4"/>
    <w:basedOn w:val="95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5"/>
    <w:basedOn w:val="95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6"/>
    <w:basedOn w:val="95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95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95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95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95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95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95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 Accent 1"/>
    <w:basedOn w:val="95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2"/>
    <w:basedOn w:val="95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3"/>
    <w:basedOn w:val="95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4"/>
    <w:basedOn w:val="95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5"/>
    <w:basedOn w:val="95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6"/>
    <w:basedOn w:val="95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6 Colorful - Accent 1"/>
    <w:basedOn w:val="95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95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95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95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95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95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 Accent 1"/>
    <w:basedOn w:val="95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7">
    <w:name w:val="List Table 7 Colorful - Accent 2"/>
    <w:basedOn w:val="95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8">
    <w:name w:val="List Table 7 Colorful - Accent 3"/>
    <w:basedOn w:val="95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9">
    <w:name w:val="List Table 7 Colorful - Accent 4"/>
    <w:basedOn w:val="95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0">
    <w:name w:val="List Table 7 Colorful - Accent 5"/>
    <w:basedOn w:val="95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1">
    <w:name w:val="List Table 7 Colorful - Accent 6"/>
    <w:basedOn w:val="95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42" w:default="1">
    <w:name w:val="Normal"/>
    <w:qFormat/>
    <w:pPr>
      <w:pBdr/>
      <w:spacing w:after="0" w:line="240" w:lineRule="auto"/>
      <w:ind/>
    </w:pPr>
    <w:rPr>
      <w:rFonts w:ascii="Times New Roman" w:hAnsi="Times New Roman" w:eastAsia="Times New Roman" w:cs="Times New Roman"/>
      <w:sz w:val="24"/>
      <w:szCs w:val="24"/>
    </w:rPr>
  </w:style>
  <w:style w:type="paragraph" w:styleId="943">
    <w:name w:val="Heading 1"/>
    <w:basedOn w:val="942"/>
    <w:next w:val="942"/>
    <w:link w:val="1116"/>
    <w:qFormat/>
    <w:pPr>
      <w:keepNext w:val="true"/>
      <w:pBdr/>
      <w:spacing w:after="120" w:before="120"/>
      <w:ind/>
      <w:jc w:val="center"/>
      <w:outlineLvl w:val="0"/>
    </w:pPr>
    <w:rPr>
      <w:b/>
      <w:bCs/>
      <w:sz w:val="27"/>
      <w:szCs w:val="27"/>
    </w:rPr>
  </w:style>
  <w:style w:type="paragraph" w:styleId="944">
    <w:name w:val="Heading 2"/>
    <w:basedOn w:val="942"/>
    <w:next w:val="942"/>
    <w:link w:val="1117"/>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45">
    <w:name w:val="Heading 3"/>
    <w:basedOn w:val="942"/>
    <w:next w:val="942"/>
    <w:link w:val="1118"/>
    <w:qFormat/>
    <w:pPr>
      <w:keepNext w:val="true"/>
      <w:pBdr/>
      <w:spacing w:before="60"/>
      <w:ind/>
      <w:outlineLvl w:val="2"/>
    </w:pPr>
    <w:rPr>
      <w:sz w:val="28"/>
      <w:szCs w:val="28"/>
    </w:rPr>
  </w:style>
  <w:style w:type="paragraph" w:styleId="946">
    <w:name w:val="Heading 4"/>
    <w:basedOn w:val="942"/>
    <w:next w:val="942"/>
    <w:link w:val="1119"/>
    <w:qFormat/>
    <w:pPr>
      <w:keepNext w:val="true"/>
      <w:pBdr/>
      <w:spacing/>
      <w:ind/>
      <w:jc w:val="center"/>
      <w:outlineLvl w:val="3"/>
    </w:pPr>
    <w:rPr>
      <w:b/>
      <w:bCs/>
    </w:rPr>
  </w:style>
  <w:style w:type="paragraph" w:styleId="947">
    <w:name w:val="Heading 5"/>
    <w:basedOn w:val="942"/>
    <w:next w:val="942"/>
    <w:link w:val="1080"/>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48">
    <w:name w:val="Heading 6"/>
    <w:basedOn w:val="942"/>
    <w:next w:val="942"/>
    <w:link w:val="1081"/>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49">
    <w:name w:val="Heading 7"/>
    <w:basedOn w:val="942"/>
    <w:next w:val="942"/>
    <w:link w:val="1082"/>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50">
    <w:name w:val="Heading 8"/>
    <w:basedOn w:val="942"/>
    <w:next w:val="942"/>
    <w:link w:val="1083"/>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51">
    <w:name w:val="Heading 9"/>
    <w:basedOn w:val="942"/>
    <w:next w:val="942"/>
    <w:link w:val="1084"/>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52" w:default="1">
    <w:name w:val="Default Paragraph Font"/>
    <w:uiPriority w:val="1"/>
    <w:semiHidden/>
    <w:unhideWhenUsed/>
    <w:pPr>
      <w:pBdr/>
      <w:spacing/>
      <w:ind/>
    </w:pPr>
  </w:style>
  <w:style w:type="table" w:styleId="95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54" w:default="1">
    <w:name w:val="No List"/>
    <w:uiPriority w:val="99"/>
    <w:semiHidden/>
    <w:unhideWhenUsed/>
    <w:pPr>
      <w:pBdr/>
      <w:spacing/>
      <w:ind/>
    </w:pPr>
  </w:style>
  <w:style w:type="table" w:styleId="955">
    <w:name w:val="Grid Table Light"/>
    <w:basedOn w:val="953"/>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Plain Table 1"/>
    <w:basedOn w:val="953"/>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Plain Table 2"/>
    <w:basedOn w:val="953"/>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Plain Table 3"/>
    <w:basedOn w:val="95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Plain Table 4"/>
    <w:basedOn w:val="95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Plain Table 5"/>
    <w:basedOn w:val="95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1 Light"/>
    <w:basedOn w:val="953"/>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1 Light Accent 1"/>
    <w:basedOn w:val="953"/>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1 Light Accent 2"/>
    <w:basedOn w:val="953"/>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1 Light Accent 3"/>
    <w:basedOn w:val="953"/>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1 Light Accent 4"/>
    <w:basedOn w:val="953"/>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1 Light Accent 5"/>
    <w:basedOn w:val="953"/>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1 Light Accent 6"/>
    <w:basedOn w:val="953"/>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2"/>
    <w:basedOn w:val="953"/>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2 Accent 1"/>
    <w:basedOn w:val="953"/>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2 Accent 2"/>
    <w:basedOn w:val="953"/>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2 Accent 3"/>
    <w:basedOn w:val="953"/>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2 Accent 4"/>
    <w:basedOn w:val="953"/>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2 Accent 5"/>
    <w:basedOn w:val="953"/>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2 Accent 6"/>
    <w:basedOn w:val="953"/>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3"/>
    <w:basedOn w:val="953"/>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3 Accent 1"/>
    <w:basedOn w:val="953"/>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3 Accent 2"/>
    <w:basedOn w:val="953"/>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3 Accent 3"/>
    <w:basedOn w:val="953"/>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3 Accent 4"/>
    <w:basedOn w:val="953"/>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3 Accent 5"/>
    <w:basedOn w:val="953"/>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3 Accent 6"/>
    <w:basedOn w:val="953"/>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4"/>
    <w:basedOn w:val="953"/>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4 Accent 1"/>
    <w:basedOn w:val="953"/>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4 Accent 2"/>
    <w:basedOn w:val="953"/>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4 Accent 3"/>
    <w:basedOn w:val="953"/>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4 Accent 4"/>
    <w:basedOn w:val="953"/>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4 Accent 5"/>
    <w:basedOn w:val="953"/>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4 Accent 6"/>
    <w:basedOn w:val="953"/>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5 Dark"/>
    <w:basedOn w:val="95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customStyle="1">
    <w:name w:val="Grid Table 5 Dark- Accent 1"/>
    <w:basedOn w:val="95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5 Dark Accent 2"/>
    <w:basedOn w:val="95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Grid Table 5 Dark Accent 3"/>
    <w:basedOn w:val="95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customStyle="1">
    <w:name w:val="Grid Table 5 Dark- Accent 4"/>
    <w:basedOn w:val="95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5 Dark Accent 5"/>
    <w:basedOn w:val="95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Grid Table 5 Dark Accent 6"/>
    <w:basedOn w:val="95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Grid Table 6 Colorful"/>
    <w:basedOn w:val="953"/>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6 Colorful Accent 1"/>
    <w:basedOn w:val="953"/>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Grid Table 6 Colorful Accent 2"/>
    <w:basedOn w:val="953"/>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Grid Table 6 Colorful Accent 3"/>
    <w:basedOn w:val="953"/>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Grid Table 6 Colorful Accent 4"/>
    <w:basedOn w:val="953"/>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Grid Table 6 Colorful Accent 5"/>
    <w:basedOn w:val="953"/>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Grid Table 6 Colorful Accent 6"/>
    <w:basedOn w:val="953"/>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Grid Table 7 Colorful"/>
    <w:basedOn w:val="953"/>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Grid Table 7 Colorful Accent 1"/>
    <w:basedOn w:val="953"/>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Grid Table 7 Colorful Accent 2"/>
    <w:basedOn w:val="953"/>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Grid Table 7 Colorful Accent 3"/>
    <w:basedOn w:val="953"/>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Grid Table 7 Colorful Accent 4"/>
    <w:basedOn w:val="953"/>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Grid Table 7 Colorful Accent 5"/>
    <w:basedOn w:val="953"/>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Grid Table 7 Colorful Accent 6"/>
    <w:basedOn w:val="953"/>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1 Light"/>
    <w:basedOn w:val="95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1 Light Accent 1"/>
    <w:basedOn w:val="95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1 Light Accent 2"/>
    <w:basedOn w:val="95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1 Light Accent 3"/>
    <w:basedOn w:val="95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1 Light Accent 4"/>
    <w:basedOn w:val="95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1 Light Accent 5"/>
    <w:basedOn w:val="95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1 Light Accent 6"/>
    <w:basedOn w:val="95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2"/>
    <w:basedOn w:val="953"/>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2 Accent 1"/>
    <w:basedOn w:val="953"/>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2 Accent 2"/>
    <w:basedOn w:val="953"/>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2 Accent 3"/>
    <w:basedOn w:val="953"/>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2 Accent 4"/>
    <w:basedOn w:val="953"/>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2 Accent 5"/>
    <w:basedOn w:val="953"/>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2 Accent 6"/>
    <w:basedOn w:val="953"/>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3"/>
    <w:basedOn w:val="953"/>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3 Accent 1"/>
    <w:basedOn w:val="953"/>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3 Accent 2"/>
    <w:basedOn w:val="953"/>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3 Accent 3"/>
    <w:basedOn w:val="953"/>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3 Accent 4"/>
    <w:basedOn w:val="953"/>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3 Accent 5"/>
    <w:basedOn w:val="953"/>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3 Accent 6"/>
    <w:basedOn w:val="953"/>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4"/>
    <w:basedOn w:val="953"/>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4 Accent 1"/>
    <w:basedOn w:val="953"/>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4 Accent 2"/>
    <w:basedOn w:val="953"/>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4 Accent 3"/>
    <w:basedOn w:val="953"/>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4 Accent 4"/>
    <w:basedOn w:val="953"/>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4 Accent 5"/>
    <w:basedOn w:val="953"/>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4 Accent 6"/>
    <w:basedOn w:val="953"/>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5 Dark"/>
    <w:basedOn w:val="953"/>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5 Dark Accent 1"/>
    <w:basedOn w:val="953"/>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5 Dark Accent 2"/>
    <w:basedOn w:val="953"/>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5 Dark Accent 3"/>
    <w:basedOn w:val="953"/>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5 Dark Accent 4"/>
    <w:basedOn w:val="953"/>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5 Dark Accent 5"/>
    <w:basedOn w:val="953"/>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5 Dark Accent 6"/>
    <w:basedOn w:val="953"/>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st Table 6 Colorful"/>
    <w:basedOn w:val="953"/>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6 Colorful Accent 1"/>
    <w:basedOn w:val="953"/>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st Table 6 Colorful Accent 2"/>
    <w:basedOn w:val="953"/>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6 Colorful Accent 3"/>
    <w:basedOn w:val="953"/>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st Table 6 Colorful Accent 4"/>
    <w:basedOn w:val="953"/>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st Table 6 Colorful Accent 5"/>
    <w:basedOn w:val="953"/>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st Table 6 Colorful Accent 6"/>
    <w:basedOn w:val="953"/>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st Table 7 Colorful"/>
    <w:basedOn w:val="953"/>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st Table 7 Colorful Accent 1"/>
    <w:basedOn w:val="953"/>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st Table 7 Colorful Accent 2"/>
    <w:basedOn w:val="953"/>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List Table 7 Colorful Accent 3"/>
    <w:basedOn w:val="953"/>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List Table 7 Colorful Accent 4"/>
    <w:basedOn w:val="953"/>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List Table 7 Colorful Accent 5"/>
    <w:basedOn w:val="953"/>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List Table 7 Colorful Accent 6"/>
    <w:basedOn w:val="953"/>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Lined - Accent"/>
    <w:basedOn w:val="95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Lined - Accent 1"/>
    <w:basedOn w:val="95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Lined - Accent 2"/>
    <w:basedOn w:val="95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Lined - Accent 3"/>
    <w:basedOn w:val="95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Lined - Accent 4"/>
    <w:basedOn w:val="95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customStyle="1">
    <w:name w:val="Lined - Accent 5"/>
    <w:basedOn w:val="95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Lined - Accent 6"/>
    <w:basedOn w:val="95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customStyle="1">
    <w:name w:val="Bordered &amp; Lined - Accent"/>
    <w:basedOn w:val="953"/>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customStyle="1">
    <w:name w:val="Bordered &amp; Lined - Accent 1"/>
    <w:basedOn w:val="953"/>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customStyle="1">
    <w:name w:val="Bordered &amp; Lined - Accent 2"/>
    <w:basedOn w:val="953"/>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customStyle="1">
    <w:name w:val="Bordered &amp; Lined - Accent 3"/>
    <w:basedOn w:val="953"/>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customStyle="1">
    <w:name w:val="Bordered &amp; Lined - Accent 4"/>
    <w:basedOn w:val="953"/>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customStyle="1">
    <w:name w:val="Bordered &amp; Lined - Accent 5"/>
    <w:basedOn w:val="953"/>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customStyle="1">
    <w:name w:val="Bordered &amp; Lined - Accent 6"/>
    <w:basedOn w:val="953"/>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customStyle="1">
    <w:name w:val="Bordered"/>
    <w:basedOn w:val="953"/>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customStyle="1">
    <w:name w:val="Bordered - Accent 1"/>
    <w:basedOn w:val="953"/>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customStyle="1">
    <w:name w:val="Bordered - Accent 2"/>
    <w:basedOn w:val="953"/>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customStyle="1">
    <w:name w:val="Bordered - Accent 3"/>
    <w:basedOn w:val="953"/>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customStyle="1">
    <w:name w:val="Bordered - Accent 4"/>
    <w:basedOn w:val="953"/>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customStyle="1">
    <w:name w:val="Bordered - Accent 5"/>
    <w:basedOn w:val="953"/>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customStyle="1">
    <w:name w:val="Bordered - Accent 6"/>
    <w:basedOn w:val="953"/>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80" w:customStyle="1">
    <w:name w:val="Heading 5 Char"/>
    <w:basedOn w:val="952"/>
    <w:link w:val="947"/>
    <w:uiPriority w:val="9"/>
    <w:pPr>
      <w:pBdr/>
      <w:spacing/>
      <w:ind/>
    </w:pPr>
    <w:rPr>
      <w:rFonts w:ascii="Arial" w:hAnsi="Arial" w:eastAsia="Arial" w:cs="Arial"/>
      <w:color w:val="365f91" w:themeColor="accent1" w:themeShade="BF"/>
    </w:rPr>
  </w:style>
  <w:style w:type="character" w:styleId="1081" w:customStyle="1">
    <w:name w:val="Heading 6 Char"/>
    <w:basedOn w:val="952"/>
    <w:link w:val="948"/>
    <w:uiPriority w:val="9"/>
    <w:pPr>
      <w:pBdr/>
      <w:spacing/>
      <w:ind/>
    </w:pPr>
    <w:rPr>
      <w:rFonts w:ascii="Arial" w:hAnsi="Arial" w:eastAsia="Arial" w:cs="Arial"/>
      <w:i/>
      <w:iCs/>
      <w:color w:val="595959" w:themeColor="text1" w:themeTint="A6"/>
    </w:rPr>
  </w:style>
  <w:style w:type="character" w:styleId="1082" w:customStyle="1">
    <w:name w:val="Heading 7 Char"/>
    <w:basedOn w:val="952"/>
    <w:link w:val="949"/>
    <w:uiPriority w:val="9"/>
    <w:pPr>
      <w:pBdr/>
      <w:spacing/>
      <w:ind/>
    </w:pPr>
    <w:rPr>
      <w:rFonts w:ascii="Arial" w:hAnsi="Arial" w:eastAsia="Arial" w:cs="Arial"/>
      <w:color w:val="595959" w:themeColor="text1" w:themeTint="A6"/>
    </w:rPr>
  </w:style>
  <w:style w:type="character" w:styleId="1083" w:customStyle="1">
    <w:name w:val="Heading 8 Char"/>
    <w:basedOn w:val="952"/>
    <w:link w:val="950"/>
    <w:uiPriority w:val="9"/>
    <w:pPr>
      <w:pBdr/>
      <w:spacing/>
      <w:ind/>
    </w:pPr>
    <w:rPr>
      <w:rFonts w:ascii="Arial" w:hAnsi="Arial" w:eastAsia="Arial" w:cs="Arial"/>
      <w:i/>
      <w:iCs/>
      <w:color w:val="272727" w:themeColor="text1" w:themeTint="D8"/>
    </w:rPr>
  </w:style>
  <w:style w:type="character" w:styleId="1084" w:customStyle="1">
    <w:name w:val="Heading 9 Char"/>
    <w:basedOn w:val="952"/>
    <w:link w:val="951"/>
    <w:uiPriority w:val="9"/>
    <w:pPr>
      <w:pBdr/>
      <w:spacing/>
      <w:ind/>
    </w:pPr>
    <w:rPr>
      <w:rFonts w:ascii="Arial" w:hAnsi="Arial" w:eastAsia="Arial" w:cs="Arial"/>
      <w:i/>
      <w:iCs/>
      <w:color w:val="272727" w:themeColor="text1" w:themeTint="D8"/>
    </w:rPr>
  </w:style>
  <w:style w:type="paragraph" w:styleId="1085">
    <w:name w:val="Subtitle"/>
    <w:basedOn w:val="942"/>
    <w:next w:val="942"/>
    <w:link w:val="1086"/>
    <w:uiPriority w:val="11"/>
    <w:qFormat/>
    <w:pPr>
      <w:numPr>
        <w:ilvl w:val="1"/>
      </w:numPr>
      <w:pBdr/>
      <w:spacing/>
      <w:ind/>
    </w:pPr>
    <w:rPr>
      <w:color w:val="595959" w:themeColor="text1" w:themeTint="A6"/>
      <w:spacing w:val="15"/>
      <w:sz w:val="28"/>
      <w:szCs w:val="28"/>
    </w:rPr>
  </w:style>
  <w:style w:type="character" w:styleId="1086" w:customStyle="1">
    <w:name w:val="Subtitle Char"/>
    <w:basedOn w:val="952"/>
    <w:link w:val="1085"/>
    <w:uiPriority w:val="11"/>
    <w:pPr>
      <w:pBdr/>
      <w:spacing/>
      <w:ind/>
    </w:pPr>
    <w:rPr>
      <w:color w:val="595959" w:themeColor="text1" w:themeTint="A6"/>
      <w:spacing w:val="15"/>
      <w:sz w:val="28"/>
      <w:szCs w:val="28"/>
    </w:rPr>
  </w:style>
  <w:style w:type="paragraph" w:styleId="1087">
    <w:name w:val="Quote"/>
    <w:basedOn w:val="942"/>
    <w:next w:val="942"/>
    <w:link w:val="1088"/>
    <w:uiPriority w:val="29"/>
    <w:qFormat/>
    <w:pPr>
      <w:pBdr/>
      <w:spacing w:before="160"/>
      <w:ind/>
      <w:jc w:val="center"/>
    </w:pPr>
    <w:rPr>
      <w:i/>
      <w:iCs/>
      <w:color w:val="404040" w:themeColor="text1" w:themeTint="BF"/>
    </w:rPr>
  </w:style>
  <w:style w:type="character" w:styleId="1088" w:customStyle="1">
    <w:name w:val="Quote Char"/>
    <w:basedOn w:val="952"/>
    <w:link w:val="1087"/>
    <w:uiPriority w:val="29"/>
    <w:pPr>
      <w:pBdr/>
      <w:spacing/>
      <w:ind/>
    </w:pPr>
    <w:rPr>
      <w:i/>
      <w:iCs/>
      <w:color w:val="404040" w:themeColor="text1" w:themeTint="BF"/>
    </w:rPr>
  </w:style>
  <w:style w:type="character" w:styleId="1089">
    <w:name w:val="Intense Emphasis"/>
    <w:basedOn w:val="952"/>
    <w:uiPriority w:val="21"/>
    <w:qFormat/>
    <w:pPr>
      <w:pBdr/>
      <w:spacing/>
      <w:ind/>
    </w:pPr>
    <w:rPr>
      <w:i/>
      <w:iCs/>
      <w:color w:val="365f91" w:themeColor="accent1" w:themeShade="BF"/>
    </w:rPr>
  </w:style>
  <w:style w:type="paragraph" w:styleId="1090">
    <w:name w:val="Intense Quote"/>
    <w:basedOn w:val="942"/>
    <w:next w:val="942"/>
    <w:link w:val="1091"/>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91" w:customStyle="1">
    <w:name w:val="Intense Quote Char"/>
    <w:basedOn w:val="952"/>
    <w:link w:val="1090"/>
    <w:uiPriority w:val="30"/>
    <w:pPr>
      <w:pBdr/>
      <w:spacing/>
      <w:ind/>
    </w:pPr>
    <w:rPr>
      <w:i/>
      <w:iCs/>
      <w:color w:val="365f91" w:themeColor="accent1" w:themeShade="BF"/>
    </w:rPr>
  </w:style>
  <w:style w:type="character" w:styleId="1092">
    <w:name w:val="Intense Reference"/>
    <w:basedOn w:val="952"/>
    <w:uiPriority w:val="32"/>
    <w:qFormat/>
    <w:pPr>
      <w:pBdr/>
      <w:spacing/>
      <w:ind/>
    </w:pPr>
    <w:rPr>
      <w:b/>
      <w:bCs/>
      <w:smallCaps/>
      <w:color w:val="365f91" w:themeColor="accent1" w:themeShade="BF"/>
      <w:spacing w:val="5"/>
    </w:rPr>
  </w:style>
  <w:style w:type="paragraph" w:styleId="1093">
    <w:name w:val="No Spacing"/>
    <w:basedOn w:val="942"/>
    <w:uiPriority w:val="1"/>
    <w:qFormat/>
    <w:pPr>
      <w:pBdr/>
      <w:spacing/>
      <w:ind/>
    </w:pPr>
  </w:style>
  <w:style w:type="character" w:styleId="1094">
    <w:name w:val="Subtle Emphasis"/>
    <w:basedOn w:val="952"/>
    <w:uiPriority w:val="19"/>
    <w:qFormat/>
    <w:pPr>
      <w:pBdr/>
      <w:spacing/>
      <w:ind/>
    </w:pPr>
    <w:rPr>
      <w:i/>
      <w:iCs/>
      <w:color w:val="404040" w:themeColor="text1" w:themeTint="BF"/>
    </w:rPr>
  </w:style>
  <w:style w:type="character" w:styleId="1095">
    <w:name w:val="Subtle Reference"/>
    <w:basedOn w:val="952"/>
    <w:uiPriority w:val="31"/>
    <w:qFormat/>
    <w:pPr>
      <w:pBdr/>
      <w:spacing/>
      <w:ind/>
    </w:pPr>
    <w:rPr>
      <w:smallCaps/>
      <w:color w:val="5a5a5a" w:themeColor="text1" w:themeTint="A5"/>
    </w:rPr>
  </w:style>
  <w:style w:type="character" w:styleId="1096">
    <w:name w:val="Book Title"/>
    <w:basedOn w:val="952"/>
    <w:uiPriority w:val="33"/>
    <w:qFormat/>
    <w:pPr>
      <w:pBdr/>
      <w:spacing/>
      <w:ind/>
    </w:pPr>
    <w:rPr>
      <w:b/>
      <w:bCs/>
      <w:i/>
      <w:iCs/>
      <w:spacing w:val="5"/>
    </w:rPr>
  </w:style>
  <w:style w:type="paragraph" w:styleId="1097">
    <w:name w:val="Caption"/>
    <w:basedOn w:val="942"/>
    <w:next w:val="942"/>
    <w:uiPriority w:val="35"/>
    <w:unhideWhenUsed/>
    <w:qFormat/>
    <w:pPr>
      <w:pBdr/>
      <w:spacing w:after="200"/>
      <w:ind/>
    </w:pPr>
    <w:rPr>
      <w:i/>
      <w:iCs/>
      <w:color w:val="1f497d" w:themeColor="text2"/>
      <w:sz w:val="18"/>
      <w:szCs w:val="18"/>
    </w:rPr>
  </w:style>
  <w:style w:type="paragraph" w:styleId="1098">
    <w:name w:val="footnote text"/>
    <w:basedOn w:val="942"/>
    <w:link w:val="1099"/>
    <w:uiPriority w:val="99"/>
    <w:semiHidden/>
    <w:unhideWhenUsed/>
    <w:pPr>
      <w:pBdr/>
      <w:spacing/>
      <w:ind/>
    </w:pPr>
    <w:rPr>
      <w:sz w:val="20"/>
      <w:szCs w:val="20"/>
    </w:rPr>
  </w:style>
  <w:style w:type="character" w:styleId="1099" w:customStyle="1">
    <w:name w:val="Footnote Text Char"/>
    <w:basedOn w:val="952"/>
    <w:link w:val="1098"/>
    <w:uiPriority w:val="99"/>
    <w:semiHidden/>
    <w:pPr>
      <w:pBdr/>
      <w:spacing/>
      <w:ind/>
    </w:pPr>
    <w:rPr>
      <w:sz w:val="20"/>
      <w:szCs w:val="20"/>
    </w:rPr>
  </w:style>
  <w:style w:type="character" w:styleId="1100">
    <w:name w:val="footnote reference"/>
    <w:basedOn w:val="952"/>
    <w:uiPriority w:val="99"/>
    <w:semiHidden/>
    <w:unhideWhenUsed/>
    <w:pPr>
      <w:pBdr/>
      <w:spacing/>
      <w:ind/>
    </w:pPr>
    <w:rPr>
      <w:vertAlign w:val="superscript"/>
    </w:rPr>
  </w:style>
  <w:style w:type="paragraph" w:styleId="1101">
    <w:name w:val="endnote text"/>
    <w:basedOn w:val="942"/>
    <w:link w:val="1102"/>
    <w:uiPriority w:val="99"/>
    <w:semiHidden/>
    <w:unhideWhenUsed/>
    <w:pPr>
      <w:pBdr/>
      <w:spacing/>
      <w:ind/>
    </w:pPr>
    <w:rPr>
      <w:sz w:val="20"/>
      <w:szCs w:val="20"/>
    </w:rPr>
  </w:style>
  <w:style w:type="character" w:styleId="1102" w:customStyle="1">
    <w:name w:val="Endnote Text Char"/>
    <w:basedOn w:val="952"/>
    <w:link w:val="1101"/>
    <w:uiPriority w:val="99"/>
    <w:semiHidden/>
    <w:pPr>
      <w:pBdr/>
      <w:spacing/>
      <w:ind/>
    </w:pPr>
    <w:rPr>
      <w:sz w:val="20"/>
      <w:szCs w:val="20"/>
    </w:rPr>
  </w:style>
  <w:style w:type="character" w:styleId="1103">
    <w:name w:val="endnote reference"/>
    <w:basedOn w:val="952"/>
    <w:uiPriority w:val="99"/>
    <w:semiHidden/>
    <w:unhideWhenUsed/>
    <w:pPr>
      <w:pBdr/>
      <w:spacing/>
      <w:ind/>
    </w:pPr>
    <w:rPr>
      <w:vertAlign w:val="superscript"/>
    </w:rPr>
  </w:style>
  <w:style w:type="paragraph" w:styleId="1104">
    <w:name w:val="toc 1"/>
    <w:basedOn w:val="942"/>
    <w:next w:val="942"/>
    <w:uiPriority w:val="39"/>
    <w:unhideWhenUsed/>
    <w:pPr>
      <w:pBdr/>
      <w:spacing w:after="100"/>
      <w:ind/>
    </w:pPr>
  </w:style>
  <w:style w:type="paragraph" w:styleId="1105">
    <w:name w:val="toc 2"/>
    <w:basedOn w:val="942"/>
    <w:next w:val="942"/>
    <w:uiPriority w:val="39"/>
    <w:unhideWhenUsed/>
    <w:pPr>
      <w:pBdr/>
      <w:spacing w:after="100"/>
      <w:ind w:left="220"/>
    </w:pPr>
  </w:style>
  <w:style w:type="paragraph" w:styleId="1106">
    <w:name w:val="toc 3"/>
    <w:basedOn w:val="942"/>
    <w:next w:val="942"/>
    <w:uiPriority w:val="39"/>
    <w:unhideWhenUsed/>
    <w:pPr>
      <w:pBdr/>
      <w:spacing w:after="100"/>
      <w:ind w:left="440"/>
    </w:pPr>
  </w:style>
  <w:style w:type="paragraph" w:styleId="1107">
    <w:name w:val="toc 4"/>
    <w:basedOn w:val="942"/>
    <w:next w:val="942"/>
    <w:uiPriority w:val="39"/>
    <w:unhideWhenUsed/>
    <w:pPr>
      <w:pBdr/>
      <w:spacing w:after="100"/>
      <w:ind w:left="660"/>
    </w:pPr>
  </w:style>
  <w:style w:type="paragraph" w:styleId="1108">
    <w:name w:val="toc 5"/>
    <w:basedOn w:val="942"/>
    <w:next w:val="942"/>
    <w:uiPriority w:val="39"/>
    <w:unhideWhenUsed/>
    <w:pPr>
      <w:pBdr/>
      <w:spacing w:after="100"/>
      <w:ind w:left="880"/>
    </w:pPr>
  </w:style>
  <w:style w:type="paragraph" w:styleId="1109">
    <w:name w:val="toc 6"/>
    <w:basedOn w:val="942"/>
    <w:next w:val="942"/>
    <w:uiPriority w:val="39"/>
    <w:unhideWhenUsed/>
    <w:pPr>
      <w:pBdr/>
      <w:spacing w:after="100"/>
      <w:ind w:left="1100"/>
    </w:pPr>
  </w:style>
  <w:style w:type="paragraph" w:styleId="1110">
    <w:name w:val="toc 7"/>
    <w:basedOn w:val="942"/>
    <w:next w:val="942"/>
    <w:uiPriority w:val="39"/>
    <w:unhideWhenUsed/>
    <w:pPr>
      <w:pBdr/>
      <w:spacing w:after="100"/>
      <w:ind w:left="1320"/>
    </w:pPr>
  </w:style>
  <w:style w:type="paragraph" w:styleId="1111">
    <w:name w:val="toc 8"/>
    <w:basedOn w:val="942"/>
    <w:next w:val="942"/>
    <w:uiPriority w:val="39"/>
    <w:unhideWhenUsed/>
    <w:pPr>
      <w:pBdr/>
      <w:spacing w:after="100"/>
      <w:ind w:left="1540"/>
    </w:pPr>
  </w:style>
  <w:style w:type="paragraph" w:styleId="1112">
    <w:name w:val="toc 9"/>
    <w:basedOn w:val="942"/>
    <w:next w:val="942"/>
    <w:uiPriority w:val="39"/>
    <w:unhideWhenUsed/>
    <w:pPr>
      <w:pBdr/>
      <w:spacing w:after="100"/>
      <w:ind w:left="1760"/>
    </w:pPr>
  </w:style>
  <w:style w:type="character" w:styleId="1113">
    <w:name w:val="Placeholder Text"/>
    <w:basedOn w:val="952"/>
    <w:uiPriority w:val="99"/>
    <w:semiHidden/>
    <w:pPr>
      <w:pBdr/>
      <w:spacing/>
      <w:ind/>
    </w:pPr>
    <w:rPr>
      <w:color w:val="666666"/>
    </w:rPr>
  </w:style>
  <w:style w:type="paragraph" w:styleId="1114">
    <w:name w:val="TOC Heading"/>
    <w:uiPriority w:val="39"/>
    <w:unhideWhenUsed/>
    <w:pPr>
      <w:pBdr/>
      <w:spacing/>
      <w:ind/>
    </w:pPr>
  </w:style>
  <w:style w:type="paragraph" w:styleId="1115">
    <w:name w:val="table of figures"/>
    <w:basedOn w:val="942"/>
    <w:next w:val="942"/>
    <w:uiPriority w:val="99"/>
    <w:unhideWhenUsed/>
    <w:pPr>
      <w:pBdr/>
      <w:spacing/>
      <w:ind/>
    </w:pPr>
  </w:style>
  <w:style w:type="character" w:styleId="1116" w:customStyle="1">
    <w:name w:val="Heading 1 Char"/>
    <w:basedOn w:val="952"/>
    <w:link w:val="943"/>
    <w:pPr>
      <w:pBdr/>
      <w:spacing/>
      <w:ind/>
    </w:pPr>
    <w:rPr>
      <w:rFonts w:ascii="Times New Roman" w:hAnsi="Times New Roman" w:eastAsia="Times New Roman" w:cs="Times New Roman"/>
      <w:b/>
      <w:bCs/>
      <w:sz w:val="27"/>
      <w:szCs w:val="27"/>
    </w:rPr>
  </w:style>
  <w:style w:type="character" w:styleId="1117" w:customStyle="1">
    <w:name w:val="Heading 2 Char"/>
    <w:basedOn w:val="952"/>
    <w:link w:val="944"/>
    <w:uiPriority w:val="9"/>
    <w:pPr>
      <w:pBdr/>
      <w:spacing/>
      <w:ind/>
    </w:pPr>
    <w:rPr>
      <w:rFonts w:asciiTheme="majorHAnsi" w:hAnsiTheme="majorHAnsi" w:eastAsiaTheme="majorEastAsia" w:cstheme="majorBidi"/>
      <w:color w:val="365f91" w:themeColor="accent1" w:themeShade="BF"/>
      <w:sz w:val="26"/>
      <w:szCs w:val="26"/>
    </w:rPr>
  </w:style>
  <w:style w:type="character" w:styleId="1118" w:customStyle="1">
    <w:name w:val="Heading 3 Char"/>
    <w:basedOn w:val="952"/>
    <w:link w:val="945"/>
    <w:pPr>
      <w:pBdr/>
      <w:spacing/>
      <w:ind/>
    </w:pPr>
    <w:rPr>
      <w:rFonts w:ascii="Times New Roman" w:hAnsi="Times New Roman" w:eastAsia="Times New Roman" w:cs="Times New Roman"/>
      <w:sz w:val="28"/>
      <w:szCs w:val="28"/>
    </w:rPr>
  </w:style>
  <w:style w:type="character" w:styleId="1119" w:customStyle="1">
    <w:name w:val="Heading 4 Char"/>
    <w:basedOn w:val="952"/>
    <w:link w:val="946"/>
    <w:pPr>
      <w:pBdr/>
      <w:spacing/>
      <w:ind/>
    </w:pPr>
    <w:rPr>
      <w:rFonts w:ascii="Times New Roman" w:hAnsi="Times New Roman" w:eastAsia="Times New Roman" w:cs="Times New Roman"/>
      <w:b/>
      <w:bCs/>
      <w:sz w:val="24"/>
      <w:szCs w:val="24"/>
    </w:rPr>
  </w:style>
  <w:style w:type="character" w:styleId="1120">
    <w:name w:val="Hyperlink"/>
    <w:uiPriority w:val="99"/>
    <w:pPr>
      <w:pBdr/>
      <w:spacing/>
      <w:ind/>
    </w:pPr>
    <w:rPr>
      <w:color w:val="000000"/>
      <w:u w:val="single"/>
    </w:rPr>
  </w:style>
  <w:style w:type="character" w:styleId="1121">
    <w:name w:val="Strong"/>
    <w:uiPriority w:val="22"/>
    <w:qFormat/>
    <w:pPr>
      <w:pBdr/>
      <w:spacing/>
      <w:ind/>
    </w:pPr>
    <w:rPr>
      <w:b/>
      <w:bCs/>
    </w:rPr>
  </w:style>
  <w:style w:type="paragraph" w:styleId="1122">
    <w:name w:val="Balloon Text"/>
    <w:basedOn w:val="942"/>
    <w:link w:val="1123"/>
    <w:uiPriority w:val="99"/>
    <w:semiHidden/>
    <w:unhideWhenUsed/>
    <w:pPr>
      <w:pBdr/>
      <w:spacing/>
      <w:ind/>
    </w:pPr>
    <w:rPr>
      <w:rFonts w:ascii="Tahoma" w:hAnsi="Tahoma" w:cs="Tahoma"/>
      <w:sz w:val="16"/>
      <w:szCs w:val="16"/>
    </w:rPr>
  </w:style>
  <w:style w:type="character" w:styleId="1123" w:customStyle="1">
    <w:name w:val="Balloon Text Char"/>
    <w:basedOn w:val="952"/>
    <w:link w:val="1122"/>
    <w:uiPriority w:val="99"/>
    <w:semiHidden/>
    <w:pPr>
      <w:pBdr/>
      <w:spacing/>
      <w:ind/>
    </w:pPr>
    <w:rPr>
      <w:rFonts w:ascii="Tahoma" w:hAnsi="Tahoma" w:eastAsia="Times New Roman" w:cs="Tahoma"/>
      <w:sz w:val="16"/>
      <w:szCs w:val="16"/>
    </w:rPr>
  </w:style>
  <w:style w:type="paragraph" w:styleId="1124">
    <w:name w:val="Header"/>
    <w:basedOn w:val="942"/>
    <w:link w:val="1125"/>
    <w:unhideWhenUsed/>
    <w:pPr>
      <w:pBdr/>
      <w:tabs>
        <w:tab w:val="center" w:leader="none" w:pos="4680"/>
        <w:tab w:val="right" w:leader="none" w:pos="9360"/>
      </w:tabs>
      <w:spacing/>
      <w:ind/>
    </w:pPr>
  </w:style>
  <w:style w:type="character" w:styleId="1125" w:customStyle="1">
    <w:name w:val="Header Char"/>
    <w:basedOn w:val="952"/>
    <w:link w:val="1124"/>
    <w:pPr>
      <w:pBdr/>
      <w:spacing/>
      <w:ind/>
    </w:pPr>
    <w:rPr>
      <w:rFonts w:ascii="Times New Roman" w:hAnsi="Times New Roman" w:eastAsia="Times New Roman" w:cs="Times New Roman"/>
      <w:sz w:val="24"/>
      <w:szCs w:val="24"/>
    </w:rPr>
  </w:style>
  <w:style w:type="paragraph" w:styleId="1126">
    <w:name w:val="Footer"/>
    <w:basedOn w:val="942"/>
    <w:link w:val="1127"/>
    <w:uiPriority w:val="99"/>
    <w:unhideWhenUsed/>
    <w:pPr>
      <w:pBdr/>
      <w:tabs>
        <w:tab w:val="center" w:leader="none" w:pos="4680"/>
        <w:tab w:val="right" w:leader="none" w:pos="9360"/>
      </w:tabs>
      <w:spacing/>
      <w:ind/>
    </w:pPr>
  </w:style>
  <w:style w:type="character" w:styleId="1127" w:customStyle="1">
    <w:name w:val="Footer Char"/>
    <w:basedOn w:val="952"/>
    <w:link w:val="1126"/>
    <w:uiPriority w:val="99"/>
    <w:pPr>
      <w:pBdr/>
      <w:spacing/>
      <w:ind/>
    </w:pPr>
    <w:rPr>
      <w:rFonts w:ascii="Times New Roman" w:hAnsi="Times New Roman" w:eastAsia="Times New Roman" w:cs="Times New Roman"/>
      <w:sz w:val="24"/>
      <w:szCs w:val="24"/>
    </w:rPr>
  </w:style>
  <w:style w:type="character" w:styleId="1128" w:customStyle="1">
    <w:name w:val="normal-h1"/>
    <w:pPr>
      <w:pBdr/>
      <w:spacing/>
      <w:ind/>
    </w:pPr>
    <w:rPr>
      <w:rFonts w:hint="default" w:ascii=".VnTime" w:hAnsi=".VnTime"/>
      <w:color w:val="0000ff"/>
      <w:sz w:val="24"/>
      <w:szCs w:val="24"/>
    </w:rPr>
  </w:style>
  <w:style w:type="paragraph" w:styleId="1129" w:customStyle="1">
    <w:name w:val="normal-p"/>
    <w:basedOn w:val="942"/>
    <w:pPr>
      <w:pBdr/>
      <w:spacing/>
      <w:ind/>
      <w:jc w:val="both"/>
    </w:pPr>
    <w:rPr>
      <w:sz w:val="20"/>
      <w:szCs w:val="20"/>
    </w:rPr>
  </w:style>
  <w:style w:type="paragraph" w:styleId="1130">
    <w:name w:val="List Paragraph"/>
    <w:basedOn w:val="942"/>
    <w:link w:val="1217"/>
    <w:uiPriority w:val="34"/>
    <w:qFormat/>
    <w:pPr>
      <w:pBdr/>
      <w:spacing/>
      <w:ind w:left="720"/>
    </w:pPr>
  </w:style>
  <w:style w:type="paragraph" w:styleId="1131">
    <w:name w:val="Normal (Web)"/>
    <w:basedOn w:val="942"/>
    <w:uiPriority w:val="99"/>
    <w:pPr>
      <w:pBdr/>
      <w:spacing w:after="100" w:afterAutospacing="1" w:before="100" w:beforeAutospacing="1"/>
      <w:ind/>
    </w:pPr>
  </w:style>
  <w:style w:type="paragraph" w:styleId="1132">
    <w:name w:val="Body Text"/>
    <w:basedOn w:val="942"/>
    <w:link w:val="1133"/>
    <w:pPr>
      <w:pBdr/>
      <w:spacing w:after="120"/>
      <w:ind/>
      <w:jc w:val="both"/>
    </w:pPr>
  </w:style>
  <w:style w:type="character" w:styleId="1133" w:customStyle="1">
    <w:name w:val="Body Text Char"/>
    <w:basedOn w:val="952"/>
    <w:link w:val="1132"/>
    <w:pPr>
      <w:pBdr/>
      <w:spacing/>
      <w:ind/>
    </w:pPr>
    <w:rPr>
      <w:rFonts w:ascii="Times New Roman" w:hAnsi="Times New Roman" w:eastAsia="Times New Roman" w:cs="Times New Roman"/>
      <w:sz w:val="24"/>
      <w:szCs w:val="24"/>
    </w:rPr>
  </w:style>
  <w:style w:type="table" w:styleId="1134">
    <w:name w:val="Table Grid"/>
    <w:basedOn w:val="95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35"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36">
    <w:name w:val="annotation reference"/>
    <w:basedOn w:val="952"/>
    <w:uiPriority w:val="99"/>
    <w:semiHidden/>
    <w:unhideWhenUsed/>
    <w:pPr>
      <w:pBdr/>
      <w:spacing/>
      <w:ind/>
    </w:pPr>
    <w:rPr>
      <w:sz w:val="16"/>
      <w:szCs w:val="16"/>
    </w:rPr>
  </w:style>
  <w:style w:type="paragraph" w:styleId="1137">
    <w:name w:val="annotation text"/>
    <w:basedOn w:val="942"/>
    <w:link w:val="1138"/>
    <w:uiPriority w:val="99"/>
    <w:unhideWhenUsed/>
    <w:pPr>
      <w:pBdr/>
      <w:spacing/>
      <w:ind/>
    </w:pPr>
    <w:rPr>
      <w:sz w:val="20"/>
      <w:szCs w:val="20"/>
    </w:rPr>
  </w:style>
  <w:style w:type="character" w:styleId="1138" w:customStyle="1">
    <w:name w:val="Comment Text Char"/>
    <w:basedOn w:val="952"/>
    <w:link w:val="1137"/>
    <w:uiPriority w:val="99"/>
    <w:pPr>
      <w:pBdr/>
      <w:spacing/>
      <w:ind/>
    </w:pPr>
    <w:rPr>
      <w:rFonts w:ascii="Times New Roman" w:hAnsi="Times New Roman" w:eastAsia="Times New Roman" w:cs="Times New Roman"/>
      <w:sz w:val="20"/>
      <w:szCs w:val="20"/>
    </w:rPr>
  </w:style>
  <w:style w:type="paragraph" w:styleId="1139">
    <w:name w:val="annotation subject"/>
    <w:basedOn w:val="1137"/>
    <w:next w:val="1137"/>
    <w:link w:val="1140"/>
    <w:uiPriority w:val="99"/>
    <w:semiHidden/>
    <w:unhideWhenUsed/>
    <w:pPr>
      <w:pBdr/>
      <w:spacing/>
      <w:ind/>
    </w:pPr>
    <w:rPr>
      <w:b/>
      <w:bCs/>
    </w:rPr>
  </w:style>
  <w:style w:type="character" w:styleId="1140" w:customStyle="1">
    <w:name w:val="Comment Subject Char"/>
    <w:basedOn w:val="1138"/>
    <w:link w:val="1139"/>
    <w:uiPriority w:val="99"/>
    <w:semiHidden/>
    <w:pPr>
      <w:pBdr/>
      <w:spacing/>
      <w:ind/>
    </w:pPr>
    <w:rPr>
      <w:rFonts w:ascii="Times New Roman" w:hAnsi="Times New Roman" w:eastAsia="Times New Roman" w:cs="Times New Roman"/>
      <w:b/>
      <w:bCs/>
      <w:sz w:val="20"/>
      <w:szCs w:val="20"/>
    </w:rPr>
  </w:style>
  <w:style w:type="paragraph" w:styleId="1141" w:customStyle="1">
    <w:name w:val="font5"/>
    <w:basedOn w:val="942"/>
    <w:pPr>
      <w:pBdr/>
      <w:spacing w:after="100" w:afterAutospacing="1" w:before="100" w:beforeAutospacing="1"/>
      <w:ind/>
    </w:pPr>
    <w:rPr>
      <w:rFonts w:ascii="Tahoma" w:hAnsi="Tahoma" w:cs="Tahoma"/>
      <w:color w:val="000000"/>
      <w:sz w:val="18"/>
      <w:szCs w:val="18"/>
    </w:rPr>
  </w:style>
  <w:style w:type="paragraph" w:styleId="1142" w:customStyle="1">
    <w:name w:val="font6"/>
    <w:basedOn w:val="942"/>
    <w:pPr>
      <w:pBdr/>
      <w:spacing w:after="100" w:afterAutospacing="1" w:before="100" w:beforeAutospacing="1"/>
      <w:ind/>
    </w:pPr>
    <w:rPr>
      <w:rFonts w:ascii="Tahoma" w:hAnsi="Tahoma" w:cs="Tahoma"/>
      <w:b/>
      <w:bCs/>
      <w:color w:val="000000"/>
      <w:sz w:val="18"/>
      <w:szCs w:val="18"/>
    </w:rPr>
  </w:style>
  <w:style w:type="paragraph" w:styleId="1143" w:customStyle="1">
    <w:name w:val="xl233"/>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4" w:customStyle="1">
    <w:name w:val="xl234"/>
    <w:basedOn w:val="942"/>
    <w:pPr>
      <w:pBdr/>
      <w:spacing w:after="100" w:afterAutospacing="1" w:before="100" w:beforeAutospacing="1"/>
      <w:ind/>
      <w:jc w:val="center"/>
    </w:pPr>
  </w:style>
  <w:style w:type="paragraph" w:styleId="1145" w:customStyle="1">
    <w:name w:val="xl235"/>
    <w:basedOn w:val="942"/>
    <w:pPr>
      <w:pBdr/>
      <w:spacing w:after="100" w:afterAutospacing="1" w:before="100" w:beforeAutospacing="1"/>
      <w:ind/>
      <w:jc w:val="center"/>
    </w:pPr>
    <w:rPr>
      <w:b/>
      <w:bCs/>
    </w:rPr>
  </w:style>
  <w:style w:type="paragraph" w:styleId="1146" w:customStyle="1">
    <w:name w:val="xl236"/>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47" w:customStyle="1">
    <w:name w:val="xl237"/>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48" w:customStyle="1">
    <w:name w:val="xl238"/>
    <w:basedOn w:val="94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9" w:customStyle="1">
    <w:name w:val="xl239"/>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50" w:customStyle="1">
    <w:name w:val="xl240"/>
    <w:basedOn w:val="942"/>
    <w:pPr>
      <w:pBdr/>
      <w:spacing w:after="100" w:afterAutospacing="1" w:before="100" w:beforeAutospacing="1"/>
      <w:ind/>
    </w:pPr>
  </w:style>
  <w:style w:type="paragraph" w:styleId="1151" w:customStyle="1">
    <w:name w:val="xl241"/>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2" w:customStyle="1">
    <w:name w:val="xl242"/>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3" w:customStyle="1">
    <w:name w:val="xl243"/>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4" w:customStyle="1">
    <w:name w:val="xl244"/>
    <w:basedOn w:val="942"/>
    <w:pPr>
      <w:pBdr/>
      <w:spacing w:after="100" w:afterAutospacing="1" w:before="100" w:beforeAutospacing="1"/>
      <w:ind/>
    </w:pPr>
    <w:rPr>
      <w:b/>
      <w:bCs/>
    </w:rPr>
  </w:style>
  <w:style w:type="paragraph" w:styleId="1155" w:customStyle="1">
    <w:name w:val="xl245"/>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6" w:customStyle="1">
    <w:name w:val="xl246"/>
    <w:basedOn w:val="94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57" w:customStyle="1">
    <w:name w:val="xl247"/>
    <w:basedOn w:val="94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58" w:customStyle="1">
    <w:name w:val="xl248"/>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9" w:customStyle="1">
    <w:name w:val="xl249"/>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0" w:customStyle="1">
    <w:name w:val="xl250"/>
    <w:basedOn w:val="94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1" w:customStyle="1">
    <w:name w:val="xl251"/>
    <w:basedOn w:val="94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62" w:customStyle="1">
    <w:name w:val="xl252"/>
    <w:basedOn w:val="94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3" w:customStyle="1">
    <w:name w:val="xl253"/>
    <w:basedOn w:val="94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4" w:customStyle="1">
    <w:name w:val="xl254"/>
    <w:basedOn w:val="94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5" w:customStyle="1">
    <w:name w:val="xl255"/>
    <w:basedOn w:val="94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66" w:customStyle="1">
    <w:name w:val="xl256"/>
    <w:basedOn w:val="94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67" w:customStyle="1">
    <w:name w:val="xl257"/>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8" w:customStyle="1">
    <w:name w:val="xl258"/>
    <w:basedOn w:val="94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9" w:customStyle="1">
    <w:name w:val="xl259"/>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0" w:customStyle="1">
    <w:name w:val="xl260"/>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1" w:customStyle="1">
    <w:name w:val="xl261"/>
    <w:basedOn w:val="94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2" w:customStyle="1">
    <w:name w:val="xl262"/>
    <w:basedOn w:val="94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73" w:customStyle="1">
    <w:name w:val="xl263"/>
    <w:basedOn w:val="942"/>
    <w:pPr>
      <w:pBdr/>
      <w:shd w:val="clear" w:color="000000" w:fill="ffffff"/>
      <w:spacing w:after="100" w:afterAutospacing="1" w:before="100" w:beforeAutospacing="1"/>
      <w:ind/>
    </w:pPr>
  </w:style>
  <w:style w:type="paragraph" w:styleId="1174" w:customStyle="1">
    <w:name w:val="xl264"/>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5" w:customStyle="1">
    <w:name w:val="xl265"/>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6" w:customStyle="1">
    <w:name w:val="xl266"/>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77" w:customStyle="1">
    <w:name w:val="xl267"/>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8" w:customStyle="1">
    <w:name w:val="xl268"/>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79" w:customStyle="1">
    <w:name w:val="xl269"/>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80" w:customStyle="1">
    <w:name w:val="xl270"/>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81" w:customStyle="1">
    <w:name w:val="xl271"/>
    <w:basedOn w:val="94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82" w:customStyle="1">
    <w:name w:val="xl272"/>
    <w:basedOn w:val="94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83" w:customStyle="1">
    <w:name w:val="xl273"/>
    <w:basedOn w:val="94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4" w:customStyle="1">
    <w:name w:val="xl274"/>
    <w:basedOn w:val="94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85" w:customStyle="1">
    <w:name w:val="xl275"/>
    <w:basedOn w:val="942"/>
    <w:pPr>
      <w:pBdr/>
      <w:spacing w:after="100" w:afterAutospacing="1" w:before="100" w:beforeAutospacing="1"/>
      <w:ind/>
    </w:pPr>
  </w:style>
  <w:style w:type="paragraph" w:styleId="1186" w:customStyle="1">
    <w:name w:val="xl276"/>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7" w:customStyle="1">
    <w:name w:val="xl277"/>
    <w:basedOn w:val="94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88" w:customStyle="1">
    <w:name w:val="xl278"/>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9" w:customStyle="1">
    <w:name w:val="xl279"/>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0" w:customStyle="1">
    <w:name w:val="xl280"/>
    <w:basedOn w:val="94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91" w:customStyle="1">
    <w:name w:val="xl281"/>
    <w:basedOn w:val="94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92" w:customStyle="1">
    <w:name w:val="xl282"/>
    <w:basedOn w:val="94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93" w:customStyle="1">
    <w:name w:val="xl283"/>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94" w:customStyle="1">
    <w:name w:val="xl284"/>
    <w:basedOn w:val="942"/>
    <w:pPr>
      <w:pBdr>
        <w:left w:val="single" w:color="000000" w:sz="4" w:space="0"/>
        <w:bottom w:val="single" w:color="000000" w:sz="4" w:space="0"/>
        <w:right w:val="single" w:color="000000" w:sz="4" w:space="0"/>
      </w:pBdr>
      <w:spacing w:after="100" w:afterAutospacing="1" w:before="100" w:beforeAutospacing="1"/>
      <w:ind/>
    </w:pPr>
  </w:style>
  <w:style w:type="paragraph" w:styleId="1195" w:customStyle="1">
    <w:name w:val="xl285"/>
    <w:basedOn w:val="94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96" w:customStyle="1">
    <w:name w:val="xl286"/>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7" w:customStyle="1">
    <w:name w:val="xl287"/>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98" w:customStyle="1">
    <w:name w:val="xl288"/>
    <w:basedOn w:val="942"/>
    <w:pPr>
      <w:pBdr>
        <w:top w:val="single" w:color="000000" w:sz="4" w:space="0"/>
        <w:left w:val="single" w:color="000000" w:sz="4" w:space="0"/>
        <w:right w:val="single" w:color="000000" w:sz="4" w:space="0"/>
      </w:pBdr>
      <w:spacing w:after="100" w:afterAutospacing="1" w:before="100" w:beforeAutospacing="1"/>
      <w:ind/>
    </w:pPr>
  </w:style>
  <w:style w:type="paragraph" w:styleId="1199" w:customStyle="1">
    <w:name w:val="xl289"/>
    <w:basedOn w:val="942"/>
    <w:pPr>
      <w:pBdr>
        <w:left w:val="single" w:color="000000" w:sz="4" w:space="0"/>
        <w:right w:val="single" w:color="000000" w:sz="4" w:space="0"/>
      </w:pBdr>
      <w:spacing w:after="100" w:afterAutospacing="1" w:before="100" w:beforeAutospacing="1"/>
      <w:ind/>
    </w:pPr>
    <w:rPr>
      <w:b/>
      <w:bCs/>
    </w:rPr>
  </w:style>
  <w:style w:type="paragraph" w:styleId="1200" w:customStyle="1">
    <w:name w:val="xl290"/>
    <w:basedOn w:val="94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201" w:customStyle="1">
    <w:name w:val="xl291"/>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202" w:customStyle="1">
    <w:name w:val="xl292"/>
    <w:basedOn w:val="942"/>
    <w:pPr>
      <w:pBdr>
        <w:top w:val="single" w:color="000000" w:sz="4" w:space="0"/>
        <w:left w:val="single" w:color="000000" w:sz="4" w:space="0"/>
        <w:right w:val="single" w:color="000000" w:sz="4" w:space="0"/>
      </w:pBdr>
      <w:spacing w:after="100" w:afterAutospacing="1" w:before="100" w:beforeAutospacing="1"/>
      <w:ind/>
    </w:pPr>
  </w:style>
  <w:style w:type="paragraph" w:styleId="1203" w:customStyle="1">
    <w:name w:val="xl293"/>
    <w:basedOn w:val="942"/>
    <w:pPr>
      <w:pBdr>
        <w:left w:val="single" w:color="000000" w:sz="4" w:space="0"/>
        <w:bottom w:val="single" w:color="000000" w:sz="4" w:space="0"/>
        <w:right w:val="single" w:color="000000" w:sz="4" w:space="0"/>
      </w:pBdr>
      <w:spacing w:after="100" w:afterAutospacing="1" w:before="100" w:beforeAutospacing="1"/>
      <w:ind/>
    </w:pPr>
  </w:style>
  <w:style w:type="paragraph" w:styleId="1204" w:customStyle="1">
    <w:name w:val="xl294"/>
    <w:basedOn w:val="94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205">
    <w:name w:val="Title"/>
    <w:basedOn w:val="942"/>
    <w:link w:val="1206"/>
    <w:qFormat/>
    <w:pPr>
      <w:pBdr/>
      <w:spacing/>
      <w:ind/>
      <w:jc w:val="center"/>
    </w:pPr>
    <w:rPr>
      <w:b/>
      <w:bCs/>
      <w:sz w:val="32"/>
      <w:szCs w:val="26"/>
    </w:rPr>
  </w:style>
  <w:style w:type="character" w:styleId="1206" w:customStyle="1">
    <w:name w:val="Title Char"/>
    <w:basedOn w:val="952"/>
    <w:link w:val="1205"/>
    <w:pPr>
      <w:pBdr/>
      <w:spacing/>
      <w:ind/>
    </w:pPr>
    <w:rPr>
      <w:rFonts w:ascii="Times New Roman" w:hAnsi="Times New Roman" w:eastAsia="Times New Roman" w:cs="Times New Roman"/>
      <w:b/>
      <w:bCs/>
      <w:sz w:val="32"/>
      <w:szCs w:val="26"/>
    </w:rPr>
  </w:style>
  <w:style w:type="character" w:styleId="1207" w:customStyle="1">
    <w:name w:val="Unresolved Mention1"/>
    <w:basedOn w:val="952"/>
    <w:uiPriority w:val="99"/>
    <w:semiHidden/>
    <w:unhideWhenUsed/>
    <w:pPr>
      <w:pBdr/>
      <w:spacing/>
      <w:ind/>
    </w:pPr>
    <w:rPr>
      <w:color w:val="605e5c"/>
      <w:shd w:val="clear" w:color="auto" w:fill="e1dfdd"/>
    </w:rPr>
  </w:style>
  <w:style w:type="character" w:styleId="1208" w:customStyle="1">
    <w:name w:val="Body text (3)_"/>
    <w:link w:val="1209"/>
    <w:pPr>
      <w:pBdr/>
      <w:spacing/>
      <w:ind/>
    </w:pPr>
    <w:rPr>
      <w:rFonts w:ascii="Times New Roman" w:hAnsi="Times New Roman" w:cs="Times New Roman"/>
      <w:i/>
      <w:iCs/>
      <w:spacing w:val="4"/>
      <w:shd w:val="clear" w:color="auto" w:fill="ffffff"/>
    </w:rPr>
  </w:style>
  <w:style w:type="paragraph" w:styleId="1209" w:customStyle="1">
    <w:name w:val="Body text (3)1"/>
    <w:basedOn w:val="942"/>
    <w:link w:val="1208"/>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210" w:customStyle="1">
    <w:name w:val="t-j"/>
    <w:basedOn w:val="942"/>
    <w:pPr>
      <w:pBdr/>
      <w:spacing w:after="100" w:afterAutospacing="1" w:before="100" w:beforeAutospacing="1"/>
      <w:ind/>
    </w:pPr>
  </w:style>
  <w:style w:type="character" w:styleId="1211" w:customStyle="1">
    <w:name w:val="Unresolved Mention2"/>
    <w:basedOn w:val="952"/>
    <w:uiPriority w:val="99"/>
    <w:semiHidden/>
    <w:unhideWhenUsed/>
    <w:pPr>
      <w:pBdr/>
      <w:spacing/>
      <w:ind/>
    </w:pPr>
    <w:rPr>
      <w:color w:val="605e5c"/>
      <w:shd w:val="clear" w:color="auto" w:fill="e1dfdd"/>
    </w:rPr>
  </w:style>
  <w:style w:type="character" w:styleId="1212">
    <w:name w:val="FollowedHyperlink"/>
    <w:basedOn w:val="952"/>
    <w:uiPriority w:val="99"/>
    <w:semiHidden/>
    <w:unhideWhenUsed/>
    <w:pPr>
      <w:pBdr/>
      <w:spacing/>
      <w:ind/>
    </w:pPr>
    <w:rPr>
      <w:color w:val="800080" w:themeColor="followedHyperlink"/>
      <w:u w:val="single"/>
    </w:rPr>
  </w:style>
  <w:style w:type="character" w:styleId="1213" w:customStyle="1">
    <w:name w:val="text"/>
    <w:basedOn w:val="952"/>
    <w:pPr>
      <w:pBdr/>
      <w:spacing/>
      <w:ind/>
    </w:pPr>
  </w:style>
  <w:style w:type="character" w:styleId="1214" w:customStyle="1">
    <w:name w:val="card-send-time__sendtime"/>
    <w:basedOn w:val="952"/>
    <w:pPr>
      <w:pBdr/>
      <w:spacing/>
      <w:ind/>
    </w:pPr>
  </w:style>
  <w:style w:type="character" w:styleId="1215" w:customStyle="1">
    <w:name w:val="Đề cập Chưa giải quyết1"/>
    <w:basedOn w:val="952"/>
    <w:uiPriority w:val="99"/>
    <w:semiHidden/>
    <w:unhideWhenUsed/>
    <w:pPr>
      <w:pBdr/>
      <w:spacing/>
      <w:ind/>
    </w:pPr>
    <w:rPr>
      <w:color w:val="605e5c"/>
      <w:shd w:val="clear" w:color="auto" w:fill="e1dfdd"/>
    </w:rPr>
  </w:style>
  <w:style w:type="paragraph" w:styleId="1216" w:customStyle="1">
    <w:name w:val="nqtitle"/>
    <w:basedOn w:val="942"/>
    <w:pPr>
      <w:pBdr/>
      <w:spacing w:after="100" w:afterAutospacing="1" w:before="100" w:beforeAutospacing="1"/>
      <w:ind/>
    </w:pPr>
    <w:rPr>
      <w:lang w:val="vi-VN" w:eastAsia="vi-VN"/>
    </w:rPr>
  </w:style>
  <w:style w:type="character" w:styleId="1217" w:customStyle="1">
    <w:name w:val="List Paragraph Char"/>
    <w:link w:val="1130"/>
    <w:uiPriority w:val="34"/>
    <w:qFormat/>
    <w:pPr>
      <w:pBdr/>
      <w:spacing/>
      <w:ind/>
    </w:pPr>
    <w:rPr>
      <w:rFonts w:ascii="Times New Roman" w:hAnsi="Times New Roman" w:eastAsia="Times New Roman" w:cs="Times New Roman"/>
      <w:sz w:val="24"/>
      <w:szCs w:val="24"/>
    </w:rPr>
  </w:style>
  <w:style w:type="character" w:styleId="1218" w:customStyle="1">
    <w:name w:val="Đề cập Chưa giải quyết2"/>
    <w:basedOn w:val="952"/>
    <w:uiPriority w:val="99"/>
    <w:semiHidden/>
    <w:unhideWhenUsed/>
    <w:pPr>
      <w:pBdr/>
      <w:spacing/>
      <w:ind/>
    </w:pPr>
    <w:rPr>
      <w:color w:val="605e5c"/>
      <w:shd w:val="clear" w:color="auto" w:fill="e1dfdd"/>
    </w:rPr>
  </w:style>
  <w:style w:type="character" w:styleId="1219" w:customStyle="1">
    <w:name w:val="Unresolved Mention3"/>
    <w:basedOn w:val="952"/>
    <w:uiPriority w:val="99"/>
    <w:semiHidden/>
    <w:unhideWhenUsed/>
    <w:pPr>
      <w:pBdr/>
      <w:spacing/>
      <w:ind/>
    </w:pPr>
    <w:rPr>
      <w:color w:val="605e5c"/>
      <w:shd w:val="clear" w:color="auto" w:fill="e1dfdd"/>
    </w:rPr>
  </w:style>
  <w:style w:type="character" w:styleId="1220" w:customStyle="1">
    <w:name w:val="copy"/>
    <w:basedOn w:val="952"/>
    <w:pPr>
      <w:pBdr/>
      <w:spacing/>
      <w:ind/>
    </w:pPr>
  </w:style>
  <w:style w:type="paragraph" w:styleId="1221" w:customStyle="1">
    <w:name w:val="align-justify"/>
    <w:basedOn w:val="942"/>
    <w:pPr>
      <w:pBdr/>
      <w:spacing w:after="100" w:afterAutospacing="1" w:before="100" w:beforeAutospacing="1"/>
      <w:ind/>
    </w:pPr>
  </w:style>
  <w:style w:type="character" w:styleId="1222" w:customStyle="1">
    <w:name w:val="btn"/>
    <w:basedOn w:val="952"/>
    <w:pPr>
      <w:pBdr/>
      <w:spacing/>
      <w:ind/>
    </w:pPr>
  </w:style>
  <w:style w:type="character" w:styleId="1223" w:customStyle="1">
    <w:name w:val="hide_mobile"/>
    <w:basedOn w:val="952"/>
    <w:pPr>
      <w:pBdr/>
      <w:spacing/>
      <w:ind/>
    </w:pPr>
  </w:style>
  <w:style w:type="character" w:styleId="1224">
    <w:name w:val="Emphasis"/>
    <w:basedOn w:val="952"/>
    <w:uiPriority w:val="20"/>
    <w:qFormat/>
    <w:pPr>
      <w:pBdr/>
      <w:spacing/>
      <w:ind/>
    </w:pPr>
    <w:rPr>
      <w:i/>
      <w:iCs/>
    </w:rPr>
  </w:style>
  <w:style w:type="character" w:styleId="1225" w:customStyle="1">
    <w:name w:val="t1"/>
    <w:basedOn w:val="952"/>
    <w:pPr>
      <w:pBdr/>
      <w:spacing/>
      <w:ind/>
    </w:pPr>
  </w:style>
  <w:style w:type="character" w:styleId="1226" w:customStyle="1">
    <w:name w:val="Unresolved Mention4"/>
    <w:basedOn w:val="952"/>
    <w:uiPriority w:val="99"/>
    <w:semiHidden/>
    <w:unhideWhenUsed/>
    <w:pPr>
      <w:pBdr/>
      <w:spacing/>
      <w:ind/>
    </w:pPr>
    <w:rPr>
      <w:color w:val="605e5c"/>
      <w:shd w:val="clear" w:color="auto" w:fill="e1dfdd"/>
    </w:rPr>
  </w:style>
  <w:style w:type="character" w:styleId="1227">
    <w:name w:val="Unresolved Mention"/>
    <w:basedOn w:val="95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36</cp:revision>
  <dcterms:created xsi:type="dcterms:W3CDTF">2026-06-19T03:43:00Z</dcterms:created>
  <dcterms:modified xsi:type="dcterms:W3CDTF">2026-09-24T03:24:40Z</dcterms:modified>
</cp:coreProperties>
</file>