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463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3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275/2026/1348/VFI-CT.44.A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Công ty TNHH Hội Vũ</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val="0"/>
                                <w:i w:val="0"/>
                                <w:iCs/>
                              </w:rPr>
                            </w:pPr>
                            <w:r>
                              <w:rPr>
                                <w:b/>
                                <w:color w:val="1d1b11" w:themeColor="background2" w:themeShade="1A"/>
                              </w:rPr>
                              <w:t xml:space="preserve">Tài sản thẩm định:</w:t>
                            </w:r>
                            <w:r>
                              <w:rPr>
                                <w:color w:val="000000"/>
                              </w:rPr>
                              <w:t xml:space="preserve"> </w:t>
                            </w:r>
                            <w:r>
                              <w:rPr>
                                <w:color w:val="000000"/>
                              </w:rPr>
                              <w:t xml:space="preserve">Q</w:t>
                            </w:r>
                            <w:r>
                              <w:rPr>
                                <w:color w:val="000000"/>
                              </w:rPr>
                              <w:t xml:space="preserve">uyền sở hữu căn hộ chung cư số E12A06. Tòa tháp Đông - Indochina Plaza Hà Nội Số 241 Xuân Thủy, phường Dịch Vọng Hậu, quận  Cầu Giấy, thành phố Hà Nội (Nay là 241 Xuân Thủy, phường Cầu Giấy, thành phố Hà Nội). Theo Giấy chứng nhận quyền sử dụng đất, quyền </w:t>
                            </w:r>
                            <w:r>
                              <w:rPr>
                                <w:color w:val="000000"/>
                              </w:rPr>
                              <w:t xml:space="preserve">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bCs w:val="0"/>
                                <w:i w:val="0"/>
                                <w:iCs/>
                              </w:rPr>
                              <w:t xml:space="preserve">.</w:t>
                            </w:r>
                            <w:r>
                              <w:rPr>
                                <w:bCs w:val="0"/>
                                <w:i w:val="0"/>
                                <w:iCs/>
                              </w:rPr>
                            </w:r>
                            <w:r>
                              <w:rPr>
                                <w:bCs w:val="0"/>
                                <w:i w:val="0"/>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72.7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275/2026/1348/VFI-CT.44.A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Công ty TNHH Hội Vũ</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val="0"/>
                          <w:i w:val="0"/>
                          <w:iCs/>
                        </w:rPr>
                      </w:pPr>
                      <w:r>
                        <w:rPr>
                          <w:b/>
                          <w:color w:val="1d1b11" w:themeColor="background2" w:themeShade="1A"/>
                        </w:rPr>
                        <w:t xml:space="preserve">Tài sản thẩm định:</w:t>
                      </w:r>
                      <w:r>
                        <w:rPr>
                          <w:color w:val="000000"/>
                        </w:rPr>
                        <w:t xml:space="preserve"> </w:t>
                      </w:r>
                      <w:r>
                        <w:rPr>
                          <w:color w:val="000000"/>
                        </w:rPr>
                        <w:t xml:space="preserve">Q</w:t>
                      </w:r>
                      <w:r>
                        <w:rPr>
                          <w:color w:val="000000"/>
                        </w:rPr>
                        <w:t xml:space="preserve">uyền sở hữu căn hộ chung cư số E12A06. Tòa tháp Đông - Indochina Plaza Hà Nội Số 241 Xuân Thủy, phường Dịch Vọng Hậu, quận  Cầu Giấy, thành phố Hà Nội (Nay là 241 Xuân Thủy, phường Cầu Giấy, thành phố Hà Nội). Theo Giấy chứng nhận quyền sử dụng đất, quyền </w:t>
                      </w:r>
                      <w:r>
                        <w:rPr>
                          <w:color w:val="000000"/>
                        </w:rPr>
                        <w:t xml:space="preserve">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bCs w:val="0"/>
                          <w:i w:val="0"/>
                          <w:iCs/>
                        </w:rPr>
                        <w:t xml:space="preserve">.</w:t>
                      </w:r>
                      <w:r>
                        <w:rPr>
                          <w:bCs w:val="0"/>
                          <w:i w:val="0"/>
                          <w:iCs/>
                        </w:rPr>
                      </w:r>
                      <w:r>
                        <w:rPr>
                          <w:bCs w:val="0"/>
                          <w:i w:val="0"/>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color w:val="000000" w:themeColor="text1"/>
          <w:sz w:val="28"/>
        </w:rPr>
      </w:pPr>
      <w:r>
        <w:rPr>
          <w:rFonts w:ascii="Times New Roman" w:hAnsi="Times New Roman" w:eastAsia="Times New Roman" w:cs="Times New Roman"/>
          <w:b/>
          <w:color w:val="000000" w:themeColor="text1"/>
          <w:sz w:val="28"/>
        </w:rPr>
        <w:t xml:space="preserve">MỤC LỤC</w:t>
      </w:r>
      <w:r>
        <w:rPr>
          <w:rFonts w:ascii="Times New Roman" w:hAnsi="Times New Roman" w:cs="Times New Roman"/>
          <w:color w:val="000000" w:themeColor="text1"/>
          <w:sz w:val="28"/>
        </w:rPr>
      </w:r>
      <w:r>
        <w:rPr>
          <w:rFonts w:ascii="Times New Roman" w:hAnsi="Times New Roman" w:cs="Times New Roman"/>
          <w:color w:val="000000" w:themeColor="text1"/>
          <w:sz w:val="28"/>
        </w:rPr>
      </w:r>
    </w:p>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NỘI DUNG</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TRANG</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Chứng thư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1-3</w:t>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Báo cáo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4-24</w:t>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Các phụ lục chi tiết kèm theo</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3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Thông tin hiện trạng</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cs="Times New Roman"/>
                <w:b/>
                <w:bCs/>
                <w:color w:val="000000" w:themeColor="text1"/>
              </w:rPr>
              <w:t xml:space="preserve">25-30</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3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2: Thông tin thu thập thị trường + Hồ sơ pháp lý + BBKS</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31-32</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31"/>
        <w:pBdr/>
        <w:tabs>
          <w:tab w:val="left" w:leader="none" w:pos="5103"/>
        </w:tabs>
        <w:spacing w:line="360" w:lineRule="auto"/>
        <w:ind/>
        <w:rPr>
          <w:rFonts w:ascii="Times New Roman" w:hAnsi="Times New Roman" w:cs="Times New Roman"/>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tbl>
      <w:tblPr>
        <w:tblInd w:w="-284" w:type="dxa"/>
        <w:tblW w:w="9950" w:type="dxa"/>
        <w:tblBorders/>
        <w:tblLayout w:type="fixed"/>
        <w:tblLook w:val="04A0" w:firstRow="1" w:lastRow="0" w:firstColumn="1" w:lastColumn="0" w:noHBand="0" w:noVBand="1"/>
      </w:tblPr>
      <w:tblGrid>
        <w:gridCol w:w="1134"/>
        <w:gridCol w:w="1134"/>
        <w:gridCol w:w="1134"/>
        <w:gridCol w:w="1134"/>
      </w:tblGrid>
      <w:tr>
        <w:trPr>
          <w:trHeight w:val="1123"/>
        </w:trPr>
        <w:tc>
          <w:tcPr>
            <w:tcBorders/>
            <w:tcW w:w="1729" w:type="dxa"/>
            <w:textDirection w:val="lrTb"/>
            <w:noWrap w:val="false"/>
          </w:tcPr>
          <w:p>
            <w:pPr>
              <w:pBdr/>
              <w:spacing w:line="360" w:lineRule="auto"/>
              <w:ind w:hanging="108"/>
              <w:rPr>
                <w:rFonts w:ascii="Times New Roman" w:hAnsi="Times New Roman" w:cs="Times New Roman"/>
                <w:i/>
                <w:color w:val="000000" w:themeColor="text1"/>
                <w:szCs w:val="26"/>
              </w:rPr>
            </w:pPr>
            <w:r>
              <w:rPr>
                <w:rFonts w:ascii="Times New Roman" w:hAnsi="Times New Roman" w:eastAsia="Times New Roman" w:cs="Times New Roman"/>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color w:val="000000" w:themeColor="text1"/>
                <w:szCs w:val="26"/>
              </w:rPr>
            </w:r>
            <w:r>
              <w:rPr>
                <w:rFonts w:ascii="Times New Roman" w:hAnsi="Times New Roman" w:cs="Times New Roman"/>
                <w:i/>
                <w:color w:val="000000" w:themeColor="text1"/>
                <w:szCs w:val="26"/>
              </w:rPr>
            </w:r>
          </w:p>
        </w:tc>
        <w:tc>
          <w:tcPr>
            <w:gridSpan w:val="3"/>
            <w:tcBorders/>
            <w:tcW w:w="8221" w:type="dxa"/>
            <w:textDirection w:val="lrTb"/>
            <w:noWrap w:val="false"/>
          </w:tcPr>
          <w:p>
            <w:pPr>
              <w:pBdr/>
              <w:spacing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da-DK"/>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312" w:lineRule="auto"/>
              <w:ind w:right="-28"/>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Trụ sở: BT5 - 23, Khu đô thị mới Văn Phú, Phường Kiến Hưng,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Điện thoại:  085 329 3333/ 024 2264 4333</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Email: </w:t>
            </w:r>
            <w:r>
              <w:rPr>
                <w:rFonts w:ascii="Times New Roman" w:hAnsi="Times New Roman" w:eastAsia="Times New Roman" w:cs="Times New Roman"/>
                <w:color w:val="000000" w:themeColor="text1"/>
                <w:lang w:val="da-DK"/>
              </w:rPr>
              <w:tab/>
            </w:r>
            <w:hyperlink r:id="rId15" w:tooltip="mailto:ilotus.contact@gmail.com" w:history="1">
              <w:r>
                <w:rPr>
                  <w:rStyle w:val="1122"/>
                  <w:rFonts w:ascii="Times New Roman" w:hAnsi="Times New Roman" w:eastAsia="Times New Roman" w:cs="Times New Roman" w:eastAsiaTheme="majorEastAsia"/>
                  <w:color w:val="000000" w:themeColor="text1"/>
                  <w:lang w:val="fr-FR"/>
                </w:rPr>
                <w:t xml:space="preserve">ilotus.contact@gmail.com</w:t>
              </w:r>
            </w:hyperlink>
            <w:r>
              <w:rPr>
                <w:rFonts w:ascii="Times New Roman" w:hAnsi="Times New Roman" w:eastAsia="Times New Roman" w:cs="Times New Roman"/>
                <w:color w:val="000000" w:themeColor="text1"/>
                <w:lang w:val="fr-FR"/>
              </w:rPr>
              <w:t xml:space="preserve">                         </w:t>
            </w:r>
            <w:r>
              <w:rPr>
                <w:rFonts w:ascii="Times New Roman" w:hAnsi="Times New Roman" w:eastAsia="Times New Roman" w:cs="Times New Roman"/>
                <w:color w:val="000000" w:themeColor="text1"/>
                <w:lang w:val="da-DK"/>
              </w:rPr>
              <w:t xml:space="preserve">Website: ilotus.com.vn</w:t>
            </w:r>
            <w:r>
              <w:rPr>
                <w:rFonts w:ascii="Times New Roman" w:hAnsi="Times New Roman" w:cs="Times New Roman"/>
                <w:color w:val="000000" w:themeColor="text1"/>
              </w:rPr>
            </w:r>
            <w:r>
              <w:rPr>
                <w:rFonts w:ascii="Times New Roman" w:hAnsi="Times New Roman" w:cs="Times New Roman"/>
                <w:color w:val="000000" w:themeColor="text1"/>
              </w:rPr>
            </w:r>
          </w:p>
        </w:tc>
      </w:tr>
      <w:tr>
        <w:trPr>
          <w:gridAfter w:val="1"/>
          <w:trHeight w:val="432"/>
        </w:trPr>
        <w:tc>
          <w:tcPr>
            <w:gridSpan w:val="2"/>
            <w:tcBorders/>
            <w:tcMar>
              <w:left w:w="108" w:type="dxa"/>
              <w:top w:w="0" w:type="dxa"/>
              <w:right w:w="108" w:type="dxa"/>
              <w:bottom w:w="0" w:type="dxa"/>
            </w:tcMar>
            <w:tcW w:w="4564" w:type="dxa"/>
            <w:textDirection w:val="lrTb"/>
            <w:noWrap w:val="false"/>
          </w:tcPr>
          <w:p>
            <w:pPr>
              <w:pStyle w:val="1131"/>
              <w:pBdr/>
              <w:spacing w:after="60"/>
              <w:ind/>
              <w:rPr>
                <w:rFonts w:ascii="Times New Roman" w:hAnsi="Times New Roman" w:cs="Times New Roman"/>
                <w:color w:val="000000" w:themeColor="text1"/>
                <w:sz w:val="24"/>
                <w:szCs w:val="24"/>
              </w:rPr>
            </w:pPr>
            <w:r>
              <w:rPr>
                <w:rStyle w:val="1130"/>
                <w:rFonts w:ascii="Times New Roman" w:hAnsi="Times New Roman" w:eastAsia="Times New Roman" w:cs="Times New Roman"/>
                <w:color w:val="000000" w:themeColor="text1"/>
                <w:lang w:val="pt-BR"/>
              </w:rPr>
              <w:t xml:space="preserve">Số: </w:t>
            </w:r>
            <w:r>
              <w:rPr>
                <w:rStyle w:val="1130"/>
                <w:rFonts w:ascii="Times New Roman" w:hAnsi="Times New Roman" w:eastAsia="Times New Roman" w:cs="Times New Roman"/>
                <w:color w:val="000000" w:themeColor="text1"/>
                <w:lang w:val="pt-BR"/>
              </w:rPr>
              <w:t xml:space="preserve">275/2026/1348/VFI-CT.44.A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386" w:type="dxa"/>
            <w:textDirection w:val="lrTb"/>
            <w:noWrap w:val="false"/>
          </w:tcPr>
          <w:p>
            <w:pPr>
              <w:pStyle w:val="1131"/>
              <w:pBdr/>
              <w:spacing w:after="60"/>
              <w:ind w:right="-56"/>
              <w:jc w:val="right"/>
              <w:rPr>
                <w:rFonts w:ascii="Times New Roman" w:hAnsi="Times New Roman" w:cs="Times New Roman"/>
                <w:color w:val="000000" w:themeColor="text1"/>
                <w:sz w:val="24"/>
                <w:szCs w:val="24"/>
              </w:rPr>
            </w:pPr>
            <w:r>
              <w:rPr>
                <w:rStyle w:val="1130"/>
                <w:rFonts w:ascii="Times New Roman" w:hAnsi="Times New Roman" w:eastAsia="Times New Roman" w:cs="Times New Roman"/>
                <w:i/>
                <w:color w:val="000000" w:themeColor="text1"/>
              </w:rPr>
              <w:t xml:space="preserve">TP. Hà Nội</w:t>
            </w:r>
            <w:r>
              <w:rPr>
                <w:rStyle w:val="1130"/>
                <w:rFonts w:ascii="Times New Roman" w:hAnsi="Times New Roman" w:eastAsia="Times New Roman" w:cs="Times New Roman"/>
                <w:i/>
                <w:color w:val="000000" w:themeColor="text1"/>
                <w:lang w:val="vi-VN"/>
              </w:rPr>
              <w:t xml:space="preserve">, </w:t>
            </w:r>
            <w:r>
              <w:rPr>
                <w:rStyle w:val="1130"/>
                <w:rFonts w:ascii="Times New Roman" w:hAnsi="Times New Roman" w:eastAsia="Times New Roman" w:cs="Times New Roman"/>
                <w:i/>
                <w:color w:val="000000" w:themeColor="text1"/>
                <w:lang w:val="vi-VN"/>
              </w:rPr>
              <w:t xml:space="preserve">ngày 26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31"/>
        <w:pBdr/>
        <w:spacing w:after="120" w:before="200" w:line="288" w:lineRule="auto"/>
        <w:ind/>
        <w:jc w:val="center"/>
        <w:rPr>
          <w:rStyle w:val="1130"/>
          <w:rFonts w:ascii="Times New Roman" w:hAnsi="Times New Roman" w:cs="Times New Roman"/>
          <w:b/>
          <w:bCs/>
          <w:color w:val="000000" w:themeColor="text1"/>
          <w:sz w:val="30"/>
          <w:szCs w:val="30"/>
        </w:rPr>
      </w:pPr>
      <w:r>
        <w:rPr>
          <w:rStyle w:val="1130"/>
          <w:rFonts w:ascii="Times New Roman" w:hAnsi="Times New Roman" w:eastAsia="Times New Roman" w:cs="Times New Roman"/>
          <w:b/>
          <w:bCs/>
          <w:color w:val="000000" w:themeColor="text1"/>
          <w:sz w:val="30"/>
          <w:szCs w:val="30"/>
          <w:lang w:val="vi-VN"/>
        </w:rPr>
        <w:t xml:space="preserve">CHỨNG THƯ THẨM ĐỊNH GIÁ</w:t>
      </w:r>
      <w:r>
        <w:rPr>
          <w:rStyle w:val="1130"/>
          <w:rFonts w:ascii="Times New Roman" w:hAnsi="Times New Roman" w:cs="Times New Roman"/>
          <w:b/>
          <w:bCs/>
          <w:color w:val="000000" w:themeColor="text1"/>
          <w:sz w:val="30"/>
          <w:szCs w:val="30"/>
        </w:rPr>
      </w:r>
      <w:r>
        <w:rPr>
          <w:rStyle w:val="1130"/>
          <w:rFonts w:ascii="Times New Roman" w:hAnsi="Times New Roman" w:cs="Times New Roman"/>
          <w:b/>
          <w:bCs/>
          <w:color w:val="000000" w:themeColor="text1"/>
          <w:sz w:val="30"/>
          <w:szCs w:val="30"/>
        </w:rPr>
      </w:r>
    </w:p>
    <w:p>
      <w:pPr>
        <w:pBdr/>
        <w:tabs>
          <w:tab w:val="left" w:leader="none" w:pos="425"/>
        </w:tabs>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u w:val="single"/>
          <w:lang w:val="pt-BR"/>
        </w:rPr>
        <w:t xml:space="preserve">Kính gửi</w:t>
      </w:r>
      <w:r>
        <w:rPr>
          <w:rFonts w:ascii="Times New Roman" w:hAnsi="Times New Roman" w:eastAsia="Times New Roman" w:cs="Times New Roman"/>
          <w:b/>
          <w:color w:val="000000" w:themeColor="text1"/>
          <w:lang w:val="pt-BR"/>
        </w:rPr>
        <w:t xml:space="preserve">: </w:t>
      </w:r>
      <w:r>
        <w:rPr>
          <w:rFonts w:ascii="Times New Roman Bold" w:hAnsi="Times New Roman Bold"/>
          <w:b/>
          <w:color w:val="1d1b11" w:themeColor="background2" w:themeShade="1A"/>
          <w:lang w:val="pt-BR"/>
        </w:rPr>
        <w:t xml:space="preserve">Công ty TNHH Hội Vũ</w:t>
      </w:r>
      <w:r/>
      <w:r>
        <w:rPr>
          <w:rFonts w:ascii="Times New Roman" w:hAnsi="Times New Roman" w:eastAsia="Times New Roman" w:cs="Times New Roman"/>
          <w:b/>
          <w:color w:val="000000" w:themeColor="text1"/>
          <w:lang w:val="pt-BR"/>
        </w:rPr>
      </w:r>
      <w:r>
        <w:rPr>
          <w:rFonts w:ascii="Times New Roman" w:hAnsi="Times New Roman" w:cs="Times New Roman"/>
          <w:b/>
          <w:color w:val="000000" w:themeColor="text1"/>
        </w:rPr>
      </w:r>
    </w:p>
    <w:p>
      <w:pPr>
        <w:pBdr/>
        <w:spacing w:after="120" w:before="120" w:line="288" w:lineRule="auto"/>
        <w:ind w:firstLine="432"/>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Hợp đồng dịch vụ thẩm định giá số: </w:t>
      </w:r>
      <w:r>
        <w:rPr>
          <w:rFonts w:ascii="Times New Roman" w:hAnsi="Times New Roman" w:eastAsia="Times New Roman" w:cs="Times New Roman"/>
          <w:color w:val="000000" w:themeColor="text1"/>
          <w:spacing w:val="-4"/>
          <w:lang w:val="vi-VN"/>
        </w:rPr>
        <w:t xml:space="preserve">275/2026/1348/VFI-HĐTĐ.44.A</w:t>
      </w:r>
      <w:r>
        <w:rPr>
          <w:rFonts w:ascii="Times New Roman" w:hAnsi="Times New Roman" w:eastAsia="Times New Roman" w:cs="Times New Roman"/>
          <w:color w:val="000000" w:themeColor="text1"/>
          <w:spacing w:val="-2"/>
          <w:lang w:val="pt-BR"/>
        </w:rPr>
        <w:t xml:space="preserve"> ký </w:t>
      </w:r>
      <w:r>
        <w:rPr>
          <w:rFonts w:ascii="Times New Roman" w:hAnsi="Times New Roman" w:eastAsia="Times New Roman" w:cs="Times New Roman"/>
          <w:color w:val="000000" w:themeColor="text1"/>
          <w:spacing w:val="-4"/>
        </w:rPr>
        <w:t xml:space="preserve">19 tháng 8 năm 2026</w:t>
      </w:r>
      <w:r>
        <w:rPr>
          <w:rFonts w:ascii="Times New Roman" w:hAnsi="Times New Roman" w:eastAsia="Times New Roman" w:cs="Times New Roman"/>
          <w:color w:val="000000" w:themeColor="text1"/>
          <w:spacing w:val="-4"/>
        </w:rPr>
        <w:t xml:space="preserve"> </w:t>
      </w:r>
      <w:r>
        <w:rPr>
          <w:rFonts w:ascii="Times New Roman" w:hAnsi="Times New Roman" w:eastAsia="Times New Roman" w:cs="Times New Roman"/>
          <w:color w:val="000000" w:themeColor="text1"/>
          <w:spacing w:val="-2"/>
          <w:lang w:val="pt-BR"/>
        </w:rPr>
        <w:t xml:space="preserve">giữa </w:t>
      </w:r>
      <w:r>
        <w:rPr>
          <w:rFonts w:ascii="Times New Roman Bold" w:hAnsi="Times New Roman Bold"/>
          <w:b w:val="0"/>
          <w:bCs w:val="0"/>
          <w:color w:val="1d1b11" w:themeColor="background2" w:themeShade="1A"/>
          <w:lang w:val="pt-BR"/>
        </w:rPr>
        <w:t xml:space="preserve">Công ty TNHH Hội Vũ</w:t>
      </w:r>
      <w:r>
        <w:rPr>
          <w:rFonts w:ascii="Times New Roman" w:hAnsi="Times New Roman" w:eastAsia="Times New Roman" w:cs="Times New Roman"/>
          <w:color w:val="000000" w:themeColor="text1"/>
          <w:spacing w:val="-2"/>
          <w:lang w:val="pt-BR"/>
        </w:rPr>
        <w:t xml:space="preserve"> với</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color w:val="000000" w:themeColor="text1"/>
          <w:spacing w:val="-2"/>
          <w:lang w:val="pt-BR"/>
        </w:rPr>
        <w:t xml:space="preserve">;</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88" w:lineRule="auto"/>
        <w:ind w:firstLine="432"/>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Báo cáo thẩm định giá số</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275/2026/1348/VFI-BC.44.A</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2"/>
          <w:lang w:val="pt-BR"/>
        </w:rPr>
        <w:t xml:space="preserve">ngày</w:t>
      </w:r>
      <w:r>
        <w:rPr>
          <w:rFonts w:ascii="Times New Roman" w:hAnsi="Times New Roman" w:eastAsia="Times New Roman" w:cs="Times New Roman"/>
          <w:color w:val="00b050"/>
          <w:spacing w:val="-2"/>
          <w:lang w:val="pt-BR"/>
        </w:rPr>
        <w:t xml:space="preserve"> </w:t>
      </w:r>
      <w:r>
        <w:rPr>
          <w:rFonts w:ascii="Times New Roman" w:hAnsi="Times New Roman" w:eastAsia="Times New Roman" w:cs="Times New Roman"/>
          <w:color w:val="000000" w:themeColor="text1"/>
          <w:spacing w:val="-2"/>
        </w:rPr>
        <w:t xml:space="preserve">26 tháng 8 năm 2026</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của Công ty Cổ phần Thẩm định và Đầu tư Tài chính Hoa Sen;</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88" w:lineRule="auto"/>
        <w:ind w:firstLine="432"/>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cung cấp Chứng thư thẩm định giá tài sản với nội dung sau:</w:t>
      </w:r>
      <w:r>
        <w:rPr>
          <w:rFonts w:ascii="Times New Roman" w:hAnsi="Times New Roman" w:cs="Times New Roman"/>
          <w:color w:val="000000" w:themeColor="text1"/>
        </w:rPr>
      </w:r>
      <w:r>
        <w:rPr>
          <w:rFonts w:ascii="Times New Roman" w:hAnsi="Times New Roman" w:cs="Times New Roman"/>
          <w:color w:val="000000" w:themeColor="text1"/>
        </w:rPr>
      </w:r>
    </w:p>
    <w:p>
      <w:pPr>
        <w:pBdr/>
        <w:tabs>
          <w:tab w:val="left" w:leader="none" w:pos="851"/>
        </w:tabs>
        <w:spacing w:after="120" w:before="120" w:line="288"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 </w:t>
      </w:r>
      <w:r>
        <w:rPr>
          <w:rFonts w:ascii="Times New Roman" w:hAnsi="Times New Roman" w:eastAsia="Times New Roman" w:cs="Times New Roman"/>
          <w:b/>
          <w:bCs/>
          <w:color w:val="000000" w:themeColor="text1"/>
          <w:lang w:val="vi-VN"/>
        </w:rPr>
        <w:t xml:space="preserve">Khách hàng yêu cầu </w:t>
      </w:r>
      <w:r>
        <w:rPr>
          <w:rFonts w:ascii="Times New Roman" w:hAnsi="Times New Roman" w:eastAsia="Times New Roman" w:cs="Times New Roman"/>
          <w:b/>
          <w:bCs/>
          <w:color w:val="000000" w:themeColor="text1"/>
          <w:lang w:val="pt-BR"/>
        </w:rPr>
        <w:t xml:space="preserve">t</w:t>
      </w:r>
      <w:r>
        <w:rPr>
          <w:rFonts w:ascii="Times New Roman" w:hAnsi="Times New Roman" w:eastAsia="Times New Roman" w:cs="Times New Roman"/>
          <w:b/>
          <w:bCs/>
          <w:color w:val="000000" w:themeColor="text1"/>
          <w:lang w:val="vi-VN"/>
        </w:rPr>
        <w:t xml:space="preserve">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Tên khách hàng</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tcBorders/>
            <w:tcW w:w="3643" w:type="pct"/>
            <w:vAlign w:val="center"/>
            <w:textDirection w:val="lrTb"/>
            <w:noWrap w:val="false"/>
          </w:tcPr>
          <w:p>
            <w:pPr>
              <w:pBdr/>
              <w:spacing/>
              <w:ind/>
              <w:rPr>
                <w:rFonts w:ascii="Times New Roman" w:hAnsi="Times New Roman" w:cs="Times New Roman"/>
                <w:highlight w:val="yellow"/>
              </w:rPr>
            </w:pPr>
            <w:r>
              <w:rPr>
                <w:rFonts w:ascii="Times New Roman" w:hAnsi="Times New Roman" w:eastAsia="Times New Roman" w:cs="Times New Roman"/>
                <w:b/>
                <w:bCs/>
                <w:highlight w:val="yellow"/>
              </w:rPr>
            </w:r>
            <w:r>
              <w:rPr>
                <w:rFonts w:ascii="Times New Roman Bold" w:hAnsi="Times New Roman Bold"/>
                <w:b/>
                <w:color w:val="1d1b11" w:themeColor="background2" w:themeShade="1A"/>
                <w:lang w:val="pt-BR"/>
              </w:rPr>
              <w:t xml:space="preserve">Công ty TNHH Hội Vũ</w:t>
            </w:r>
            <w:r/>
            <w:r>
              <w:rPr>
                <w:rFonts w:ascii="Times New Roman" w:hAnsi="Times New Roman" w:eastAsia="Times New Roman" w:cs="Times New Roman"/>
                <w:b/>
                <w:bCs/>
                <w:highlight w:val="yellow"/>
              </w:rPr>
            </w:r>
            <w:r>
              <w:rPr>
                <w:rFonts w:ascii="Times New Roman" w:hAnsi="Times New Roman" w:cs="Times New Roman"/>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CCCD:</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yellow"/>
                <w:lang w:val="vi-VN"/>
              </w:rPr>
            </w:r>
            <w:r>
              <w:rPr>
                <w:rFonts w:ascii="Arial" w:hAnsi="Arial" w:eastAsia="Arial" w:cs="Arial"/>
                <w:color w:val="081b3a"/>
                <w:spacing w:val="3"/>
                <w:sz w:val="23"/>
                <w:highlight w:val="none"/>
              </w:rPr>
              <w:t xml:space="preserve">0100364508</w:t>
            </w:r>
            <w:r>
              <w:rPr>
                <w:rFonts w:ascii="Times New Roman" w:hAnsi="Times New Roman" w:eastAsia="Times New Roman" w:cs="Times New Roman"/>
                <w:color w:val="000000" w:themeColor="text1"/>
                <w:highlight w:val="yellow"/>
                <w:lang w:val="vi-VN"/>
              </w:rPr>
            </w:r>
            <w:r>
              <w:rPr>
                <w:rFonts w:ascii="Times New Roman" w:hAnsi="Times New Roman" w:cs="Times New Roman"/>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Năm sinh:</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yellow"/>
                <w:lang w:val="vi-VN"/>
              </w:rPr>
              <w:t xml:space="preserve">1957</w:t>
            </w:r>
            <w:r>
              <w:rPr>
                <w:rFonts w:ascii="Times New Roman" w:hAnsi="Times New Roman" w:cs="Times New Roman"/>
                <w:color w:val="ff0000"/>
                <w:highlight w:val="yellow"/>
              </w:rPr>
            </w:r>
            <w:r>
              <w:rPr>
                <w:rFonts w:ascii="Times New Roman" w:hAnsi="Times New Roman" w:cs="Times New Roman"/>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yellow"/>
              </w:rPr>
            </w:pPr>
            <w:r>
              <w:rPr>
                <w:rFonts w:ascii="Times New Roman" w:hAnsi="Times New Roman" w:eastAsia="Times New Roman" w:cs="Times New Roman"/>
                <w:bCs/>
                <w:color w:val="000000" w:themeColor="text1"/>
                <w:highlight w:val="yellow"/>
                <w:lang w:val="pt-BR"/>
              </w:rPr>
              <w:t xml:space="preserve">Địa chỉ</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yellow"/>
              </w:rPr>
            </w:pPr>
            <w:r>
              <w:rPr>
                <w:rFonts w:ascii="Times New Roman" w:hAnsi="Times New Roman" w:eastAsia="Times New Roman" w:cs="Times New Roman"/>
                <w:bCs/>
                <w:color w:val="000000"/>
                <w:highlight w:val="yellow"/>
                <w:lang w:val="pt-BR"/>
              </w:rPr>
              <w:t xml:space="preserve">:</w:t>
            </w:r>
            <w:r>
              <w:rPr>
                <w:rFonts w:ascii="Times New Roman" w:hAnsi="Times New Roman" w:cs="Times New Roman"/>
                <w:bCs/>
                <w:color w:val="000000" w:themeColor="text1"/>
                <w:highlight w:val="yellow"/>
              </w:rPr>
            </w:r>
            <w:r>
              <w:rPr>
                <w:rFonts w:ascii="Times New Roman" w:hAnsi="Times New Roman" w:cs="Times New Roman"/>
                <w:bCs/>
                <w:color w:val="000000" w:themeColor="text1"/>
                <w:highlight w:val="yellow"/>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highlight w:val="yellow"/>
              </w:rPr>
            </w:pPr>
            <w:r>
              <w:rPr>
                <w:rFonts w:ascii="Times New Roman" w:hAnsi="Times New Roman" w:eastAsia="Times New Roman" w:cs="Times New Roman"/>
                <w:color w:val="000000" w:themeColor="text1"/>
                <w:highlight w:val="yellow"/>
                <w:lang w:val="vi-VN"/>
              </w:rPr>
              <w:t xml:space="preserve">1N2 (số mới A1) - 212 Lò Đúc, phường Đống Mác, quận Hai Bà Trưng, quận Hai Bà Trưng, thành phố Hà Nội</w:t>
            </w:r>
            <w:r>
              <w:rPr>
                <w:rFonts w:ascii="Times New Roman" w:hAnsi="Times New Roman" w:cs="Times New Roman"/>
                <w:color w:val="ff0000"/>
                <w:highlight w:val="yellow"/>
              </w:rPr>
            </w:r>
            <w:r>
              <w:rPr>
                <w:rFonts w:ascii="Times New Roman" w:hAnsi="Times New Roman" w:cs="Times New Roman"/>
                <w:color w:val="ff0000"/>
                <w:highlight w:val="yellow"/>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2. Thông tin về doanh nghiệp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Ind w:w="-34" w:type="dxa"/>
        <w:tblW w:w="9558" w:type="dxa"/>
        <w:tblBorders/>
        <w:tblLayout w:type="fixed"/>
        <w:tblLook w:val="04A0" w:firstRow="1" w:lastRow="0" w:firstColumn="1" w:lastColumn="0" w:noHBand="0" w:noVBand="1"/>
      </w:tblPr>
      <w:tblGrid>
        <w:gridCol w:w="2269"/>
        <w:gridCol w:w="289"/>
        <w:gridCol w:w="7000"/>
      </w:tblGrid>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rPr>
                <w:rFonts w:ascii="Times New Roman" w:hAnsi="Times New Roman" w:cs="Times New Roman"/>
                <w:b/>
                <w:bCs/>
                <w:color w:val="000000" w:themeColor="text1"/>
                <w:spacing w:val="-16"/>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cs="Times New Roman"/>
                <w:b/>
                <w:bCs/>
                <w:color w:val="000000" w:themeColor="text1"/>
                <w:spacing w:val="-16"/>
              </w:rPr>
            </w:r>
            <w:r>
              <w:rPr>
                <w:rFonts w:ascii="Times New Roman" w:hAnsi="Times New Roman" w:cs="Times New Roman"/>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tabs>
                <w:tab w:val="left" w:leader="none" w:pos="3382"/>
              </w:tabs>
              <w:spacing w:after="40" w:before="40" w:line="288"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Thông báo</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Số 1294/TB-BTC ngày 25/12/2025</w:t>
            </w:r>
            <w:r>
              <w:rPr>
                <w:rFonts w:ascii="Times New Roman" w:hAnsi="Times New Roman" w:eastAsia="Times New Roman" w:cs="Times New Roman"/>
                <w:color w:val="000000" w:themeColor="text1"/>
                <w:sz w:val="21"/>
                <w:szCs w:val="21"/>
              </w:rPr>
              <w:t xml:space="preserve"> </w:t>
            </w:r>
            <w:r>
              <w:rPr>
                <w:rFonts w:ascii="Times New Roman" w:hAnsi="Times New Roman" w:eastAsia="Times New Roman" w:cs="Times New Roman"/>
                <w:bCs/>
                <w:color w:val="000000" w:themeColor="text1"/>
              </w:rPr>
              <w:t xml:space="preserve">về việc doanh nghiệp đủ điều kiện kinh doanh Dịch vụ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rPr>
              <w:t xml:space="preserve"> Vũ Văn Quân</w:t>
            </w:r>
            <w:r>
              <w:rPr>
                <w:rFonts w:ascii="Times New Roman" w:hAnsi="Times New Roman" w:eastAsia="Times New Roman" w:cs="Times New Roman"/>
                <w:b/>
                <w:bCs/>
                <w:lang w:val="vi-VN"/>
              </w:rPr>
              <w:tab/>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000" w:type="dxa"/>
            <w:vAlign w:val="center"/>
            <w:vMerge w:val="restart"/>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pPr>
        <w:pBdr/>
        <w:spacing w:after="120" w:before="120" w:line="312" w:lineRule="auto"/>
        <w:ind/>
        <w:jc w:val="both"/>
        <w:rPr>
          <w:rFonts w:ascii="Times New Roman" w:hAnsi="Times New Roman" w:cs="Times New Roman"/>
          <w:b w:val="0"/>
          <w:bCs w:val="0"/>
          <w:color w:val="000000" w:themeColor="text1"/>
        </w:rPr>
      </w:pPr>
      <w:r>
        <w:rPr>
          <w:rFonts w:ascii="Times New Roman" w:hAnsi="Times New Roman" w:eastAsia="Times New Roman" w:cs="Times New Roman"/>
          <w:b/>
          <w:bCs/>
          <w:color w:val="000000" w:themeColor="text1"/>
        </w:rPr>
        <w:t xml:space="preserve">3</w:t>
      </w:r>
      <w:r>
        <w:rPr>
          <w:rFonts w:ascii="Times New Roman" w:hAnsi="Times New Roman" w:eastAsia="Times New Roman" w:cs="Times New Roman"/>
          <w:b/>
          <w:bCs/>
          <w:color w:val="000000" w:themeColor="text1"/>
          <w:lang w:val="vi-VN"/>
        </w:rPr>
        <w:t xml:space="preserve">. </w:t>
      </w:r>
      <w:r>
        <w:rPr>
          <w:rFonts w:ascii="Times New Roman" w:hAnsi="Times New Roman" w:eastAsia="Times New Roman" w:cs="Times New Roman"/>
          <w:b/>
          <w:bCs/>
          <w:color w:val="000000" w:themeColor="text1"/>
        </w:rPr>
        <w:t xml:space="preserve">Tài sản thẩm định</w:t>
      </w:r>
      <w:r>
        <w:rPr>
          <w:rFonts w:ascii="Times New Roman" w:hAnsi="Times New Roman" w:eastAsia="Times New Roman" w:cs="Times New Roman"/>
          <w:b/>
          <w:bCs/>
          <w:color w:val="000000" w:themeColor="text1"/>
          <w:lang w:val="vi-VN"/>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Quyền sở hữu căn hộ chung cư số E12A06. Tòa tháp Đông - Indochina Plaza Hà Nội Số 241 Xuân Thủy, phường Dịch Vọng Hậu, quận  Cầu Giấy, thành phố Hà Nội (Nay là 241 Xuân Thủy, phường Cầu Giấy, thành phố Hà Nội). T</w:t>
      </w:r>
      <w:r>
        <w:rPr>
          <w:rFonts w:ascii="Times New Roman" w:hAnsi="Times New Roman" w:eastAsia="Times New Roman" w:cs="Times New Roman"/>
          <w:color w:val="000000" w:themeColor="text1"/>
        </w:rPr>
        <w:t xml:space="preserve">heo Giấy chứng nhận quyền sử dụng đất, quyền 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rFonts w:ascii="Times New Roman" w:hAnsi="Times New Roman" w:eastAsia="Times New Roman" w:cs="Times New Roman"/>
          <w:b w:val="0"/>
          <w:bCs w:val="0"/>
          <w:color w:val="000000" w:themeColor="text1"/>
        </w:rPr>
        <w:t xml:space="preserve">.</w:t>
      </w:r>
      <w:r>
        <w:rPr>
          <w:rFonts w:ascii="Times New Roman" w:hAnsi="Times New Roman" w:cs="Times New Roman"/>
          <w:b w:val="0"/>
          <w:bCs w:val="0"/>
          <w:color w:val="000000" w:themeColor="text1"/>
        </w:rPr>
      </w:r>
      <w:r>
        <w:rPr>
          <w:rFonts w:ascii="Times New Roman" w:hAnsi="Times New Roman" w:cs="Times New Roman"/>
          <w:b w:val="0"/>
          <w:bCs w:val="0"/>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nl-NL"/>
        </w:rPr>
        <w:t xml:space="preserve">4. Thời điểm thẩm định giá:</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08/2026</w:t>
      </w:r>
      <w:r>
        <w:rPr>
          <w:rFonts w:ascii="Times New Roman" w:hAnsi="Times New Roman" w:eastAsia="Times New Roman" w:cs="Times New Roman"/>
          <w:bCs/>
          <w:color w:val="000000" w:themeColor="text1"/>
          <w:lang w:val="nl-NL"/>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851"/>
        </w:tabs>
        <w:spacing w:after="120" w:before="120" w:line="312" w:lineRule="auto"/>
        <w:ind/>
        <w:jc w:val="both"/>
        <w:rPr>
          <w:rFonts w:ascii="Times New Roman" w:hAnsi="Times New Roman" w:cs="Times New Roman"/>
          <w:bCs/>
          <w:color w:val="000000" w:themeColor="text1"/>
        </w:rPr>
      </w:pPr>
      <w:r>
        <w:rPr>
          <w:rFonts w:ascii="Times New Roman" w:hAnsi="Times New Roman" w:eastAsia="Times New Roman" w:cs="Times New Roman"/>
          <w:b/>
          <w:bCs/>
          <w:color w:val="000000" w:themeColor="text1"/>
        </w:rPr>
        <w:t xml:space="preserve">5</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vi-VN"/>
        </w:rPr>
        <w:t xml:space="preserve">Mục đích thẩm định giá:</w:t>
      </w:r>
      <w:bookmarkStart w:id="0" w:name="_Toc150933756"/>
      <w:r>
        <w:rPr>
          <w:rFonts w:ascii="Times New Roman" w:hAnsi="Times New Roman" w:eastAsia="Times New Roman" w:cs="Times New Roman"/>
        </w:rPr>
      </w:r>
      <w:bookmarkStart w:id="1" w:name="_Toc150933962"/>
      <w:r>
        <w:rPr>
          <w:rFonts w:ascii="Times New Roman" w:hAnsi="Times New Roman" w:eastAsia="Times New Roman" w:cs="Times New Roman"/>
        </w:rPr>
      </w:r>
      <w:bookmarkStart w:id="2" w:name="_Toc150934860"/>
      <w:r>
        <w:rPr>
          <w:rFonts w:ascii="Times New Roman" w:hAnsi="Times New Roman" w:eastAsia="Times New Roman" w:cs="Times New Roman"/>
          <w:bCs/>
          <w:color w:val="000000" w:themeColor="text1"/>
          <w:spacing w:val="-4"/>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lang w:val="vi-VN"/>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p>
      <w:pPr>
        <w:pBdr/>
        <w:tabs>
          <w:tab w:val="left" w:leader="none" w:pos="851"/>
        </w:tabs>
        <w:spacing w:after="120" w:before="120"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6</w:t>
      </w:r>
      <w:r>
        <w:rPr>
          <w:rFonts w:ascii="Times New Roman" w:hAnsi="Times New Roman" w:eastAsia="Times New Roman" w:cs="Times New Roman"/>
          <w:b/>
          <w:color w:val="000000" w:themeColor="text1"/>
          <w:lang w:val="pt-BR"/>
        </w:rPr>
        <w:t xml:space="preserve">. Cơ sở giá trị của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Bdr/>
        <w:tabs>
          <w:tab w:val="left" w:leader="none" w:pos="5202"/>
        </w:tabs>
        <w:spacing w:after="120" w:before="120" w:line="312" w:lineRule="auto"/>
        <w:ind w:firstLine="432"/>
        <w:jc w:val="both"/>
        <w:rPr>
          <w:rFonts w:ascii="Times New Roman" w:hAnsi="Times New Roman" w:cs="Times New Roman"/>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cs="Times New Roman"/>
          <w:color w:val="000000" w:themeColor="text1"/>
        </w:rPr>
      </w:r>
      <w:r>
        <w:rPr>
          <w:rFonts w:ascii="Times New Roman" w:hAnsi="Times New Roman" w:cs="Times New Roman"/>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7</w:t>
      </w:r>
      <w:r>
        <w:rPr>
          <w:rFonts w:ascii="Times New Roman" w:hAnsi="Times New Roman" w:eastAsia="Times New Roman" w:cs="Times New Roman"/>
          <w:b/>
          <w:bCs/>
          <w:color w:val="000000" w:themeColor="text1"/>
          <w:lang w:val="pt-BR"/>
        </w:rPr>
        <w:t xml:space="preserve">. Giả thiết và giả thiết đặc biệt:</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eastAsia="Times New Roman" w:cs="Times New Roman"/>
          <w:b/>
          <w:bCs/>
          <w:color w:val="000000" w:themeColor="text1"/>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8</w:t>
      </w:r>
      <w:r>
        <w:rPr>
          <w:rFonts w:ascii="Times New Roman" w:hAnsi="Times New Roman" w:eastAsia="Times New Roman" w:cs="Times New Roman"/>
          <w:b/>
          <w:color w:val="000000" w:themeColor="text1"/>
          <w:lang w:val="pt-BR"/>
        </w:rPr>
        <w:t xml:space="preserve">. Cách tiếp cận và phương pháp thẩm định giá</w:t>
      </w:r>
      <w:r>
        <w:rPr>
          <w:rFonts w:ascii="Times New Roman" w:hAnsi="Times New Roman" w:eastAsia="Times New Roman" w:cs="Times New Roman"/>
          <w:b/>
          <w:bCs/>
          <w:color w:val="000000" w:themeColor="text1"/>
          <w:lang w:val="pt-BR"/>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lang w:val="pt-BR"/>
        </w:rPr>
        <w:t xml:space="preserve">9. </w:t>
      </w:r>
      <w:r>
        <w:rPr>
          <w:rFonts w:ascii="Times New Roman" w:hAnsi="Times New Roman" w:eastAsia="Times New Roman" w:cs="Times New Roman"/>
          <w:b/>
          <w:color w:val="000000" w:themeColor="text1"/>
        </w:rPr>
        <w:t xml:space="preserve">Giá trị tài sản thẩm định giá</w:t>
      </w:r>
      <w:r>
        <w:rPr>
          <w:rFonts w:ascii="Times New Roman" w:hAnsi="Times New Roman" w:eastAsia="Times New Roman" w:cs="Times New Roman"/>
          <w:b/>
          <w:bCs/>
          <w:color w:val="000000" w:themeColor="text1"/>
          <w:lang w:val="pt-BR"/>
        </w:rPr>
        <w:t xml:space="preserve">:</w:t>
      </w:r>
      <w:bookmarkEnd w:id="0"/>
      <w:r>
        <w:rPr>
          <w:rFonts w:ascii="Times New Roman" w:hAnsi="Times New Roman" w:eastAsia="Times New Roman" w:cs="Times New Roman"/>
        </w:rPr>
      </w:r>
      <w:bookmarkEnd w:id="1"/>
      <w:r>
        <w:rPr>
          <w:rFonts w:ascii="Times New Roman" w:hAnsi="Times New Roman" w:eastAsia="Times New Roman" w:cs="Times New Roman"/>
        </w:rPr>
      </w:r>
      <w:bookmarkEnd w:id="2"/>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right="0" w:firstLine="425"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rFonts w:ascii="Times New Roman" w:hAnsi="Times New Roman" w:eastAsia="Times New Roman" w:cs="Times New Roman"/>
          <w:color w:val="000000" w:themeColor="text1"/>
          <w:lang w:val="nl-NL"/>
        </w:rPr>
        <w:t xml:space="preserve">giá trị </w:t>
      </w:r>
      <w:r>
        <w:rPr>
          <w:rFonts w:ascii="Times New Roman" w:hAnsi="Times New Roman" w:eastAsia="Times New Roman" w:cs="Times New Roman"/>
          <w:color w:val="000000" w:themeColor="text1"/>
          <w:lang w:val="de-DE"/>
        </w:rPr>
        <w:t xml:space="preserve">tài sản chưa bao gồm các loại thuế, phí và lệ phí liên quan đến việc chuyển nhượng tài sản của </w:t>
      </w:r>
      <w:r>
        <w:rPr>
          <w:rFonts w:ascii="Times New Roman" w:hAnsi="Times New Roman" w:eastAsia="Times New Roman" w:cs="Times New Roman"/>
          <w:color w:val="000000" w:themeColor="text1"/>
          <w:lang w:val="vi-VN"/>
        </w:rPr>
        <w:t xml:space="preserve">Quý khách hàng tại thời điểm </w:t>
      </w:r>
      <w:r>
        <w:rPr>
          <w:rFonts w:ascii="Times New Roman" w:hAnsi="Times New Roman" w:eastAsia="Times New Roman" w:cs="Times New Roman"/>
          <w:bCs/>
          <w:color w:val="000000" w:themeColor="text1"/>
          <w:lang w:val="nl-NL"/>
        </w:rPr>
        <w:t xml:space="preserve">Tháng 08/2026</w:t>
      </w:r>
      <w:r>
        <w:rPr>
          <w:rFonts w:ascii="Times New Roman" w:hAnsi="Times New Roman" w:eastAsia="Times New Roman" w:cs="Times New Roman"/>
          <w:color w:val="000000" w:themeColor="text1"/>
          <w:lang w:val="vi-VN"/>
        </w:rPr>
        <w:t xml:space="preserve"> ước tính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như sau:</w:t>
      </w:r>
      <w:r>
        <w:rPr>
          <w:rFonts w:ascii="Times New Roman" w:hAnsi="Times New Roman" w:cs="Times New Roman"/>
          <w:color w:val="000000" w:themeColor="text1"/>
        </w:rPr>
      </w:r>
      <w:r>
        <w:rPr>
          <w:rFonts w:ascii="Times New Roman" w:hAnsi="Times New Roman" w:cs="Times New Roman"/>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cs="Times New Roman"/>
                <w:b/>
                <w:bCs/>
              </w:rPr>
            </w:r>
            <w:r>
              <w:rPr>
                <w:rFonts w:ascii="Times New Roman" w:hAnsi="Times New Roman" w:cs="Times New Roman"/>
                <w:b/>
                <w:bCs/>
              </w:rPr>
            </w:r>
          </w:p>
        </w:tc>
        <w:tc>
          <w:tcPr>
            <w:shd w:val="clear" w:color="000000" w:fill="ffffff"/>
            <w:tcBorders/>
            <w:tcW w:w="2025"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cs="Times New Roman"/>
                <w:b/>
                <w:bCs/>
              </w:rPr>
            </w:r>
            <w:r>
              <w:rPr>
                <w:rFonts w:ascii="Times New Roman" w:hAnsi="Times New Roman" w:cs="Times New Roman"/>
                <w:b/>
                <w:bCs/>
              </w:rPr>
            </w:r>
          </w:p>
        </w:tc>
        <w:tc>
          <w:tcPr>
            <w:shd w:val="clear" w:color="000000" w:fill="ffffff"/>
            <w:tcBorders/>
            <w:tcW w:w="180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cs="Times New Roman"/>
                <w:b/>
                <w:bCs/>
              </w:rPr>
            </w:r>
            <w:r>
              <w:rPr>
                <w:rFonts w:ascii="Times New Roman" w:hAnsi="Times New Roman" w:cs="Times New Roman"/>
                <w:b/>
                <w:bCs/>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c>
          <w:tcPr>
            <w:gridSpan w:val="3"/>
            <w:shd w:val="clear" w:color="000000" w:fill="ffffff"/>
            <w:tcBorders/>
            <w:tcW w:w="6408" w:type="dxa"/>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color w:val="000000"/>
              </w:rPr>
            </w:r>
            <w:r>
              <w:rPr>
                <w:rFonts w:ascii="Times New Roman" w:hAnsi="Times New Roman" w:eastAsia="Times New Roman" w:cs="Times New Roman"/>
                <w:color w:val="000000"/>
              </w:rPr>
              <w:t xml:space="preserve">Q</w:t>
            </w:r>
            <w:r>
              <w:rPr>
                <w:rFonts w:ascii="Times New Roman" w:hAnsi="Times New Roman" w:eastAsia="Times New Roman" w:cs="Times New Roman"/>
                <w:color w:val="000000"/>
              </w:rPr>
              <w:t xml:space="preserve">uyền sở hữu căn hộ chung cư số E12A06. Tòa tháp Đông - Indochina Plaza Hà Nội Số 241 Xuân Thủy, phường Dịch Vọng Hậu, quận  Cầu Giấy, thành phố Hà Nội (Nay là 241 Xuân Thủy, phường Cầu Giấy, thành phố Hà Nội). Theo Giấy chứng nhận quyền sử dụng đất, quyền </w:t>
            </w:r>
            <w:r>
              <w:rPr>
                <w:rFonts w:ascii="Times New Roman" w:hAnsi="Times New Roman" w:eastAsia="Times New Roman" w:cs="Times New Roman"/>
                <w:color w:val="000000"/>
              </w:rPr>
              <w:t xml:space="preserve">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rFonts w:ascii="Times New Roman" w:hAnsi="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cs="Times New Roman"/>
              </w:rPr>
            </w:r>
            <w:r>
              <w:rPr>
                <w:rFonts w:ascii="Times New Roman" w:hAnsi="Times New Roman" w:cs="Times New Roman"/>
              </w:rPr>
            </w:r>
          </w:p>
        </w:tc>
        <w:tc>
          <w:tcPr>
            <w:shd w:val="clear" w:color="000000" w:fill="ffffff"/>
            <w:tcBorders/>
            <w:tcW w:w="2025" w:type="dxa"/>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Căn hộ chung cư</w:t>
            </w:r>
            <w:r>
              <w:rPr>
                <w:rFonts w:ascii="Times New Roman" w:hAnsi="Times New Roman" w:cs="Times New Roman"/>
              </w:rPr>
            </w:r>
            <w:r>
              <w:rPr>
                <w:rFonts w:ascii="Times New Roman" w:hAnsi="Times New Roman" w:cs="Times New Roman"/>
              </w:rPr>
            </w:r>
          </w:p>
        </w:tc>
        <w:tc>
          <w:tcPr>
            <w:tcBorders/>
            <w:tcW w:w="1802" w:type="dxa"/>
            <w:vAlign w:val="center"/>
            <w:textDirection w:val="lrTb"/>
            <w:noWrap/>
          </w:tcPr>
          <w:p>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92,7</w:t>
            </w:r>
            <w:r>
              <w:rPr>
                <w:rFonts w:ascii="Times New Roman" w:hAnsi="Times New Roman" w:cs="Times New Roman"/>
                <w:color w:val="000000"/>
              </w:rPr>
            </w:r>
            <w:r>
              <w:rPr>
                <w:rFonts w:ascii="Times New Roman" w:hAnsi="Times New Roman" w:cs="Times New Roman"/>
                <w:color w:val="000000"/>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114.000.000</w:t>
            </w:r>
            <w:r>
              <w:rPr>
                <w:rFonts w:ascii="Times New Roman" w:hAnsi="Times New Roman" w:cs="Times New Roman"/>
              </w:rPr>
            </w:r>
            <w:r>
              <w:rPr>
                <w:rFonts w:ascii="Times New Roman" w:hAnsi="Times New Roman" w:cs="Times New Roman"/>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10.567.800.000</w:t>
            </w:r>
            <w:r>
              <w:rPr>
                <w:rFonts w:ascii="Times New Roman" w:hAnsi="Times New Roman" w:cs="Times New Roman"/>
              </w:rPr>
            </w:r>
            <w:r>
              <w:rPr>
                <w:rFonts w:ascii="Times New Roman" w:hAnsi="Times New Roman" w:cs="Times New Roman"/>
              </w:rPr>
            </w:r>
          </w:p>
        </w:tc>
      </w:tr>
      <w:tr>
        <w:trPr>
          <w:trHeight w:val="20"/>
        </w:trPr>
        <w:tc>
          <w:tcPr>
            <w:gridSpan w:val="4"/>
            <w:tcBorders/>
            <w:tcW w:w="7361"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TỔNG CỘNG:</w:t>
            </w:r>
            <w:r>
              <w:rPr>
                <w:rFonts w:ascii="Times New Roman" w:hAnsi="Times New Roman" w:cs="Times New Roman"/>
                <w:b/>
                <w:bCs/>
                <w:color w:val="000000"/>
              </w:rPr>
            </w:r>
            <w:r>
              <w:rPr>
                <w:rFonts w:ascii="Times New Roman" w:hAnsi="Times New Roman" w:cs="Times New Roman"/>
                <w:b/>
                <w:bCs/>
                <w:color w:val="000000"/>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rPr>
              <w:t xml:space="preserve">10.567.800.000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(Bằng chữ: </w:t>
            </w:r>
            <w:r>
              <w:rPr>
                <w:rFonts w:ascii="Times New Roman" w:hAnsi="Times New Roman" w:eastAsia="Times New Roman" w:cs="Times New Roman"/>
                <w:b/>
                <w:bCs/>
                <w:i/>
                <w:iCs/>
                <w:color w:val="000000"/>
              </w:rPr>
              <w:t xml:space="preserve">Mười tỷ năm trăm sáu mươi bảy triệu tám trăm nghìn </w:t>
            </w:r>
            <w:r>
              <w:rPr>
                <w:rFonts w:ascii="Times New Roman" w:hAnsi="Times New Roman" w:eastAsia="Times New Roman" w:cs="Times New Roman"/>
                <w:b/>
                <w:bCs/>
                <w:i/>
                <w:iCs/>
                <w:color w:val="c00000"/>
              </w:rPr>
              <w:t xml:space="preserve">đồn</w:t>
            </w:r>
            <w:r>
              <w:rPr>
                <w:rFonts w:ascii="Times New Roman" w:hAnsi="Times New Roman" w:eastAsia="Times New Roman" w:cs="Times New Roman"/>
                <w:b/>
                <w:bCs/>
                <w:i/>
                <w:iCs/>
                <w:color w:val="000000"/>
              </w:rPr>
              <w:t xml:space="preserve">g</w:t>
            </w:r>
            <w:r>
              <w:rPr>
                <w:rFonts w:ascii="Times New Roman" w:hAnsi="Times New Roman" w:eastAsia="Times New Roman" w:cs="Times New Roman"/>
                <w:b/>
                <w:bCs/>
                <w:i/>
                <w:iCs/>
                <w:color w:val="000000"/>
              </w:rPr>
              <w:t xml:space="preserve">./.)</w:t>
            </w:r>
            <w:r>
              <w:rPr>
                <w:rFonts w:ascii="Times New Roman" w:hAnsi="Times New Roman" w:cs="Times New Roman"/>
                <w:b/>
                <w:bCs/>
                <w:i/>
                <w:iCs/>
                <w:color w:val="000000"/>
              </w:rPr>
            </w:r>
            <w:r>
              <w:rPr>
                <w:rFonts w:ascii="Times New Roman" w:hAnsi="Times New Roman" w:cs="Times New Roman"/>
                <w:b/>
                <w:bCs/>
                <w:i/>
                <w:iCs/>
                <w:color w:val="000000"/>
              </w:rPr>
            </w:r>
          </w:p>
        </w:tc>
      </w:tr>
    </w:tbl>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10. Thời hạn hiệu lực của kết quả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firstLine="36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Tối đa 06 (sáu) tháng tính từ ngày ký đối với tài sản là Bất động sản.</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312" w:lineRule="auto"/>
        <w:ind/>
        <w:rPr>
          <w:rFonts w:ascii="Times New Roman" w:hAnsi="Times New Roman" w:cs="Times New Roman"/>
          <w:color w:val="000000" w:themeColor="text1"/>
        </w:rPr>
      </w:pPr>
      <w:r>
        <w:rPr>
          <w:rFonts w:ascii="Times New Roman" w:hAnsi="Times New Roman" w:eastAsia="Times New Roman" w:cs="Times New Roman"/>
          <w:b/>
          <w:bCs/>
          <w:color w:val="000000" w:themeColor="text1"/>
          <w:lang w:val="vi-VN"/>
        </w:rPr>
        <w:t xml:space="preserve">11. Những điều khoản loại trừ và hạn chế của kết quả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312" w:lineRule="auto"/>
        <w:ind w:firstLine="360"/>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Chi tiết như Báo cáo kèm theo.</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312" w:lineRule="auto"/>
        <w:ind/>
        <w:rPr>
          <w:rFonts w:ascii="Times New Roman" w:hAnsi="Times New Roman" w:cs="Times New Roman"/>
          <w:b/>
          <w:bCs/>
          <w:color w:val="000000" w:themeColor="text1"/>
          <w:spacing w:val="-4"/>
        </w:rPr>
      </w:pPr>
      <w:r>
        <w:rPr>
          <w:rFonts w:ascii="Times New Roman" w:hAnsi="Times New Roman" w:eastAsia="Times New Roman" w:cs="Times New Roman"/>
          <w:b/>
          <w:color w:val="000000" w:themeColor="text1"/>
          <w:spacing w:val="-4"/>
          <w:lang w:val="pt-BR"/>
        </w:rPr>
        <w:t xml:space="preserve">12</w:t>
      </w:r>
      <w:r>
        <w:rPr>
          <w:rFonts w:ascii="Times New Roman" w:hAnsi="Times New Roman" w:eastAsia="Times New Roman" w:cs="Times New Roman"/>
          <w:b/>
          <w:color w:val="000000" w:themeColor="text1"/>
          <w:spacing w:val="-4"/>
          <w:lang w:val="vi-VN"/>
        </w:rPr>
        <w:t xml:space="preserve">. Các tài liệu kèm theo:</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Báo cáo kết quả thẩm định giá.</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Các phụ lục chi tiết kèm theo.</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rPr>
        <w:t xml:space="preserve">- </w:t>
      </w:r>
      <w:r>
        <w:rPr>
          <w:rFonts w:ascii="Times New Roman" w:hAnsi="Times New Roman" w:eastAsia="Times New Roman" w:cs="Times New Roman"/>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bl>
      <w:tblPr>
        <w:tblW w:w="4925" w:type="pct"/>
        <w:tblBorders/>
        <w:tblLayout w:type="fixed"/>
        <w:tblLook w:val="01E0" w:firstRow="1" w:lastRow="1" w:firstColumn="1" w:lastColumn="1" w:noHBand="0" w:noVBand="0"/>
      </w:tblPr>
      <w:tblGrid>
        <w:gridCol w:w="4280"/>
        <w:gridCol w:w="5102"/>
      </w:tblGrid>
      <w:tr>
        <w:trPr>
          <w:trHeight w:val="20"/>
        </w:trPr>
        <w:tc>
          <w:tcPr>
            <w:tcBorders/>
            <w:tcW w:w="4280" w:type="dxa"/>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cs="Times New Roman"/>
                <w:b/>
              </w:rPr>
            </w:r>
            <w:r>
              <w:rPr>
                <w:rFonts w:ascii="Times New Roman" w:hAnsi="Times New Roman" w:cs="Times New Roman"/>
                <w:b/>
              </w:rPr>
            </w:r>
          </w:p>
        </w:tc>
        <w:tc>
          <w:tcPr>
            <w:tcBorders/>
            <w:tcW w:w="5102" w:type="dxa"/>
            <w:vAlign w:val="bottom"/>
            <w:textDirection w:val="lrTb"/>
            <w:noWrap w:val="false"/>
          </w:tcPr>
          <w:p>
            <w:pPr>
              <w:pBdr/>
              <w:spacing w:line="276" w:lineRule="auto"/>
              <w:ind/>
              <w:jc w:val="center"/>
              <w:rPr>
                <w:rFonts w:ascii="Times New Roman" w:hAnsi="Times New Roman" w:eastAsia="Times New Roman" w:cs="Times New Roman"/>
                <w:b/>
                <w:bCs/>
                <w:color w:val="000000" w:themeColor="text1"/>
                <w:lang w:val="pt-BR"/>
              </w:rPr>
            </w:pPr>
            <w:r>
              <w:rPr>
                <w:rFonts w:ascii="Times New Roman" w:hAnsi="Times New Roman" w:eastAsia="Times New Roman" w:cs="Times New Roman"/>
                <w:b/>
                <w:color w:val="000000" w:themeColor="text1"/>
                <w:lang w:val="pt-BR"/>
              </w:rPr>
              <w:t xml:space="preserve">CÔNG TY CỔ PHẦN THẨM ĐỊNH </w:t>
            </w:r>
            <w:r>
              <w:rPr>
                <w:rFonts w:ascii="Times New Roman" w:hAnsi="Times New Roman" w:eastAsia="Times New Roman" w:cs="Times New Roman"/>
                <w:b/>
                <w:bCs/>
                <w:color w:val="000000" w:themeColor="text1"/>
                <w:lang w:val="pt-BR"/>
              </w:rPr>
            </w:r>
            <w:r>
              <w:rPr>
                <w:rFonts w:ascii="Times New Roman" w:hAnsi="Times New Roman" w:eastAsia="Times New Roman" w:cs="Times New Roman"/>
                <w:b/>
                <w:bCs/>
                <w:color w:val="000000" w:themeColor="text1"/>
                <w:lang w:val="pt-BR"/>
              </w:rPr>
            </w:r>
          </w:p>
          <w:p>
            <w:pPr>
              <w:pBdr/>
              <w:spacing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color w:val="000000" w:themeColor="text1"/>
                <w:lang w:val="pt-BR"/>
              </w:rPr>
              <w:t xml:space="preserve">VÀ ĐẦU TƯ TÀI CHÍNH HOA SEN</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cs="Times New Roman"/>
                <w:b/>
              </w:rPr>
            </w:r>
            <w:r>
              <w:rPr>
                <w:rFonts w:ascii="Times New Roman" w:hAnsi="Times New Roman" w:cs="Times New Roman"/>
                <w:b/>
              </w:rPr>
            </w:r>
          </w:p>
        </w:tc>
      </w:tr>
      <w:tr>
        <w:trPr>
          <w:trHeight w:val="1430"/>
        </w:trPr>
        <w:tc>
          <w:tcPr>
            <w:tcBorders/>
            <w:tcW w:w="4280" w:type="dxa"/>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5102" w:type="dxa"/>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4280" w:type="dxa"/>
            <w:vAlign w:val="center"/>
            <w:textDirection w:val="lrTb"/>
            <w:noWrap w:val="false"/>
          </w:tcPr>
          <w:p>
            <w:pPr>
              <w:pBdr/>
              <w:spacing w:line="240" w:lineRule="atLeast"/>
              <w:ind/>
              <w:jc w:val="center"/>
              <w:rPr>
                <w:rFonts w:ascii="Times New Roman" w:hAnsi="Times New Roman" w:cs="Times New Roman"/>
                <w:b/>
                <w:bCs/>
              </w:rPr>
            </w:pPr>
            <w:r>
              <w:rPr>
                <w:rFonts w:ascii="Times New Roman" w:hAnsi="Times New Roman" w:eastAsia="Times New Roman" w:cs="Times New Roman"/>
                <w:b/>
                <w:bCs/>
                <w:color w:val="000000" w:themeColor="text1"/>
                <w:lang w:val="pt-BR"/>
              </w:rPr>
              <w:t xml:space="preserve">Đỗ Thanh Thảo</w:t>
            </w:r>
            <w:r>
              <w:rPr>
                <w:rFonts w:ascii="Times New Roman" w:hAnsi="Times New Roman" w:cs="Times New Roman"/>
                <w:b/>
                <w:bCs/>
              </w:rPr>
            </w:r>
            <w:r>
              <w:rPr>
                <w:rFonts w:ascii="Times New Roman" w:hAnsi="Times New Roman" w:cs="Times New Roman"/>
                <w:b/>
                <w:bCs/>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cs="Times New Roman"/>
                <w:bCs/>
              </w:rPr>
            </w:r>
            <w:r>
              <w:rPr>
                <w:rFonts w:ascii="Times New Roman" w:hAnsi="Times New Roman" w:cs="Times New Roman"/>
                <w:bCs/>
              </w:rPr>
            </w:r>
          </w:p>
        </w:tc>
        <w:tc>
          <w:tcPr>
            <w:tcBorders/>
            <w:tcW w:w="5102" w:type="dxa"/>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w:t>
            </w:r>
            <w:r>
              <w:rPr>
                <w:rFonts w:ascii="Times New Roman" w:hAnsi="Times New Roman" w:eastAsia="Times New Roman" w:cs="Times New Roman"/>
                <w:lang w:val="pt-BR"/>
              </w:rPr>
              <w:t xml:space="preserve"> XII17.1825</w:t>
            </w:r>
            <w:r>
              <w:rPr>
                <w:rFonts w:ascii="Times New Roman" w:hAnsi="Times New Roman" w:cs="Times New Roman"/>
                <w:b/>
              </w:rPr>
            </w:r>
            <w:r>
              <w:rPr>
                <w:rFonts w:ascii="Times New Roman" w:hAnsi="Times New Roman" w:cs="Times New Roman"/>
                <w:b/>
              </w:rPr>
            </w:r>
          </w:p>
        </w:tc>
      </w:tr>
    </w:tbl>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cs="Times New Roman"/>
          <w:color w:val="000000" w:themeColor="text1"/>
        </w:rPr>
      </w:r>
      <w:r>
        <w:rPr>
          <w:rFonts w:ascii="Times New Roman" w:hAnsi="Times New Roman" w:cs="Times New Roman"/>
          <w:color w:val="000000" w:themeColor="text1"/>
        </w:rPr>
      </w:r>
    </w:p>
    <w:tbl>
      <w:tblPr>
        <w:tblInd w:w="-397" w:type="dxa"/>
        <w:tblW w:w="9986" w:type="dxa"/>
        <w:tblBorders/>
        <w:tblLayout w:type="fixed"/>
        <w:tblLook w:val="04A0" w:firstRow="1" w:lastRow="0" w:firstColumn="1" w:lastColumn="0" w:noHBand="0" w:noVBand="1"/>
      </w:tblPr>
      <w:tblGrid>
        <w:gridCol w:w="1929"/>
        <w:gridCol w:w="2335"/>
        <w:gridCol w:w="5657"/>
        <w:gridCol w:w="65"/>
      </w:tblGrid>
      <w:tr>
        <w:trPr>
          <w:trHeight w:val="1843"/>
        </w:trPr>
        <w:tc>
          <w:tcPr>
            <w:tcBorders/>
            <w:tcW w:w="1929"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szCs w:val="26"/>
              </w:rPr>
            </w:r>
            <w:r>
              <w:rPr>
                <w:rFonts w:ascii="Times New Roman" w:hAnsi="Times New Roman" w:cs="Times New Roman"/>
                <w:i/>
                <w:szCs w:val="26"/>
              </w:rPr>
            </w:r>
          </w:p>
        </w:tc>
        <w:tc>
          <w:tcPr>
            <w:gridSpan w:val="3"/>
            <w:tcBorders/>
            <w:tcW w:w="8057"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cs="Times New Roman"/>
              </w:rPr>
            </w:r>
            <w:r>
              <w:rPr>
                <w:rFonts w:ascii="Times New Roman" w:hAnsi="Times New Roman" w:cs="Times New Roman"/>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cs="Times New Roman"/>
              </w:rPr>
            </w:r>
            <w:r>
              <w:rPr>
                <w:rFonts w:ascii="Times New Roman" w:hAnsi="Times New Roman" w:cs="Times New Roman"/>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6" w:tooltip="mailto:ilotus.contact@gmail.com" w:history="1">
              <w:r>
                <w:rPr>
                  <w:rStyle w:val="1122"/>
                  <w:rFonts w:ascii="Times New Roman" w:hAnsi="Times New Roman" w:eastAsia="Times New Roman" w:cs="Times New Roman" w:eastAsiaTheme="majorEastAsia"/>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cs="Times New Roman"/>
              </w:rPr>
            </w:r>
            <w:r>
              <w:rPr>
                <w:rFonts w:ascii="Times New Roman" w:hAnsi="Times New Roman" w:cs="Times New Roman"/>
              </w:rPr>
            </w:r>
          </w:p>
        </w:tc>
      </w:tr>
      <w:tr>
        <w:trPr>
          <w:gridAfter w:val="1"/>
          <w:trHeight w:val="84"/>
        </w:trPr>
        <w:tc>
          <w:tcPr>
            <w:gridSpan w:val="2"/>
            <w:shd w:val="clear" w:color="auto" w:fill="auto"/>
            <w:tcBorders/>
            <w:tcMar>
              <w:left w:w="108" w:type="dxa"/>
              <w:top w:w="0" w:type="dxa"/>
              <w:right w:w="108" w:type="dxa"/>
              <w:bottom w:w="0" w:type="dxa"/>
            </w:tcMar>
            <w:tcW w:w="4264" w:type="dxa"/>
            <w:textDirection w:val="lrTb"/>
            <w:noWrap w:val="false"/>
          </w:tcPr>
          <w:p>
            <w:pPr>
              <w:pStyle w:val="1131"/>
              <w:pBdr/>
              <w:spacing w:after="60"/>
              <w:ind/>
              <w:rPr>
                <w:rFonts w:ascii="Times New Roman" w:hAnsi="Times New Roman" w:cs="Times New Roman"/>
                <w:color w:val="000000" w:themeColor="text1"/>
                <w:sz w:val="24"/>
                <w:szCs w:val="24"/>
              </w:rPr>
            </w:pPr>
            <w:r>
              <w:rPr>
                <w:rStyle w:val="1130"/>
                <w:rFonts w:ascii="Times New Roman" w:hAnsi="Times New Roman" w:eastAsia="Times New Roman" w:cs="Times New Roman"/>
                <w:color w:val="000000" w:themeColor="text1"/>
                <w:lang w:val="pt-BR"/>
              </w:rPr>
              <w:t xml:space="preserve">Số: </w:t>
            </w:r>
            <w:r>
              <w:rPr>
                <w:rStyle w:val="1130"/>
                <w:rFonts w:ascii="Times New Roman" w:hAnsi="Times New Roman" w:eastAsia="Times New Roman" w:cs="Times New Roman"/>
                <w:color w:val="000000" w:themeColor="text1"/>
                <w:lang w:val="pt-BR"/>
              </w:rPr>
              <w:t xml:space="preserve">275/2026/1348/VFI-CT.44.A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657" w:type="dxa"/>
            <w:textDirection w:val="lrTb"/>
            <w:noWrap w:val="false"/>
          </w:tcPr>
          <w:p>
            <w:pPr>
              <w:pStyle w:val="1131"/>
              <w:pBdr/>
              <w:spacing w:after="60"/>
              <w:ind w:right="-56"/>
              <w:jc w:val="right"/>
              <w:rPr>
                <w:rFonts w:ascii="Times New Roman" w:hAnsi="Times New Roman" w:cs="Times New Roman"/>
                <w:color w:val="000000" w:themeColor="text1"/>
                <w:sz w:val="24"/>
                <w:szCs w:val="24"/>
              </w:rPr>
            </w:pPr>
            <w:r>
              <w:rPr>
                <w:rStyle w:val="1130"/>
                <w:rFonts w:ascii="Times New Roman" w:hAnsi="Times New Roman" w:eastAsia="Times New Roman" w:cs="Times New Roman"/>
                <w:i/>
                <w:color w:val="000000" w:themeColor="text1"/>
              </w:rPr>
              <w:t xml:space="preserve">TP. Hà Nội</w:t>
            </w:r>
            <w:r>
              <w:rPr>
                <w:rStyle w:val="1130"/>
                <w:rFonts w:ascii="Times New Roman" w:hAnsi="Times New Roman" w:eastAsia="Times New Roman" w:cs="Times New Roman"/>
                <w:i/>
                <w:lang w:val="vi-VN"/>
              </w:rPr>
              <w:t xml:space="preserve">, </w:t>
            </w:r>
            <w:r>
              <w:rPr>
                <w:rStyle w:val="1130"/>
                <w:rFonts w:ascii="Times New Roman" w:hAnsi="Times New Roman" w:eastAsia="Times New Roman" w:cs="Times New Roman"/>
                <w:i/>
                <w:color w:val="000000" w:themeColor="text1"/>
                <w:lang w:val="vi-VN"/>
              </w:rPr>
              <w:t xml:space="preserve">ngày 26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After w:val="1"/>
          <w:trHeight w:val="84"/>
        </w:trPr>
        <w:tc>
          <w:tcPr>
            <w:gridSpan w:val="2"/>
            <w:shd w:val="clear" w:color="auto" w:fill="auto"/>
            <w:tcBorders/>
            <w:tcMar>
              <w:left w:w="108" w:type="dxa"/>
              <w:top w:w="0" w:type="dxa"/>
              <w:right w:w="108" w:type="dxa"/>
              <w:bottom w:w="0" w:type="dxa"/>
            </w:tcMar>
            <w:tcW w:w="4264" w:type="dxa"/>
            <w:textDirection w:val="lrTb"/>
            <w:noWrap w:val="false"/>
          </w:tcPr>
          <w:p>
            <w:pPr>
              <w:pStyle w:val="1131"/>
              <w:pBdr/>
              <w:spacing w:after="60"/>
              <w:ind/>
              <w:rPr>
                <w:rStyle w:val="1130"/>
                <w:rFonts w:ascii="Times New Roman" w:hAnsi="Times New Roman" w:cs="Times New Roman"/>
                <w:color w:val="000000" w:themeColor="text1"/>
              </w:rPr>
            </w:pPr>
            <w:r>
              <w:rPr>
                <w:rStyle w:val="1130"/>
                <w:rFonts w:ascii="Times New Roman" w:hAnsi="Times New Roman" w:eastAsia="Times New Roman" w:cs="Times New Roman"/>
                <w:color w:val="000000" w:themeColor="text1"/>
                <w:lang w:val="pt-BR"/>
              </w:rPr>
            </w:r>
            <w:r>
              <w:rPr>
                <w:rStyle w:val="1130"/>
                <w:rFonts w:ascii="Times New Roman" w:hAnsi="Times New Roman" w:cs="Times New Roman"/>
                <w:color w:val="000000" w:themeColor="text1"/>
              </w:rPr>
            </w:r>
            <w:r>
              <w:rPr>
                <w:rStyle w:val="1130"/>
                <w:rFonts w:ascii="Times New Roman" w:hAnsi="Times New Roman" w:cs="Times New Roman"/>
                <w:color w:val="000000" w:themeColor="text1"/>
              </w:rPr>
            </w:r>
          </w:p>
        </w:tc>
        <w:tc>
          <w:tcPr>
            <w:shd w:val="clear" w:color="auto" w:fill="auto"/>
            <w:tcBorders/>
            <w:tcMar>
              <w:left w:w="108" w:type="dxa"/>
              <w:top w:w="0" w:type="dxa"/>
              <w:right w:w="108" w:type="dxa"/>
              <w:bottom w:w="0" w:type="dxa"/>
            </w:tcMar>
            <w:tcW w:w="5657" w:type="dxa"/>
            <w:textDirection w:val="lrTb"/>
            <w:noWrap w:val="false"/>
          </w:tcPr>
          <w:p>
            <w:pPr>
              <w:pStyle w:val="1131"/>
              <w:pBdr/>
              <w:spacing w:after="60"/>
              <w:ind w:right="-56"/>
              <w:rPr>
                <w:rStyle w:val="1130"/>
                <w:rFonts w:ascii="Times New Roman" w:hAnsi="Times New Roman" w:cs="Times New Roman"/>
                <w:i/>
              </w:rPr>
            </w:pPr>
            <w:r>
              <w:rPr>
                <w:rFonts w:ascii="Times New Roman" w:hAnsi="Times New Roman" w:eastAsia="Times New Roman" w:cs="Times New Roman"/>
                <w:i/>
              </w:rPr>
            </w:r>
            <w:r>
              <w:rPr>
                <w:rStyle w:val="1130"/>
                <w:rFonts w:ascii="Times New Roman" w:hAnsi="Times New Roman" w:cs="Times New Roman"/>
                <w:i/>
              </w:rPr>
            </w:r>
            <w:r>
              <w:rPr>
                <w:rStyle w:val="1130"/>
                <w:rFonts w:ascii="Times New Roman" w:hAnsi="Times New Roman" w:cs="Times New Roman"/>
                <w:i/>
              </w:rPr>
            </w:r>
          </w:p>
        </w:tc>
      </w:tr>
    </w:tbl>
    <w:p>
      <w:pPr>
        <w:pStyle w:val="1131"/>
        <w:pBdr/>
        <w:tabs>
          <w:tab w:val="left" w:leader="none" w:pos="5103"/>
        </w:tabs>
        <w:spacing w:before="200" w:line="340" w:lineRule="atLeast"/>
        <w:ind/>
        <w:jc w:val="center"/>
        <w:rPr>
          <w:rFonts w:ascii="Times New Roman" w:hAnsi="Times New Roman" w:cs="Times New Roman"/>
          <w:i/>
          <w:iCs/>
          <w:color w:val="000000" w:themeColor="text1"/>
          <w:sz w:val="30"/>
          <w:szCs w:val="30"/>
        </w:rPr>
      </w:pPr>
      <w:r>
        <w:rPr>
          <w:rFonts w:ascii="Times New Roman" w:hAnsi="Times New Roman" w:eastAsia="Times New Roman" w:cs="Times New Roman"/>
          <w:b/>
          <w:color w:val="000000" w:themeColor="text1"/>
          <w:sz w:val="30"/>
          <w:szCs w:val="30"/>
          <w:lang w:val="pt-BR"/>
        </w:rPr>
        <w:t xml:space="preserve">BÁO CÁO KẾT QUẢ THẨM ĐỊNH GIÁ</w:t>
      </w:r>
      <w:r>
        <w:rPr>
          <w:rFonts w:ascii="Times New Roman" w:hAnsi="Times New Roman" w:cs="Times New Roman"/>
          <w:i/>
          <w:iCs/>
          <w:color w:val="000000" w:themeColor="text1"/>
          <w:sz w:val="30"/>
          <w:szCs w:val="30"/>
        </w:rPr>
      </w:r>
      <w:r>
        <w:rPr>
          <w:rFonts w:ascii="Times New Roman" w:hAnsi="Times New Roman" w:cs="Times New Roman"/>
          <w:i/>
          <w:iCs/>
          <w:color w:val="000000" w:themeColor="text1"/>
          <w:sz w:val="30"/>
          <w:szCs w:val="30"/>
        </w:rPr>
      </w:r>
    </w:p>
    <w:p>
      <w:pPr>
        <w:pStyle w:val="945"/>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theo Chứng thư thẩm định giá số: </w:t>
      </w:r>
      <w:r>
        <w:rPr>
          <w:rFonts w:ascii="Times New Roman" w:hAnsi="Times New Roman" w:eastAsia="Times New Roman" w:cs="Times New Roman"/>
          <w:b w:val="0"/>
          <w:i/>
          <w:color w:val="000000" w:themeColor="text1"/>
          <w:spacing w:val="-6"/>
          <w:sz w:val="24"/>
          <w:szCs w:val="24"/>
          <w:lang w:val="pt-BR"/>
        </w:rPr>
        <w:t xml:space="preserve">275/2026/1348/VFI-CT.44.A </w:t>
      </w:r>
      <w:r>
        <w:rPr>
          <w:rFonts w:ascii="Times New Roman" w:hAnsi="Times New Roman" w:eastAsia="Times New Roman" w:cs="Times New Roman"/>
          <w:b w:val="0"/>
          <w:i/>
          <w:color w:val="000000" w:themeColor="text1"/>
          <w:spacing w:val="-6"/>
          <w:sz w:val="24"/>
          <w:szCs w:val="24"/>
          <w:lang w:val="pt-BR"/>
        </w:rPr>
        <w:t xml:space="preserve">ngày 26 tháng 8 năm 2026</w:t>
      </w:r>
      <w:r>
        <w:rPr>
          <w:rFonts w:ascii="Times New Roman" w:hAnsi="Times New Roman" w:eastAsia="Times New Roman" w:cs="Times New Roman"/>
          <w:b w:val="0"/>
          <w:i/>
          <w:spacing w:val="-6"/>
          <w:sz w:val="24"/>
          <w:szCs w:val="24"/>
          <w:lang w:val="pt-BR"/>
        </w:rPr>
        <w:t xml:space="preserve">)</w:t>
      </w:r>
      <w:r>
        <w:rPr>
          <w:rFonts w:ascii="Times New Roman" w:hAnsi="Times New Roman" w:cs="Times New Roman"/>
          <w:b w:val="0"/>
          <w:i/>
          <w:spacing w:val="-6"/>
          <w:sz w:val="24"/>
          <w:szCs w:val="24"/>
        </w:rPr>
      </w:r>
      <w:r>
        <w:rPr>
          <w:rFonts w:ascii="Times New Roman" w:hAnsi="Times New Roman" w:cs="Times New Roman"/>
          <w:b w:val="0"/>
          <w:i/>
          <w:spacing w:val="-6"/>
          <w:sz w:val="24"/>
          <w:szCs w:val="24"/>
        </w:rPr>
      </w:r>
    </w:p>
    <w:p>
      <w:pPr>
        <w:pStyle w:val="945"/>
        <w:pBdr/>
        <w:tabs>
          <w:tab w:val="left" w:leader="none" w:pos="4820"/>
        </w:tabs>
        <w:spacing w:after="200" w:before="0" w:line="340" w:lineRule="atLeast"/>
        <w:ind/>
        <w:jc w:val="both"/>
        <w:rPr>
          <w:rFonts w:ascii="Times New Roman" w:hAnsi="Times New Roman" w:cs="Times New Roman"/>
          <w:b w:val="0"/>
          <w:i/>
          <w:color w:val="000000" w:themeColor="text1"/>
          <w:spacing w:val="-6"/>
          <w:sz w:val="24"/>
          <w:szCs w:val="24"/>
        </w:rPr>
      </w:pPr>
      <w:r>
        <w:rPr>
          <w:rFonts w:ascii="Times New Roman" w:hAnsi="Times New Roman" w:eastAsia="Times New Roman" w:cs="Times New Roman"/>
          <w:color w:val="000000" w:themeColor="text1"/>
          <w:sz w:val="24"/>
          <w:szCs w:val="24"/>
          <w:lang w:val="pt-BR"/>
        </w:rPr>
        <w:t xml:space="preserve">I. THÔNG TIN VỀ DOANH NGHIỆP THẨM ĐỊNH GIÁ </w:t>
      </w:r>
      <w:r>
        <w:rPr>
          <w:rFonts w:ascii="Times New Roman" w:hAnsi="Times New Roman" w:cs="Times New Roman"/>
          <w:b w:val="0"/>
          <w:i/>
          <w:color w:val="000000" w:themeColor="text1"/>
          <w:spacing w:val="-6"/>
          <w:sz w:val="24"/>
          <w:szCs w:val="24"/>
        </w:rPr>
      </w:r>
      <w:r>
        <w:rPr>
          <w:rFonts w:ascii="Times New Roman" w:hAnsi="Times New Roman" w:cs="Times New Roman"/>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vMerge w:val="restart"/>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vMerge w:val="restart"/>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pPr>
        <w:pStyle w:val="1132"/>
        <w:pBdr/>
        <w:tabs>
          <w:tab w:val="left" w:leader="none" w:pos="284"/>
        </w:tabs>
        <w:spacing w:after="120" w:line="320" w:lineRule="atLeast"/>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 THÔNG TIN CƠ BẢN VỀ CUỘC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284"/>
        </w:tabs>
        <w:spacing w:after="120" w:before="120" w:line="32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1. Thông tin cơ bản về cuộc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Tên khách hàng</w:t>
            </w:r>
            <w:r>
              <w:rPr>
                <w:rFonts w:ascii="Times New Roman" w:hAnsi="Times New Roman" w:cs="Times New Roman"/>
                <w:bCs/>
                <w:highlight w:val="yellow"/>
              </w:rPr>
            </w:r>
            <w:r>
              <w:rPr>
                <w:rFonts w:ascii="Times New Roman" w:hAnsi="Times New Roman" w:cs="Times New Roman"/>
                <w:bCs/>
                <w:highlight w:val="yellow"/>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cs="Times New Roman"/>
                <w:bCs/>
                <w:highlight w:val="yellow"/>
              </w:rPr>
            </w:r>
            <w:r>
              <w:rPr>
                <w:rFonts w:ascii="Times New Roman" w:hAnsi="Times New Roman" w:cs="Times New Roman"/>
                <w:bCs/>
                <w:highlight w:val="yellow"/>
              </w:rPr>
            </w:r>
          </w:p>
        </w:tc>
        <w:tc>
          <w:tcPr>
            <w:tcBorders/>
            <w:tcW w:w="6945" w:type="dxa"/>
            <w:vAlign w:val="center"/>
            <w:textDirection w:val="lrTb"/>
            <w:noWrap w:val="false"/>
          </w:tcPr>
          <w:p>
            <w:pPr>
              <w:pBdr/>
              <w:spacing/>
              <w:ind/>
              <w:rPr>
                <w:rFonts w:ascii="Times New Roman" w:hAnsi="Times New Roman" w:cs="Times New Roman"/>
                <w:highlight w:val="yellow"/>
              </w:rPr>
            </w:pPr>
            <w:r>
              <w:rPr>
                <w:rFonts w:ascii="Times New Roman" w:hAnsi="Times New Roman" w:eastAsia="Times New Roman" w:cs="Times New Roman"/>
                <w:b/>
                <w:bCs/>
                <w:highlight w:val="yellow"/>
              </w:rPr>
              <w:t xml:space="preserve">Ông Khuất Huy Hùng</w:t>
            </w:r>
            <w:r>
              <w:rPr>
                <w:rFonts w:ascii="Times New Roman" w:hAnsi="Times New Roman" w:cs="Times New Roman"/>
                <w:highlight w:val="yellow"/>
              </w:rPr>
            </w:r>
            <w:r>
              <w:rPr>
                <w:rFonts w:ascii="Times New Roman" w:hAnsi="Times New Roman" w:cs="Times New Roman"/>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CCCD:</w:t>
            </w:r>
            <w:r>
              <w:rPr>
                <w:rFonts w:ascii="Times New Roman" w:hAnsi="Times New Roman" w:cs="Times New Roman"/>
                <w:bCs/>
                <w:highlight w:val="yellow"/>
              </w:rPr>
            </w:r>
            <w:r>
              <w:rPr>
                <w:rFonts w:ascii="Times New Roman" w:hAnsi="Times New Roman" w:cs="Times New Roman"/>
                <w:bCs/>
                <w:highlight w:val="yellow"/>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cs="Times New Roman"/>
                <w:bCs/>
                <w:highlight w:val="yellow"/>
              </w:rPr>
            </w:r>
            <w:r>
              <w:rPr>
                <w:rFonts w:ascii="Times New Roman" w:hAnsi="Times New Roman" w:cs="Times New Roman"/>
                <w:bCs/>
                <w:highlight w:val="yellow"/>
              </w:rPr>
            </w:r>
          </w:p>
        </w:tc>
        <w:tc>
          <w:tcPr>
            <w:tcBorders/>
            <w:tcW w:w="6945" w:type="dxa"/>
            <w:vAlign w:val="center"/>
            <w:textDirection w:val="lrTb"/>
            <w:noWrap w:val="false"/>
          </w:tcPr>
          <w:p>
            <w:pPr>
              <w:pBdr/>
              <w:spacing w:after="60" w:before="60" w:line="276" w:lineRule="auto"/>
              <w:ind/>
              <w:rPr>
                <w:rFonts w:ascii="Times New Roman" w:hAnsi="Times New Roman" w:cs="Times New Roman"/>
                <w:b/>
                <w:bCs/>
                <w:highlight w:val="yellow"/>
              </w:rPr>
            </w:pPr>
            <w:r>
              <w:rPr>
                <w:rFonts w:ascii="Times New Roman" w:hAnsi="Times New Roman" w:eastAsia="Times New Roman" w:cs="Times New Roman"/>
                <w:color w:val="000000" w:themeColor="text1"/>
                <w:highlight w:val="yellow"/>
                <w:lang w:val="vi-VN"/>
              </w:rPr>
              <w:t xml:space="preserve">010014735</w:t>
            </w:r>
            <w:r>
              <w:rPr>
                <w:rFonts w:ascii="Times New Roman" w:hAnsi="Times New Roman" w:cs="Times New Roman"/>
                <w:b/>
                <w:bCs/>
                <w:highlight w:val="yellow"/>
              </w:rPr>
            </w:r>
            <w:r>
              <w:rPr>
                <w:rFonts w:ascii="Times New Roman" w:hAnsi="Times New Roman" w:cs="Times New Roman"/>
                <w:b/>
                <w:bCs/>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Năm sinh:</w:t>
            </w:r>
            <w:r>
              <w:rPr>
                <w:rFonts w:ascii="Times New Roman" w:hAnsi="Times New Roman" w:cs="Times New Roman"/>
                <w:bCs/>
                <w:highlight w:val="yellow"/>
              </w:rPr>
            </w:r>
            <w:r>
              <w:rPr>
                <w:rFonts w:ascii="Times New Roman" w:hAnsi="Times New Roman" w:cs="Times New Roman"/>
                <w:bCs/>
                <w:highlight w:val="yellow"/>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cs="Times New Roman"/>
                <w:bCs/>
                <w:highlight w:val="yellow"/>
              </w:rPr>
            </w:r>
            <w:r>
              <w:rPr>
                <w:rFonts w:ascii="Times New Roman" w:hAnsi="Times New Roman" w:cs="Times New Roman"/>
                <w:bCs/>
                <w:highlight w:val="yellow"/>
              </w:rPr>
            </w:r>
          </w:p>
        </w:tc>
        <w:tc>
          <w:tcPr>
            <w:tcBorders/>
            <w:tcW w:w="6945" w:type="dxa"/>
            <w:vAlign w:val="center"/>
            <w:textDirection w:val="lrTb"/>
            <w:noWrap w:val="false"/>
          </w:tcPr>
          <w:p>
            <w:pPr>
              <w:pBdr/>
              <w:spacing w:after="60" w:before="60" w:line="276" w:lineRule="auto"/>
              <w:ind/>
              <w:rPr>
                <w:rFonts w:ascii="Times New Roman" w:hAnsi="Times New Roman" w:cs="Times New Roman"/>
                <w:b/>
                <w:bCs/>
                <w:highlight w:val="yellow"/>
              </w:rPr>
            </w:pPr>
            <w:r>
              <w:rPr>
                <w:rFonts w:ascii="Times New Roman" w:hAnsi="Times New Roman" w:eastAsia="Times New Roman" w:cs="Times New Roman"/>
                <w:color w:val="000000" w:themeColor="text1"/>
                <w:highlight w:val="yellow"/>
                <w:lang w:val="vi-VN"/>
              </w:rPr>
              <w:t xml:space="preserve">1957</w:t>
            </w:r>
            <w:r>
              <w:rPr>
                <w:rFonts w:ascii="Times New Roman" w:hAnsi="Times New Roman" w:cs="Times New Roman"/>
                <w:b/>
                <w:bCs/>
                <w:highlight w:val="yellow"/>
              </w:rPr>
            </w:r>
            <w:r>
              <w:rPr>
                <w:rFonts w:ascii="Times New Roman" w:hAnsi="Times New Roman" w:cs="Times New Roman"/>
                <w:b/>
                <w:bCs/>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highlight w:val="yellow"/>
              </w:rPr>
            </w:pPr>
            <w:r>
              <w:rPr>
                <w:rFonts w:ascii="Times New Roman" w:hAnsi="Times New Roman" w:eastAsia="Times New Roman" w:cs="Times New Roman"/>
                <w:bCs/>
                <w:color w:val="000000" w:themeColor="text1"/>
                <w:highlight w:val="yellow"/>
                <w:lang w:val="pt-BR"/>
              </w:rPr>
              <w:t xml:space="preserve">Địa chỉ</w:t>
            </w:r>
            <w:r>
              <w:rPr>
                <w:rFonts w:ascii="Times New Roman" w:hAnsi="Times New Roman" w:cs="Times New Roman"/>
                <w:bCs/>
                <w:highlight w:val="yellow"/>
              </w:rPr>
            </w:r>
            <w:r>
              <w:rPr>
                <w:rFonts w:ascii="Times New Roman" w:hAnsi="Times New Roman" w:cs="Times New Roman"/>
                <w:bCs/>
                <w:highlight w:val="yellow"/>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highlight w:val="yellow"/>
              </w:rPr>
            </w:pPr>
            <w:r>
              <w:rPr>
                <w:rFonts w:ascii="Times New Roman" w:hAnsi="Times New Roman" w:eastAsia="Times New Roman" w:cs="Times New Roman"/>
                <w:bCs/>
                <w:highlight w:val="yellow"/>
                <w:lang w:val="pt-BR"/>
              </w:rPr>
              <w:t xml:space="preserve">:</w:t>
            </w:r>
            <w:r>
              <w:rPr>
                <w:rFonts w:ascii="Times New Roman" w:hAnsi="Times New Roman" w:cs="Times New Roman"/>
                <w:bCs/>
                <w:highlight w:val="yellow"/>
              </w:rPr>
            </w:r>
            <w:r>
              <w:rPr>
                <w:rFonts w:ascii="Times New Roman" w:hAnsi="Times New Roman" w:cs="Times New Roman"/>
                <w:bCs/>
                <w:highlight w:val="yellow"/>
              </w:rPr>
            </w:r>
          </w:p>
        </w:tc>
        <w:tc>
          <w:tcPr>
            <w:tcBorders/>
            <w:tcW w:w="6945" w:type="dxa"/>
            <w:vAlign w:val="center"/>
            <w:textDirection w:val="lrTb"/>
            <w:noWrap w:val="false"/>
          </w:tcPr>
          <w:p>
            <w:pPr>
              <w:pBdr/>
              <w:spacing w:after="60" w:before="60" w:line="276" w:lineRule="auto"/>
              <w:ind/>
              <w:rPr>
                <w:rFonts w:ascii="Times New Roman" w:hAnsi="Times New Roman" w:cs="Times New Roman"/>
                <w:b/>
                <w:bCs/>
                <w:highlight w:val="yellow"/>
              </w:rPr>
            </w:pPr>
            <w:r>
              <w:rPr>
                <w:rFonts w:ascii="Times New Roman" w:hAnsi="Times New Roman" w:eastAsia="Times New Roman" w:cs="Times New Roman"/>
                <w:color w:val="000000" w:themeColor="text1"/>
                <w:highlight w:val="yellow"/>
                <w:lang w:val="vi-VN"/>
              </w:rPr>
              <w:t xml:space="preserve">1N2 (số mới A1) - 212 Lò Đúc, phường Đống Mác, quận Hai Bà Trưng, thành phố Hà Nội.</w:t>
            </w:r>
            <w:r>
              <w:rPr>
                <w:rFonts w:ascii="Times New Roman" w:hAnsi="Times New Roman" w:cs="Times New Roman"/>
                <w:b/>
                <w:bCs/>
                <w:highlight w:val="yellow"/>
              </w:rPr>
            </w:r>
            <w:r>
              <w:rPr>
                <w:rFonts w:ascii="Times New Roman" w:hAnsi="Times New Roman" w:cs="Times New Roman"/>
                <w:b/>
                <w:bCs/>
                <w:highlight w:val="yellow"/>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Tài sản thẩm định giá</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 w:val="0"/>
                <w:bCs w:val="0"/>
                <w:spacing w:val="2"/>
              </w:rPr>
            </w:pPr>
            <w:r>
              <w:rPr>
                <w:rFonts w:ascii="Times New Roman" w:hAnsi="Times New Roman" w:eastAsia="Times New Roman" w:cs="Times New Roman"/>
                <w:bCs/>
                <w:color w:val="000000" w:themeColor="text1"/>
                <w:lang w:val="pt-BR"/>
              </w:rPr>
              <w:t xml:space="preserve">Quyền sở hữu căn hộ chung cư số E12A06. Tòa tháp Đông - Indochina Plaza Hà Nội Số 241 Xuân Thủy, phường Dịch Vọng Hậu, quận  Cầu Giấy, thành phố Hà Nội (Nay là 241 Xuân Thủy, phường Cầu Giấy, thành phố Hà Nội). T</w:t>
            </w:r>
            <w:r>
              <w:rPr>
                <w:rFonts w:ascii="Times New Roman" w:hAnsi="Times New Roman" w:eastAsia="Times New Roman" w:cs="Times New Roman"/>
                <w:bCs/>
                <w:color w:val="000000" w:themeColor="text1"/>
                <w:lang w:val="pt-BR"/>
              </w:rPr>
              <w:t xml:space="preserve">heo Giấy chứng nhận quyền sử dụng đất, quyền 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rFonts w:ascii="Times New Roman" w:hAnsi="Times New Roman" w:eastAsia="Times New Roman" w:cs="Times New Roman"/>
                <w:bCs/>
                <w:color w:val="000000" w:themeColor="text1"/>
                <w:lang w:val="pt-BR"/>
              </w:rPr>
              <w:t xml:space="preserve">.</w:t>
            </w:r>
            <w:r>
              <w:rPr>
                <w:rFonts w:ascii="Times New Roman" w:hAnsi="Times New Roman" w:cs="Times New Roman"/>
                <w:b w:val="0"/>
                <w:bCs w:val="0"/>
                <w:spacing w:val="2"/>
              </w:rPr>
            </w:r>
            <w:r>
              <w:rPr>
                <w:rFonts w:ascii="Times New Roman" w:hAnsi="Times New Roman" w:cs="Times New Roman"/>
                <w:b w:val="0"/>
                <w:bCs w:val="0"/>
                <w:spacing w:val="2"/>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Mục đích thẩm định giá</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12"/>
              </w:rPr>
            </w:pPr>
            <w:r>
              <w:rPr>
                <w:rFonts w:ascii="Times New Roman" w:hAnsi="Times New Roman" w:eastAsia="Times New Roman" w:cs="Times New Roman"/>
                <w:bCs/>
                <w:spacing w:val="-12"/>
                <w:lang w:val="pt-BR"/>
              </w:rPr>
              <w:t xml:space="preserve">Cơ sở giá trị thẩm định giá</w:t>
            </w:r>
            <w:r>
              <w:rPr>
                <w:rFonts w:ascii="Times New Roman" w:hAnsi="Times New Roman" w:cs="Times New Roman"/>
                <w:bCs/>
                <w:spacing w:val="-12"/>
              </w:rPr>
            </w:r>
            <w:r>
              <w:rPr>
                <w:rFonts w:ascii="Times New Roman" w:hAnsi="Times New Roman" w:cs="Times New Roman"/>
                <w:bCs/>
                <w:spacing w:val="-12"/>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spacing w:val="-4"/>
                <w:lang w:val="vi-VN"/>
              </w:rPr>
              <w:t xml:space="preserve">Giá trị thị trường</w:t>
            </w:r>
            <w:r>
              <w:rPr>
                <w:rFonts w:ascii="Times New Roman" w:hAnsi="Times New Roman" w:eastAsia="Times New Roman" w:cs="Times New Roman"/>
                <w:bCs/>
                <w:spacing w:val="-4"/>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thẩm định giá</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color w:val="000000" w:themeColor="text1"/>
                <w:lang w:val="pt-BR"/>
              </w:rPr>
              <w:t xml:space="preserve">Tháng 08/2026</w:t>
            </w:r>
            <w:r>
              <w:rPr>
                <w:rFonts w:ascii="Times New Roman" w:hAnsi="Times New Roman" w:eastAsia="Times New Roman" w:cs="Times New Roman"/>
                <w:lang w:val="pt-BR"/>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Địa điểm thẩm định giá</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Số </w:t>
            </w:r>
            <w:r>
              <w:rPr>
                <w:rFonts w:ascii="Times New Roman" w:hAnsi="Times New Roman" w:eastAsia="Times New Roman" w:cs="Times New Roman"/>
                <w:bCs/>
                <w:color w:val="000000" w:themeColor="text1"/>
                <w:lang w:val="pt-BR"/>
              </w:rPr>
              <w:t xml:space="preserve">241 Xuân Thủy, phường Cầu Giấy,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Vị trí tài sản thẩm định </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Style w:val="946"/>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21.036244991208, 105.78244122283</w:t>
            </w:r>
            <w:r>
              <w:rPr>
                <w:rFonts w:ascii="Times New Roman" w:hAnsi="Times New Roman" w:eastAsia="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khảo sát</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3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rPr>
            </w:pPr>
            <w:r>
              <w:rPr>
                <w:rFonts w:ascii="Times New Roman" w:hAnsi="Times New Roman" w:eastAsia="Times New Roman" w:cs="Times New Roman"/>
                <w:lang w:val="pt-BR"/>
              </w:rPr>
              <w:t xml:space="preserve">Tháng 08/2026</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tc>
      </w:tr>
    </w:tbl>
    <w:p>
      <w:pPr>
        <w:pBdr/>
        <w:spacing w:after="120" w:before="120" w:line="276" w:lineRule="auto"/>
        <w:ind/>
        <w:rPr>
          <w:rFonts w:ascii="Times New Roman" w:hAnsi="Times New Roman" w:cs="Times New Roman"/>
          <w:b/>
          <w:bCs/>
          <w:color w:val="000000" w:themeColor="text1"/>
          <w:spacing w:val="-6"/>
        </w:rPr>
      </w:pPr>
      <w:r>
        <w:rPr>
          <w:rFonts w:ascii="Times New Roman" w:hAnsi="Times New Roman" w:eastAsia="Times New Roman" w:cs="Times New Roman"/>
          <w:b/>
          <w:bCs/>
          <w:color w:val="000000" w:themeColor="text1"/>
          <w:spacing w:val="-6"/>
          <w:lang w:val="pt-BR"/>
        </w:rPr>
        <w:t xml:space="preserve">2. Các nguồn thông tin được sử dụng trong quá trình thẩm định giá và xem xét đánh giá các thông tin thu thập</w:t>
      </w:r>
      <w:r>
        <w:rPr>
          <w:rFonts w:ascii="Times New Roman" w:hAnsi="Times New Roman" w:cs="Times New Roman"/>
          <w:b/>
          <w:bCs/>
          <w:color w:val="000000" w:themeColor="text1"/>
          <w:spacing w:val="-6"/>
        </w:rPr>
      </w:r>
      <w:r>
        <w:rPr>
          <w:rFonts w:ascii="Times New Roman" w:hAnsi="Times New Roman" w:cs="Times New Roman"/>
          <w:b/>
          <w:bCs/>
          <w:color w:val="000000" w:themeColor="text1"/>
          <w:spacing w:val="-6"/>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spacing w:val="-6"/>
          <w:lang w:val="pt-BR"/>
        </w:rPr>
        <w:t xml:space="preserve">Tham khảo nguồn thông tin từ các trang giao bán bất động sản qua mạng Internet, gọi điện trực tiếp</w:t>
      </w:r>
      <w:r>
        <w:rPr>
          <w:rFonts w:ascii="Times New Roman" w:hAnsi="Times New Roman" w:eastAsia="Times New Roman" w:cs="Times New Roman"/>
          <w:color w:val="000000" w:themeColor="text1"/>
          <w:lang w:val="pt-B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Tham khảo nguồn thông tin trực tiếp từ những</w:t>
      </w:r>
      <w:r>
        <w:rPr>
          <w:rFonts w:ascii="Times New Roman" w:hAnsi="Times New Roman" w:eastAsia="Times New Roman" w:cs="Times New Roman"/>
          <w:color w:val="000000" w:themeColor="text1"/>
          <w:lang w:val="vi-VN"/>
        </w:rPr>
        <w:t xml:space="preserve"> người </w:t>
      </w:r>
      <w:r>
        <w:rPr>
          <w:rFonts w:ascii="Times New Roman" w:hAnsi="Times New Roman" w:eastAsia="Times New Roman" w:cs="Times New Roman"/>
          <w:color w:val="000000" w:themeColor="text1"/>
          <w:lang w:val="pt-BR"/>
        </w:rPr>
        <w:t xml:space="preserve">dân sinh</w:t>
      </w:r>
      <w:r>
        <w:rPr>
          <w:rFonts w:ascii="Times New Roman" w:hAnsi="Times New Roman" w:eastAsia="Times New Roman" w:cs="Times New Roman"/>
          <w:color w:val="000000" w:themeColor="text1"/>
          <w:lang w:val="vi-VN"/>
        </w:rPr>
        <w:t xml:space="preserve"> s</w:t>
      </w:r>
      <w:r>
        <w:rPr>
          <w:rFonts w:ascii="Times New Roman" w:hAnsi="Times New Roman" w:eastAsia="Times New Roman" w:cs="Times New Roman"/>
          <w:color w:val="000000" w:themeColor="text1"/>
          <w:lang w:val="pt-BR"/>
        </w:rPr>
        <w:t xml:space="preserve">ống xung quanh trên địa bàn.</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Đánh giá nguồn thông tin thu thập: Nguồn thông tin thu thập khách quan và phổ biến trên thị trường.</w:t>
      </w:r>
      <w:r>
        <w:rPr>
          <w:rFonts w:ascii="Times New Roman" w:hAnsi="Times New Roman" w:cs="Times New Roman"/>
          <w:color w:val="000000" w:themeColor="text1"/>
        </w:rPr>
      </w:r>
      <w:r>
        <w:rPr>
          <w:rFonts w:ascii="Times New Roman" w:hAnsi="Times New Roman" w:cs="Times New Roman"/>
          <w:color w:val="000000" w:themeColor="text1"/>
        </w:rPr>
      </w:r>
    </w:p>
    <w:p>
      <w:pPr>
        <w:pStyle w:val="1132"/>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3. Căn cứ pháp lý</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3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3.1. Văn bản quy phạm pháp luật:</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color w:val="000000" w:themeColor="text1"/>
          <w:lang w:val="pt-BR"/>
        </w:rPr>
        <w:t xml:space="preserve">Luật Giá số 16/2023/QH15 ngày 19/6/2023;</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spacing w:after="120" w:before="12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71/2024/NĐ-CP ngày 27/6/2024 của Chính phủ Quy định về giá đất;</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103/2024/NĐ-CP ngày 30/7/2024 của Chính phủ quy định về thu tiền sử dụng đất, tiền thuê đất;</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32/2024/TT-BTC ngày 16/5/2024 của Bộ Tài chính ban hành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pt-BR"/>
        </w:rPr>
        <w:t xml:space="preserve">các chuẩn mực thẩm định giá Việt Nam về cách tiếp cận từ thị trường, cách tiếp cận từ chi phí, cách tiếp cận từ thu nhập;</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36/2024/TT-BTC ngày 16/5/2024 của Bộ Tài chính ban hành chuẩn mực thẩm định giá Việt Nam về thẩm định giá doanh nghiệp;</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37/2024/TT-BTC ngày 16/5/2024 của Bộ Tài chính ban hành chuẩn mực thẩm định giá Việt Nam về thẩm định giá tài sản vô hình;</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42/2024/TT-BTC ngày 20/6/2024 của Bộ Tài chính ban hành chuẩn mực thẩm định giá Việt Nam về thẩm định giá bất động sản;</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9"/>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Và các văn bản pháp luật có liên quan khác.</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3.2. Các văn bản liên quan khác:</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a. Hồ sơ pháp lý của tài sản: </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2"/>
        </w:numPr>
        <w:pBdr/>
        <w:tabs>
          <w:tab w:val="left" w:leader="none" w:pos="993"/>
        </w:tabs>
        <w:spacing w:after="120" w:before="120" w:line="276" w:lineRule="auto"/>
        <w:ind/>
        <w:jc w:val="both"/>
        <w:rPr>
          <w:rFonts w:ascii="Times New Roman" w:hAnsi="Times New Roman" w:cs="Times New Roman"/>
          <w:i/>
          <w:iCs/>
          <w:color w:val="000000" w:themeColor="text1"/>
        </w:rPr>
      </w:pPr>
      <w:r>
        <w:rPr>
          <w:rFonts w:ascii="Times New Roman" w:hAnsi="Times New Roman" w:eastAsia="Times New Roman" w:cs="Times New Roman"/>
          <w:bCs/>
          <w:color w:val="000000" w:themeColor="text1"/>
          <w:lang w:val="pt-BR"/>
        </w:rPr>
        <w:t xml:space="preserve">Theo Giấy chứng nhận quyền sử dụng đất, quyền sở hữu nhà ở và tài sản gắn liền với đất số: CB 545516.</w:t>
      </w:r>
      <w:r>
        <w:rPr>
          <w:rFonts w:ascii="Times New Roman" w:hAnsi="Times New Roman" w:cs="Times New Roman"/>
          <w:i/>
          <w:iCs/>
          <w:color w:val="000000" w:themeColor="text1"/>
        </w:rPr>
      </w:r>
      <w:r>
        <w:rPr>
          <w:rFonts w:ascii="Times New Roman" w:hAnsi="Times New Roman" w:cs="Times New Roman"/>
          <w:i/>
          <w:iCs/>
          <w:color w:val="000000" w:themeColor="text1"/>
        </w:rPr>
      </w:r>
    </w:p>
    <w:p>
      <w:pPr>
        <w:pBdr/>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b. Hồ sơ khác</w:t>
      </w:r>
      <w:r>
        <w:rPr>
          <w:rFonts w:ascii="Times New Roman" w:hAnsi="Times New Roman" w:eastAsia="Times New Roman" w:cs="Times New Roman"/>
          <w:b/>
          <w:color w:val="000000" w:themeColor="text1"/>
          <w:lang w:val="vi-VN"/>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Hợp đồng dịch vụ thẩm định giá số 275/2026/1348/VFI-HĐTĐ.44.A ngày 19/08/2026 giữa ông Khuất Huy Hùng với Công ty Cổ phần Thẩm định và Đầu tư Tài chính Hoa Sen.</w:t>
      </w:r>
      <w:r>
        <w:rPr>
          <w:rFonts w:ascii="Times New Roman" w:hAnsi="Times New Roman" w:eastAsia="Times New Roman" w:cs="Times New Roman"/>
          <w:color w:val="000000" w:themeColor="text1"/>
          <w:lang w:val="pt-BR"/>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Hồ sơ, tài liệu, chứng từ liên quan đến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Bdr/>
        <w:tabs>
          <w:tab w:val="left" w:leader="none" w:pos="993"/>
        </w:tabs>
        <w:spacing w:after="120" w:before="120" w:line="38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III. TỔNG QUAN VỀ THỊ TRƯỜNG CỦA TÀI SẢN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3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thị trường</w:t>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Thị trường căn hộ Hà Nội đang bước vào chu kỳ tăng trưởng nguồ</w:t>
      </w:r>
      <w:r>
        <w:rPr>
          <w:rFonts w:ascii="Times New Roman" w:hAnsi="Times New Roman" w:eastAsia="Times New Roman" w:cs="Times New Roman"/>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Tại khu đất công nghiệp cũ Cao - Xà - Lá trên đường Nguyễn Trãi, Masterise Homes đang phát triển tổ </w:t>
      </w:r>
      <w:r>
        <w:rPr>
          <w:rFonts w:ascii="Times New Roman" w:hAnsi="Times New Roman" w:eastAsia="Times New Roman" w:cs="Times New Roman"/>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Ngoài dự án trung tâm này, Masterise Homes</w:t>
      </w:r>
      <w:r>
        <w:rPr>
          <w:rFonts w:ascii="Times New Roman" w:hAnsi="Times New Roman" w:eastAsia="Times New Roman" w:cs="Times New Roman"/>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Trong khi đó, MIK Group liên tục gia tăng hiện diện tại Hà Nội trong khoảng 3 năm gần đây. Sau loạt dự án tại Vinhomes Smart City và The Matrix One giai đoạn 2, doanh </w:t>
      </w:r>
      <w:r>
        <w:rPr>
          <w:rFonts w:ascii="Times New Roman" w:hAnsi="Times New Roman" w:eastAsia="Times New Roman" w:cs="Times New Roman"/>
          <w:iCs/>
          <w:color w:val="000000" w:themeColor="text1"/>
        </w:rPr>
        <w:t xml:space="preserve">nghiệp tiếp tục tung ra Imperia Sky Park tại Nam An Khánh với 6 tòa nhà cao từ 31 - 40 tầng, cung cấp khoảng 3.000 căn hộ.</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Tại Long Biên, MIK Group cũng triển khai dự án The Magnolia gồm 3 tòa cao 33 tầng với hơn 500 căn hộ, nối tiếp chuỗi dự án Imperia Signature Cổ Loa và Imperia Ocean City.</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Sunshine Group cũng cho thấy tham vọng lớn khi đồng loạt khởi công 3 dự án gồm Noble West Lake Hanoi, Sunshine River Park và Sunshine Continental.</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w:t>
      </w:r>
      <w:r>
        <w:rPr>
          <w:rFonts w:ascii="Times New Roman" w:hAnsi="Times New Roman" w:eastAsia="Times New Roman" w:cs="Times New Roman"/>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Điểm đáng chú ý là phần lớn nguồn cung mới đều thuộc phân khúc cao cấp và hạng sang.</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Các d</w:t>
      </w:r>
      <w:r>
        <w:rPr>
          <w:rFonts w:ascii="Times New Roman" w:hAnsi="Times New Roman" w:eastAsia="Times New Roman" w:cs="Times New Roman"/>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Dữ liệu của CBRE Hà Nội cho thấy quý 1 vừa qua là quý thứ 3 liên tiếp giá căn hộ sơ cấp tại Hà Nội duy trì trên ngưỡng 100 triệu đồng/m2.</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Giá bán bình quân đạt 102 triệu đồng/m2, tăng 29% so với cùng kỳ năm trước và thậm chí vượt TP.HCM trước thời điểm sáp nhập.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
          <w:color w:val="000000" w:themeColor="text1"/>
        </w:rPr>
        <w:t xml:space="preserve">Các doanh nghiệp lớn sở hữu quỹ đất tố</w:t>
      </w:r>
      <w:r>
        <w:rPr>
          <w:rFonts w:ascii="Times New Roman" w:hAnsi="Times New Roman" w:eastAsia="Times New Roman" w:cs="Times New Roman"/>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rFonts w:ascii="Times New Roman" w:hAnsi="Times New Roman" w:eastAsia="Times New Roman" w:cs="Times New Roman"/>
          <w:iCs/>
          <w:color w:val="000000" w:themeColor="text1"/>
        </w:rPr>
        <w:t xml:space="preserve">”, ông Đính nhận định.</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Đồng quan điểm, ông Phạm Đức Toản, Tổng giám đốc Công ty Bất động sản EZ cho rằng thị trường căn hộ Hà Nội đang rơi vào trạng thái “lệch pha cung - cầu”.</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
          <w:color w:val="000000" w:themeColor="text1"/>
        </w:rPr>
        <w:t xml:space="preserve">Nhu </w:t>
      </w:r>
      <w:r>
        <w:rPr>
          <w:rFonts w:ascii="Times New Roman" w:hAnsi="Times New Roman" w:eastAsia="Times New Roman" w:cs="Times New Roman"/>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rFonts w:ascii="Times New Roman" w:hAnsi="Times New Roman" w:eastAsia="Times New Roman" w:cs="Times New Roman"/>
          <w:iCs/>
          <w:color w:val="000000" w:themeColor="text1"/>
        </w:rPr>
        <w:t xml:space="preserve">”, ông Toản nói.</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Dù đang chiếm ưu thế tuyệt đối về nguồn cung, các chủ đầu tư lớn cũng sẽ đối mặt nhiều áp lực hơn khi thị trường bước vào chu kỳ cạnh tranh mới.</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CBRE dự báo tổng nguồn cung mở bán mới tại Hà Nội trong năm nay có thể đạt khoảng 36.000 căn, tương đương năm trước và vượt xa giai đoạn 2020 - 2024.</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Trong khi đó, nhu cầu đầu tư căn hộ đã có dấu hiệu chững lại từ cuối năm ngoái khi lãi suất vay mua nhà tăng trở lại, còn mặt bằng giá tiếp tục neo cao.</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Các chuyên gia cho rằng trong bối cảnh cạnh tranh ngày càng lớn, các chủ đầu tư sẽ buộc phải điều chỉnh</w:t>
      </w:r>
      <w:r>
        <w:rPr>
          <w:rFonts w:ascii="Times New Roman" w:hAnsi="Times New Roman" w:eastAsia="Times New Roman" w:cs="Times New Roman"/>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i/>
          <w:color w:val="000000" w:themeColor="text1"/>
        </w:rPr>
        <w:t xml:space="preserve">(Nguồn tham khảo: </w:t>
      </w:r>
      <w:r>
        <w:rPr>
          <w:rFonts w:ascii="Times New Roman" w:hAnsi="Times New Roman" w:eastAsia="Times New Roman" w:cs="Times New Roman"/>
          <w:i/>
          <w:iCs/>
        </w:rPr>
        <w:t xml:space="preserve">https://24hmoney.vn/news/dien-bien-thi-truong-chung-cu-ha-noi-c3a2791802.html)</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3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dự án</w:t>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b/>
          <w:bCs/>
          <w:color w:val="000000" w:themeColor="text1"/>
        </w:rPr>
        <w:t xml:space="preserve">Giới thiệu dự án</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là tổ hợp căn hộ cao cấp – văn phòng hạng A – trung tâm thương mại, nằm trên trục Xuân Thủy, khu vực cửa ngõ phía Tây Hà Nội.
</w:t>
      </w:r>
      <w:r>
        <w:rPr>
          <w:rFonts w:ascii="Times New Roman" w:hAnsi="Times New Roman" w:eastAsia="Times New Roman" w:cs="Times New Roman"/>
          <w:color w:val="000000" w:themeColor="text1"/>
        </w:rPr>
        <w:t xml:space="preserve">Tên dự án: Indochina Plaza Hanoi – IPH;
Địa chỉ thường dùng 239–24</w:t>
      </w:r>
      <w:r>
        <w:rPr>
          <w:rFonts w:ascii="Times New Roman" w:hAnsi="Times New Roman" w:eastAsia="Times New Roman" w:cs="Times New Roman"/>
          <w:color w:val="000000" w:themeColor="text1"/>
        </w:rPr>
        <w:t xml:space="preserve">1 Xuân Thủy, Cầu Giấy, Hà Nội;
Chủ đầu tư/phát triển Indochina Land; </w:t>
      </w:r>
      <w:r>
        <w:rPr>
          <w:rFonts w:ascii="Times New Roman" w:hAnsi="Times New Roman" w:eastAsia="Times New Roman" w:cs="Times New Roman"/>
          <w:color w:val="000000" w:themeColor="text1"/>
        </w:rPr>
        <w:t xml:space="preserve">Diện tích khu đất 16.619 m²; </w:t>
      </w:r>
      <w:r>
        <w:rPr>
          <w:rFonts w:ascii="Times New Roman" w:hAnsi="Times New Roman" w:eastAsia="Times New Roman" w:cs="Times New Roman"/>
          <w:color w:val="000000" w:themeColor="text1"/>
        </w:rPr>
        <w:t xml:space="preserve">Mật độ xây dựng khoảng 42%; </w:t>
      </w:r>
      <w:r>
        <w:rPr>
          <w:rFonts w:ascii="Times New Roman" w:hAnsi="Times New Roman" w:eastAsia="Times New Roman" w:cs="Times New Roman"/>
          <w:color w:val="000000" w:themeColor="text1"/>
        </w:rPr>
        <w:t xml:space="preserve">Loại hình: Căn hộ + văn phòng + TTTM; </w:t>
      </w:r>
      <w:r>
        <w:rPr>
          <w:rFonts w:ascii="Times New Roman" w:hAnsi="Times New Roman" w:eastAsia="Times New Roman" w:cs="Times New Roman"/>
          <w:color w:val="000000" w:themeColor="text1"/>
        </w:rPr>
        <w:t xml:space="preserve">Khởi công: 2009; </w:t>
      </w:r>
      <w:r>
        <w:rPr>
          <w:rFonts w:ascii="Times New Roman" w:hAnsi="Times New Roman" w:eastAsia="Times New Roman" w:cs="Times New Roman"/>
          <w:color w:val="000000" w:themeColor="text1"/>
        </w:rPr>
        <w:t xml:space="preserve">Hoàn thành: 2012;
Đơn vị quản lý: Savills Vietnam được nhiều nguồn thị trường ghi nhận</w:t>
      </w:r>
      <w:r>
        <w:rPr>
          <w:rFonts w:ascii="Times New Roman" w:hAnsi="Times New Roman" w:eastAsia="Times New Roman" w:cs="Times New Roman"/>
          <w:color w:val="000000" w:themeColor="text1"/>
        </w:rPr>
        <w:t xml:space="preserve">;
N</w:t>
      </w:r>
      <w:r>
        <w:rPr>
          <w:rFonts w:ascii="Times New Roman" w:hAnsi="Times New Roman" w:eastAsia="Times New Roman" w:cs="Times New Roman"/>
          <w:color w:val="000000" w:themeColor="text1"/>
        </w:rPr>
        <w:t xml:space="preserve">hà thầu chính Coteccons
Kiến trúc PTW Australia;
Thiết kế cảnh quan/nội thất Benwood Studio Shanghai, Gravity Partnership Hong Kong; Nguồn CBRE xác nhận dự án có khu đất 16,619 m²; 2 tháp căn hộ cao 31 và 35 tầng, một tháp văn phòng 11 tầng trên khối đế bá</w:t>
      </w:r>
      <w:r>
        <w:rPr>
          <w:rFonts w:ascii="Times New Roman" w:hAnsi="Times New Roman" w:eastAsia="Times New Roman" w:cs="Times New Roman"/>
          <w:color w:val="000000" w:themeColor="text1"/>
        </w:rPr>
        <w:t xml:space="preserve">n lẻ 5 tầng.
Lưu ý: các tài liệu cũ có sự khác nhau về số tầng do thay đổi thiết kế trong quá trình triển khai. Vì vậy khi lập hồ sơ thẩm định, tôi khuyến nghị dùng 31 tầng và 35 tầng cho hai tháp căn hộ, thay vì các thông tin quy hoạch ban đầu 32/36 tầng.</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0"/>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3179826" cy="4064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560291812" name="" descr=""/>
                        <pic:cNvPicPr/>
                        <pic:nvPr/>
                      </pic:nvPicPr>
                      <pic:blipFill rotWithShape="1">
                        <a:blip r:embed="rId19"/>
                        <a:stretch/>
                      </pic:blipFill>
                      <pic:spPr bwMode="auto">
                        <a:xfrm>
                          <a:off x="0" y="0"/>
                          <a:ext cx="3179826"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50.38pt;height:320.00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4728972" cy="4064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1651977422" name="" descr=""/>
                        <pic:cNvPicPr/>
                        <pic:nvPr/>
                      </pic:nvPicPr>
                      <pic:blipFill rotWithShape="1">
                        <a:blip r:embed="rId20"/>
                        <a:stretch/>
                      </pic:blipFill>
                      <pic:spPr bwMode="auto">
                        <a:xfrm>
                          <a:off x="0" y="0"/>
                          <a:ext cx="4728971"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72.36pt;height:320.00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5740105" cy="3847560"/>
                <wp:effectExtent l="0" t="0" r="0" b="0"/>
                <wp:docPr id="9" name=""/>
                <wp:cNvGraphicFramePr/>
                <a:graphic xmlns:a="http://schemas.openxmlformats.org/drawingml/2006/main">
                  <a:graphicData uri="http://schemas.openxmlformats.org/drawingml/2006/picture">
                    <pic:pic xmlns:pic="http://schemas.openxmlformats.org/drawingml/2006/picture">
                      <pic:nvPicPr>
                        <pic:cNvPr id="2096987808" name="" descr=""/>
                        <pic:cNvPicPr/>
                        <pic:nvPr/>
                      </pic:nvPicPr>
                      <pic:blipFill rotWithShape="1">
                        <a:blip r:embed="rId21"/>
                        <a:stretch/>
                      </pic:blipFill>
                      <pic:spPr bwMode="auto">
                        <a:xfrm flipH="0" flipV="0">
                          <a:off x="0" y="0"/>
                          <a:ext cx="5740104" cy="3847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51.98pt;height:302.96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b/>
          <w:bCs/>
          <w:color w:val="000000" w:themeColor="text1"/>
        </w:rPr>
        <w:t xml:space="preserve">Vị trí dự án:</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PH nằm tại khu</w:t>
      </w:r>
      <w:r>
        <w:rPr>
          <w:rFonts w:ascii="Times New Roman" w:hAnsi="Times New Roman" w:eastAsia="Times New Roman" w:cs="Times New Roman"/>
          <w:color w:val="000000" w:themeColor="text1"/>
        </w:rPr>
        <w:t xml:space="preserve"> vực Xuân Thủy – Cầu Giấy, trên trục giao thông kết nối trung tâm Hà Nội với khu vực Mỹ Đình và phía Tây thành phố.
Vị trí này có một lợi thế rất lớn đối với căn hộ:
mặt đường Xuân Thủy + khu đô thị phía Tây + hệ thống giao thông công cộng + Đại học Quốc g</w:t>
      </w:r>
      <w:r>
        <w:rPr>
          <w:rFonts w:ascii="Times New Roman" w:hAnsi="Times New Roman" w:eastAsia="Times New Roman" w:cs="Times New Roman"/>
          <w:color w:val="000000" w:themeColor="text1"/>
        </w:rPr>
        <w:t xml:space="preserve">ia + văn phòng + thương mại.
Dự án nằm gần nút giao Xuân Thủy – Phạm Hùng – Phạm Văn Đồng và đối diện khu vực ga đường sắt đô thị trên tuyến Nhổn – Cầu Giấy.
Đây là một trong những lý do IPH duy trì được giá trị căn hộ tương đối cao so với tuổi công trình.</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color w:val="000000" w:themeColor="text1"/>
        </w:rPr>
      </w:r>
      <w:r>
        <w:rPr>
          <w:rFonts w:ascii="Times New Roman" w:hAnsi="Times New Roman" w:eastAsia="Times New Roman" w:cs="Times New Roman"/>
          <w:b/>
          <w:bCs/>
          <w:color w:val="000000" w:themeColor="text1"/>
        </w:rPr>
        <w:t xml:space="preserve">Mô tả vị trí dự án</w:t>
      </w:r>
      <w:r>
        <w:rPr>
          <w:rFonts w:ascii="Times New Roman" w:hAnsi="Times New Roman" w:eastAsia="Times New Roman" w:cs="Times New Roman"/>
          <w:b/>
          <w:bCs/>
          <w:color w:val="000000" w:themeColor="text1"/>
        </w:rPr>
        <w:t xml:space="preserve">:</w:t>
      </w:r>
      <w:r>
        <w:rPr>
          <w:rFonts w:ascii="Times New Roman" w:hAnsi="Times New Roman" w:eastAsia="Times New Roman" w:cs="Times New Roman"/>
          <w:color w:val="000000" w:themeColor="text1"/>
        </w:rPr>
        <w:t xml:space="preserve"> Vị trí địa lý chiến lược: Tâm điểm kết nối phía Tây: Nằm ngay sát ngã tư giao cắt giữa 4 trục đường lớn: Xuân Thủy, Hồ Tùng Mậu, Phạm Hùng và Phạm Văn Đồng (tuyến Vành đai 3).Cửa ngõ kinh tế: Nằm trong khu vực c</w:t>
      </w:r>
      <w:r>
        <w:rPr>
          <w:rFonts w:ascii="Times New Roman" w:hAnsi="Times New Roman" w:eastAsia="Times New Roman" w:cs="Times New Roman"/>
          <w:color w:val="000000" w:themeColor="text1"/>
        </w:rPr>
        <w:t xml:space="preserve">ó</w:t>
      </w:r>
      <w:r>
        <w:rPr>
          <w:rFonts w:ascii="Times New Roman" w:hAnsi="Times New Roman" w:eastAsia="Times New Roman" w:cs="Times New Roman"/>
          <w:color w:val="000000" w:themeColor="text1"/>
        </w:rPr>
        <w:t xml:space="preserve"> tốc độ phát triển tài chính, văn phòng thương mại sôi động bậc nhất quận Cầu Giấy và Mỹ Đình. Liên kết giáo dục đỉnh cao: Tiếp giáp trực tiếp với các trường đại học lớn như Đại học Quốc gia Hà Nội, Đại học Sư phạm Hà Nội, Học viện Báo chí và Tuyên truyền.</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b/>
          <w:bCs/>
          <w:color w:val="000000" w:themeColor="text1"/>
        </w:rPr>
        <w:t xml:space="preserve">Mô tả liên kết khu vực dự án</w:t>
      </w:r>
      <w:r>
        <w:rPr>
          <w:rFonts w:ascii="Times New Roman" w:hAnsi="Times New Roman" w:eastAsia="Times New Roman" w:cs="Times New Roman"/>
          <w:b/>
          <w:bCs/>
          <w:color w:val="000000" w:themeColor="text1"/>
        </w:rPr>
        <w:t xml:space="preserve">:</w:t>
      </w:r>
      <w:r>
        <w:rPr>
          <w:rFonts w:ascii="Times New Roman" w:hAnsi="Times New Roman" w:eastAsia="Times New Roman" w:cs="Times New Roman"/>
          <w:color w:val="000000" w:themeColor="text1"/>
        </w:rPr>
        <w:t xml:space="preserve"> Kết nối giao thông đường bộ. Trục đường huyế</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rPr>
        <w:t xml:space="preserve"> mạch: Nằm trên mặt tiền đường Xuân Thủy – Cầu Giấy, dễ dàng di chuyển vào trung tâm thành phố hoặc đi các tỉnh phía Tây.Gần nút giao trọng điểm: Kết nối nhanh với tuyến Vành đai 3 (Phạm Hùng – Phạm Văn Đồng) và đường Hồ Tùng Mậu. Tiếp cận các địa điểm trọ</w:t>
      </w:r>
      <w:r>
        <w:rPr>
          <w:rFonts w:ascii="Times New Roman" w:hAnsi="Times New Roman" w:eastAsia="Times New Roman" w:cs="Times New Roman"/>
          <w:color w:val="000000" w:themeColor="text1"/>
        </w:rPr>
        <w:t xml:space="preserve">ng yế</w:t>
      </w:r>
      <w:r>
        <w:rPr>
          <w:rFonts w:ascii="Times New Roman" w:hAnsi="Times New Roman" w:eastAsia="Times New Roman" w:cs="Times New Roman"/>
          <w:color w:val="000000" w:themeColor="text1"/>
        </w:rPr>
        <w:t xml:space="preserve">u: Khoảng 2 phút đến bến xe Mỹ Đình. Khoảng 10–15 phút đến trung tâm hành chính mới phía Tây, Trung tâm Hội nghị Quốc gia và Hồ Tây. Khoảng 20–30 phút đến sân bay quốc tế Nội Bài và hồ Hoàn Kiếm. Kết nối giao thông công cộng Ga đường sắt đô thị: Nằm ngay đ</w:t>
      </w:r>
      <w:r>
        <w:rPr>
          <w:rFonts w:ascii="Times New Roman" w:hAnsi="Times New Roman" w:eastAsia="Times New Roman" w:cs="Times New Roman"/>
          <w:color w:val="000000" w:themeColor="text1"/>
        </w:rPr>
        <w:t xml:space="preserve">ố</w:t>
      </w:r>
      <w:r>
        <w:rPr>
          <w:rFonts w:ascii="Times New Roman" w:hAnsi="Times New Roman" w:eastAsia="Times New Roman" w:cs="Times New Roman"/>
          <w:color w:val="000000" w:themeColor="text1"/>
        </w:rPr>
        <w:t xml:space="preserve">i diện ga tàu điện Xuân Thủy (ga S7 thuộc tuyến Nhổn – Ga Hà Nội), thuận tiện cho việc di chuyển đô thị tương lai. Tuyến xe buýt: Mật độ tuyến xe buýt qua khu vực này rất cao, giúp kết nối nhanh chóng với các trường đại học, khu dân cư và các quận lân cận.</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3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b/>
          <w:bCs/>
          <w:color w:val="000000" w:themeColor="text1"/>
        </w:rPr>
        <w:t xml:space="preserve">Các phân khu</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color w:val="000000" w:themeColor="text1"/>
        </w:rPr>
        <w:t xml:space="preserve">Tháp văn phòng (Office Tower): Cao 11 tầng.: </w:t>
      </w:r>
      <w:r>
        <w:rPr>
          <w:rFonts w:ascii="Times New Roman" w:hAnsi="Times New Roman" w:eastAsia="Times New Roman" w:cs="Times New Roman"/>
          <w:color w:val="000000" w:themeColor="text1"/>
        </w:rPr>
        <w:t xml:space="preserve">Tháp căn hộ Đông (East Residential Tower): Cao 35 tầng: </w:t>
      </w:r>
      <w:r>
        <w:rPr>
          <w:rFonts w:ascii="Times New Roman" w:hAnsi="Times New Roman" w:eastAsia="Times New Roman" w:cs="Times New Roman"/>
          <w:color w:val="000000" w:themeColor="text1"/>
        </w:rPr>
        <w:t xml:space="preserve">Tháp căn hộ Tây (West Residential Tower): Cao 31 tầng: </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32"/>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IV. THÔNG TIN VỀ TÀI SẢN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Style w:val="1136"/>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177"/>
        <w:gridCol w:w="2553"/>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Tên tài sản</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Quyền sở hữu căn hộ chung cư số E12A06. Tòa tháp Đông - Indochina Plaza Hà Nội Số 241 Xuân Thủy, phường Dịch Vọng Hậu, quận  Cầu Giấy, thành phố Hà Nội (Nay là 241 Xuân Thủy, phường Cầu Giấy, thành phố Hà Nội). T</w:t>
            </w:r>
            <w:r>
              <w:rPr>
                <w:rFonts w:ascii="Times New Roman" w:hAnsi="Times New Roman" w:eastAsia="Times New Roman" w:cs="Times New Roman"/>
                <w:b/>
                <w:bCs/>
                <w:color w:val="000000" w:themeColor="text1"/>
              </w:rPr>
              <w:t xml:space="preserve">heo Giấy chứng nhận quyền sử dụng đất, quyền 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rFonts w:ascii="Times New Roman" w:hAnsi="Times New Roman" w:eastAsia="Times New Roman" w:cs="Times New Roman"/>
                <w:b/>
                <w:bCs/>
                <w:color w:val="000000" w:themeColor="text1"/>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Nội dung Thửa đất theo Hồ sơ pháp lý</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177"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Tờ bản đồ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553"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13</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rFonts w:ascii="Times New Roman" w:hAnsi="Times New Roman" w:cs="Times New Roman"/>
                <w:color w:val="000000" w:themeColor="text1"/>
              </w:rPr>
            </w:pPr>
            <w:r>
              <w:rPr>
                <w:rFonts w:ascii="Times New Roman" w:hAnsi="Times New Roman" w:eastAsia="Times New Roman" w:cs="Times New Roman"/>
                <w:color w:val="000000"/>
              </w:rPr>
              <w:t xml:space="preserve">Số 241 Xuân Thủy, phường Dịch Vọng Hậu, quận  Cầu Giấy, thành phố Hà Nội (Nay là 241 Xuân Thủy, phường Cầu Giấy, thành phố Hà Nội)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1044</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177"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553"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Sử dụng chung của các chủ sở hữu căn hộ chung cư, công trình xây dựng khác</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177"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Thời hạn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553"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93"/>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bCs/>
                <w:i/>
                <w:color w:val="000000" w:themeColor="text1"/>
              </w:rPr>
            </w:pPr>
            <w:r>
              <w:rPr>
                <w:rFonts w:ascii="Times New Roman" w:hAnsi="Times New Roman" w:eastAsia="Times New Roman" w:cs="Times New Roman"/>
                <w:i/>
                <w:iCs/>
                <w:color w:val="000000" w:themeColor="text1"/>
              </w:rPr>
              <w:t xml:space="preserve">-</w:t>
            </w:r>
            <w:r>
              <w:rPr>
                <w:rFonts w:ascii="Times New Roman" w:hAnsi="Times New Roman" w:cs="Times New Roman"/>
                <w:bCs/>
                <w:i/>
                <w:color w:val="000000" w:themeColor="text1"/>
              </w:rPr>
            </w:r>
            <w:r>
              <w:rPr>
                <w:rFonts w:ascii="Times New Roman" w:hAnsi="Times New Roman" w:cs="Times New Roman"/>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bCs/>
                <w:i/>
                <w:color w:val="000000" w:themeColor="text1"/>
              </w:rPr>
            </w:pPr>
            <w:r>
              <w:rPr>
                <w:rFonts w:ascii="Times New Roman" w:hAnsi="Times New Roman" w:eastAsia="Times New Roman" w:cs="Times New Roman"/>
                <w:i/>
                <w:iCs/>
                <w:color w:val="000000" w:themeColor="text1"/>
              </w:rPr>
              <w:t xml:space="preserve">Ghi chú:</w:t>
            </w:r>
            <w:r>
              <w:rPr>
                <w:rFonts w:ascii="Times New Roman" w:hAnsi="Times New Roman" w:cs="Times New Roman"/>
                <w:bCs/>
                <w:i/>
                <w:color w:val="000000" w:themeColor="text1"/>
              </w:rPr>
            </w:r>
            <w:r>
              <w:rPr>
                <w:rFonts w:ascii="Times New Roman" w:hAnsi="Times New Roman" w:cs="Times New Roman"/>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Style w:val="1132"/>
              <w:numPr>
                <w:ilvl w:val="0"/>
                <w:numId w:val="50"/>
              </w:numPr>
              <w:pBdr/>
              <w:spacing w:line="288" w:lineRule="auto"/>
              <w:ind w:right="73"/>
              <w:jc w:val="both"/>
              <w:rPr>
                <w:rFonts w:ascii="Times New Roman" w:hAnsi="Times New Roman" w:cs="Times New Roman"/>
                <w:bCs w:val="0"/>
                <w:i w:val="0"/>
                <w:color w:val="000000" w:themeColor="text1"/>
              </w:rPr>
            </w:pPr>
            <w:r>
              <w:rPr>
                <w:rFonts w:ascii="Times New Roman" w:hAnsi="Times New Roman" w:eastAsia="Times New Roman" w:cs="Times New Roman"/>
                <w:bCs/>
                <w:i w:val="0"/>
                <w:iCs w:val="0"/>
                <w:color w:val="000000" w:themeColor="text1"/>
              </w:rPr>
              <w:t xml:space="preserve">Số tờ, số thửa và sơ đồ sẽ được điều chỉnh ki có bản đồ địa chính chính quy.</w:t>
            </w:r>
            <w:r>
              <w:rPr>
                <w:rFonts w:ascii="Times New Roman" w:hAnsi="Times New Roman" w:cs="Times New Roman"/>
                <w:bCs w:val="0"/>
                <w:i w:val="0"/>
                <w:color w:val="000000" w:themeColor="text1"/>
              </w:rPr>
            </w:r>
            <w:r>
              <w:rPr>
                <w:rFonts w:ascii="Times New Roman" w:hAnsi="Times New Roman" w:cs="Times New Roman"/>
                <w:bCs w:val="0"/>
                <w:i w:val="0"/>
                <w:color w:val="000000" w:themeColor="text1"/>
              </w:rPr>
            </w:r>
          </w:p>
          <w:p>
            <w:pPr>
              <w:pStyle w:val="1132"/>
              <w:numPr>
                <w:ilvl w:val="0"/>
                <w:numId w:val="50"/>
              </w:numPr>
              <w:pBdr/>
              <w:spacing w:line="288" w:lineRule="auto"/>
              <w:ind w:right="73"/>
              <w:jc w:val="both"/>
              <w:rPr>
                <w:rFonts w:ascii="Times New Roman" w:hAnsi="Times New Roman" w:cs="Times New Roman"/>
                <w:bCs w:val="0"/>
                <w:i w:val="0"/>
                <w:color w:val="000000" w:themeColor="text1"/>
              </w:rPr>
            </w:pPr>
            <w:r>
              <w:rPr>
                <w:rFonts w:ascii="Times New Roman" w:hAnsi="Times New Roman" w:eastAsia="Times New Roman" w:cs="Times New Roman"/>
                <w:bCs/>
                <w:i w:val="0"/>
                <w:iCs w:val="0"/>
                <w:color w:val="000000" w:themeColor="text1"/>
                <w:highlight w:val="none"/>
              </w:rPr>
              <w:t xml:space="preserve">Giấy chứng nhận này được cấp lại từ Giấy chứng nhận quyền sử dụng đất quyển sở hữu nhà ở và tài sản khác gắn liền với đất số BY 689352 do Sở tài nguyên và môi trường Hà Nội cấp ngày 14/04/2015 do nhận chuyển nhượng.</w:t>
            </w:r>
            <w:r>
              <w:rPr>
                <w:rFonts w:ascii="Times New Roman" w:hAnsi="Times New Roman" w:cs="Times New Roman"/>
                <w:bCs w:val="0"/>
                <w:i w:val="0"/>
                <w:color w:val="000000" w:themeColor="text1"/>
              </w:rPr>
            </w:r>
            <w:r>
              <w:rPr>
                <w:rFonts w:ascii="Times New Roman" w:hAnsi="Times New Roman" w:cs="Times New Roman"/>
                <w:bCs w:val="0"/>
                <w:i w:val="0"/>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trên bản đồ vệ tinh: </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t xml:space="preserve">21.036244991208</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t xml:space="preserve">105.78244122283</w:t>
            </w:r>
            <w:r>
              <w:rPr>
                <w:rFonts w:ascii="Times New Roman" w:hAnsi="Times New Roman" w:eastAsia="Times New Roman" w:cs="Times New Roman"/>
                <w:color w:val="000000"/>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rPr>
              <mc:AlternateContent>
                <mc:Choice Requires="wpg">
                  <w:drawing>
                    <wp:inline xmlns:wp="http://schemas.openxmlformats.org/drawingml/2006/wordprocessingDrawing" distT="0" distB="0" distL="0" distR="0">
                      <wp:extent cx="6562624" cy="2540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6562624"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516.74pt;height:200.00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Thông tin về căn hộ</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73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thông thuỷ (m²):</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92,7</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sở hữu:</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Sở hữu riêng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177"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553" w:type="dxa"/>
            <w:vAlign w:val="center"/>
            <w:textDirection w:val="lrTb"/>
            <w:noWrap w:val="false"/>
          </w:tcPr>
          <w:p>
            <w:pPr>
              <w:pBdr/>
              <w:spacing w:line="288" w:lineRule="auto"/>
              <w:ind w:left="142"/>
              <w:jc w:val="lef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Tài sản là căn hộ </w:t>
            </w:r>
            <w:r>
              <w:rPr>
                <w:rFonts w:ascii="Times New Roman" w:hAnsi="Times New Roman" w:eastAsia="Times New Roman" w:cs="Times New Roman"/>
                <w:color w:val="000000" w:themeColor="text1"/>
              </w:rPr>
              <w:t xml:space="preserve">chung cư</w:t>
            </w:r>
            <w:r>
              <w:rPr>
                <w:rFonts w:ascii="Times New Roman" w:hAnsi="Times New Roman" w:eastAsia="Times New Roman" w:cs="Times New Roman"/>
                <w:color w:val="000000" w:themeColor="text1"/>
              </w:rPr>
              <w:t xml:space="preserve"> tại Tòa tháp Đông - Indochina Plaza Hà Nội Dự án Indochina Plaza IPH chủ đầu tư Indochina Land</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tầng: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Tầng 13/35</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177"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Loại căn: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553"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 mặt thoáng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Hướng cửa:</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highlight w:val="yellow"/>
              </w:rPr>
            </w:pPr>
            <w:r>
              <w:rPr>
                <w:rFonts w:ascii="Times New Roman" w:hAnsi="Times New Roman" w:eastAsia="Times New Roman" w:cs="Times New Roman"/>
                <w:color w:val="000000" w:themeColor="text1"/>
                <w:highlight w:val="none"/>
              </w:rPr>
              <w:t xml:space="preserve">Tây Bắc</w:t>
            </w:r>
            <w:r>
              <w:rPr>
                <w:rFonts w:ascii="Times New Roman" w:hAnsi="Times New Roman" w:cs="Times New Roman"/>
                <w:color w:val="000000" w:themeColor="text1"/>
                <w:highlight w:val="yellow"/>
              </w:rPr>
            </w:r>
            <w:r>
              <w:rPr>
                <w:rFonts w:ascii="Times New Roman" w:hAnsi="Times New Roman" w:cs="Times New Roman"/>
                <w:color w:val="000000" w:themeColor="text1"/>
                <w:highlight w:val="yellow"/>
              </w:rPr>
            </w:r>
          </w:p>
        </w:tc>
        <w:tc>
          <w:tcPr>
            <w:shd w:val="clear" w:color="ffffff" w:fill="ffffff"/>
            <w:tcBorders/>
            <w:tcMar>
              <w:left w:w="0" w:type="dxa"/>
              <w:top w:w="0" w:type="dxa"/>
              <w:right w:w="0" w:type="dxa"/>
              <w:bottom w:w="0" w:type="dxa"/>
            </w:tcMar>
            <w:tcW w:w="2177" w:type="dxa"/>
            <w:vAlign w:val="center"/>
            <w:textDirection w:val="lrTb"/>
            <w:noWrap w:val="false"/>
          </w:tcPr>
          <w:p>
            <w:pPr>
              <w:pBdr/>
              <w:spacing w:line="288" w:lineRule="auto"/>
              <w:ind w:left="142"/>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highlight w:val="white"/>
              </w:rPr>
              <w:t xml:space="preserve">Hướng ban công:</w:t>
            </w:r>
            <w:r>
              <w:rPr>
                <w:rFonts w:ascii="Times New Roman" w:hAnsi="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ffffff" w:fill="ffffff"/>
            <w:tcBorders/>
            <w:tcMar>
              <w:left w:w="0" w:type="dxa"/>
              <w:top w:w="0" w:type="dxa"/>
              <w:right w:w="0" w:type="dxa"/>
              <w:bottom w:w="0" w:type="dxa"/>
            </w:tcMar>
            <w:tcW w:w="2553" w:type="dxa"/>
            <w:vAlign w:val="center"/>
            <w:textDirection w:val="lrTb"/>
            <w:noWrap w:val="false"/>
          </w:tcPr>
          <w:p>
            <w:pPr>
              <w:pBdr/>
              <w:spacing w:line="288" w:lineRule="auto"/>
              <w:ind w:left="142"/>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highlight w:val="white"/>
              </w:rPr>
              <w:t xml:space="preserve">Đông Nam</w:t>
            </w:r>
            <w:r>
              <w:rPr>
                <w:rFonts w:ascii="Times New Roman" w:hAnsi="Times New Roman" w:cs="Times New Roman"/>
                <w:color w:val="000000" w:themeColor="text1"/>
                <w:highlight w:val="white"/>
              </w:rPr>
            </w:r>
            <w:r>
              <w:rPr>
                <w:rFonts w:ascii="Times New Roman" w:hAnsi="Times New Roman" w:cs="Times New Roman"/>
                <w:color w:val="000000" w:themeColor="text1"/>
                <w:highlight w:val="white"/>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Cấu trúc: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2 phòng ngủ, 2 nhà vệ sinh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177"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Nội thất: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553"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Cao cấp</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View/Cảnh quan:</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 khu dân cư</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Điều kiện kinh doanh; Hạ tầng nội bộ; Hạ tầng xung quanh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 có lợi thế thương mại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177"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Khả năng chuyển nhượng: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553"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Tốt</w:t>
            </w:r>
            <w:r>
              <w:rPr>
                <w:rFonts w:ascii="Times New Roman" w:hAnsi="Times New Roman" w:cs="Times New Roman"/>
                <w:color w:val="000000" w:themeColor="text1"/>
              </w:rPr>
            </w:r>
            <w:r>
              <w:rPr>
                <w:rFonts w:ascii="Times New Roman" w:hAnsi="Times New Roman" w:cs="Times New Roman"/>
                <w:color w:val="000000" w:themeColor="text1"/>
              </w:rPr>
            </w:r>
          </w:p>
        </w:tc>
      </w:tr>
    </w:tbl>
    <w:p>
      <w:pPr>
        <w:pBdr/>
        <w:spacing w:line="276" w:lineRule="auto"/>
        <w:ind w:left="646"/>
        <w:jc w:val="both"/>
        <w:rPr>
          <w:rFonts w:ascii="Times New Roman" w:hAnsi="Times New Roman" w:cs="Times New Roman"/>
          <w:color w:val="000000" w:themeColor="text1"/>
          <w:u w:val="single"/>
        </w:rPr>
      </w:pPr>
      <w:r>
        <w:rPr>
          <w:rFonts w:ascii="Times New Roman" w:hAnsi="Times New Roman" w:eastAsia="Times New Roman" w:cs="Times New Roman"/>
          <w:color w:val="000000" w:themeColor="text1"/>
          <w:u w:val="single"/>
        </w:rPr>
      </w:r>
      <w:r>
        <w:rPr>
          <w:rFonts w:ascii="Times New Roman" w:hAnsi="Times New Roman" w:cs="Times New Roman"/>
          <w:color w:val="000000" w:themeColor="text1"/>
          <w:u w:val="single"/>
        </w:rPr>
      </w:r>
      <w:r>
        <w:rPr>
          <w:rFonts w:ascii="Times New Roman" w:hAnsi="Times New Roman" w:cs="Times New Roman"/>
          <w:color w:val="000000" w:themeColor="text1"/>
          <w:u w:val="single"/>
        </w:rPr>
      </w:r>
    </w:p>
    <w:p>
      <w:pPr>
        <w:pBdr/>
        <w:spacing w:line="276" w:lineRule="auto"/>
        <w:ind/>
        <w:rPr>
          <w:rFonts w:ascii="Times New Roman" w:hAnsi="Times New Roman" w:cs="Times New Roman"/>
          <w:b/>
          <w:bCs/>
          <w:color w:val="000000" w:themeColor="text1"/>
          <w:shd w:val="clear" w:color="auto" w:fill="ffffff"/>
        </w:rPr>
      </w:pPr>
      <w:r>
        <w:rPr>
          <w:rFonts w:ascii="Times New Roman" w:hAnsi="Times New Roman" w:eastAsia="Times New Roman" w:cs="Times New Roman"/>
          <w:b/>
          <w:bCs/>
          <w:color w:val="000000" w:themeColor="text1"/>
          <w:shd w:val="clear" w:color="auto" w:fill="ffffff"/>
        </w:rPr>
        <w:t xml:space="preserve">Bảng ghi chú thay đổi giữa khảo sát thực trạng và pháp lý tài sản:</w:t>
      </w:r>
      <w:r>
        <w:rPr>
          <w:rFonts w:ascii="Times New Roman" w:hAnsi="Times New Roman" w:cs="Times New Roman"/>
          <w:b/>
          <w:bCs/>
          <w:color w:val="000000" w:themeColor="text1"/>
          <w:shd w:val="clear" w:color="auto" w:fill="ffffff"/>
        </w:rPr>
      </w:r>
      <w:r>
        <w:rPr>
          <w:rFonts w:ascii="Times New Roman" w:hAnsi="Times New Roman" w:cs="Times New Roman"/>
          <w:b/>
          <w:bCs/>
          <w:color w:val="000000" w:themeColor="text1"/>
          <w:shd w:val="clear" w:color="auto" w:fill="ffffff"/>
        </w:rPr>
      </w:r>
    </w:p>
    <w:tbl>
      <w:tblPr>
        <w:tblStyle w:val="1136"/>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STT</w:t>
            </w:r>
            <w:r>
              <w:rPr>
                <w:rFonts w:ascii="Times New Roman" w:hAnsi="Times New Roman" w:cs="Times New Roman"/>
                <w:b/>
                <w:bCs/>
              </w:rPr>
            </w:r>
            <w:r>
              <w:rPr>
                <w:rFonts w:ascii="Times New Roman" w:hAnsi="Times New Roman" w:cs="Times New Roman"/>
                <w:b/>
                <w:bCs/>
              </w:rPr>
            </w:r>
          </w:p>
        </w:tc>
        <w:tc>
          <w:tcPr>
            <w:tcBorders/>
            <w:tcW w:w="1663"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Các yếu tố</w:t>
            </w:r>
            <w:r>
              <w:rPr>
                <w:rFonts w:ascii="Times New Roman" w:hAnsi="Times New Roman" w:cs="Times New Roman"/>
                <w:b/>
                <w:bCs/>
              </w:rPr>
            </w:r>
            <w:r>
              <w:rPr>
                <w:rFonts w:ascii="Times New Roman" w:hAnsi="Times New Roman" w:cs="Times New Roman"/>
                <w:b/>
                <w:bCs/>
              </w:rPr>
            </w:r>
          </w:p>
        </w:tc>
        <w:tc>
          <w:tcPr>
            <w:tcBorders/>
            <w:tcW w:w="1560"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Thông tin TSTĐ</w:t>
            </w:r>
            <w:r>
              <w:rPr>
                <w:rFonts w:ascii="Times New Roman" w:hAnsi="Times New Roman" w:cs="Times New Roman"/>
                <w:b/>
                <w:bCs/>
              </w:rPr>
            </w:r>
            <w:r>
              <w:rPr>
                <w:rFonts w:ascii="Times New Roman" w:hAnsi="Times New Roman" w:cs="Times New Roman"/>
                <w:b/>
                <w:bCs/>
              </w:rPr>
            </w:r>
          </w:p>
        </w:tc>
        <w:tc>
          <w:tcPr>
            <w:tcBorders/>
            <w:tcW w:w="1605"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Thông tin khảo sát</w:t>
            </w:r>
            <w:r>
              <w:rPr>
                <w:rFonts w:ascii="Times New Roman" w:hAnsi="Times New Roman" w:cs="Times New Roman"/>
                <w:b/>
                <w:bCs/>
              </w:rPr>
            </w:r>
            <w:r>
              <w:rPr>
                <w:rFonts w:ascii="Times New Roman" w:hAnsi="Times New Roman" w:cs="Times New Roman"/>
                <w:b/>
                <w:bCs/>
              </w:rPr>
            </w:r>
          </w:p>
        </w:tc>
        <w:tc>
          <w:tcPr>
            <w:tcBorders/>
            <w:tcW w:w="1371"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Chênh lệch</w:t>
            </w:r>
            <w:r>
              <w:rPr>
                <w:rFonts w:ascii="Times New Roman" w:hAnsi="Times New Roman" w:cs="Times New Roman"/>
                <w:b/>
                <w:bCs/>
              </w:rPr>
            </w:r>
            <w:r>
              <w:rPr>
                <w:rFonts w:ascii="Times New Roman" w:hAnsi="Times New Roman" w:cs="Times New Roman"/>
                <w:b/>
                <w:bCs/>
              </w:rPr>
            </w:r>
          </w:p>
        </w:tc>
        <w:tc>
          <w:tcPr>
            <w:tcBorders/>
            <w:tcW w:w="2149"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Nguyên nhân</w:t>
            </w:r>
            <w:r>
              <w:rPr>
                <w:rFonts w:ascii="Times New Roman" w:hAnsi="Times New Roman" w:cs="Times New Roman"/>
                <w:b/>
                <w:bCs/>
              </w:rPr>
            </w:r>
            <w:r>
              <w:rPr>
                <w:rFonts w:ascii="Times New Roman" w:hAnsi="Times New Roman" w:cs="Times New Roman"/>
                <w:b/>
                <w:bCs/>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Pháp lý</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Giấy chứng nhận quyền sử dụng đất, quyền sở hữu nhà ở và tài sản gắn liền với đất</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Giấy chứng nhận quyền sử dụng đất, quyền sở hữu nhà ở và tài sản gắn liền với đất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Địa chỉ theo pháp lý</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241 Xuân Thủy, phường DỊch Vọng Hậu, quận cầu Giâý, thành phố Hà Nội</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241 Xuân Thủy, phường DỊch Vọng Hậu, quận cầu Giâý, thành phố Hà Nội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3</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Loại đất</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Đất ở tại đô thị</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Đất ở tại đô thị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4</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Thời hạn sử dụng đất</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Lâu dài</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Lâu dài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5</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Dự án</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Indochina Plaza IPH</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Indochina Plaza IPH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6</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Tòa chung cư</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Tòa tháp Đông - Indochina Plaza Hà Nội</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Tòa tháp Đông - Indochina Plaza Hà Nội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7</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Địa chỉ</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241 Xuân Thủy, phường Dịch Vọng Hậu, quận  Cầu Giấy, thành phố Hà Nội</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241 Xuân Thủy, phường Dịch Vọng Hậu, quận  Cầu Giấy, thành phố Hà Nội (Nay là 241 Xuân Thủy, phường Cầu Giấy, thành phố Hà Nội)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8</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Tọa độ</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105.78244122283, 21.036244991208</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105.78244122283, 21.036244991208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9</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Loại căn hộ</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Phổ thông</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Phổ thông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10</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Vị trí</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Tài sản là căn hộ chung cư tại Tòa tháp Đông - Indochina Plaza Hà Nội Dự án Indochina Plaza IPH chủ đầu tư Indochina Land</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241 Xuân Thủy, phường Dịch Vọng Hậu, quận  Cầu Giấy, thành phố Hà Nội (Nay là 241 Xuân Thủy, phường Cầu Giấy, thành phố Hà Nội)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Có</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11</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Năm hoàn thành dự án</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2012</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2012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12</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Tuổi đời</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14</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14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13</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Tổng số lượng căn hộ</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203</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203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14</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lượng thang máy</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3</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3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15</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căn hộ trên thang máy</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68</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67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Có</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16</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tầng tòa chung cư</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35</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35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17</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căn hộ trên sàn</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5</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5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18</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Diện tích sàn</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92,7</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92,7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19</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lượng mặt thoáng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 mặt thoáng</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 mặt thoáng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20</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Tầng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13</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13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21</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Nhóm tầng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Trung</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Trung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22</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Hướng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Đông Nam</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Đông Nam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23</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phòng ngủ</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24</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Số phòng vệ sinh</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25</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Nội thất</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Cao cấp</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Cao cấp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26</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 gian chung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 gian mở, mọi thứ dùng chung với khu dân cư, biệt thự, hoặc các khu khác cùng chủ đầu tư</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 gian mở, mọi thứ dùng chung với khu dân cư, biệt thự, hoặc các khu khác cùng chủ đầu tư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27</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Lợi thế thương mại</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 có lợi thế thương mại ✔</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Có</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28</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Bất lợi thương mại</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Không có bất lợi thương mại ✔</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t xml:space="preserve">Có</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bl>
    <w:p>
      <w:pPr>
        <w:pStyle w:val="1132"/>
        <w:pBdr/>
        <w:tabs>
          <w:tab w:val="left" w:leader="none" w:pos="993"/>
        </w:tabs>
        <w:spacing w:after="120" w:before="24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bCs/>
          <w:color w:val="000000" w:themeColor="text1"/>
          <w:lang w:val="pt-BR"/>
        </w:rPr>
        <w:t xml:space="preserve">V. CÁC GIẢ THIẾT VÀ GIẢ THIẾT ĐẶC BIỆT</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Chúng tôi giả định rằng tài sản thẩm định giá không xảy ra tranh chấp, </w:t>
      </w:r>
      <w:r>
        <w:rPr>
          <w:rFonts w:ascii="Times New Roman" w:hAnsi="Times New Roman" w:eastAsia="Times New Roman" w:cs="Times New Roman"/>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Style w:val="1132"/>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VI. CƠ SỞ GIÁ TRỊ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32"/>
        <w:numPr>
          <w:ilvl w:val="0"/>
          <w:numId w:val="3"/>
        </w:numPr>
        <w:pBdr/>
        <w:tabs>
          <w:tab w:val="left" w:leader="none" w:pos="993"/>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spacing w:val="-2"/>
          <w:lang w:val="pt-BR"/>
        </w:rPr>
        <w:t xml:space="preserve">Giá trị thị trường:</w:t>
      </w:r>
      <w:r>
        <w:rPr>
          <w:rFonts w:ascii="Times New Roman" w:hAnsi="Times New Roman" w:eastAsia="Times New Roman" w:cs="Times New Roman"/>
          <w:color w:val="000000" w:themeColor="text1"/>
          <w:spacing w:val="-2"/>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iCs/>
          <w:color w:val="000000" w:themeColor="text1"/>
          <w:spacing w:val="-2"/>
          <w:lang w:val="pt-BR"/>
        </w:rPr>
        <w:t xml:space="preserve">“Giá trị thị trường là khoản tiền ước t</w:t>
      </w:r>
      <w:r>
        <w:rPr>
          <w:rFonts w:ascii="Times New Roman" w:hAnsi="Times New Roman" w:eastAsia="Times New Roman" w:cs="Times New Roman"/>
          <w:i/>
          <w:iCs/>
          <w:color w:val="000000" w:themeColor="text1"/>
          <w:spacing w:val="-2"/>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i/>
          <w:iCs/>
          <w:color w:val="000000" w:themeColor="text1"/>
          <w:lang w:val="pt-BR"/>
        </w:rPr>
        <w:t xml:space="preserve">”</w:t>
      </w:r>
      <w:r>
        <w:rPr>
          <w:rFonts w:ascii="Times New Roman" w:hAnsi="Times New Roman" w:eastAsia="Times New Roman" w:cs="Times New Roman"/>
          <w:i/>
          <w:iCs/>
          <w:color w:val="000000" w:themeColor="text1"/>
          <w:lang w:val="pt-BR"/>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 CÁCH TIẾP CẬN, PHƯƠNG PHÁP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Cách tiếp cận và phương pháp thẩm định:</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3"/>
        </w:numPr>
        <w:pBdr/>
        <w:tabs>
          <w:tab w:val="left" w:leader="none" w:pos="993"/>
        </w:tabs>
        <w:spacing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Cách tiếp cận từ thị trường: </w:t>
      </w:r>
      <w:r>
        <w:rPr>
          <w:rFonts w:ascii="Times New Roman" w:hAnsi="Times New Roman" w:eastAsia="Times New Roman" w:cs="Times New Roman"/>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32"/>
        <w:numPr>
          <w:ilvl w:val="0"/>
          <w:numId w:val="3"/>
        </w:numPr>
        <w:pBdr/>
        <w:tabs>
          <w:tab w:val="left" w:leader="none" w:pos="993"/>
        </w:tabs>
        <w:spacing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Phương pháp so sánh:</w:t>
      </w:r>
      <w:r>
        <w:rPr>
          <w:rFonts w:ascii="Times New Roman" w:hAnsi="Times New Roman" w:eastAsia="Times New Roman" w:cs="Times New Roman"/>
          <w:bCs/>
          <w:color w:val="000000" w:themeColor="text1"/>
          <w:lang w:val="pt-BR"/>
        </w:rPr>
        <w:t xml:space="preserve"> Xác đị</w:t>
      </w:r>
      <w:r>
        <w:rPr>
          <w:rFonts w:ascii="Times New Roman" w:hAnsi="Times New Roman" w:eastAsia="Times New Roman" w:cs="Times New Roman"/>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32"/>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cách tiếp cận và phương pháp đối với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3"/>
        </w:numPr>
        <w:pBdr/>
        <w:spacing w:after="120" w:before="120" w:line="276" w:lineRule="auto"/>
        <w:ind w:left="35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pt-BR"/>
        </w:rPr>
        <w:t xml:space="preserve">Căn c</w:t>
      </w:r>
      <w:r>
        <w:rPr>
          <w:rFonts w:ascii="Times New Roman" w:hAnsi="Times New Roman" w:eastAsia="Times New Roman" w:cs="Times New Roman"/>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p>
      <w:pPr>
        <w:pStyle w:val="1132"/>
        <w:pBdr/>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VIII. GIÁ TRỊ TÀI SẢN THẨM ĐỊNH</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đơn giá quyền sử dụng đất:</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pBdr/>
        <w:spacing w:after="120" w:before="120" w:line="276" w:lineRule="auto"/>
        <w:ind w:firstLine="357" w:left="0"/>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32"/>
        <w:numPr>
          <w:ilvl w:val="0"/>
          <w:numId w:val="6"/>
        </w:numPr>
        <w:pBdr/>
        <w:tabs>
          <w:tab w:val="left" w:leader="none" w:pos="720"/>
        </w:tabs>
        <w:spacing w:after="120" w:before="120" w:line="276" w:lineRule="auto"/>
        <w:ind w:left="36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Thông tin tài sản so sánh:</w:t>
      </w:r>
      <w:r>
        <w:rPr>
          <w:rFonts w:ascii="Times New Roman" w:hAnsi="Times New Roman" w:cs="Times New Roman"/>
          <w:b/>
          <w:color w:val="000000" w:themeColor="text1"/>
        </w:rPr>
      </w:r>
      <w:r>
        <w:rPr>
          <w:rFonts w:ascii="Times New Roman" w:hAnsi="Times New Roman" w:cs="Times New Roman"/>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69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sz w:val="22"/>
                <w:szCs w:val="22"/>
              </w:rPr>
            </w:r>
            <w:r>
              <w:rPr>
                <w:rFonts w:ascii="Times New Roman" w:hAnsi="Times New Roman" w:cs="Times New Roman"/>
                <w:sz w:val="22"/>
                <w:szCs w:val="22"/>
              </w:rPr>
            </w:r>
          </w:p>
        </w:tc>
      </w:tr>
      <w:tr>
        <w:trPr>
          <w:trHeight w:val="154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https://batdongsan.com.vn/ban-can-ho-chung-cu-duong-xuan-thuy-phuong-dich-vong-hau-prj-indochina-plaza-hanoi/chinh-chu-ban-gap-145m2-gom-3pn2wc-ful-noi-that-cao-cap-nhap-khau-so-do-san-chu-thien-chi-pr43031858</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https://batdongsan.com.vn/ban-can-ho-chung-cu-duong-xuan-thuy-phuong-dich-vong-hau-prj-indochina-plaza-hanoi/chinh-chu-ban-gap-145m2-gom-3pn2wc-ful-noi-that-cao-cap-nhap-khau-so-do-san-chu-thien-chi-pr43031858</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0967537246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Hoàng duy</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0967537246</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Hoàng duy</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0775190856</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anh Thành</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08/2026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08/2026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08/2026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highlight w:val="yellow"/>
              </w:rPr>
            </w:r>
            <w:r>
              <w:rPr>
                <w:rFonts w:ascii="Times New Roman" w:hAnsi="Times New Roman" w:cs="Times New Roman"/>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highlight w:val="yellow"/>
              </w:rPr>
            </w:r>
            <w:r>
              <w:rPr>
                <w:rFonts w:ascii="Times New Roman" w:hAnsi="Times New Roman" w:cs="Times New Roman"/>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highlight w:val="yellow"/>
              </w:rPr>
            </w:r>
            <w:r>
              <w:rPr>
                <w:rFonts w:ascii="Times New Roman" w:hAnsi="Times New Roman" w:cs="Times New Roman"/>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w:t>
            </w:r>
            <w:r>
              <w:rPr>
                <w:rFonts w:ascii="Times New Roman" w:hAnsi="Times New Roman" w:eastAsia="Times New Roman" w:cs="Times New Roman"/>
                <w:color w:val="000000" w:themeColor="text1"/>
                <w:sz w:val="22"/>
                <w:szCs w:val="22"/>
              </w:rPr>
              <w:t xml:space="preserve">ài sản là căn hộ chung cư tại Tòa tháp Đông - Indochina Plaza Hà Nội Dự án Indochina Plaza IPH chủ đầu tư Indochina Land</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Mô tả 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Tuổi đời – hiện trạng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92,7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92,7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13, 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10, 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22, Thuộc nhóm tầng: Cao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10, 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Đông Nam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Nam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Nam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Nam</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 2N 2WC 1K, 1B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 2N 2WC 1K 1B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Cao cấp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Các bất lợi của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11.800.000.000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thương lượng/bán (đồng) (đã giảm trừ giá trị nội thất nếu có)</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9.350.000.000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10.030.000.000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9.350.000.000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Đơn giá QSD căn hộ (đồng/m2)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Mô tả 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Tuổi đời – hiện trạng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pPr>
        <w:pBdr/>
        <w:tabs>
          <w:tab w:val="left" w:leader="none" w:pos="90"/>
          <w:tab w:val="left" w:leader="none" w:pos="180"/>
        </w:tabs>
        <w:spacing w:after="120" w:before="120" w:line="264"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it-IT"/>
        </w:rPr>
        <w:t xml:space="preserve">Các yếu tố như</w:t>
      </w:r>
      <w:r>
        <w:rPr>
          <w:rFonts w:ascii="Times New Roman" w:hAnsi="Times New Roman" w:eastAsia="Times New Roman" w:cs="Times New Roman"/>
          <w:color w:val="000000" w:themeColor="text1"/>
          <w:lang w:val="vi-VN"/>
        </w:rPr>
        <w:t xml:space="preserve"> vị trí, giao thông, diện tích, </w:t>
      </w:r>
      <w:r>
        <w:rPr>
          <w:rFonts w:ascii="Times New Roman" w:hAnsi="Times New Roman" w:eastAsia="Times New Roman" w:cs="Times New Roman"/>
          <w:color w:val="000000" w:themeColor="text1"/>
        </w:rPr>
        <w:t xml:space="preserve">hình dáng, </w:t>
      </w:r>
      <w:r>
        <w:rPr>
          <w:rFonts w:ascii="Times New Roman" w:hAnsi="Times New Roman" w:eastAsia="Times New Roman" w:cs="Times New Roman"/>
          <w:color w:val="000000" w:themeColor="text1"/>
          <w:lang w:val="vi-VN"/>
        </w:rPr>
        <w:t xml:space="preserve">hạ tầng kỹ thuật và hạ tầng xã hội</w:t>
      </w:r>
      <w:r>
        <w:rPr>
          <w:rFonts w:ascii="Times New Roman" w:hAnsi="Times New Roman" w:eastAsia="Times New Roman" w:cs="Times New Roman"/>
          <w:color w:val="000000" w:themeColor="text1"/>
          <w:lang w:val="it-IT"/>
        </w:rPr>
        <w:t xml:space="preserve">… làm ảnh hưởng đến giá trị của </w:t>
      </w:r>
      <w:r>
        <w:rPr>
          <w:rFonts w:ascii="Times New Roman" w:hAnsi="Times New Roman" w:eastAsia="Times New Roman" w:cs="Times New Roman"/>
          <w:color w:val="000000" w:themeColor="text1"/>
        </w:rPr>
        <w:t xml:space="preserve">thửa</w:t>
      </w:r>
      <w:r>
        <w:rPr>
          <w:rFonts w:ascii="Times New Roman" w:hAnsi="Times New Roman" w:eastAsia="Times New Roman" w:cs="Times New Roman"/>
          <w:color w:val="000000" w:themeColor="text1"/>
          <w:lang w:val="vi-VN"/>
        </w:rPr>
        <w:t xml:space="preserve"> đất</w:t>
      </w:r>
      <w:r>
        <w:rPr>
          <w:rFonts w:ascii="Times New Roman" w:hAnsi="Times New Roman" w:eastAsia="Times New Roman" w:cs="Times New Roman"/>
          <w:color w:val="000000" w:themeColor="text1"/>
          <w:lang w:val="it-IT"/>
        </w:rPr>
        <w:t xml:space="preserve">. Mỗi yếu tố đóng góp một tỷ lệ nhất định vào giá trị của </w:t>
      </w:r>
      <w:r>
        <w:rPr>
          <w:rFonts w:ascii="Times New Roman" w:hAnsi="Times New Roman" w:eastAsia="Times New Roman" w:cs="Times New Roman"/>
          <w:color w:val="000000" w:themeColor="text1"/>
          <w:lang w:val="vi-VN"/>
        </w:rPr>
        <w:t xml:space="preserve">thửa đất</w:t>
      </w:r>
      <w:r>
        <w:rPr>
          <w:rFonts w:ascii="Times New Roman" w:hAnsi="Times New Roman" w:eastAsia="Times New Roman" w:cs="Times New Roman"/>
          <w:color w:val="000000" w:themeColor="text1"/>
          <w:lang w:val="it-IT"/>
        </w:rPr>
        <w:t xml:space="preserve">. Vì vậy, </w:t>
      </w:r>
      <w:r>
        <w:rPr>
          <w:rFonts w:ascii="Times New Roman" w:hAnsi="Times New Roman" w:eastAsia="Times New Roman" w:cs="Times New Roman"/>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cs="Times New Roman"/>
          <w:b/>
          <w:color w:val="000000" w:themeColor="text1"/>
        </w:rPr>
      </w:r>
      <w:r>
        <w:rPr>
          <w:rFonts w:ascii="Times New Roman" w:hAnsi="Times New Roman" w:cs="Times New Roman"/>
          <w:b/>
          <w:color w:val="000000" w:themeColor="text1"/>
        </w:rPr>
      </w:r>
    </w:p>
    <w:p>
      <w:pPr>
        <w:pBdr/>
        <w:tabs>
          <w:tab w:val="left" w:leader="none" w:pos="90"/>
          <w:tab w:val="left" w:leader="none" w:pos="180"/>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color w:val="000000" w:themeColor="text1"/>
          <w:lang w:val="vi-VN"/>
        </w:rPr>
        <w:t xml:space="preserve">thẩm </w:t>
      </w:r>
      <w:r>
        <w:rPr>
          <w:rFonts w:ascii="Times New Roman" w:hAnsi="Times New Roman" w:eastAsia="Times New Roman" w:cs="Times New Roman"/>
          <w:color w:val="000000" w:themeColor="text1"/>
          <w:lang w:val="it-IT"/>
        </w:rPr>
        <w:t xml:space="preserve">định giá thì giữ nguyên mức giá của tài sản so sánh (không điều chỉnh).</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6"/>
        </w:numPr>
        <w:pBdr/>
        <w:tabs>
          <w:tab w:val="left" w:leader="none" w:pos="720"/>
        </w:tabs>
        <w:spacing w:after="120" w:before="120" w:line="276" w:lineRule="auto"/>
        <w:ind w:hanging="284" w:left="284"/>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Bảng điều chỉnh:</w:t>
      </w:r>
      <w:r>
        <w:rPr>
          <w:rFonts w:ascii="Times New Roman" w:hAnsi="Times New Roman" w:cs="Times New Roman"/>
          <w:b/>
          <w:color w:val="000000" w:themeColor="text1"/>
        </w:rPr>
      </w:r>
      <w:r>
        <w:rPr>
          <w:rFonts w:ascii="Times New Roman" w:hAnsi="Times New Roman" w:cs="Times New Roman"/>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41"/>
        <w:gridCol w:w="989"/>
        <w:gridCol w:w="1420"/>
        <w:gridCol w:w="1559"/>
        <w:gridCol w:w="1701"/>
        <w:gridCol w:w="1656"/>
      </w:tblGrid>
      <w:tr>
        <w:trPr>
          <w:trHeight w:val="20"/>
          <w:tblHeader/>
        </w:trPr>
        <w:tc>
          <w:tcPr>
            <w:shd w:val="clear" w:color="000000" w:fill="ffffff"/>
            <w:tcBorders/>
            <w:tcW w:w="737"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6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 tố so 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vị tính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Giá trị BĐS thị trường (Ước </w:t>
            </w:r>
            <w:r>
              <w:rPr>
                <w:rFonts w:ascii="Times New Roman" w:hAnsi="Times New Roman" w:eastAsia="Times New Roman" w:cs="Times New Roman"/>
                <w:b/>
                <w:color w:val="000000" w:themeColor="text1"/>
                <w:sz w:val="22"/>
              </w:rPr>
              <w:t xml:space="preserve">tính trước điều chỉnh)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9.349.999.962</w:t>
            </w:r>
            <w:r>
              <w:rPr>
                <w:rFonts w:ascii="Times New Roman" w:hAnsi="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10.029.999.966</w:t>
            </w:r>
            <w:r>
              <w:rPr>
                <w:rFonts w:ascii="Times New Roman" w:hAnsi="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9.350.000.007</w:t>
            </w:r>
            <w:r>
              <w:rPr>
                <w:rFonts w:ascii="Times New Roman" w:hAnsi="Times New Roman" w:cs="Times New Roman"/>
                <w:color w:val="000000"/>
                <w:sz w:val="20"/>
                <w:szCs w:val="20"/>
              </w:rPr>
            </w:r>
            <w:r>
              <w:rPr>
                <w:rFonts w:ascii="Times New Roman" w:hAnsi="Times New Roman" w:cs="Times New Roman"/>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Đơn giá QSD căn hộ ước tính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 chỉnh các yếu tố so 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highlight w:val="yellow"/>
              </w:rPr>
            </w:r>
            <w:r>
              <w:rPr>
                <w:rFonts w:ascii="Times New Roman" w:hAnsi="Times New Roman" w:cs="Times New Roman"/>
                <w:b/>
                <w:bCs/>
                <w:color w:val="000000"/>
                <w:sz w:val="22"/>
                <w:szCs w:val="22"/>
                <w:highlight w:val="yellow"/>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highlight w:val="yellow"/>
              </w:rPr>
            </w:r>
            <w:r>
              <w:rPr>
                <w:rFonts w:ascii="Times New Roman" w:hAnsi="Times New Roman" w:cs="Times New Roman"/>
                <w:b/>
                <w:bCs/>
                <w:color w:val="000000"/>
                <w:sz w:val="22"/>
                <w:szCs w:val="22"/>
                <w:highlight w:val="yellow"/>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highlight w:val="yellow"/>
              </w:rPr>
            </w:r>
            <w:r>
              <w:rPr>
                <w:rFonts w:ascii="Times New Roman" w:hAnsi="Times New Roman" w:cs="Times New Roman"/>
                <w:b/>
                <w:bCs/>
                <w:color w:val="000000"/>
                <w:sz w:val="22"/>
                <w:szCs w:val="22"/>
                <w:highlight w:val="yellow"/>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Loại hình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b/>
                <w:bCs/>
                <w:color w:val="000000"/>
                <w:sz w:val="22"/>
                <w:szCs w:val="22"/>
              </w:rPr>
            </w: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Mô tả vị trí</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Số 241 Xuân Thủy, phường Dịch Vọng Hậu, quận  Cầu Giấy, thành phố Hà Nội (Nay là 241 Xuân Thủy, phường Cầu Giấy,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Tuổi đời – hiện trạng sử dụng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thông thủy (m²)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92,7</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93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93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92,7</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Số lượng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107.849.462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Tầng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13, 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10, 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22, Thuộc nhóm tầng: Cao</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10, 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3.235.484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100.537.634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111.084.946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100.862.999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Hướng ban công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Đông Nam</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Tây Nam</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Tây Nam</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Tây Nam</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5.026.882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5.392.473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5.043.150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105.564.516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116.477.419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105.906.149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Cấu trúc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105.564.516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116.477.419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105.906.149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Nội thất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Cao cấp</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5.026.882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5.392.473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5.043.150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110.591.398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121.869.892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110.949.299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Không gian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gian mở, mọi thứ dùng chung với khu dân cư, biệt thự, hoặc các khu khác cùng chủ đầu tư</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110.591.398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121.869.892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110.949.299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Lợi thế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110.591.398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121.869.892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110.949.299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Các bất lợi của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110.591.398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121.869.892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110.949.299</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6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 giá chỉ dẫn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110.591.398</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121.869.892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110.949.299</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trị trung bình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3"/>
            <w:shd w:val="clear" w:color="000000" w:fill="ffffff"/>
            <w:tcBorders/>
            <w:tcW w:w="4915"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114.470.196</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độ chênh lệch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-3,39%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6,46%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-3,08%</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 hợp các số liệu điều chỉnh tại mục 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000000" w:fill="ffffff"/>
            <w:tcBorders/>
            <w:tcW w:w="103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42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gộp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10.053.764</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14.020.430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56"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10.086.300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số lần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60"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 độ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- 5%</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- 5%</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- 5%</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cW w:w="737"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2"/>
            <w:shd w:val="clear" w:color="000000" w:fill="ffffff"/>
            <w:tcBorders/>
            <w:tcW w:w="1701"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thuần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98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42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10.053.764</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14.020.430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656"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10.086.300</w:t>
            </w:r>
            <w:r>
              <w:rPr>
                <w:rFonts w:ascii="Times New Roman" w:hAnsi="Times New Roman" w:cs="Times New Roman"/>
                <w:sz w:val="22"/>
                <w:szCs w:val="22"/>
              </w:rPr>
            </w:r>
            <w:r>
              <w:rPr>
                <w:rFonts w:ascii="Times New Roman" w:hAnsi="Times New Roman" w:cs="Times New Roman"/>
                <w:sz w:val="22"/>
                <w:szCs w:val="22"/>
              </w:rPr>
            </w:r>
          </w:p>
        </w:tc>
      </w:tr>
    </w:tbl>
    <w:p>
      <w:pPr>
        <w:pBdr/>
        <w:spacing w:after="120" w:before="120" w:line="276" w:lineRule="auto"/>
        <w:ind/>
        <w:jc w:val="both"/>
        <w:rPr>
          <w:rFonts w:ascii="Times New Roman" w:hAnsi="Times New Roman" w:cs="Times New Roman"/>
          <w:b/>
          <w:bCs/>
          <w:i/>
          <w:iCs/>
          <w:color w:val="000000" w:themeColor="text1"/>
        </w:rPr>
      </w:pPr>
      <w:r>
        <w:rPr>
          <w:rFonts w:ascii="Times New Roman" w:hAnsi="Times New Roman" w:eastAsia="Times New Roman" w:cs="Times New Roman"/>
          <w:i/>
          <w:iCs/>
          <w:color w:val="000000" w:themeColor="text1"/>
          <w:u w:val="single"/>
        </w:rPr>
        <w:t xml:space="preserve"> </w:t>
      </w:r>
      <w:r>
        <w:rPr>
          <w:rFonts w:ascii="Times New Roman" w:hAnsi="Times New Roman" w:eastAsia="Times New Roman" w:cs="Times New Roman"/>
          <w:b/>
          <w:bCs/>
          <w:i/>
          <w:iCs/>
          <w:color w:val="000000" w:themeColor="text1"/>
          <w:u w:val="single"/>
        </w:rPr>
        <w:t xml:space="preserve">Về nguyên tắc khống chế</w:t>
      </w:r>
      <w:r>
        <w:rPr>
          <w:rFonts w:ascii="Times New Roman" w:hAnsi="Times New Roman" w:eastAsia="Times New Roman" w:cs="Times New Roman"/>
          <w:b/>
          <w:bCs/>
          <w:i/>
          <w:iCs/>
          <w:color w:val="000000" w:themeColor="text1"/>
        </w:rPr>
        <w:t xml:space="preserve">: </w:t>
      </w:r>
      <w:r>
        <w:rPr>
          <w:rFonts w:ascii="Times New Roman" w:hAnsi="Times New Roman" w:cs="Times New Roman"/>
          <w:b/>
          <w:bCs/>
          <w:i/>
          <w:iCs/>
          <w:color w:val="000000" w:themeColor="text1"/>
        </w:rPr>
      </w:r>
      <w:r>
        <w:rPr>
          <w:rFonts w:ascii="Times New Roman" w:hAnsi="Times New Roman" w:cs="Times New Roman"/>
          <w:b/>
          <w:bCs/>
          <w:i/>
          <w:iCs/>
          <w:color w:val="000000" w:themeColor="text1"/>
        </w:rPr>
      </w:r>
    </w:p>
    <w:p>
      <w:pPr>
        <w:pBdr/>
        <w:spacing w:after="120" w:before="120" w:line="276" w:lineRule="auto"/>
        <w:ind/>
        <w:jc w:val="both"/>
        <w:rPr>
          <w:rFonts w:ascii="Times New Roman" w:hAnsi="Times New Roman" w:cs="Times New Roman"/>
          <w:b/>
          <w:bCs/>
          <w:color w:val="000000" w:themeColor="text1"/>
          <w:u w:val="single"/>
        </w:rPr>
      </w:pPr>
      <w:r>
        <w:rPr>
          <w:rFonts w:ascii="Times New Roman" w:hAnsi="Times New Roman" w:eastAsia="Times New Roman" w:cs="Times New Roman"/>
          <w:color w:val="000000" w:themeColor="text1"/>
        </w:rPr>
        <w:t xml:space="preserve">Theo số liệu tại mục D2, chênh lệch giữa mức giá trung bình của các mức giá chỉ dẫn nằm trong khoảng từ  </w:t>
      </w:r>
      <w:r>
        <w:rPr>
          <w:rFonts w:ascii="Times New Roman" w:hAnsi="Times New Roman" w:eastAsia="Times New Roman" w:cs="Times New Roman"/>
        </w:rPr>
        <w:t xml:space="preserve">-3,39% đến 6,46%,</w:t>
      </w:r>
      <w:r>
        <w:rPr>
          <w:rFonts w:ascii="Times New Roman" w:hAnsi="Times New Roman" w:eastAsia="Times New Roman" w:cs="Times New Roman"/>
          <w:color w:val="00b050"/>
        </w:rPr>
        <w:t xml:space="preserve"> </w:t>
      </w:r>
      <w:r>
        <w:rPr>
          <w:rFonts w:ascii="Times New Roman" w:hAnsi="Times New Roman" w:eastAsia="Times New Roman" w:cs="Times New Roman"/>
          <w:color w:val="000000" w:themeColor="text1"/>
        </w:rPr>
        <w:t xml:space="preserve">đảm bảo không quá 15% (theo Thông tư số 32/2024/TT-BTC ngày 16/5/2024 của Bộ Tài chính).</w:t>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p>
      <w:pPr>
        <w:pBdr/>
        <w:spacing w:after="120" w:before="120" w:line="276" w:lineRule="auto"/>
        <w:ind/>
        <w:rPr>
          <w:rFonts w:ascii="Times New Roman" w:hAnsi="Times New Roman" w:cs="Times New Roman"/>
          <w:b/>
          <w:bCs/>
          <w:i/>
          <w:iCs/>
          <w:color w:val="000000" w:themeColor="text1"/>
          <w:u w:val="single"/>
        </w:rPr>
      </w:pPr>
      <w:r>
        <w:rPr>
          <w:rFonts w:ascii="Times New Roman" w:hAnsi="Times New Roman" w:eastAsia="Times New Roman" w:cs="Times New Roman"/>
          <w:b/>
          <w:bCs/>
          <w:i/>
          <w:iCs/>
          <w:color w:val="000000" w:themeColor="text1"/>
          <w:u w:val="single"/>
        </w:rPr>
        <w:t xml:space="preserve">Về thống nhất mức giá chỉ dẫn:</w:t>
      </w:r>
      <w:r>
        <w:rPr>
          <w:rFonts w:ascii="Times New Roman" w:hAnsi="Times New Roman" w:cs="Times New Roman"/>
          <w:b/>
          <w:bCs/>
          <w:i/>
          <w:iCs/>
          <w:color w:val="000000" w:themeColor="text1"/>
          <w:u w:val="single"/>
        </w:rPr>
      </w:r>
      <w:r>
        <w:rPr>
          <w:rFonts w:ascii="Times New Roman" w:hAnsi="Times New Roman" w:cs="Times New Roman"/>
          <w:b/>
          <w:bCs/>
          <w:i/>
          <w:iCs/>
          <w:color w:val="000000" w:themeColor="text1"/>
          <w:u w:val="single"/>
        </w:rPr>
      </w:r>
    </w:p>
    <w:p>
      <w:pPr>
        <w:pBdr/>
        <w:spacing/>
        <w:ind/>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Đơn vị tính: Đồng/m²</w:t>
      </w:r>
      <w:r>
        <w:rPr>
          <w:rFonts w:ascii="Times New Roman" w:hAnsi="Times New Roman" w:cs="Times New Roman"/>
          <w:i/>
          <w:iCs/>
          <w:color w:val="000000" w:themeColor="text1"/>
        </w:rPr>
      </w:r>
      <w:r>
        <w:rPr>
          <w:rFonts w:ascii="Times New Roman" w:hAnsi="Times New Roman" w:cs="Times New Roman"/>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TT</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Tài sản</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Mức giá chỉ dẫn của các TSSS</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Trọng số của các TSSS sau điều chỉnh</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trung bình của mức giá chỉ dẫn sau điều chỉnh</w:t>
            </w:r>
            <w:r>
              <w:rPr>
                <w:rFonts w:ascii="Times New Roman" w:hAnsi="Times New Roman" w:cs="Times New Roman"/>
                <w:b/>
                <w:bCs/>
                <w:color w:val="000000"/>
              </w:rPr>
            </w:r>
            <w:r>
              <w:rPr>
                <w:rFonts w:ascii="Times New Roman" w:hAnsi="Times New Roman" w:cs="Times New Roman"/>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1</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110.591.398</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33,34</w:t>
            </w:r>
            <w:r>
              <w:rPr>
                <w:rFonts w:ascii="Times New Roman" w:hAnsi="Times New Roman" w:eastAsia="Times New Roman" w:cs="Times New Roman"/>
                <w:color w:val="000000"/>
              </w:rPr>
              <w:t xml:space="preserve">%</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36.871.172</w:t>
            </w:r>
            <w:r>
              <w:rPr>
                <w:rFonts w:ascii="Times New Roman" w:hAnsi="Times New Roman" w:cs="Times New Roman"/>
                <w:color w:val="000000"/>
              </w:rPr>
            </w:r>
            <w:r>
              <w:rPr>
                <w:rFonts w:ascii="Times New Roman" w:hAnsi="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2</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2</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121.869.892</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40.619.235</w:t>
            </w:r>
            <w:r>
              <w:rPr>
                <w:rFonts w:ascii="Times New Roman" w:hAnsi="Times New Roman" w:cs="Times New Roman"/>
                <w:color w:val="000000"/>
              </w:rPr>
            </w:r>
            <w:r>
              <w:rPr>
                <w:rFonts w:ascii="Times New Roman" w:hAnsi="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3</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110.949.299</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36.979.401</w:t>
            </w:r>
            <w:r>
              <w:rPr>
                <w:rFonts w:ascii="Times New Roman" w:hAnsi="Times New Roman" w:cs="Times New Roman"/>
                <w:color w:val="000000"/>
              </w:rPr>
            </w:r>
            <w:r>
              <w:rPr>
                <w:rFonts w:ascii="Times New Roman" w:hAnsi="Times New Roman" w:cs="Times New Roman"/>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bình quân theo trọng số:</w:t>
            </w:r>
            <w:r>
              <w:rPr>
                <w:rFonts w:ascii="Times New Roman" w:hAnsi="Times New Roman" w:cs="Times New Roman"/>
                <w:b/>
                <w:bCs/>
                <w:color w:val="000000"/>
              </w:rPr>
            </w:r>
            <w:r>
              <w:rPr>
                <w:rFonts w:ascii="Times New Roman" w:hAnsi="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114.469.808</w:t>
            </w:r>
            <w:r>
              <w:rPr>
                <w:rFonts w:ascii="Times New Roman" w:hAnsi="Times New Roman" w:cs="Times New Roman"/>
                <w:b/>
                <w:bCs/>
                <w:color w:val="000000"/>
              </w:rPr>
            </w:r>
            <w:r>
              <w:rPr>
                <w:rFonts w:ascii="Times New Roman" w:hAnsi="Times New Roman" w:cs="Times New Roman"/>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cs="Times New Roman"/>
                <w:b/>
                <w:bCs/>
                <w:color w:val="000000"/>
              </w:rPr>
            </w:r>
            <w:r>
              <w:rPr>
                <w:rFonts w:ascii="Times New Roman" w:hAnsi="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114.000.000</w:t>
            </w:r>
            <w:r>
              <w:rPr>
                <w:rFonts w:ascii="Times New Roman" w:hAnsi="Times New Roman" w:cs="Times New Roman"/>
                <w:b/>
                <w:bCs/>
                <w:color w:val="000000"/>
              </w:rPr>
            </w:r>
            <w:r>
              <w:rPr>
                <w:rFonts w:ascii="Times New Roman" w:hAnsi="Times New Roman" w:cs="Times New Roman"/>
                <w:b/>
                <w:bCs/>
                <w:color w:val="000000"/>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color w:val="000000" w:themeColor="text1"/>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bCs/>
          <w:color w:val="000000" w:themeColor="text1"/>
          <w:lang w:val="vi-VN"/>
        </w:rPr>
        <w:t xml:space="preserve">114.000.000</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đồng/m²</w:t>
      </w:r>
      <w:r>
        <w:rPr>
          <w:rFonts w:ascii="Times New Roman" w:hAnsi="Times New Roman" w:eastAsia="Times New Roman" w:cs="Times New Roman"/>
          <w:b/>
          <w:bCs/>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32"/>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Kết quả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Dựa trên các lập luận trên, Tổ thẩm định ước tính giá trị </w:t>
      </w:r>
      <w:r>
        <w:rPr>
          <w:rFonts w:ascii="Times New Roman" w:hAnsi="Times New Roman" w:eastAsia="Times New Roman" w:cs="Times New Roman"/>
          <w:color w:val="000000" w:themeColor="text1"/>
          <w:lang w:val="vi-VN"/>
        </w:rPr>
        <w:t xml:space="preserve">tài sản thẩm định giá</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de-DE"/>
        </w:rPr>
        <w:t xml:space="preserve">chưa bao gồm các loại thuế, phí và lệ phí liên quan đến việc chuyển nhượng tài sản</w:t>
      </w:r>
      <w:r>
        <w:rPr>
          <w:rFonts w:ascii="Times New Roman" w:hAnsi="Times New Roman" w:eastAsia="Times New Roman" w:cs="Times New Roman"/>
          <w:color w:val="000000" w:themeColor="text1"/>
          <w:lang w:val="pt-BR"/>
        </w:rPr>
        <w:t xml:space="preserve"> tại thời điểm thẩm định giá </w:t>
      </w:r>
      <w:r>
        <w:rPr>
          <w:rFonts w:ascii="Times New Roman" w:hAnsi="Times New Roman" w:eastAsia="Times New Roman" w:cs="Times New Roman"/>
        </w:rPr>
        <w:t xml:space="preserve">Tháng 08/2026</w:t>
      </w:r>
      <w:r>
        <w:rPr>
          <w:rFonts w:ascii="Times New Roman" w:hAnsi="Times New Roman" w:eastAsia="Times New Roman" w:cs="Times New Roman"/>
          <w:color w:val="000000" w:themeColor="text1"/>
        </w:rPr>
        <w:t xml:space="preserve"> ước tính như sau:</w:t>
      </w:r>
      <w:r>
        <w:rPr>
          <w:rFonts w:ascii="Times New Roman" w:hAnsi="Times New Roman" w:cs="Times New Roman"/>
          <w:color w:val="000000" w:themeColor="text1"/>
        </w:rPr>
      </w:r>
      <w:r>
        <w:rPr>
          <w:rFonts w:ascii="Times New Roman" w:hAnsi="Times New Roman" w:cs="Times New Roman"/>
          <w:color w:val="000000" w:themeColor="text1"/>
        </w:rPr>
      </w:r>
    </w:p>
    <w:tbl>
      <w:tblPr>
        <w:tblStyle w:val="113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Tài sản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Diện tích</w:t>
            </w:r>
            <w:r>
              <w:rPr>
                <w:rFonts w:ascii="Times New Roman" w:hAnsi="Times New Roman" w:eastAsia="Times New Roman" w:cs="Times New Roman"/>
                <w:b/>
                <w:color w:val="000000" w:themeColor="text1"/>
              </w:rPr>
              <w:br/>
              <w:t xml:space="preserve"> (m²)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Đơn giá </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(đồng/m²)</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lang w:val="nl-NL"/>
              </w:rPr>
              <w:t xml:space="preserve">Giá trị thẩm định</w:t>
            </w:r>
            <w:r>
              <w:rPr>
                <w:rFonts w:ascii="Times New Roman" w:hAnsi="Times New Roman" w:eastAsia="Times New Roman" w:cs="Times New Roman"/>
                <w:b/>
              </w:rPr>
              <w:t xml:space="preserve"> </w:t>
            </w:r>
            <w:r>
              <w:rPr>
                <w:rFonts w:ascii="Times New Roman" w:hAnsi="Times New Roman" w:eastAsia="Times New Roman" w:cs="Times New Roman"/>
                <w:b/>
              </w:rPr>
              <w:br/>
              <w:t xml:space="preserve">(đồng)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rFonts w:ascii="Times New Roman" w:hAnsi="Times New Roman" w:cs="Times New Roman"/>
                <w:color w:val="000000" w:themeColor="text1"/>
              </w:rPr>
            </w:pPr>
            <w:r>
              <w:rPr>
                <w:rFonts w:ascii="Times New Roman" w:hAnsi="Times New Roman" w:eastAsia="Times New Roman" w:cs="Times New Roman"/>
                <w:color w:val="000000"/>
              </w:rPr>
              <w:t xml:space="preserve">Quyền sở hữu căn hộ chung cư số E12A06. Tòa tháp Đông - Indochina Plaza Hà Nội Số 241 Xuân Thủy, phường Dịch Vọng Hậu, quận  Cầu Giấy, thành phố Hà Nội (Nay là 241 Xuân Thủy, phường Cầu Giấy, thành phố Hà Nội). T</w:t>
            </w:r>
            <w:r>
              <w:rPr>
                <w:rFonts w:ascii="Times New Roman" w:hAnsi="Times New Roman" w:eastAsia="Times New Roman" w:cs="Times New Roman"/>
                <w:color w:val="000000"/>
              </w:rPr>
              <w:t xml:space="preserve">heo Giấy chứng nhận quyền sử dụng đất, quyền sở hữu nhà ở và tài sản gắn liền với đất số: CB 545516; Sổ vào sổ cấp GCN: CS19877 do Sở tài nguyên và Môi trường thành phố Hà Nội cấp ngày 08/08/2015. Chủ sở hữu căn hộ là ông Khuất Huy Hùng và bà Đồng Thị Hằng</w:t>
            </w: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bCs/>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rFonts w:ascii="Times New Roman" w:hAnsi="Times New Roman" w:cs="Times New Roman"/>
                <w:color w:val="000000" w:themeColor="text1"/>
              </w:rPr>
            </w:pPr>
            <w:r>
              <w:rPr>
                <w:rFonts w:ascii="Times New Roman" w:hAnsi="Times New Roman" w:eastAsia="Times New Roman" w:cs="Times New Roman"/>
                <w:b/>
                <w:bCs/>
              </w:rPr>
              <w:t xml:space="preserve">Căn hộ chung cư</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92,7</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114.000.000</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10.567.800.000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TỔNG CỘNG: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10.567.800.000</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rFonts w:ascii="Times New Roman" w:hAnsi="Times New Roman" w:cs="Times New Roman"/>
                <w:color w:val="000000" w:themeColor="text1"/>
              </w:rPr>
            </w:pPr>
            <w:r>
              <w:rPr>
                <w:rFonts w:ascii="Times New Roman" w:hAnsi="Times New Roman" w:eastAsia="Times New Roman" w:cs="Times New Roman"/>
                <w:b/>
                <w:i/>
                <w:color w:val="000000" w:themeColor="text1"/>
              </w:rPr>
              <w:t xml:space="preserve">(Bằng chữ:</w:t>
            </w:r>
            <w:r>
              <w:rPr>
                <w:rFonts w:ascii="Times New Roman" w:hAnsi="Times New Roman" w:eastAsia="Times New Roman" w:cs="Times New Roman"/>
                <w:b/>
                <w:bCs/>
                <w:i/>
                <w:iCs/>
                <w:color w:val="000000"/>
              </w:rPr>
              <w:t xml:space="preserve"> Mười tỷ năm trăm sáu mươi bảy triệu tám trăm nghìn</w:t>
            </w:r>
            <w:r>
              <w:rPr>
                <w:rFonts w:ascii="Times New Roman" w:hAnsi="Times New Roman" w:eastAsia="Times New Roman" w:cs="Times New Roman"/>
                <w:b/>
                <w:i/>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bl>
    <w:p>
      <w:pPr>
        <w:pStyle w:val="1132"/>
        <w:pBdr/>
        <w:tabs>
          <w:tab w:val="left" w:leader="none" w:pos="993"/>
        </w:tabs>
        <w:spacing w:after="120" w:before="120" w:line="288"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IX. </w:t>
      </w:r>
      <w:r>
        <w:rPr>
          <w:rFonts w:ascii="Times New Roman" w:hAnsi="Times New Roman" w:eastAsia="Times New Roman" w:cs="Times New Roman"/>
          <w:b/>
          <w:bCs/>
          <w:color w:val="000000" w:themeColor="text1"/>
          <w:lang w:val="pt-BR"/>
        </w:rPr>
        <w:t xml:space="preserve">THỜI HẠN HIỆU LỰC CỦA KẾT QUẢ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4"/>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Tối đa 06 (sáu) tháng tính từ ngày ký đối với tài sản là Bất động sản.</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pBdr/>
        <w:tabs>
          <w:tab w:val="left" w:leader="none" w:pos="993"/>
        </w:tabs>
        <w:spacing w:after="120" w:before="120" w:line="288" w:lineRule="auto"/>
        <w:ind w:left="0"/>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X. TUYÊN BỐ CHUNG VÀ MIỄN TRỪ TRÁCH NHIỆM</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p>
      <w:pPr>
        <w:pStyle w:val="113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Báo cáo này được soạn thảo theo Hợp đồng được ký kết và tuâ</w:t>
      </w:r>
      <w:r>
        <w:rPr>
          <w:rFonts w:ascii="Times New Roman" w:hAnsi="Times New Roman" w:eastAsia="Times New Roman" w:cs="Times New Roman"/>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Các bên liên quan khi đọc và thực hiện sử dụng sản phẩm tư vấn này, tức là đã chấp nhận và đồng ý với những điều khoản sau:</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Lotus VFI, Ban Lãnh đạo, toàn thể nhân viên, Thẩm định viên và đại diện pháp luật của Lotus VFI khôn</w:t>
      </w:r>
      <w:r>
        <w:rPr>
          <w:rFonts w:ascii="Times New Roman" w:hAnsi="Times New Roman" w:eastAsia="Times New Roman" w:cs="Times New Roman"/>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10"/>
        </w:numPr>
        <w:pBdr/>
        <w:spacing w:after="120" w:before="120" w:line="288"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cs="Times New Roman"/>
          <w:color w:val="000000" w:themeColor="text1"/>
        </w:rPr>
      </w:r>
      <w:r>
        <w:rPr>
          <w:rFonts w:ascii="Times New Roman" w:hAnsi="Times New Roman" w:cs="Times New Roman"/>
          <w:color w:val="000000" w:themeColor="text1"/>
        </w:rPr>
      </w:r>
    </w:p>
    <w:p>
      <w:pPr>
        <w:pStyle w:val="1132"/>
        <w:pBdr/>
        <w:tabs>
          <w:tab w:val="left" w:leader="none" w:pos="993"/>
        </w:tabs>
        <w:spacing w:after="120" w:before="120" w:line="288" w:lineRule="auto"/>
        <w:ind w:left="0"/>
        <w:jc w:val="both"/>
        <w:rPr>
          <w:rFonts w:ascii="Times New Roman" w:hAnsi="Times New Roman" w:cs="Times New Roman"/>
          <w:b/>
          <w:color w:val="000000" w:themeColor="text1"/>
          <w:spacing w:val="-4"/>
        </w:rPr>
      </w:pPr>
      <w:r>
        <w:rPr>
          <w:rFonts w:ascii="Times New Roman" w:hAnsi="Times New Roman" w:eastAsia="Times New Roman" w:cs="Times New Roman"/>
          <w:b/>
          <w:bCs/>
          <w:color w:val="000000" w:themeColor="text1"/>
          <w:spacing w:val="-4"/>
          <w:lang w:val="pt-BR"/>
        </w:rPr>
        <w:t xml:space="preserve">XI. NHỮNG ĐIỀU KHOẢN LOẠI TRỪ VÀ HẠN CHẾ CỦA KẾT QUẢ THẨM ĐỊNH GIÁ</w:t>
      </w:r>
      <w:r>
        <w:rPr>
          <w:rFonts w:ascii="Times New Roman" w:hAnsi="Times New Roman" w:cs="Times New Roman"/>
          <w:b/>
          <w:color w:val="000000" w:themeColor="text1"/>
          <w:spacing w:val="-4"/>
        </w:rPr>
      </w:r>
      <w:r>
        <w:rPr>
          <w:rFonts w:ascii="Times New Roman" w:hAnsi="Times New Roman" w:cs="Times New Roman"/>
          <w:b/>
          <w:color w:val="000000" w:themeColor="text1"/>
          <w:spacing w:val="-4"/>
        </w:rPr>
      </w:r>
    </w:p>
    <w:p>
      <w:pPr>
        <w:pStyle w:val="113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này chỉ được cung cấp theo yêu cầu của khách hàng. Chỉ bản chính và bản sao Chứng thư thẩm định giá do Công ty</w:t>
      </w:r>
      <w:r>
        <w:rPr>
          <w:rFonts w:ascii="Times New Roman" w:hAnsi="Times New Roman" w:eastAsia="Times New Roman" w:cs="Times New Roman"/>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color w:val="000000" w:themeColor="text1"/>
          <w:lang w:val="vi-VN"/>
        </w:rPr>
        <w:t xml:space="preserve">tổ </w:t>
      </w:r>
      <w:r>
        <w:rPr>
          <w:rFonts w:ascii="Times New Roman" w:hAnsi="Times New Roman" w:eastAsia="Times New Roman" w:cs="Times New Roman"/>
          <w:color w:val="000000" w:themeColor="text1"/>
          <w:lang w:val="pt-BR"/>
        </w:rPr>
        <w:t xml:space="preserve">thẩm định không đảm bảo là các giả định làm cơ sở thẩm định giá là chính xác hoàn toàn.</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5"/>
        </w:numPr>
        <w:pBdr/>
        <w:tabs>
          <w:tab w:val="left" w:leader="none" w:pos="993"/>
        </w:tabs>
        <w:spacing w:after="120" w:before="120" w:line="288" w:lineRule="auto"/>
        <w:ind/>
        <w:jc w:val="both"/>
        <w:rPr>
          <w:rFonts w:ascii="Times New Roman" w:hAnsi="Times New Roman" w:cs="Times New Roman"/>
          <w:b/>
          <w:color w:val="000000" w:themeColor="text1"/>
          <w:spacing w:val="2"/>
        </w:rPr>
      </w:pPr>
      <w:r>
        <w:rPr>
          <w:rFonts w:ascii="Times New Roman" w:hAnsi="Times New Roman" w:eastAsia="Times New Roman" w:cs="Times New Roman"/>
          <w:color w:val="000000" w:themeColor="text1"/>
          <w:spacing w:val="2"/>
          <w:lang w:val="pt-BR"/>
        </w:rPr>
        <w:t xml:space="preserve">Công ty Cổ phần Thẩm định và</w:t>
      </w:r>
      <w:r>
        <w:rPr>
          <w:rFonts w:ascii="Times New Roman" w:hAnsi="Times New Roman" w:eastAsia="Times New Roman" w:cs="Times New Roman"/>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rFonts w:ascii="Times New Roman" w:hAnsi="Times New Roman" w:eastAsia="Times New Roman" w:cs="Times New Roman"/>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rFonts w:ascii="Times New Roman" w:hAnsi="Times New Roman" w:eastAsia="Times New Roman" w:cs="Times New Roman"/>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cs="Times New Roman"/>
          <w:b/>
          <w:color w:val="000000" w:themeColor="text1"/>
          <w:spacing w:val="2"/>
        </w:rPr>
      </w:r>
      <w:r>
        <w:rPr>
          <w:rFonts w:ascii="Times New Roman" w:hAnsi="Times New Roman" w:cs="Times New Roman"/>
          <w:b/>
          <w:color w:val="000000" w:themeColor="text1"/>
          <w:spacing w:val="2"/>
        </w:rPr>
      </w:r>
    </w:p>
    <w:p>
      <w:pPr>
        <w:pStyle w:val="1132"/>
        <w:numPr>
          <w:ilvl w:val="0"/>
          <w:numId w:val="5"/>
        </w:numPr>
        <w:pBdr/>
        <w:tabs>
          <w:tab w:val="left" w:leader="none" w:pos="993"/>
        </w:tabs>
        <w:spacing w:after="120" w:before="120" w:line="288"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Khách hàng yêu cầu thẩm định giá và người hướng dẫn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thực hiện thẩm định hiện trạng tà</w:t>
      </w:r>
      <w:r>
        <w:rPr>
          <w:rFonts w:ascii="Times New Roman" w:hAnsi="Times New Roman" w:eastAsia="Times New Roman" w:cs="Times New Roman"/>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32"/>
        <w:numPr>
          <w:ilvl w:val="0"/>
          <w:numId w:val="5"/>
        </w:numPr>
        <w:pBdr/>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color w:val="000000" w:themeColor="text1"/>
          <w:shd w:val="clear" w:color="auto" w:fill="ffffff"/>
          <w:lang w:val="vi-VN"/>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jc w:val="both"/>
        <w:rPr>
          <w:rFonts w:ascii="Times New Roman" w:hAnsi="Times New Roman" w:cs="Times New Roman"/>
          <w:color w:val="000000" w:themeColor="text1"/>
          <w:shd w:val="clear" w:color="auto" w:fill="ffffff"/>
        </w:rPr>
      </w:pPr>
      <w:r>
        <w:rPr>
          <w:rFonts w:ascii="Times New Roman" w:hAnsi="Times New Roman" w:eastAsia="Times New Roman" w:cs="Times New Roman"/>
          <w:color w:val="000000" w:themeColor="text1"/>
          <w:shd w:val="clear" w:color="auto" w:fill="ffffff"/>
          <w:lang w:val="pt-BR"/>
        </w:rPr>
        <w:t xml:space="preserve">Chúng tôi chỉ hoạt động trong lĩnh</w:t>
      </w:r>
      <w:r>
        <w:rPr>
          <w:rFonts w:ascii="Times New Roman" w:hAnsi="Times New Roman" w:eastAsia="Times New Roman" w:cs="Times New Roman"/>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color w:val="000000" w:themeColor="text1"/>
          <w:lang w:val="pt-BR"/>
        </w:rPr>
        <w:t xml:space="preserve">Giấy chứng nhận quyền sử dụng đất  đã cung cấp cho chúng tôi.</w:t>
      </w:r>
      <w:r>
        <w:rPr>
          <w:rFonts w:ascii="Times New Roman" w:hAnsi="Times New Roman" w:cs="Times New Roman"/>
          <w:color w:val="000000" w:themeColor="text1"/>
          <w:shd w:val="clear" w:color="auto" w:fill="ffffff"/>
        </w:rPr>
      </w:r>
      <w:r>
        <w:rPr>
          <w:rFonts w:ascii="Times New Roman" w:hAnsi="Times New Roman" w:cs="Times New Roman"/>
          <w:color w:val="000000" w:themeColor="text1"/>
          <w:shd w:val="clear" w:color="auto" w:fill="ffffff"/>
        </w:rPr>
      </w:r>
    </w:p>
    <w:p>
      <w:pPr>
        <w:pStyle w:val="1132"/>
        <w:numPr>
          <w:ilvl w:val="0"/>
          <w:numId w:val="5"/>
        </w:numPr>
        <w:pBdr/>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Chúng tôi giả định rằng tài sản thẩm định giá không xảy ra tranh chấp, </w:t>
      </w:r>
      <w:r>
        <w:rPr>
          <w:rFonts w:ascii="Times New Roman" w:hAnsi="Times New Roman" w:eastAsia="Times New Roman" w:cs="Times New Roman"/>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3"/>
        </w:numPr>
        <w:pBdr/>
        <w:tabs>
          <w:tab w:val="left" w:leader="none" w:pos="993"/>
        </w:tabs>
        <w:spacing w:after="120" w:before="12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đã giao dịch thành công còn gặp nhiều hạn chế, vì vậy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lang w:val="vi-VN"/>
        </w:rPr>
        <w:t xml:space="preserve">ổ thẩm định giá sử dụng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là các tài sản đang được </w:t>
      </w:r>
      <w:r>
        <w:rPr>
          <w:rFonts w:ascii="Times New Roman" w:hAnsi="Times New Roman" w:eastAsia="Times New Roman" w:cs="Times New Roman"/>
          <w:color w:val="000000" w:themeColor="text1"/>
        </w:rPr>
        <w:t xml:space="preserve">r</w:t>
      </w:r>
      <w:r>
        <w:rPr>
          <w:rFonts w:ascii="Times New Roman" w:hAnsi="Times New Roman" w:eastAsia="Times New Roman" w:cs="Times New Roman"/>
          <w:color w:val="000000" w:themeColor="text1"/>
          <w:lang w:val="vi-VN"/>
        </w:rPr>
        <w:t xml:space="preserve">ao bán trên thị trường. Kết quả thẩm định giá có thể thay đổi khi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32"/>
        <w:numPr>
          <w:ilvl w:val="0"/>
          <w:numId w:val="5"/>
        </w:numPr>
        <w:pBdr/>
        <w:tabs>
          <w:tab w:val="left" w:leader="none" w:pos="993"/>
        </w:tabs>
        <w:spacing w:after="120" w:before="120" w:line="288" w:lineRule="auto"/>
        <w:ind w:hanging="357" w:left="357"/>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Kết quả t</w:t>
      </w:r>
      <w:r>
        <w:rPr>
          <w:rFonts w:ascii="Times New Roman" w:hAnsi="Times New Roman" w:eastAsia="Times New Roman" w:cs="Times New Roman"/>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32"/>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rPr>
      </w:r>
      <w:bookmarkStart w:id="3" w:name="_Hlk151374072"/>
      <w:r>
        <w:rPr>
          <w:rFonts w:ascii="Times New Roman" w:hAnsi="Times New Roman" w:eastAsia="Times New Roman" w:cs="Times New Roman"/>
          <w:color w:val="000000" w:themeColor="text1"/>
          <w:lang w:val="pt-BR"/>
        </w:rPr>
        <w:t xml:space="preserve">Tổ thẩm định đã gửi các bản dự thảo chứng thư cho các đơn vị sử dụng chứng thư đọc</w:t>
      </w:r>
      <w:r>
        <w:rPr>
          <w:rFonts w:ascii="Times New Roman" w:hAnsi="Times New Roman" w:eastAsia="Times New Roman" w:cs="Times New Roman"/>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XII. CÁC PHỤ LỤC KÈM THEO </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3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Hình ảnh hiện trạng của tài sản.</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32"/>
        <w:pBdr/>
        <w:tabs>
          <w:tab w:val="left" w:leader="none" w:pos="993"/>
        </w:tabs>
        <w:spacing w:after="120" w:before="120" w:line="288"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Phụ lục 2: Thông tin thu thập thị trường.</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themeColor="text1"/>
          <w:lang w:val="vi-VN"/>
        </w:rPr>
        <w:t xml:space="preserve">Báo cáo kết quả thẩm định giá được phát hành 03 (ba) bản chính bằng tiếng Việt kèm theo Chứng thư thẩm định giá số </w:t>
      </w:r>
      <w:r>
        <w:rPr>
          <w:rFonts w:ascii="Times New Roman" w:hAnsi="Times New Roman" w:eastAsia="Times New Roman" w:cs="Times New Roman"/>
          <w:color w:val="000000" w:themeColor="text1"/>
          <w:lang w:val="vi-VN"/>
        </w:rPr>
        <w:t xml:space="preserve">275/2026/1348/VFI-CT.44.A</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ngày 26 tháng 8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tại</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cs="Times New Roman"/>
          <w:color w:val="000000" w:themeColor="text1"/>
        </w:rPr>
      </w:r>
      <w:r>
        <w:rPr>
          <w:rFonts w:ascii="Times New Roman" w:hAnsi="Times New Roman" w:cs="Times New Roman"/>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Đỗ Thanh Thảo</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XV23.2485</w:t>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cs="Times New Roman"/>
                <w:b/>
              </w:rPr>
            </w:r>
            <w:r>
              <w:rPr>
                <w:rFonts w:ascii="Times New Roman" w:hAnsi="Times New Roman" w:cs="Times New Roman"/>
                <w:b/>
              </w:rPr>
            </w:r>
          </w:p>
        </w:tc>
      </w:tr>
    </w:tbl>
    <w:p>
      <w:pPr>
        <w:pBdr/>
        <w:spacing w:after="200" w:line="276" w:lineRule="auto"/>
        <w:ind/>
        <w:jc w:val="center"/>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p>
      <w:pPr>
        <w:pBdr/>
        <w:spacing w:after="200" w:line="276" w:lineRule="auto"/>
        <w:ind/>
        <w:jc w:val="center"/>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TRỢ LÝ </w:t>
            </w:r>
            <w:r>
              <w:rPr>
                <w:rFonts w:ascii="Times New Roman" w:hAnsi="Times New Roman" w:eastAsia="Times New Roman" w:cs="Times New Roman"/>
                <w:b/>
                <w:lang w:val="pt-BR"/>
              </w:rPr>
              <w:t xml:space="preserve">THẨM ĐỊNH</w:t>
            </w:r>
            <w:r>
              <w:rPr>
                <w:rFonts w:ascii="Times New Roman" w:hAnsi="Times New Roman" w:eastAsia="Times New Roman" w:cs="Times New Roman"/>
                <w:b/>
                <w:lang w:val="pt-BR"/>
              </w:rPr>
              <w:t xml:space="preserve"> VIÊN</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KIỂM SOÁT VIÊN</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Lê Đình Duy</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pt-BR"/>
              </w:rPr>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Nguyễn Thị Thùy</w:t>
            </w:r>
            <w:r>
              <w:rPr>
                <w:rFonts w:ascii="Times New Roman" w:hAnsi="Times New Roman" w:cs="Times New Roman"/>
                <w:b/>
              </w:rPr>
            </w:r>
            <w:r>
              <w:rPr>
                <w:rFonts w:ascii="Times New Roman" w:hAnsi="Times New Roman" w:cs="Times New Roman"/>
                <w:b/>
              </w:rPr>
            </w:r>
          </w:p>
          <w:p>
            <w:pPr>
              <w:pBdr/>
              <w:spacing w:line="276" w:lineRule="auto"/>
              <w:ind/>
              <w:rPr>
                <w:rFonts w:ascii="Times New Roman" w:hAnsi="Times New Roman" w:cs="Times New Roman"/>
                <w:b/>
              </w:rPr>
            </w:pPr>
            <w:r>
              <w:rPr>
                <w:rFonts w:ascii="Times New Roman" w:hAnsi="Times New Roman" w:eastAsia="Times New Roman" w:cs="Times New Roman"/>
                <w:b/>
                <w:lang w:val="pt-BR"/>
              </w:rPr>
            </w:r>
            <w:r>
              <w:rPr>
                <w:rFonts w:ascii="Times New Roman" w:hAnsi="Times New Roman" w:cs="Times New Roman"/>
                <w:b/>
              </w:rPr>
            </w:r>
            <w:r>
              <w:rPr>
                <w:rFonts w:ascii="Times New Roman" w:hAnsi="Times New Roman" w:cs="Times New Roman"/>
                <w:b/>
              </w:rPr>
            </w:r>
          </w:p>
        </w:tc>
      </w:tr>
    </w:tbl>
    <w:p>
      <w:pPr>
        <w:pBdr/>
        <w:spacing w:after="200" w:line="276" w:lineRule="auto"/>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p>
      <w:pPr>
        <w:pBdr/>
        <w:spacing w:after="200" w:line="276" w:lineRule="auto"/>
        <w:ind/>
        <w:jc w:val="center"/>
        <w:rPr>
          <w:rFonts w:ascii="Times New Roman" w:hAnsi="Times New Roman" w:cs="Times New Roman"/>
          <w:b/>
          <w:color w:val="000000" w:themeColor="text1"/>
          <w:u w:val="single"/>
        </w:rPr>
      </w:pPr>
      <w:r>
        <w:rPr>
          <w:rFonts w:ascii="Times New Roman" w:hAnsi="Times New Roman" w:eastAsia="Times New Roman" w:cs="Times New Roman"/>
          <w:color w:val="000000" w:themeColor="text1"/>
          <w:lang w:val="vi-VN"/>
        </w:rPr>
        <w:br w:type="page" w:clear="all"/>
      </w: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01</w:t>
      </w:r>
      <w:r>
        <w:rPr>
          <w:rFonts w:ascii="Times New Roman" w:hAnsi="Times New Roman" w:eastAsia="Times New Roman" w:cs="Times New Roman"/>
          <w:b/>
          <w:color w:val="000000" w:themeColor="text1"/>
          <w:lang w:val="vi-VN"/>
        </w:rPr>
        <w:t xml:space="preserve">: </w:t>
      </w:r>
      <w:r>
        <w:rPr>
          <w:rFonts w:ascii="Times New Roman" w:hAnsi="Times New Roman" w:eastAsia="Times New Roman" w:cs="Times New Roman"/>
          <w:b/>
          <w:color w:val="000000" w:themeColor="text1"/>
        </w:rPr>
        <w:t xml:space="preserve">THÔNG TIN</w:t>
      </w:r>
      <w:r>
        <w:rPr>
          <w:rFonts w:ascii="Times New Roman" w:hAnsi="Times New Roman" w:eastAsia="Times New Roman" w:cs="Times New Roman"/>
          <w:b/>
          <w:color w:val="000000" w:themeColor="text1"/>
          <w:lang w:val="vi-VN"/>
        </w:rPr>
        <w:t xml:space="preserve"> HIỆN TRẠNG</w:t>
      </w:r>
      <w:r>
        <w:rPr>
          <w:rFonts w:ascii="Times New Roman" w:hAnsi="Times New Roman" w:eastAsia="Times New Roman" w:cs="Times New Roman"/>
          <w:b/>
          <w:color w:val="000000" w:themeColor="text1"/>
          <w:lang w:val="pt-BR"/>
        </w:rPr>
        <w:t xml:space="preserve"> VÀ PHÁP LÝ CỦA TÀI SẢN</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275/2026/1348/VFI-BC.44.A</w:t>
      </w:r>
      <w:r>
        <w:rPr>
          <w:rFonts w:ascii="Times New Roman" w:hAnsi="Times New Roman" w:eastAsia="Times New Roman" w:cs="Times New Roman"/>
          <w:i/>
          <w:lang w:val="pt-BR"/>
        </w:rPr>
        <w:t xml:space="preserve"> </w:t>
      </w:r>
      <w:r>
        <w:rPr>
          <w:rFonts w:ascii="Times New Roman" w:hAnsi="Times New Roman" w:eastAsia="Times New Roman" w:cs="Times New Roman"/>
          <w:i/>
          <w:color w:val="000000" w:themeColor="text1"/>
          <w:lang w:val="pt-BR"/>
        </w:rPr>
        <w:t xml:space="preserve">ngày</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26 tháng 8 năm 2026</w:t>
      </w:r>
      <w:r>
        <w:rPr>
          <w:rFonts w:ascii="Times New Roman" w:hAnsi="Times New Roman" w:eastAsia="Times New Roman" w:cs="Times New Roman"/>
          <w:i/>
          <w:color w:val="000000" w:themeColor="text1"/>
          <w:lang w:val="pt-BR"/>
        </w:rPr>
        <w:t xml:space="preserve"> của </w:t>
      </w:r>
      <w:r>
        <w:rPr>
          <w:rFonts w:ascii="Times New Roman" w:hAnsi="Times New Roman" w:cs="Times New Roman"/>
          <w:i/>
          <w:color w:val="000000" w:themeColor="text1"/>
        </w:rPr>
      </w:r>
      <w:r>
        <w:rPr>
          <w:rFonts w:ascii="Times New Roman" w:hAnsi="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cs="Times New Roman"/>
          <w:i/>
          <w:color w:val="000000" w:themeColor="text1"/>
        </w:rPr>
      </w:r>
      <w:r>
        <w:rPr>
          <w:rFonts w:ascii="Times New Roman" w:hAnsi="Times New Roman" w:cs="Times New Roman"/>
          <w:i/>
          <w:color w:val="000000" w:themeColor="text1"/>
        </w:rPr>
      </w:r>
    </w:p>
    <w:tbl>
      <w:tblPr>
        <w:tblStyle w:val="113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hướng dẫn khảo sát</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khảo sát</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cs="Times New Roman"/>
                <w:i/>
                <w:iCs/>
                <w:color w:val="000000" w:themeColor="text1"/>
              </w:rPr>
            </w:r>
            <w:r>
              <w:rPr>
                <w:rFonts w:ascii="Times New Roman" w:hAnsi="Times New Roman" w:cs="Times New Roman"/>
                <w:i/>
                <w:iCs/>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mc:AlternateContent>
                <mc:Choice Requires="wpg">
                  <w:drawing>
                    <wp:inline xmlns:wp="http://schemas.openxmlformats.org/drawingml/2006/wordprocessingDrawing" distT="0" distB="0" distL="0" distR="0">
                      <wp:extent cx="142875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150.00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cs="Times New Roman"/>
                <w:i/>
                <w:iCs/>
                <w:color w:val="000000" w:themeColor="text1"/>
              </w:rPr>
            </w:r>
            <w:r>
              <w:rPr>
                <w:rFonts w:ascii="Times New Roman" w:hAnsi="Times New Roman" w:cs="Times New Roman"/>
                <w:i/>
                <w:iCs/>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Tổng quan toà nhà</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mc:AlternateContent>
                <mc:Choice Requires="wpg">
                  <w:drawing>
                    <wp:inline xmlns:wp="http://schemas.openxmlformats.org/drawingml/2006/wordprocessingDrawing" distT="0" distB="0" distL="0" distR="0">
                      <wp:extent cx="2540000" cy="190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0.00pt;height:150.00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cs="Times New Roman"/>
                <w:i/>
                <w:color w:val="000000" w:themeColor="text1"/>
              </w:rPr>
            </w:r>
            <w:r>
              <w:rPr>
                <w:rFonts w:ascii="Times New Roman" w:hAnsi="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mc:AlternateContent>
                <mc:Choice Requires="wpg">
                  <w:drawing>
                    <wp:inline xmlns:wp="http://schemas.openxmlformats.org/drawingml/2006/wordprocessingDrawing" distT="0" distB="0" distL="0" distR="0">
                      <wp:extent cx="2540000" cy="190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0.00pt;height:150.00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cs="Times New Roman"/>
                <w:i/>
                <w:color w:val="000000" w:themeColor="text1"/>
              </w:rPr>
            </w:r>
            <w:r>
              <w:rPr>
                <w:rFonts w:ascii="Times New Roman" w:hAnsi="Times New Roman" w:cs="Times New Roman"/>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mc:AlternateContent>
                <mc:Choice Requires="wpg">
                  <w:drawing>
                    <wp:inline xmlns:wp="http://schemas.openxmlformats.org/drawingml/2006/wordprocessingDrawing" distT="0" distB="0" distL="0" distR="0">
                      <wp:extent cx="2540000" cy="190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0.00pt;height:150.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cs="Times New Roman"/>
                <w:i/>
                <w:color w:val="000000" w:themeColor="text1"/>
              </w:rPr>
            </w:r>
            <w:r>
              <w:rPr>
                <w:rFonts w:ascii="Times New Roman" w:hAnsi="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i/>
                <w:color w:val="000000" w:themeColor="text1"/>
              </w:rPr>
              <mc:AlternateContent>
                <mc:Choice Requires="wpg">
                  <w:drawing>
                    <wp:inline xmlns:wp="http://schemas.openxmlformats.org/drawingml/2006/wordprocessingDrawing" distT="0" distB="0" distL="0" distR="0">
                      <wp:extent cx="2540000" cy="190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0.00pt;height:150.0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bl>
    <w:p>
      <w:pPr>
        <w:pBdr/>
        <w:spacing w:after="200" w:line="276" w:lineRule="auto"/>
        <w:ind/>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54185"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200" w:line="276" w:lineRule="auto"/>
        <w:ind/>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95926"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200" w:line="276" w:lineRule="auto"/>
        <w:ind/>
        <w:rPr>
          <w:rFonts w:ascii="Times New Roman" w:hAnsi="Times New Roman" w:eastAsia="Times New Roman" w:cs="Times New Roman"/>
          <w:color w:val="000000" w:themeColor="text1"/>
          <w:highlight w:val="none"/>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12054"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p>
    <w:p>
      <w:pPr>
        <w:pBdr/>
        <w:spacing w:after="200" w:line="276" w:lineRule="auto"/>
        <w:ind/>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74401"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60922"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3" o:title=""/>
                <o:lock v:ext="edit" rotation="t"/>
              </v:shape>
            </w:pict>
          </mc:Fallback>
        </mc:AlternateContent>
        <w:br w:type="page" w:clear="all"/>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200" w:line="276" w:lineRule="auto"/>
        <w:ind/>
        <w:jc w:val="center"/>
        <w:rPr>
          <w:rFonts w:ascii="Times New Roman" w:hAnsi="Times New Roman" w:cs="Times New Roman"/>
          <w:i/>
          <w:color w:val="000000" w:themeColor="text1"/>
        </w:rPr>
      </w:pP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02</w:t>
      </w:r>
      <w:r>
        <w:rPr>
          <w:rFonts w:ascii="Times New Roman" w:hAnsi="Times New Roman" w:eastAsia="Times New Roman" w:cs="Times New Roman"/>
          <w:b/>
          <w:color w:val="000000" w:themeColor="text1"/>
          <w:lang w:val="vi-VN"/>
        </w:rPr>
        <w:t xml:space="preserve">: THÔNG TIN THU THẬP THỊ TRƯỜN</w:t>
      </w:r>
      <w:r>
        <w:rPr>
          <w:rFonts w:ascii="Times New Roman" w:hAnsi="Times New Roman" w:eastAsia="Times New Roman" w:cs="Times New Roman"/>
          <w:b/>
          <w:color w:val="000000" w:themeColor="text1"/>
        </w:rPr>
        <w:t xml:space="preserve">G</w:t>
      </w:r>
      <w:r>
        <w:rPr>
          <w:rFonts w:ascii="Times New Roman" w:hAnsi="Times New Roman" w:cs="Times New Roman"/>
          <w:i/>
          <w:color w:val="000000" w:themeColor="text1"/>
        </w:rPr>
      </w:r>
      <w:r>
        <w:rPr>
          <w:rFonts w:ascii="Times New Roman" w:hAnsi="Times New Roman" w:cs="Times New Roman"/>
          <w:i/>
          <w:color w:val="000000" w:themeColor="text1"/>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275/2026/1348/VFI-BC.44.A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26 tháng 8 năm 2026</w:t>
      </w:r>
      <w:r>
        <w:rPr>
          <w:rFonts w:ascii="Times New Roman" w:hAnsi="Times New Roman" w:eastAsia="Times New Roman" w:cs="Times New Roman"/>
          <w:i/>
          <w:color w:val="000000" w:themeColor="text1"/>
          <w:lang w:val="pt-BR"/>
        </w:rPr>
        <w:t xml:space="preserve"> của </w:t>
      </w:r>
      <w:r>
        <w:rPr>
          <w:rFonts w:ascii="Times New Roman" w:hAnsi="Times New Roman" w:cs="Times New Roman"/>
          <w:i/>
          <w:color w:val="000000" w:themeColor="text1"/>
        </w:rPr>
      </w:r>
      <w:r>
        <w:rPr>
          <w:rFonts w:ascii="Times New Roman" w:hAnsi="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cs="Times New Roman"/>
          <w:i/>
          <w:color w:val="000000" w:themeColor="text1"/>
        </w:rPr>
      </w:r>
      <w:r>
        <w:rPr>
          <w:rFonts w:ascii="Times New Roman" w:hAnsi="Times New Roman" w:cs="Times New Roman"/>
          <w:i/>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https://batdongsan.com.vn/ban-can-ho-chung-cu-duong-xuan-thuy-phuong-dich-vong-hau-prj-indochina-plaza-hanoi/chinh-chu-ban-gap-145m2-gom-3pn2wc-ful-noi-that-cao-cap-nhap-khau-so-do-san-chu-thien-chi-pr43031858</w:t>
            </w:r>
            <w:r>
              <w:rPr>
                <w:rFonts w:ascii="Times New Roman" w:hAnsi="Times New Roman" w:eastAsia="Times New Roman" w:cs="Times New Roman"/>
                <w:color w:val="000000" w:themeColor="text1"/>
                <w:sz w:val="22"/>
                <w:szCs w:val="22"/>
              </w:rPr>
              <w:br/>
              <w:t xml:space="preserve">0967537246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(Hoàng duy</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11.000.000.000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9.350.000.000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sz w:val="22"/>
                <w:szCs w:val="22"/>
                <w:highlight w:val="yellow"/>
              </w:rPr>
            </w:r>
            <w:r>
              <w:rPr>
                <w:rFonts w:ascii="Times New Roman" w:hAnsi="Times New Roman" w:cs="Times New Roman"/>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93</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10, 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Nam</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 2N 2WC 1K, 1B</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76250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7625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75.00pt;height:250.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72603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7260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4.65pt;height:250.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cs="Times New Roman"/>
              </w:rPr>
            </w:r>
            <w:r>
              <w:rPr>
                <w:rFonts w:ascii="Times New Roman" w:hAnsi="Times New Roman" w:cs="Times New Roman"/>
              </w:rPr>
            </w:r>
          </w:p>
        </w:tc>
      </w:tr>
    </w:tbl>
    <w:p>
      <w:pPr>
        <w:pBdr/>
        <w:spacing w:after="200" w:line="276" w:lineRule="auto"/>
        <w:ind/>
        <w:jc w:val="center"/>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pPr>
        <w:pBdr/>
        <w:spacing w:after="200" w:line="276" w:lineRule="auto"/>
        <w:ind/>
        <w:jc w:val="center"/>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lang w:val="pt-BR"/>
        </w:rPr>
        <w:br w:type="page" w:clear="all"/>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https://batdongsan.com.vn/ban-can-ho-chung-cu-duong-xuan-thuy-phuong-dich-vong-hau-prj-indochina-plaza-hanoi/chinh-chu-ban-gap-145m2-gom-3pn2wc-ful-noi-that-cao-cap-nhap-khau-so-do-san-chu-thien-chi-pr43031858</w:t>
            </w:r>
            <w:r>
              <w:rPr>
                <w:rFonts w:ascii="Times New Roman" w:hAnsi="Times New Roman" w:eastAsia="Times New Roman" w:cs="Times New Roman"/>
                <w:color w:val="000000" w:themeColor="text1"/>
                <w:sz w:val="22"/>
                <w:szCs w:val="22"/>
              </w:rPr>
              <w:br/>
              <w:t xml:space="preserve">0967537246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(Hoàng duy</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11.800.000.000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10.030.000.000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93</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22, Thuộc nhóm tầng: Cao</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Nam</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 2N 2WC 1K 1B</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76250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7625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75.00pt;height:250.00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72603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7260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4.65pt;height:250.0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cs="Times New Roman"/>
              </w:rPr>
            </w:r>
            <w:r>
              <w:rPr>
                <w:rFonts w:ascii="Times New Roman" w:hAnsi="Times New Roman" w:cs="Times New Roman"/>
              </w:rPr>
            </w:r>
          </w:p>
        </w:tc>
      </w:tr>
    </w:tbl>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br w:type="page" w:clear="all"/>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0775190856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(a Thành</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11.000.000.000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9.350.000.000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08/2026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highlight w:val="yellow"/>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sz w:val="22"/>
                <w:szCs w:val="22"/>
                <w:highlight w:val="yellow"/>
              </w:rPr>
            </w:r>
            <w:r>
              <w:rPr>
                <w:rFonts w:ascii="Times New Roman" w:hAnsi="Times New Roman" w:cs="Times New Roman"/>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Tòa tháp Đông - Indochina Plaza Hà Nội Dự án Indochina Plaza IPH chủ đầu tư Indochina Land</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92,7</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10, 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Nam</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nhà vệ sinh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 lợi thế thương mại của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bất lợi thương mại </w:t>
            </w:r>
            <w:r>
              <w:rPr>
                <w:rFonts w:ascii="Times New Roman" w:hAnsi="Times New Roman" w:eastAsia="Times New Roman" w:cs="Times New Roman"/>
                <w:color w:val="000000"/>
                <w:sz w:val="22"/>
                <w:szCs w:val="22"/>
              </w:rPr>
              <w:t xml:space="preserve">của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cơ sở hạ tầng kỹ thuật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 kiện môi trường an ninh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263307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6330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07.33pt;height:250.00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809787"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8097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21.24pt;height:250.00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87.50pt;height:250.00pt;mso-wrap-distance-left:0.00pt;mso-wrap-distance-top:0.00pt;mso-wrap-distance-right:0.00pt;mso-wrap-distance-bottom:0.00pt;z-index:1;" stroked="false">
                      <v:imagedata r:id="rId40"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7.50pt;height:250.00pt;mso-wrap-distance-left:0.00pt;mso-wrap-distance-top:0.00pt;mso-wrap-distance-right:0.00pt;mso-wrap-distance-bottom:0.00pt;z-index:1;" stroked="false">
                      <v:imagedata r:id="rId41"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33333"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33.33pt;height:250.00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87.50pt;height:250.00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cs="Times New Roman"/>
                <w:color w:val="000000"/>
                <w:sz w:val="22"/>
                <w:szCs w:val="22"/>
              </w:rPr>
            </w:r>
            <w:r>
              <w:rPr>
                <w:rFonts w:ascii="Times New Roman" w:hAnsi="Times New Roman" w:cs="Times New Roman"/>
                <w:color w:val="000000"/>
                <w:sz w:val="22"/>
                <w:szCs w:val="22"/>
              </w:rPr>
            </w:r>
          </w:p>
          <w:p>
            <w:pPr>
              <w:pBdr/>
              <w:spacing w:line="276" w:lineRule="auto"/>
              <w:ind/>
              <w:rPr>
                <w:rFonts w:ascii="Times New Roman" w:hAnsi="Times New Roman" w:cs="Times New Roman"/>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33333"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33.33pt;height:250.00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rPr>
            </w:r>
            <w:r>
              <w:rPr>
                <w:rFonts w:ascii="Times New Roman" w:hAnsi="Times New Roman" w:cs="Times New Roman"/>
              </w:rPr>
            </w:r>
          </w:p>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cs="Times New Roman"/>
              </w:rPr>
            </w:r>
            <w:r>
              <w:rPr>
                <w:rFonts w:ascii="Times New Roman" w:hAnsi="Times New Roman" w:cs="Times New Roman"/>
              </w:rPr>
            </w:r>
          </w:p>
        </w:tc>
      </w:tr>
    </w:tbl>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2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2E8D168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2">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3">
    <w:nsid w:val="1A52B6F2"/>
    <w:lvl w:ilvl="0">
      <w:isLgl w:val="false"/>
      <w:lvlJc w:val="left"/>
      <w:lvlText w:val="–"/>
      <w:numFmt w:val="bullet"/>
      <w:pPr>
        <w:pBdr/>
        <w:spacing/>
        <w:ind w:hanging="360" w:left="851"/>
      </w:pPr>
      <w:rPr>
        <w:rFonts w:hint="default" w:ascii="Arial" w:hAnsi="Arial" w:eastAsia="Arial" w:cs="Arial"/>
      </w:rPr>
      <w:start w:val="1"/>
      <w:suff w:val="tab"/>
    </w:lvl>
    <w:lvl w:ilvl="1">
      <w:isLgl w:val="false"/>
      <w:lvlJc w:val="left"/>
      <w:lvlText w:val="o"/>
      <w:numFmt w:val="bullet"/>
      <w:pPr>
        <w:pBdr/>
        <w:spacing/>
        <w:ind w:hanging="360" w:left="1571"/>
      </w:pPr>
      <w:rPr>
        <w:rFonts w:hint="default" w:ascii="Courier New" w:hAnsi="Courier New" w:eastAsia="Courier New" w:cs="Courier New"/>
      </w:rPr>
      <w:start w:val="1"/>
      <w:suff w:val="tab"/>
    </w:lvl>
    <w:lvl w:ilvl="2">
      <w:isLgl w:val="false"/>
      <w:lvlJc w:val="left"/>
      <w:lvlText w:val="§"/>
      <w:numFmt w:val="bullet"/>
      <w:pPr>
        <w:pBdr/>
        <w:spacing/>
        <w:ind w:hanging="360" w:left="2291"/>
      </w:pPr>
      <w:rPr>
        <w:rFonts w:hint="default" w:ascii="Wingdings" w:hAnsi="Wingdings" w:eastAsia="Wingdings" w:cs="Wingdings"/>
      </w:rPr>
      <w:start w:val="1"/>
      <w:suff w:val="tab"/>
    </w:lvl>
    <w:lvl w:ilvl="3">
      <w:isLgl w:val="false"/>
      <w:lvlJc w:val="left"/>
      <w:lvlText w:val="·"/>
      <w:numFmt w:val="bullet"/>
      <w:pPr>
        <w:pBdr/>
        <w:spacing/>
        <w:ind w:hanging="360" w:left="3011"/>
      </w:pPr>
      <w:rPr>
        <w:rFonts w:hint="default" w:ascii="Symbol" w:hAnsi="Symbol" w:eastAsia="Symbol" w:cs="Symbol"/>
      </w:rPr>
      <w:start w:val="1"/>
      <w:suff w:val="tab"/>
    </w:lvl>
    <w:lvl w:ilvl="4">
      <w:isLgl w:val="false"/>
      <w:lvlJc w:val="left"/>
      <w:lvlText w:val="o"/>
      <w:numFmt w:val="bullet"/>
      <w:pPr>
        <w:pBdr/>
        <w:spacing/>
        <w:ind w:hanging="360" w:left="3731"/>
      </w:pPr>
      <w:rPr>
        <w:rFonts w:hint="default" w:ascii="Courier New" w:hAnsi="Courier New" w:eastAsia="Courier New" w:cs="Courier New"/>
      </w:rPr>
      <w:start w:val="1"/>
      <w:suff w:val="tab"/>
    </w:lvl>
    <w:lvl w:ilvl="5">
      <w:isLgl w:val="false"/>
      <w:lvlJc w:val="left"/>
      <w:lvlText w:val="§"/>
      <w:numFmt w:val="bullet"/>
      <w:pPr>
        <w:pBdr/>
        <w:spacing/>
        <w:ind w:hanging="360" w:left="4451"/>
      </w:pPr>
      <w:rPr>
        <w:rFonts w:hint="default" w:ascii="Wingdings" w:hAnsi="Wingdings" w:eastAsia="Wingdings" w:cs="Wingdings"/>
      </w:rPr>
      <w:start w:val="1"/>
      <w:suff w:val="tab"/>
    </w:lvl>
    <w:lvl w:ilvl="6">
      <w:isLgl w:val="false"/>
      <w:lvlJc w:val="left"/>
      <w:lvlText w:val="·"/>
      <w:numFmt w:val="bullet"/>
      <w:pPr>
        <w:pBdr/>
        <w:spacing/>
        <w:ind w:hanging="360" w:left="5171"/>
      </w:pPr>
      <w:rPr>
        <w:rFonts w:hint="default" w:ascii="Symbol" w:hAnsi="Symbol" w:eastAsia="Symbol" w:cs="Symbol"/>
      </w:rPr>
      <w:start w:val="1"/>
      <w:suff w:val="tab"/>
    </w:lvl>
    <w:lvl w:ilvl="7">
      <w:isLgl w:val="false"/>
      <w:lvlJc w:val="left"/>
      <w:lvlText w:val="o"/>
      <w:numFmt w:val="bullet"/>
      <w:pPr>
        <w:pBdr/>
        <w:spacing/>
        <w:ind w:hanging="360" w:left="5891"/>
      </w:pPr>
      <w:rPr>
        <w:rFonts w:hint="default" w:ascii="Courier New" w:hAnsi="Courier New" w:eastAsia="Courier New" w:cs="Courier New"/>
      </w:rPr>
      <w:start w:val="1"/>
      <w:suff w:val="tab"/>
    </w:lvl>
    <w:lvl w:ilvl="8">
      <w:isLgl w:val="false"/>
      <w:lvlJc w:val="left"/>
      <w:lvlText w:val="§"/>
      <w:numFmt w:val="bullet"/>
      <w:pPr>
        <w:pBdr/>
        <w:spacing/>
        <w:ind w:hanging="360" w:left="6611"/>
      </w:pPr>
      <w:rPr>
        <w:rFonts w:hint="default" w:ascii="Wingdings" w:hAnsi="Wingdings" w:eastAsia="Wingdings" w:cs="Wingdings"/>
      </w:rPr>
      <w:start w:val="1"/>
      <w:suff w:val="tab"/>
    </w:lvl>
  </w:abstractNum>
  <w:abstractNum w:abstractNumId="44">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5">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6">
    <w:nsid w:val="7E70031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8">
    <w:nsid w:val="1228CE3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1">
    <w:name w:val="Table Grid Light"/>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9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9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9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9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9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9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1"/>
    <w:basedOn w:val="95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2"/>
    <w:basedOn w:val="95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3"/>
    <w:basedOn w:val="95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4"/>
    <w:basedOn w:val="95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5"/>
    <w:basedOn w:val="95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6"/>
    <w:basedOn w:val="95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2"/>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3"/>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 Accent 1"/>
    <w:basedOn w:val="95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1">
    <w:name w:val="Grid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2">
    <w:name w:val="Grid Table 6 Colorful - Accent 3"/>
    <w:basedOn w:val="95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3">
    <w:name w:val="Grid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4">
    <w:name w:val="Grid Table 6 Colorful - Accent 5"/>
    <w:basedOn w:val="95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6 Colorful - Accent 6"/>
    <w:basedOn w:val="95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7 Colorful - Accent 1"/>
    <w:basedOn w:val="95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95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95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1"/>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2"/>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3"/>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4"/>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5"/>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6"/>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95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95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95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95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95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95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1"/>
    <w:basedOn w:val="95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3"/>
    <w:basedOn w:val="95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5"/>
    <w:basedOn w:val="95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6"/>
    <w:basedOn w:val="95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95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95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95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95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95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95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 Accent 1"/>
    <w:basedOn w:val="95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2"/>
    <w:basedOn w:val="95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3"/>
    <w:basedOn w:val="95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4"/>
    <w:basedOn w:val="95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5"/>
    <w:basedOn w:val="95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6"/>
    <w:basedOn w:val="95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6 Colorful - Accent 1"/>
    <w:basedOn w:val="95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95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95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95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 Accent 1"/>
    <w:basedOn w:val="95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9">
    <w:name w:val="List Table 7 Colorful - Accent 2"/>
    <w:basedOn w:val="95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0">
    <w:name w:val="List Table 7 Colorful - Accent 3"/>
    <w:basedOn w:val="95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1">
    <w:name w:val="List Table 7 Colorful - Accent 4"/>
    <w:basedOn w:val="95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2">
    <w:name w:val="List Table 7 Colorful - Accent 5"/>
    <w:basedOn w:val="95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3">
    <w:name w:val="List Table 7 Colorful - Accent 6"/>
    <w:basedOn w:val="95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44" w:default="1">
    <w:name w:val="Normal"/>
    <w:qFormat/>
    <w:pPr>
      <w:pBdr/>
      <w:spacing w:after="0" w:line="240" w:lineRule="auto"/>
      <w:ind/>
    </w:pPr>
    <w:rPr>
      <w:rFonts w:ascii="Times New Roman" w:hAnsi="Times New Roman" w:eastAsia="Times New Roman" w:cs="Times New Roman"/>
      <w:sz w:val="24"/>
      <w:szCs w:val="24"/>
    </w:rPr>
  </w:style>
  <w:style w:type="paragraph" w:styleId="945">
    <w:name w:val="Heading 1"/>
    <w:basedOn w:val="944"/>
    <w:next w:val="944"/>
    <w:link w:val="1118"/>
    <w:qFormat/>
    <w:pPr>
      <w:keepNext w:val="true"/>
      <w:pBdr/>
      <w:spacing w:after="120" w:before="120"/>
      <w:ind/>
      <w:jc w:val="center"/>
      <w:outlineLvl w:val="0"/>
    </w:pPr>
    <w:rPr>
      <w:b/>
      <w:bCs/>
      <w:sz w:val="27"/>
      <w:szCs w:val="27"/>
    </w:rPr>
  </w:style>
  <w:style w:type="paragraph" w:styleId="946">
    <w:name w:val="Heading 2"/>
    <w:basedOn w:val="944"/>
    <w:next w:val="944"/>
    <w:link w:val="111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47">
    <w:name w:val="Heading 3"/>
    <w:basedOn w:val="944"/>
    <w:next w:val="944"/>
    <w:link w:val="1120"/>
    <w:qFormat/>
    <w:pPr>
      <w:keepNext w:val="true"/>
      <w:pBdr/>
      <w:spacing w:before="60"/>
      <w:ind/>
      <w:outlineLvl w:val="2"/>
    </w:pPr>
    <w:rPr>
      <w:sz w:val="28"/>
      <w:szCs w:val="28"/>
    </w:rPr>
  </w:style>
  <w:style w:type="paragraph" w:styleId="948">
    <w:name w:val="Heading 4"/>
    <w:basedOn w:val="944"/>
    <w:next w:val="944"/>
    <w:link w:val="1121"/>
    <w:qFormat/>
    <w:pPr>
      <w:keepNext w:val="true"/>
      <w:pBdr/>
      <w:spacing/>
      <w:ind/>
      <w:jc w:val="center"/>
      <w:outlineLvl w:val="3"/>
    </w:pPr>
    <w:rPr>
      <w:b/>
      <w:bCs/>
    </w:rPr>
  </w:style>
  <w:style w:type="paragraph" w:styleId="949">
    <w:name w:val="Heading 5"/>
    <w:basedOn w:val="944"/>
    <w:next w:val="944"/>
    <w:link w:val="108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50">
    <w:name w:val="Heading 6"/>
    <w:basedOn w:val="944"/>
    <w:next w:val="944"/>
    <w:link w:val="108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51">
    <w:name w:val="Heading 7"/>
    <w:basedOn w:val="944"/>
    <w:next w:val="944"/>
    <w:link w:val="108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52">
    <w:name w:val="Heading 8"/>
    <w:basedOn w:val="944"/>
    <w:next w:val="944"/>
    <w:link w:val="108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53">
    <w:name w:val="Heading 9"/>
    <w:basedOn w:val="944"/>
    <w:next w:val="944"/>
    <w:link w:val="108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54" w:default="1">
    <w:name w:val="Default Paragraph Font"/>
    <w:uiPriority w:val="1"/>
    <w:semiHidden/>
    <w:unhideWhenUsed/>
    <w:pPr>
      <w:pBdr/>
      <w:spacing/>
      <w:ind/>
    </w:pPr>
  </w:style>
  <w:style w:type="table" w:styleId="95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56" w:default="1">
    <w:name w:val="No List"/>
    <w:uiPriority w:val="99"/>
    <w:semiHidden/>
    <w:unhideWhenUsed/>
    <w:pPr>
      <w:pBdr/>
      <w:spacing/>
      <w:ind/>
    </w:pPr>
  </w:style>
  <w:style w:type="table" w:styleId="957">
    <w:name w:val="Grid Table Light"/>
    <w:basedOn w:val="95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Plain Table 1"/>
    <w:basedOn w:val="95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Plain Table 2"/>
    <w:basedOn w:val="95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Plain Table 3"/>
    <w:basedOn w:val="9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Plain Table 4"/>
    <w:basedOn w:val="9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Plain Table 5"/>
    <w:basedOn w:val="9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1 Light"/>
    <w:basedOn w:val="95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1 Light Accent 1"/>
    <w:basedOn w:val="95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1 Light Accent 2"/>
    <w:basedOn w:val="95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1 Light Accent 3"/>
    <w:basedOn w:val="95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1 Light Accent 4"/>
    <w:basedOn w:val="95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1 Light Accent 5"/>
    <w:basedOn w:val="95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1 Light Accent 6"/>
    <w:basedOn w:val="95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2"/>
    <w:basedOn w:val="95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2 Accent 1"/>
    <w:basedOn w:val="95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2 Accent 2"/>
    <w:basedOn w:val="95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2 Accent 3"/>
    <w:basedOn w:val="95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2 Accent 4"/>
    <w:basedOn w:val="95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2 Accent 5"/>
    <w:basedOn w:val="95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2 Accent 6"/>
    <w:basedOn w:val="95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3"/>
    <w:basedOn w:val="95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3 Accent 1"/>
    <w:basedOn w:val="95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3 Accent 2"/>
    <w:basedOn w:val="95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3 Accent 3"/>
    <w:basedOn w:val="95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3 Accent 4"/>
    <w:basedOn w:val="95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3 Accent 5"/>
    <w:basedOn w:val="95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3 Accent 6"/>
    <w:basedOn w:val="95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4"/>
    <w:basedOn w:val="95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4 Accent 1"/>
    <w:basedOn w:val="95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4 Accent 2"/>
    <w:basedOn w:val="95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4 Accent 3"/>
    <w:basedOn w:val="95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4 Accent 4"/>
    <w:basedOn w:val="95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4 Accent 5"/>
    <w:basedOn w:val="95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4 Accent 6"/>
    <w:basedOn w:val="95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5 Dark"/>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customStyle="1">
    <w:name w:val="Grid Table 5 Dark- Accent 1"/>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5 Dark Accent 2"/>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5 Dark Accent 3"/>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customStyle="1">
    <w:name w:val="Grid Table 5 Dark- Accent 4"/>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5 Dark Accent 5"/>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5 Dark Accent 6"/>
    <w:basedOn w:val="9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6 Colorful"/>
    <w:basedOn w:val="95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6 Colorful Accent 1"/>
    <w:basedOn w:val="95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6 Colorful Accent 2"/>
    <w:basedOn w:val="95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6 Colorful Accent 3"/>
    <w:basedOn w:val="95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6 Colorful Accent 4"/>
    <w:basedOn w:val="95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6 Colorful Accent 5"/>
    <w:basedOn w:val="95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6 Colorful Accent 6"/>
    <w:basedOn w:val="95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7 Colorful"/>
    <w:basedOn w:val="95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7 Colorful Accent 1"/>
    <w:basedOn w:val="95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7 Colorful Accent 2"/>
    <w:basedOn w:val="95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7 Colorful Accent 3"/>
    <w:basedOn w:val="95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7 Colorful Accent 4"/>
    <w:basedOn w:val="95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7 Colorful Accent 5"/>
    <w:basedOn w:val="95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7 Colorful Accent 6"/>
    <w:basedOn w:val="95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1 Light"/>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1 Light Accent 1"/>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1 Light Accent 2"/>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1 Light Accent 3"/>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1 Light Accent 4"/>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1 Light Accent 5"/>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1 Light Accent 6"/>
    <w:basedOn w:val="9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2"/>
    <w:basedOn w:val="95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2 Accent 1"/>
    <w:basedOn w:val="95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2 Accent 2"/>
    <w:basedOn w:val="95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2 Accent 3"/>
    <w:basedOn w:val="95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2 Accent 4"/>
    <w:basedOn w:val="95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2 Accent 5"/>
    <w:basedOn w:val="95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2 Accent 6"/>
    <w:basedOn w:val="95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3"/>
    <w:basedOn w:val="95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3 Accent 1"/>
    <w:basedOn w:val="95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3 Accent 2"/>
    <w:basedOn w:val="95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3 Accent 3"/>
    <w:basedOn w:val="95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3 Accent 4"/>
    <w:basedOn w:val="95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3 Accent 5"/>
    <w:basedOn w:val="95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3 Accent 6"/>
    <w:basedOn w:val="95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4"/>
    <w:basedOn w:val="95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4 Accent 1"/>
    <w:basedOn w:val="95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4 Accent 2"/>
    <w:basedOn w:val="95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4 Accent 3"/>
    <w:basedOn w:val="95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4 Accent 4"/>
    <w:basedOn w:val="95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4 Accent 5"/>
    <w:basedOn w:val="95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4 Accent 6"/>
    <w:basedOn w:val="95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5 Dark"/>
    <w:basedOn w:val="95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5 Dark Accent 1"/>
    <w:basedOn w:val="95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5 Dark Accent 2"/>
    <w:basedOn w:val="95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5 Dark Accent 3"/>
    <w:basedOn w:val="95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5 Dark Accent 4"/>
    <w:basedOn w:val="95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5 Dark Accent 5"/>
    <w:basedOn w:val="95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5 Dark Accent 6"/>
    <w:basedOn w:val="95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6 Colorful"/>
    <w:basedOn w:val="95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6 Colorful Accent 1"/>
    <w:basedOn w:val="95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6 Colorful Accent 2"/>
    <w:basedOn w:val="95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6 Colorful Accent 3"/>
    <w:basedOn w:val="95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6 Colorful Accent 4"/>
    <w:basedOn w:val="95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6 Colorful Accent 5"/>
    <w:basedOn w:val="95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6 Colorful Accent 6"/>
    <w:basedOn w:val="95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7 Colorful"/>
    <w:basedOn w:val="95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7 Colorful Accent 1"/>
    <w:basedOn w:val="95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7 Colorful Accent 2"/>
    <w:basedOn w:val="95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7 Colorful Accent 3"/>
    <w:basedOn w:val="95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7 Colorful Accent 4"/>
    <w:basedOn w:val="95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7 Colorful Accent 5"/>
    <w:basedOn w:val="95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7 Colorful Accent 6"/>
    <w:basedOn w:val="95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Lined - Accent"/>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Lined - Accent 1"/>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Lined - Accent 2"/>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Lined - Accent 3"/>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Lined - Accent 4"/>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Lined - Accent 5"/>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Lined - Accent 6"/>
    <w:basedOn w:val="95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amp; Lined - Accent"/>
    <w:basedOn w:val="95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amp; Lined - Accent 1"/>
    <w:basedOn w:val="95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customStyle="1">
    <w:name w:val="Bordered &amp; Lined - Accent 2"/>
    <w:basedOn w:val="95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customStyle="1">
    <w:name w:val="Bordered &amp; Lined - Accent 3"/>
    <w:basedOn w:val="95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customStyle="1">
    <w:name w:val="Bordered &amp; Lined - Accent 4"/>
    <w:basedOn w:val="95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Bordered &amp; Lined - Accent 5"/>
    <w:basedOn w:val="95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Bordered &amp; Lined - Accent 6"/>
    <w:basedOn w:val="95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Bordered"/>
    <w:basedOn w:val="95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Bordered - Accent 1"/>
    <w:basedOn w:val="95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Bordered - Accent 2"/>
    <w:basedOn w:val="95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customStyle="1">
    <w:name w:val="Bordered - Accent 3"/>
    <w:basedOn w:val="95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Bordered - Accent 4"/>
    <w:basedOn w:val="95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Bordered - Accent 5"/>
    <w:basedOn w:val="95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Bordered - Accent 6"/>
    <w:basedOn w:val="95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2" w:customStyle="1">
    <w:name w:val="Heading 5 Char"/>
    <w:basedOn w:val="954"/>
    <w:link w:val="949"/>
    <w:uiPriority w:val="9"/>
    <w:pPr>
      <w:pBdr/>
      <w:spacing/>
      <w:ind/>
    </w:pPr>
    <w:rPr>
      <w:rFonts w:ascii="Arial" w:hAnsi="Arial" w:eastAsia="Arial" w:cs="Arial"/>
      <w:color w:val="365f91" w:themeColor="accent1" w:themeShade="BF"/>
    </w:rPr>
  </w:style>
  <w:style w:type="character" w:styleId="1083" w:customStyle="1">
    <w:name w:val="Heading 6 Char"/>
    <w:basedOn w:val="954"/>
    <w:link w:val="950"/>
    <w:uiPriority w:val="9"/>
    <w:pPr>
      <w:pBdr/>
      <w:spacing/>
      <w:ind/>
    </w:pPr>
    <w:rPr>
      <w:rFonts w:ascii="Arial" w:hAnsi="Arial" w:eastAsia="Arial" w:cs="Arial"/>
      <w:i/>
      <w:iCs/>
      <w:color w:val="595959" w:themeColor="text1" w:themeTint="A6"/>
    </w:rPr>
  </w:style>
  <w:style w:type="character" w:styleId="1084" w:customStyle="1">
    <w:name w:val="Heading 7 Char"/>
    <w:basedOn w:val="954"/>
    <w:link w:val="951"/>
    <w:uiPriority w:val="9"/>
    <w:pPr>
      <w:pBdr/>
      <w:spacing/>
      <w:ind/>
    </w:pPr>
    <w:rPr>
      <w:rFonts w:ascii="Arial" w:hAnsi="Arial" w:eastAsia="Arial" w:cs="Arial"/>
      <w:color w:val="595959" w:themeColor="text1" w:themeTint="A6"/>
    </w:rPr>
  </w:style>
  <w:style w:type="character" w:styleId="1085" w:customStyle="1">
    <w:name w:val="Heading 8 Char"/>
    <w:basedOn w:val="954"/>
    <w:link w:val="952"/>
    <w:uiPriority w:val="9"/>
    <w:pPr>
      <w:pBdr/>
      <w:spacing/>
      <w:ind/>
    </w:pPr>
    <w:rPr>
      <w:rFonts w:ascii="Arial" w:hAnsi="Arial" w:eastAsia="Arial" w:cs="Arial"/>
      <w:i/>
      <w:iCs/>
      <w:color w:val="272727" w:themeColor="text1" w:themeTint="D8"/>
    </w:rPr>
  </w:style>
  <w:style w:type="character" w:styleId="1086" w:customStyle="1">
    <w:name w:val="Heading 9 Char"/>
    <w:basedOn w:val="954"/>
    <w:link w:val="953"/>
    <w:uiPriority w:val="9"/>
    <w:pPr>
      <w:pBdr/>
      <w:spacing/>
      <w:ind/>
    </w:pPr>
    <w:rPr>
      <w:rFonts w:ascii="Arial" w:hAnsi="Arial" w:eastAsia="Arial" w:cs="Arial"/>
      <w:i/>
      <w:iCs/>
      <w:color w:val="272727" w:themeColor="text1" w:themeTint="D8"/>
    </w:rPr>
  </w:style>
  <w:style w:type="paragraph" w:styleId="1087">
    <w:name w:val="Subtitle"/>
    <w:basedOn w:val="944"/>
    <w:next w:val="944"/>
    <w:link w:val="1088"/>
    <w:uiPriority w:val="11"/>
    <w:qFormat/>
    <w:pPr>
      <w:numPr>
        <w:ilvl w:val="1"/>
      </w:numPr>
      <w:pBdr/>
      <w:spacing/>
      <w:ind/>
    </w:pPr>
    <w:rPr>
      <w:color w:val="595959" w:themeColor="text1" w:themeTint="A6"/>
      <w:spacing w:val="15"/>
      <w:sz w:val="28"/>
      <w:szCs w:val="28"/>
    </w:rPr>
  </w:style>
  <w:style w:type="character" w:styleId="1088" w:customStyle="1">
    <w:name w:val="Subtitle Char"/>
    <w:basedOn w:val="954"/>
    <w:link w:val="1087"/>
    <w:uiPriority w:val="11"/>
    <w:pPr>
      <w:pBdr/>
      <w:spacing/>
      <w:ind/>
    </w:pPr>
    <w:rPr>
      <w:color w:val="595959" w:themeColor="text1" w:themeTint="A6"/>
      <w:spacing w:val="15"/>
      <w:sz w:val="28"/>
      <w:szCs w:val="28"/>
    </w:rPr>
  </w:style>
  <w:style w:type="paragraph" w:styleId="1089">
    <w:name w:val="Quote"/>
    <w:basedOn w:val="944"/>
    <w:next w:val="944"/>
    <w:link w:val="1090"/>
    <w:uiPriority w:val="29"/>
    <w:qFormat/>
    <w:pPr>
      <w:pBdr/>
      <w:spacing w:before="160"/>
      <w:ind/>
      <w:jc w:val="center"/>
    </w:pPr>
    <w:rPr>
      <w:i/>
      <w:iCs/>
      <w:color w:val="404040" w:themeColor="text1" w:themeTint="BF"/>
    </w:rPr>
  </w:style>
  <w:style w:type="character" w:styleId="1090" w:customStyle="1">
    <w:name w:val="Quote Char"/>
    <w:basedOn w:val="954"/>
    <w:link w:val="1089"/>
    <w:uiPriority w:val="29"/>
    <w:pPr>
      <w:pBdr/>
      <w:spacing/>
      <w:ind/>
    </w:pPr>
    <w:rPr>
      <w:i/>
      <w:iCs/>
      <w:color w:val="404040" w:themeColor="text1" w:themeTint="BF"/>
    </w:rPr>
  </w:style>
  <w:style w:type="character" w:styleId="1091">
    <w:name w:val="Intense Emphasis"/>
    <w:basedOn w:val="954"/>
    <w:uiPriority w:val="21"/>
    <w:qFormat/>
    <w:pPr>
      <w:pBdr/>
      <w:spacing/>
      <w:ind/>
    </w:pPr>
    <w:rPr>
      <w:i/>
      <w:iCs/>
      <w:color w:val="365f91" w:themeColor="accent1" w:themeShade="BF"/>
    </w:rPr>
  </w:style>
  <w:style w:type="paragraph" w:styleId="1092">
    <w:name w:val="Intense Quote"/>
    <w:basedOn w:val="944"/>
    <w:next w:val="944"/>
    <w:link w:val="109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93" w:customStyle="1">
    <w:name w:val="Intense Quote Char"/>
    <w:basedOn w:val="954"/>
    <w:link w:val="1092"/>
    <w:uiPriority w:val="30"/>
    <w:pPr>
      <w:pBdr/>
      <w:spacing/>
      <w:ind/>
    </w:pPr>
    <w:rPr>
      <w:i/>
      <w:iCs/>
      <w:color w:val="365f91" w:themeColor="accent1" w:themeShade="BF"/>
    </w:rPr>
  </w:style>
  <w:style w:type="character" w:styleId="1094">
    <w:name w:val="Intense Reference"/>
    <w:basedOn w:val="954"/>
    <w:uiPriority w:val="32"/>
    <w:qFormat/>
    <w:pPr>
      <w:pBdr/>
      <w:spacing/>
      <w:ind/>
    </w:pPr>
    <w:rPr>
      <w:b/>
      <w:bCs/>
      <w:smallCaps/>
      <w:color w:val="365f91" w:themeColor="accent1" w:themeShade="BF"/>
      <w:spacing w:val="5"/>
    </w:rPr>
  </w:style>
  <w:style w:type="paragraph" w:styleId="1095">
    <w:name w:val="No Spacing"/>
    <w:basedOn w:val="944"/>
    <w:uiPriority w:val="1"/>
    <w:qFormat/>
    <w:pPr>
      <w:pBdr/>
      <w:spacing/>
      <w:ind/>
    </w:pPr>
  </w:style>
  <w:style w:type="character" w:styleId="1096">
    <w:name w:val="Subtle Emphasis"/>
    <w:basedOn w:val="954"/>
    <w:uiPriority w:val="19"/>
    <w:qFormat/>
    <w:pPr>
      <w:pBdr/>
      <w:spacing/>
      <w:ind/>
    </w:pPr>
    <w:rPr>
      <w:i/>
      <w:iCs/>
      <w:color w:val="404040" w:themeColor="text1" w:themeTint="BF"/>
    </w:rPr>
  </w:style>
  <w:style w:type="character" w:styleId="1097">
    <w:name w:val="Subtle Reference"/>
    <w:basedOn w:val="954"/>
    <w:uiPriority w:val="31"/>
    <w:qFormat/>
    <w:pPr>
      <w:pBdr/>
      <w:spacing/>
      <w:ind/>
    </w:pPr>
    <w:rPr>
      <w:smallCaps/>
      <w:color w:val="5a5a5a" w:themeColor="text1" w:themeTint="A5"/>
    </w:rPr>
  </w:style>
  <w:style w:type="character" w:styleId="1098">
    <w:name w:val="Book Title"/>
    <w:basedOn w:val="954"/>
    <w:uiPriority w:val="33"/>
    <w:qFormat/>
    <w:pPr>
      <w:pBdr/>
      <w:spacing/>
      <w:ind/>
    </w:pPr>
    <w:rPr>
      <w:b/>
      <w:bCs/>
      <w:i/>
      <w:iCs/>
      <w:spacing w:val="5"/>
    </w:rPr>
  </w:style>
  <w:style w:type="paragraph" w:styleId="1099">
    <w:name w:val="Caption"/>
    <w:basedOn w:val="944"/>
    <w:next w:val="944"/>
    <w:uiPriority w:val="35"/>
    <w:unhideWhenUsed/>
    <w:qFormat/>
    <w:pPr>
      <w:pBdr/>
      <w:spacing w:after="200"/>
      <w:ind/>
    </w:pPr>
    <w:rPr>
      <w:i/>
      <w:iCs/>
      <w:color w:val="1f497d" w:themeColor="text2"/>
      <w:sz w:val="18"/>
      <w:szCs w:val="18"/>
    </w:rPr>
  </w:style>
  <w:style w:type="paragraph" w:styleId="1100">
    <w:name w:val="footnote text"/>
    <w:basedOn w:val="944"/>
    <w:link w:val="1101"/>
    <w:uiPriority w:val="99"/>
    <w:semiHidden/>
    <w:unhideWhenUsed/>
    <w:pPr>
      <w:pBdr/>
      <w:spacing/>
      <w:ind/>
    </w:pPr>
    <w:rPr>
      <w:sz w:val="20"/>
      <w:szCs w:val="20"/>
    </w:rPr>
  </w:style>
  <w:style w:type="character" w:styleId="1101" w:customStyle="1">
    <w:name w:val="Footnote Text Char"/>
    <w:basedOn w:val="954"/>
    <w:link w:val="1100"/>
    <w:uiPriority w:val="99"/>
    <w:semiHidden/>
    <w:pPr>
      <w:pBdr/>
      <w:spacing/>
      <w:ind/>
    </w:pPr>
    <w:rPr>
      <w:sz w:val="20"/>
      <w:szCs w:val="20"/>
    </w:rPr>
  </w:style>
  <w:style w:type="character" w:styleId="1102">
    <w:name w:val="footnote reference"/>
    <w:basedOn w:val="954"/>
    <w:uiPriority w:val="99"/>
    <w:semiHidden/>
    <w:unhideWhenUsed/>
    <w:pPr>
      <w:pBdr/>
      <w:spacing/>
      <w:ind/>
    </w:pPr>
    <w:rPr>
      <w:vertAlign w:val="superscript"/>
    </w:rPr>
  </w:style>
  <w:style w:type="paragraph" w:styleId="1103">
    <w:name w:val="endnote text"/>
    <w:basedOn w:val="944"/>
    <w:link w:val="1104"/>
    <w:uiPriority w:val="99"/>
    <w:semiHidden/>
    <w:unhideWhenUsed/>
    <w:pPr>
      <w:pBdr/>
      <w:spacing/>
      <w:ind/>
    </w:pPr>
    <w:rPr>
      <w:sz w:val="20"/>
      <w:szCs w:val="20"/>
    </w:rPr>
  </w:style>
  <w:style w:type="character" w:styleId="1104" w:customStyle="1">
    <w:name w:val="Endnote Text Char"/>
    <w:basedOn w:val="954"/>
    <w:link w:val="1103"/>
    <w:uiPriority w:val="99"/>
    <w:semiHidden/>
    <w:pPr>
      <w:pBdr/>
      <w:spacing/>
      <w:ind/>
    </w:pPr>
    <w:rPr>
      <w:sz w:val="20"/>
      <w:szCs w:val="20"/>
    </w:rPr>
  </w:style>
  <w:style w:type="character" w:styleId="1105">
    <w:name w:val="endnote reference"/>
    <w:basedOn w:val="954"/>
    <w:uiPriority w:val="99"/>
    <w:semiHidden/>
    <w:unhideWhenUsed/>
    <w:pPr>
      <w:pBdr/>
      <w:spacing/>
      <w:ind/>
    </w:pPr>
    <w:rPr>
      <w:vertAlign w:val="superscript"/>
    </w:rPr>
  </w:style>
  <w:style w:type="paragraph" w:styleId="1106">
    <w:name w:val="toc 1"/>
    <w:basedOn w:val="944"/>
    <w:next w:val="944"/>
    <w:uiPriority w:val="39"/>
    <w:unhideWhenUsed/>
    <w:pPr>
      <w:pBdr/>
      <w:spacing w:after="100"/>
      <w:ind/>
    </w:pPr>
  </w:style>
  <w:style w:type="paragraph" w:styleId="1107">
    <w:name w:val="toc 2"/>
    <w:basedOn w:val="944"/>
    <w:next w:val="944"/>
    <w:uiPriority w:val="39"/>
    <w:unhideWhenUsed/>
    <w:pPr>
      <w:pBdr/>
      <w:spacing w:after="100"/>
      <w:ind w:left="220"/>
    </w:pPr>
  </w:style>
  <w:style w:type="paragraph" w:styleId="1108">
    <w:name w:val="toc 3"/>
    <w:basedOn w:val="944"/>
    <w:next w:val="944"/>
    <w:uiPriority w:val="39"/>
    <w:unhideWhenUsed/>
    <w:pPr>
      <w:pBdr/>
      <w:spacing w:after="100"/>
      <w:ind w:left="440"/>
    </w:pPr>
  </w:style>
  <w:style w:type="paragraph" w:styleId="1109">
    <w:name w:val="toc 4"/>
    <w:basedOn w:val="944"/>
    <w:next w:val="944"/>
    <w:uiPriority w:val="39"/>
    <w:unhideWhenUsed/>
    <w:pPr>
      <w:pBdr/>
      <w:spacing w:after="100"/>
      <w:ind w:left="660"/>
    </w:pPr>
  </w:style>
  <w:style w:type="paragraph" w:styleId="1110">
    <w:name w:val="toc 5"/>
    <w:basedOn w:val="944"/>
    <w:next w:val="944"/>
    <w:uiPriority w:val="39"/>
    <w:unhideWhenUsed/>
    <w:pPr>
      <w:pBdr/>
      <w:spacing w:after="100"/>
      <w:ind w:left="880"/>
    </w:pPr>
  </w:style>
  <w:style w:type="paragraph" w:styleId="1111">
    <w:name w:val="toc 6"/>
    <w:basedOn w:val="944"/>
    <w:next w:val="944"/>
    <w:uiPriority w:val="39"/>
    <w:unhideWhenUsed/>
    <w:pPr>
      <w:pBdr/>
      <w:spacing w:after="100"/>
      <w:ind w:left="1100"/>
    </w:pPr>
  </w:style>
  <w:style w:type="paragraph" w:styleId="1112">
    <w:name w:val="toc 7"/>
    <w:basedOn w:val="944"/>
    <w:next w:val="944"/>
    <w:uiPriority w:val="39"/>
    <w:unhideWhenUsed/>
    <w:pPr>
      <w:pBdr/>
      <w:spacing w:after="100"/>
      <w:ind w:left="1320"/>
    </w:pPr>
  </w:style>
  <w:style w:type="paragraph" w:styleId="1113">
    <w:name w:val="toc 8"/>
    <w:basedOn w:val="944"/>
    <w:next w:val="944"/>
    <w:uiPriority w:val="39"/>
    <w:unhideWhenUsed/>
    <w:pPr>
      <w:pBdr/>
      <w:spacing w:after="100"/>
      <w:ind w:left="1540"/>
    </w:pPr>
  </w:style>
  <w:style w:type="paragraph" w:styleId="1114">
    <w:name w:val="toc 9"/>
    <w:basedOn w:val="944"/>
    <w:next w:val="944"/>
    <w:uiPriority w:val="39"/>
    <w:unhideWhenUsed/>
    <w:pPr>
      <w:pBdr/>
      <w:spacing w:after="100"/>
      <w:ind w:left="1760"/>
    </w:pPr>
  </w:style>
  <w:style w:type="character" w:styleId="1115">
    <w:name w:val="Placeholder Text"/>
    <w:basedOn w:val="954"/>
    <w:uiPriority w:val="99"/>
    <w:semiHidden/>
    <w:pPr>
      <w:pBdr/>
      <w:spacing/>
      <w:ind/>
    </w:pPr>
    <w:rPr>
      <w:color w:val="666666"/>
    </w:rPr>
  </w:style>
  <w:style w:type="paragraph" w:styleId="1116">
    <w:name w:val="TOC Heading"/>
    <w:uiPriority w:val="39"/>
    <w:unhideWhenUsed/>
    <w:pPr>
      <w:pBdr/>
      <w:spacing/>
      <w:ind/>
    </w:pPr>
  </w:style>
  <w:style w:type="paragraph" w:styleId="1117">
    <w:name w:val="table of figures"/>
    <w:basedOn w:val="944"/>
    <w:next w:val="944"/>
    <w:uiPriority w:val="99"/>
    <w:unhideWhenUsed/>
    <w:pPr>
      <w:pBdr/>
      <w:spacing/>
      <w:ind/>
    </w:pPr>
  </w:style>
  <w:style w:type="character" w:styleId="1118" w:customStyle="1">
    <w:name w:val="Heading 1 Char"/>
    <w:basedOn w:val="954"/>
    <w:link w:val="945"/>
    <w:pPr>
      <w:pBdr/>
      <w:spacing/>
      <w:ind/>
    </w:pPr>
    <w:rPr>
      <w:rFonts w:ascii="Times New Roman" w:hAnsi="Times New Roman" w:eastAsia="Times New Roman" w:cs="Times New Roman"/>
      <w:b/>
      <w:bCs/>
      <w:sz w:val="27"/>
      <w:szCs w:val="27"/>
    </w:rPr>
  </w:style>
  <w:style w:type="character" w:styleId="1119" w:customStyle="1">
    <w:name w:val="Heading 2 Char"/>
    <w:basedOn w:val="954"/>
    <w:link w:val="946"/>
    <w:uiPriority w:val="9"/>
    <w:pPr>
      <w:pBdr/>
      <w:spacing/>
      <w:ind/>
    </w:pPr>
    <w:rPr>
      <w:rFonts w:asciiTheme="majorHAnsi" w:hAnsiTheme="majorHAnsi" w:eastAsiaTheme="majorEastAsia" w:cstheme="majorBidi"/>
      <w:color w:val="365f91" w:themeColor="accent1" w:themeShade="BF"/>
      <w:sz w:val="26"/>
      <w:szCs w:val="26"/>
    </w:rPr>
  </w:style>
  <w:style w:type="character" w:styleId="1120" w:customStyle="1">
    <w:name w:val="Heading 3 Char"/>
    <w:basedOn w:val="954"/>
    <w:link w:val="947"/>
    <w:pPr>
      <w:pBdr/>
      <w:spacing/>
      <w:ind/>
    </w:pPr>
    <w:rPr>
      <w:rFonts w:ascii="Times New Roman" w:hAnsi="Times New Roman" w:eastAsia="Times New Roman" w:cs="Times New Roman"/>
      <w:sz w:val="28"/>
      <w:szCs w:val="28"/>
    </w:rPr>
  </w:style>
  <w:style w:type="character" w:styleId="1121" w:customStyle="1">
    <w:name w:val="Heading 4 Char"/>
    <w:basedOn w:val="954"/>
    <w:link w:val="948"/>
    <w:pPr>
      <w:pBdr/>
      <w:spacing/>
      <w:ind/>
    </w:pPr>
    <w:rPr>
      <w:rFonts w:ascii="Times New Roman" w:hAnsi="Times New Roman" w:eastAsia="Times New Roman" w:cs="Times New Roman"/>
      <w:b/>
      <w:bCs/>
      <w:sz w:val="24"/>
      <w:szCs w:val="24"/>
    </w:rPr>
  </w:style>
  <w:style w:type="character" w:styleId="1122">
    <w:name w:val="Hyperlink"/>
    <w:uiPriority w:val="99"/>
    <w:pPr>
      <w:pBdr/>
      <w:spacing/>
      <w:ind/>
    </w:pPr>
    <w:rPr>
      <w:color w:val="000000"/>
      <w:u w:val="single"/>
    </w:rPr>
  </w:style>
  <w:style w:type="character" w:styleId="1123">
    <w:name w:val="Strong"/>
    <w:uiPriority w:val="22"/>
    <w:qFormat/>
    <w:pPr>
      <w:pBdr/>
      <w:spacing/>
      <w:ind/>
    </w:pPr>
    <w:rPr>
      <w:b/>
      <w:bCs/>
    </w:rPr>
  </w:style>
  <w:style w:type="paragraph" w:styleId="1124">
    <w:name w:val="Balloon Text"/>
    <w:basedOn w:val="944"/>
    <w:link w:val="1125"/>
    <w:uiPriority w:val="99"/>
    <w:semiHidden/>
    <w:unhideWhenUsed/>
    <w:pPr>
      <w:pBdr/>
      <w:spacing/>
      <w:ind/>
    </w:pPr>
    <w:rPr>
      <w:rFonts w:ascii="Tahoma" w:hAnsi="Tahoma" w:cs="Tahoma"/>
      <w:sz w:val="16"/>
      <w:szCs w:val="16"/>
    </w:rPr>
  </w:style>
  <w:style w:type="character" w:styleId="1125" w:customStyle="1">
    <w:name w:val="Balloon Text Char"/>
    <w:basedOn w:val="954"/>
    <w:link w:val="1124"/>
    <w:uiPriority w:val="99"/>
    <w:semiHidden/>
    <w:pPr>
      <w:pBdr/>
      <w:spacing/>
      <w:ind/>
    </w:pPr>
    <w:rPr>
      <w:rFonts w:ascii="Tahoma" w:hAnsi="Tahoma" w:eastAsia="Times New Roman" w:cs="Tahoma"/>
      <w:sz w:val="16"/>
      <w:szCs w:val="16"/>
    </w:rPr>
  </w:style>
  <w:style w:type="paragraph" w:styleId="1126">
    <w:name w:val="Header"/>
    <w:basedOn w:val="944"/>
    <w:link w:val="1127"/>
    <w:unhideWhenUsed/>
    <w:pPr>
      <w:pBdr/>
      <w:tabs>
        <w:tab w:val="center" w:leader="none" w:pos="4680"/>
        <w:tab w:val="right" w:leader="none" w:pos="9360"/>
      </w:tabs>
      <w:spacing/>
      <w:ind/>
    </w:pPr>
  </w:style>
  <w:style w:type="character" w:styleId="1127" w:customStyle="1">
    <w:name w:val="Header Char"/>
    <w:basedOn w:val="954"/>
    <w:link w:val="1126"/>
    <w:pPr>
      <w:pBdr/>
      <w:spacing/>
      <w:ind/>
    </w:pPr>
    <w:rPr>
      <w:rFonts w:ascii="Times New Roman" w:hAnsi="Times New Roman" w:eastAsia="Times New Roman" w:cs="Times New Roman"/>
      <w:sz w:val="24"/>
      <w:szCs w:val="24"/>
    </w:rPr>
  </w:style>
  <w:style w:type="paragraph" w:styleId="1128">
    <w:name w:val="Footer"/>
    <w:basedOn w:val="944"/>
    <w:link w:val="1129"/>
    <w:uiPriority w:val="99"/>
    <w:unhideWhenUsed/>
    <w:pPr>
      <w:pBdr/>
      <w:tabs>
        <w:tab w:val="center" w:leader="none" w:pos="4680"/>
        <w:tab w:val="right" w:leader="none" w:pos="9360"/>
      </w:tabs>
      <w:spacing/>
      <w:ind/>
    </w:pPr>
  </w:style>
  <w:style w:type="character" w:styleId="1129" w:customStyle="1">
    <w:name w:val="Footer Char"/>
    <w:basedOn w:val="954"/>
    <w:link w:val="1128"/>
    <w:uiPriority w:val="99"/>
    <w:pPr>
      <w:pBdr/>
      <w:spacing/>
      <w:ind/>
    </w:pPr>
    <w:rPr>
      <w:rFonts w:ascii="Times New Roman" w:hAnsi="Times New Roman" w:eastAsia="Times New Roman" w:cs="Times New Roman"/>
      <w:sz w:val="24"/>
      <w:szCs w:val="24"/>
    </w:rPr>
  </w:style>
  <w:style w:type="character" w:styleId="1130" w:customStyle="1">
    <w:name w:val="normal-h1"/>
    <w:pPr>
      <w:pBdr/>
      <w:spacing/>
      <w:ind/>
    </w:pPr>
    <w:rPr>
      <w:rFonts w:hint="default" w:ascii=".VnTime" w:hAnsi=".VnTime"/>
      <w:color w:val="0000ff"/>
      <w:sz w:val="24"/>
      <w:szCs w:val="24"/>
    </w:rPr>
  </w:style>
  <w:style w:type="paragraph" w:styleId="1131" w:customStyle="1">
    <w:name w:val="normal-p"/>
    <w:basedOn w:val="944"/>
    <w:pPr>
      <w:pBdr/>
      <w:spacing/>
      <w:ind/>
      <w:jc w:val="both"/>
    </w:pPr>
    <w:rPr>
      <w:sz w:val="20"/>
      <w:szCs w:val="20"/>
    </w:rPr>
  </w:style>
  <w:style w:type="paragraph" w:styleId="1132">
    <w:name w:val="List Paragraph"/>
    <w:basedOn w:val="944"/>
    <w:link w:val="1219"/>
    <w:uiPriority w:val="34"/>
    <w:qFormat/>
    <w:pPr>
      <w:pBdr/>
      <w:spacing/>
      <w:ind w:left="720"/>
    </w:pPr>
  </w:style>
  <w:style w:type="paragraph" w:styleId="1133">
    <w:name w:val="Normal (Web)"/>
    <w:basedOn w:val="944"/>
    <w:uiPriority w:val="99"/>
    <w:pPr>
      <w:pBdr/>
      <w:spacing w:after="100" w:afterAutospacing="1" w:before="100" w:beforeAutospacing="1"/>
      <w:ind/>
    </w:pPr>
  </w:style>
  <w:style w:type="paragraph" w:styleId="1134">
    <w:name w:val="Body Text"/>
    <w:basedOn w:val="944"/>
    <w:link w:val="1135"/>
    <w:pPr>
      <w:pBdr/>
      <w:spacing w:after="120"/>
      <w:ind/>
      <w:jc w:val="both"/>
    </w:pPr>
  </w:style>
  <w:style w:type="character" w:styleId="1135" w:customStyle="1">
    <w:name w:val="Body Text Char"/>
    <w:basedOn w:val="954"/>
    <w:link w:val="1134"/>
    <w:pPr>
      <w:pBdr/>
      <w:spacing/>
      <w:ind/>
    </w:pPr>
    <w:rPr>
      <w:rFonts w:ascii="Times New Roman" w:hAnsi="Times New Roman" w:eastAsia="Times New Roman" w:cs="Times New Roman"/>
      <w:sz w:val="24"/>
      <w:szCs w:val="24"/>
    </w:rPr>
  </w:style>
  <w:style w:type="table" w:styleId="1136">
    <w:name w:val="Table Grid"/>
    <w:basedOn w:val="95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3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38">
    <w:name w:val="annotation reference"/>
    <w:basedOn w:val="954"/>
    <w:uiPriority w:val="99"/>
    <w:semiHidden/>
    <w:unhideWhenUsed/>
    <w:pPr>
      <w:pBdr/>
      <w:spacing/>
      <w:ind/>
    </w:pPr>
    <w:rPr>
      <w:sz w:val="16"/>
      <w:szCs w:val="16"/>
    </w:rPr>
  </w:style>
  <w:style w:type="paragraph" w:styleId="1139">
    <w:name w:val="annotation text"/>
    <w:basedOn w:val="944"/>
    <w:link w:val="1140"/>
    <w:uiPriority w:val="99"/>
    <w:unhideWhenUsed/>
    <w:pPr>
      <w:pBdr/>
      <w:spacing/>
      <w:ind/>
    </w:pPr>
    <w:rPr>
      <w:sz w:val="20"/>
      <w:szCs w:val="20"/>
    </w:rPr>
  </w:style>
  <w:style w:type="character" w:styleId="1140" w:customStyle="1">
    <w:name w:val="Comment Text Char"/>
    <w:basedOn w:val="954"/>
    <w:link w:val="1139"/>
    <w:uiPriority w:val="99"/>
    <w:pPr>
      <w:pBdr/>
      <w:spacing/>
      <w:ind/>
    </w:pPr>
    <w:rPr>
      <w:rFonts w:ascii="Times New Roman" w:hAnsi="Times New Roman" w:eastAsia="Times New Roman" w:cs="Times New Roman"/>
      <w:sz w:val="20"/>
      <w:szCs w:val="20"/>
    </w:rPr>
  </w:style>
  <w:style w:type="paragraph" w:styleId="1141">
    <w:name w:val="annotation subject"/>
    <w:basedOn w:val="1139"/>
    <w:next w:val="1139"/>
    <w:link w:val="1142"/>
    <w:uiPriority w:val="99"/>
    <w:semiHidden/>
    <w:unhideWhenUsed/>
    <w:pPr>
      <w:pBdr/>
      <w:spacing/>
      <w:ind/>
    </w:pPr>
    <w:rPr>
      <w:b/>
      <w:bCs/>
    </w:rPr>
  </w:style>
  <w:style w:type="character" w:styleId="1142" w:customStyle="1">
    <w:name w:val="Comment Subject Char"/>
    <w:basedOn w:val="1140"/>
    <w:link w:val="1141"/>
    <w:uiPriority w:val="99"/>
    <w:semiHidden/>
    <w:pPr>
      <w:pBdr/>
      <w:spacing/>
      <w:ind/>
    </w:pPr>
    <w:rPr>
      <w:rFonts w:ascii="Times New Roman" w:hAnsi="Times New Roman" w:eastAsia="Times New Roman" w:cs="Times New Roman"/>
      <w:b/>
      <w:bCs/>
      <w:sz w:val="20"/>
      <w:szCs w:val="20"/>
    </w:rPr>
  </w:style>
  <w:style w:type="paragraph" w:styleId="1143" w:customStyle="1">
    <w:name w:val="font5"/>
    <w:basedOn w:val="944"/>
    <w:pPr>
      <w:pBdr/>
      <w:spacing w:after="100" w:afterAutospacing="1" w:before="100" w:beforeAutospacing="1"/>
      <w:ind/>
    </w:pPr>
    <w:rPr>
      <w:rFonts w:ascii="Tahoma" w:hAnsi="Tahoma" w:cs="Tahoma"/>
      <w:color w:val="000000"/>
      <w:sz w:val="18"/>
      <w:szCs w:val="18"/>
    </w:rPr>
  </w:style>
  <w:style w:type="paragraph" w:styleId="1144" w:customStyle="1">
    <w:name w:val="font6"/>
    <w:basedOn w:val="944"/>
    <w:pPr>
      <w:pBdr/>
      <w:spacing w:after="100" w:afterAutospacing="1" w:before="100" w:beforeAutospacing="1"/>
      <w:ind/>
    </w:pPr>
    <w:rPr>
      <w:rFonts w:ascii="Tahoma" w:hAnsi="Tahoma" w:cs="Tahoma"/>
      <w:b/>
      <w:bCs/>
      <w:color w:val="000000"/>
      <w:sz w:val="18"/>
      <w:szCs w:val="18"/>
    </w:rPr>
  </w:style>
  <w:style w:type="paragraph" w:styleId="1145" w:customStyle="1">
    <w:name w:val="xl233"/>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6" w:customStyle="1">
    <w:name w:val="xl234"/>
    <w:basedOn w:val="944"/>
    <w:pPr>
      <w:pBdr/>
      <w:spacing w:after="100" w:afterAutospacing="1" w:before="100" w:beforeAutospacing="1"/>
      <w:ind/>
      <w:jc w:val="center"/>
    </w:pPr>
  </w:style>
  <w:style w:type="paragraph" w:styleId="1147" w:customStyle="1">
    <w:name w:val="xl235"/>
    <w:basedOn w:val="944"/>
    <w:pPr>
      <w:pBdr/>
      <w:spacing w:after="100" w:afterAutospacing="1" w:before="100" w:beforeAutospacing="1"/>
      <w:ind/>
      <w:jc w:val="center"/>
    </w:pPr>
    <w:rPr>
      <w:b/>
      <w:bCs/>
    </w:rPr>
  </w:style>
  <w:style w:type="paragraph" w:styleId="1148" w:customStyle="1">
    <w:name w:val="xl236"/>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49" w:customStyle="1">
    <w:name w:val="xl237"/>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0" w:customStyle="1">
    <w:name w:val="xl238"/>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51" w:customStyle="1">
    <w:name w:val="xl23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52" w:customStyle="1">
    <w:name w:val="xl240"/>
    <w:basedOn w:val="944"/>
    <w:pPr>
      <w:pBdr/>
      <w:spacing w:after="100" w:afterAutospacing="1" w:before="100" w:beforeAutospacing="1"/>
      <w:ind/>
    </w:pPr>
  </w:style>
  <w:style w:type="paragraph" w:styleId="1153" w:customStyle="1">
    <w:name w:val="xl241"/>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4" w:customStyle="1">
    <w:name w:val="xl242"/>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5" w:customStyle="1">
    <w:name w:val="xl243"/>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6" w:customStyle="1">
    <w:name w:val="xl244"/>
    <w:basedOn w:val="944"/>
    <w:pPr>
      <w:pBdr/>
      <w:spacing w:after="100" w:afterAutospacing="1" w:before="100" w:beforeAutospacing="1"/>
      <w:ind/>
    </w:pPr>
    <w:rPr>
      <w:b/>
      <w:bCs/>
    </w:rPr>
  </w:style>
  <w:style w:type="paragraph" w:styleId="1157" w:customStyle="1">
    <w:name w:val="xl245"/>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8" w:customStyle="1">
    <w:name w:val="xl246"/>
    <w:basedOn w:val="94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9" w:customStyle="1">
    <w:name w:val="xl247"/>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0" w:customStyle="1">
    <w:name w:val="xl248"/>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1" w:customStyle="1">
    <w:name w:val="xl24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2" w:customStyle="1">
    <w:name w:val="xl250"/>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3" w:customStyle="1">
    <w:name w:val="xl251"/>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64" w:customStyle="1">
    <w:name w:val="xl252"/>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5" w:customStyle="1">
    <w:name w:val="xl253"/>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6" w:customStyle="1">
    <w:name w:val="xl254"/>
    <w:basedOn w:val="94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55"/>
    <w:basedOn w:val="94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8" w:customStyle="1">
    <w:name w:val="xl256"/>
    <w:basedOn w:val="94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69" w:customStyle="1">
    <w:name w:val="xl257"/>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0" w:customStyle="1">
    <w:name w:val="xl258"/>
    <w:basedOn w:val="94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1" w:customStyle="1">
    <w:name w:val="xl25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2" w:customStyle="1">
    <w:name w:val="xl260"/>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3" w:customStyle="1">
    <w:name w:val="xl261"/>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4" w:customStyle="1">
    <w:name w:val="xl262"/>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5" w:customStyle="1">
    <w:name w:val="xl263"/>
    <w:basedOn w:val="944"/>
    <w:pPr>
      <w:pBdr/>
      <w:shd w:val="clear" w:color="000000" w:fill="ffffff"/>
      <w:spacing w:after="100" w:afterAutospacing="1" w:before="100" w:beforeAutospacing="1"/>
      <w:ind/>
    </w:pPr>
  </w:style>
  <w:style w:type="paragraph" w:styleId="1176" w:customStyle="1">
    <w:name w:val="xl264"/>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7" w:customStyle="1">
    <w:name w:val="xl265"/>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8" w:customStyle="1">
    <w:name w:val="xl266"/>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79" w:customStyle="1">
    <w:name w:val="xl267"/>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0" w:customStyle="1">
    <w:name w:val="xl268"/>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81" w:customStyle="1">
    <w:name w:val="xl269"/>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82" w:customStyle="1">
    <w:name w:val="xl270"/>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83" w:customStyle="1">
    <w:name w:val="xl271"/>
    <w:basedOn w:val="94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84" w:customStyle="1">
    <w:name w:val="xl272"/>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85" w:customStyle="1">
    <w:name w:val="xl273"/>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6" w:customStyle="1">
    <w:name w:val="xl274"/>
    <w:basedOn w:val="94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87" w:customStyle="1">
    <w:name w:val="xl275"/>
    <w:basedOn w:val="944"/>
    <w:pPr>
      <w:pBdr/>
      <w:spacing w:after="100" w:afterAutospacing="1" w:before="100" w:beforeAutospacing="1"/>
      <w:ind/>
    </w:pPr>
  </w:style>
  <w:style w:type="paragraph" w:styleId="1188" w:customStyle="1">
    <w:name w:val="xl276"/>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9" w:customStyle="1">
    <w:name w:val="xl277"/>
    <w:basedOn w:val="94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90" w:customStyle="1">
    <w:name w:val="xl278"/>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1" w:customStyle="1">
    <w:name w:val="xl279"/>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2" w:customStyle="1">
    <w:name w:val="xl280"/>
    <w:basedOn w:val="94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93" w:customStyle="1">
    <w:name w:val="xl281"/>
    <w:basedOn w:val="94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94" w:customStyle="1">
    <w:name w:val="xl282"/>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95" w:customStyle="1">
    <w:name w:val="xl283"/>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96" w:customStyle="1">
    <w:name w:val="xl284"/>
    <w:basedOn w:val="944"/>
    <w:pPr>
      <w:pBdr>
        <w:left w:val="single" w:color="000000" w:sz="4" w:space="0"/>
        <w:bottom w:val="single" w:color="000000" w:sz="4" w:space="0"/>
        <w:right w:val="single" w:color="000000" w:sz="4" w:space="0"/>
      </w:pBdr>
      <w:spacing w:after="100" w:afterAutospacing="1" w:before="100" w:beforeAutospacing="1"/>
      <w:ind/>
    </w:pPr>
  </w:style>
  <w:style w:type="paragraph" w:styleId="1197" w:customStyle="1">
    <w:name w:val="xl285"/>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98" w:customStyle="1">
    <w:name w:val="xl286"/>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9" w:customStyle="1">
    <w:name w:val="xl287"/>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200" w:customStyle="1">
    <w:name w:val="xl288"/>
    <w:basedOn w:val="944"/>
    <w:pPr>
      <w:pBdr>
        <w:top w:val="single" w:color="000000" w:sz="4" w:space="0"/>
        <w:left w:val="single" w:color="000000" w:sz="4" w:space="0"/>
        <w:right w:val="single" w:color="000000" w:sz="4" w:space="0"/>
      </w:pBdr>
      <w:spacing w:after="100" w:afterAutospacing="1" w:before="100" w:beforeAutospacing="1"/>
      <w:ind/>
    </w:pPr>
  </w:style>
  <w:style w:type="paragraph" w:styleId="1201" w:customStyle="1">
    <w:name w:val="xl289"/>
    <w:basedOn w:val="944"/>
    <w:pPr>
      <w:pBdr>
        <w:left w:val="single" w:color="000000" w:sz="4" w:space="0"/>
        <w:right w:val="single" w:color="000000" w:sz="4" w:space="0"/>
      </w:pBdr>
      <w:spacing w:after="100" w:afterAutospacing="1" w:before="100" w:beforeAutospacing="1"/>
      <w:ind/>
    </w:pPr>
    <w:rPr>
      <w:b/>
      <w:bCs/>
    </w:rPr>
  </w:style>
  <w:style w:type="paragraph" w:styleId="1202" w:customStyle="1">
    <w:name w:val="xl290"/>
    <w:basedOn w:val="94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203" w:customStyle="1">
    <w:name w:val="xl291"/>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204" w:customStyle="1">
    <w:name w:val="xl292"/>
    <w:basedOn w:val="944"/>
    <w:pPr>
      <w:pBdr>
        <w:top w:val="single" w:color="000000" w:sz="4" w:space="0"/>
        <w:left w:val="single" w:color="000000" w:sz="4" w:space="0"/>
        <w:right w:val="single" w:color="000000" w:sz="4" w:space="0"/>
      </w:pBdr>
      <w:spacing w:after="100" w:afterAutospacing="1" w:before="100" w:beforeAutospacing="1"/>
      <w:ind/>
    </w:pPr>
  </w:style>
  <w:style w:type="paragraph" w:styleId="1205" w:customStyle="1">
    <w:name w:val="xl293"/>
    <w:basedOn w:val="944"/>
    <w:pPr>
      <w:pBdr>
        <w:left w:val="single" w:color="000000" w:sz="4" w:space="0"/>
        <w:bottom w:val="single" w:color="000000" w:sz="4" w:space="0"/>
        <w:right w:val="single" w:color="000000" w:sz="4" w:space="0"/>
      </w:pBdr>
      <w:spacing w:after="100" w:afterAutospacing="1" w:before="100" w:beforeAutospacing="1"/>
      <w:ind/>
    </w:pPr>
  </w:style>
  <w:style w:type="paragraph" w:styleId="1206" w:customStyle="1">
    <w:name w:val="xl294"/>
    <w:basedOn w:val="94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07">
    <w:name w:val="Title"/>
    <w:basedOn w:val="944"/>
    <w:link w:val="1208"/>
    <w:qFormat/>
    <w:pPr>
      <w:pBdr/>
      <w:spacing/>
      <w:ind/>
      <w:jc w:val="center"/>
    </w:pPr>
    <w:rPr>
      <w:b/>
      <w:bCs/>
      <w:sz w:val="32"/>
      <w:szCs w:val="26"/>
    </w:rPr>
  </w:style>
  <w:style w:type="character" w:styleId="1208" w:customStyle="1">
    <w:name w:val="Title Char"/>
    <w:basedOn w:val="954"/>
    <w:link w:val="1207"/>
    <w:pPr>
      <w:pBdr/>
      <w:spacing/>
      <w:ind/>
    </w:pPr>
    <w:rPr>
      <w:rFonts w:ascii="Times New Roman" w:hAnsi="Times New Roman" w:eastAsia="Times New Roman" w:cs="Times New Roman"/>
      <w:b/>
      <w:bCs/>
      <w:sz w:val="32"/>
      <w:szCs w:val="26"/>
    </w:rPr>
  </w:style>
  <w:style w:type="character" w:styleId="1209" w:customStyle="1">
    <w:name w:val="Unresolved Mention1"/>
    <w:basedOn w:val="954"/>
    <w:uiPriority w:val="99"/>
    <w:semiHidden/>
    <w:unhideWhenUsed/>
    <w:pPr>
      <w:pBdr/>
      <w:spacing/>
      <w:ind/>
    </w:pPr>
    <w:rPr>
      <w:color w:val="605e5c"/>
      <w:shd w:val="clear" w:color="auto" w:fill="e1dfdd"/>
    </w:rPr>
  </w:style>
  <w:style w:type="character" w:styleId="1210" w:customStyle="1">
    <w:name w:val="Body text (3)_"/>
    <w:link w:val="1211"/>
    <w:pPr>
      <w:pBdr/>
      <w:spacing/>
      <w:ind/>
    </w:pPr>
    <w:rPr>
      <w:rFonts w:ascii="Times New Roman" w:hAnsi="Times New Roman" w:cs="Times New Roman"/>
      <w:i/>
      <w:iCs/>
      <w:spacing w:val="4"/>
      <w:shd w:val="clear" w:color="auto" w:fill="ffffff"/>
    </w:rPr>
  </w:style>
  <w:style w:type="paragraph" w:styleId="1211" w:customStyle="1">
    <w:name w:val="Body text (3)1"/>
    <w:basedOn w:val="944"/>
    <w:link w:val="121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12" w:customStyle="1">
    <w:name w:val="t-j"/>
    <w:basedOn w:val="944"/>
    <w:pPr>
      <w:pBdr/>
      <w:spacing w:after="100" w:afterAutospacing="1" w:before="100" w:beforeAutospacing="1"/>
      <w:ind/>
    </w:pPr>
  </w:style>
  <w:style w:type="character" w:styleId="1213" w:customStyle="1">
    <w:name w:val="Unresolved Mention2"/>
    <w:basedOn w:val="954"/>
    <w:uiPriority w:val="99"/>
    <w:semiHidden/>
    <w:unhideWhenUsed/>
    <w:pPr>
      <w:pBdr/>
      <w:spacing/>
      <w:ind/>
    </w:pPr>
    <w:rPr>
      <w:color w:val="605e5c"/>
      <w:shd w:val="clear" w:color="auto" w:fill="e1dfdd"/>
    </w:rPr>
  </w:style>
  <w:style w:type="character" w:styleId="1214">
    <w:name w:val="FollowedHyperlink"/>
    <w:basedOn w:val="954"/>
    <w:uiPriority w:val="99"/>
    <w:semiHidden/>
    <w:unhideWhenUsed/>
    <w:pPr>
      <w:pBdr/>
      <w:spacing/>
      <w:ind/>
    </w:pPr>
    <w:rPr>
      <w:color w:val="800080" w:themeColor="followedHyperlink"/>
      <w:u w:val="single"/>
    </w:rPr>
  </w:style>
  <w:style w:type="character" w:styleId="1215" w:customStyle="1">
    <w:name w:val="text"/>
    <w:basedOn w:val="954"/>
    <w:pPr>
      <w:pBdr/>
      <w:spacing/>
      <w:ind/>
    </w:pPr>
  </w:style>
  <w:style w:type="character" w:styleId="1216" w:customStyle="1">
    <w:name w:val="card-send-time__sendtime"/>
    <w:basedOn w:val="954"/>
    <w:pPr>
      <w:pBdr/>
      <w:spacing/>
      <w:ind/>
    </w:pPr>
  </w:style>
  <w:style w:type="character" w:styleId="1217" w:customStyle="1">
    <w:name w:val="Đề cập Chưa giải quyết1"/>
    <w:basedOn w:val="954"/>
    <w:uiPriority w:val="99"/>
    <w:semiHidden/>
    <w:unhideWhenUsed/>
    <w:pPr>
      <w:pBdr/>
      <w:spacing/>
      <w:ind/>
    </w:pPr>
    <w:rPr>
      <w:color w:val="605e5c"/>
      <w:shd w:val="clear" w:color="auto" w:fill="e1dfdd"/>
    </w:rPr>
  </w:style>
  <w:style w:type="paragraph" w:styleId="1218" w:customStyle="1">
    <w:name w:val="nqtitle"/>
    <w:basedOn w:val="944"/>
    <w:pPr>
      <w:pBdr/>
      <w:spacing w:after="100" w:afterAutospacing="1" w:before="100" w:beforeAutospacing="1"/>
      <w:ind/>
    </w:pPr>
    <w:rPr>
      <w:lang w:val="vi-VN" w:eastAsia="vi-VN"/>
    </w:rPr>
  </w:style>
  <w:style w:type="character" w:styleId="1219" w:customStyle="1">
    <w:name w:val="List Paragraph Char"/>
    <w:link w:val="1132"/>
    <w:uiPriority w:val="34"/>
    <w:qFormat/>
    <w:pPr>
      <w:pBdr/>
      <w:spacing/>
      <w:ind/>
    </w:pPr>
    <w:rPr>
      <w:rFonts w:ascii="Times New Roman" w:hAnsi="Times New Roman" w:eastAsia="Times New Roman" w:cs="Times New Roman"/>
      <w:sz w:val="24"/>
      <w:szCs w:val="24"/>
    </w:rPr>
  </w:style>
  <w:style w:type="character" w:styleId="1220" w:customStyle="1">
    <w:name w:val="Đề cập Chưa giải quyết2"/>
    <w:basedOn w:val="954"/>
    <w:uiPriority w:val="99"/>
    <w:semiHidden/>
    <w:unhideWhenUsed/>
    <w:pPr>
      <w:pBdr/>
      <w:spacing/>
      <w:ind/>
    </w:pPr>
    <w:rPr>
      <w:color w:val="605e5c"/>
      <w:shd w:val="clear" w:color="auto" w:fill="e1dfdd"/>
    </w:rPr>
  </w:style>
  <w:style w:type="character" w:styleId="1221" w:customStyle="1">
    <w:name w:val="Unresolved Mention3"/>
    <w:basedOn w:val="954"/>
    <w:uiPriority w:val="99"/>
    <w:semiHidden/>
    <w:unhideWhenUsed/>
    <w:pPr>
      <w:pBdr/>
      <w:spacing/>
      <w:ind/>
    </w:pPr>
    <w:rPr>
      <w:color w:val="605e5c"/>
      <w:shd w:val="clear" w:color="auto" w:fill="e1dfdd"/>
    </w:rPr>
  </w:style>
  <w:style w:type="character" w:styleId="1222" w:customStyle="1">
    <w:name w:val="copy"/>
    <w:basedOn w:val="954"/>
    <w:pPr>
      <w:pBdr/>
      <w:spacing/>
      <w:ind/>
    </w:pPr>
  </w:style>
  <w:style w:type="paragraph" w:styleId="1223" w:customStyle="1">
    <w:name w:val="align-justify"/>
    <w:basedOn w:val="944"/>
    <w:pPr>
      <w:pBdr/>
      <w:spacing w:after="100" w:afterAutospacing="1" w:before="100" w:beforeAutospacing="1"/>
      <w:ind/>
    </w:pPr>
  </w:style>
  <w:style w:type="character" w:styleId="1224" w:customStyle="1">
    <w:name w:val="btn"/>
    <w:basedOn w:val="954"/>
    <w:pPr>
      <w:pBdr/>
      <w:spacing/>
      <w:ind/>
    </w:pPr>
  </w:style>
  <w:style w:type="character" w:styleId="1225" w:customStyle="1">
    <w:name w:val="hide_mobile"/>
    <w:basedOn w:val="954"/>
    <w:pPr>
      <w:pBdr/>
      <w:spacing/>
      <w:ind/>
    </w:pPr>
  </w:style>
  <w:style w:type="character" w:styleId="1226">
    <w:name w:val="Emphasis"/>
    <w:basedOn w:val="954"/>
    <w:uiPriority w:val="20"/>
    <w:qFormat/>
    <w:pPr>
      <w:pBdr/>
      <w:spacing/>
      <w:ind/>
    </w:pPr>
    <w:rPr>
      <w:i/>
      <w:iCs/>
    </w:rPr>
  </w:style>
  <w:style w:type="character" w:styleId="1227" w:customStyle="1">
    <w:name w:val="t1"/>
    <w:basedOn w:val="954"/>
    <w:pPr>
      <w:pBdr/>
      <w:spacing/>
      <w:ind/>
    </w:pPr>
  </w:style>
  <w:style w:type="character" w:styleId="1228" w:customStyle="1">
    <w:name w:val="Unresolved Mention4"/>
    <w:basedOn w:val="954"/>
    <w:uiPriority w:val="99"/>
    <w:semiHidden/>
    <w:unhideWhenUsed/>
    <w:pPr>
      <w:pBdr/>
      <w:spacing/>
      <w:ind/>
    </w:pPr>
    <w:rPr>
      <w:color w:val="605e5c"/>
      <w:shd w:val="clear" w:color="auto" w:fill="e1dfdd"/>
    </w:rPr>
  </w:style>
  <w:style w:type="character" w:styleId="1229">
    <w:name w:val="Unresolved Mention"/>
    <w:basedOn w:val="95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35</cp:revision>
  <dcterms:created xsi:type="dcterms:W3CDTF">2026-06-19T03:43:00Z</dcterms:created>
  <dcterms:modified xsi:type="dcterms:W3CDTF">2026-08-28T07:29:07Z</dcterms:modified>
</cp:coreProperties>
</file>