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116554</wp:posOffset>
                </wp:positionV>
                <wp:extent cx="5467350" cy="318297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49" cy="318296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275/2026/1470/VFI-CT.T04.A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Nguyễn Minh Thông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both"/>
                              <w:rPr>
                                <w:bCs/>
                                <w:i/>
                              </w:rPr>
                            </w:pPr>
                            <w:r>
                              <w:rPr>
                                <w:color w:val="000000"/>
                              </w:rPr>
                            </w:r>
                            <w:r>
                              <w:rPr>
                                <w:bCs/>
                                <w:i/>
                              </w:rPr>
                            </w:r>
                            <w:r>
                              <w:rPr>
                                <w:bCs/>
                                <w:i/>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9.18pt;mso-position-vertical:absolute;width:430.50pt;height:250.6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275/2026/1470/VFI-CT.T04.A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color w:val="1d1b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000000" w:themeColor="text1"/>
                          <w:lang w:val="pt-BR"/>
                        </w:rPr>
                        <w:t xml:space="preserve">Ông Nguyễn Minh Thông</w:t>
                      </w:r>
                      <w:r>
                        <w:rPr>
                          <w:rFonts w:ascii="Times New Roman Bold" w:hAnsi="Times New Roman Bold"/>
                          <w:b/>
                          <w:color w:val="1d1b11" w:themeColor="background2" w:themeShade="1A"/>
                          <w:lang w:val="pt-BR"/>
                        </w:rPr>
                      </w:r>
                      <w:r>
                        <w:rPr>
                          <w:rFonts w:ascii="Times New Roman Bold" w:hAnsi="Times New Roman Bold"/>
                          <w:b/>
                          <w:color w:val="1d1b11" w:themeColor="background2" w:themeShade="1A"/>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09/2026.</w:t>
                      </w:r>
                      <w:r/>
                    </w:p>
                    <w:p>
                      <w:pPr>
                        <w:pBdr/>
                        <w:spacing w:after="120" w:before="120" w:line="360" w:lineRule="auto"/>
                        <w:ind/>
                        <w:jc w:val="both"/>
                        <w:rPr>
                          <w:bCs/>
                          <w:i/>
                        </w:rPr>
                      </w:pPr>
                      <w:r>
                        <w:rPr>
                          <w:color w:val="000000"/>
                        </w:rPr>
                      </w:r>
                      <w:r>
                        <w:rPr>
                          <w:bCs/>
                          <w:i/>
                        </w:rPr>
                      </w:r>
                      <w:r>
                        <w:rPr>
                          <w:bCs/>
                          <w:i/>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4-20</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21-22</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 + Hồ sơ pháp lý + BBKS</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rPr>
              <w:t xml:space="preserve">23-28</w:t>
            </w:r>
            <w:r>
              <w:rPr>
                <w:b/>
                <w:bCs/>
                <w:color w:val="000000" w:themeColor="text1"/>
              </w:rPr>
            </w:r>
            <w:r>
              <w:rPr>
                <w:b/>
                <w:bCs/>
                <w:color w:val="000000" w:themeColor="text1"/>
              </w:rPr>
            </w:r>
          </w:p>
        </w:tc>
      </w:tr>
    </w:tbl>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jc w:val="center"/>
        <w:rPr>
          <w:b/>
          <w:color w:val="000000" w:themeColor="text1"/>
          <w:sz w:val="22"/>
          <w:szCs w:val="22"/>
        </w:rPr>
      </w:pPr>
      <w:r>
        <w:rPr>
          <w:b/>
          <w:color w:val="000000" w:themeColor="text1"/>
          <w:sz w:val="22"/>
          <w:szCs w:val="22"/>
        </w:rPr>
      </w:r>
      <w:r>
        <w:rPr>
          <w:b/>
          <w:color w:val="000000" w:themeColor="text1"/>
          <w:sz w:val="22"/>
          <w:szCs w:val="22"/>
        </w:rPr>
      </w:r>
      <w:r>
        <w:rPr>
          <w:b/>
          <w:color w:val="000000" w:themeColor="text1"/>
          <w:sz w:val="22"/>
          <w:szCs w:val="22"/>
        </w:rPr>
      </w:r>
    </w:p>
    <w:p>
      <w:pPr>
        <w:pStyle w:val="1119"/>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rPr>
      </w:r>
      <w:r>
        <w:rPr>
          <w:b/>
          <w:color w:val="000000" w:themeColor="text1"/>
          <w:sz w:val="22"/>
          <w:szCs w:val="22"/>
        </w:rPr>
      </w:r>
      <w:r>
        <w:rPr>
          <w:b/>
          <w:color w:val="000000" w:themeColor="text1"/>
          <w:sz w:val="22"/>
          <w:szCs w:val="22"/>
        </w:rPr>
      </w:r>
    </w:p>
    <w:tbl>
      <w:tblPr>
        <w:tblInd w:w="-284" w:type="dxa"/>
        <w:tblW w:w="9950" w:type="dxa"/>
        <w:tblBorders/>
        <w:tblLayout w:type="fixed"/>
        <w:tblLook w:val="04A0" w:firstRow="1" w:lastRow="0" w:firstColumn="1" w:lastColumn="0" w:noHBand="0" w:noVBand="1"/>
      </w:tblPr>
      <w:tblGrid>
        <w:gridCol w:w="1729"/>
        <w:gridCol w:w="2409"/>
        <w:gridCol w:w="5811"/>
        <w:gridCol/>
      </w:tblGrid>
      <w:tr>
        <w:trPr>
          <w:trHeight w:val="1123"/>
        </w:trPr>
        <w:tc>
          <w:tcPr>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3"/>
            <w:tcBorders/>
            <w:tcW w:w="8221"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right="-28"/>
              <w:jc w:val="both"/>
              <w:rPr>
                <w:color w:val="000000" w:themeColor="text1"/>
              </w:rPr>
            </w:pPr>
            <w:r>
              <w:rPr>
                <w:color w:val="000000" w:themeColor="text1"/>
                <w:lang w:val="da-DK"/>
              </w:rPr>
              <w:t xml:space="preserve">Trụ sở: BT5 - 23, Khu đô thị mới Văn Phú, Phường Kiến Hưng, Thành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110"/>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After w:val="1"/>
          <w:trHeight w:val="432"/>
        </w:trPr>
        <w:tc>
          <w:tcPr>
            <w:gridSpan w:val="2"/>
            <w:tcBorders/>
            <w:tcMar>
              <w:left w:w="108" w:type="dxa"/>
              <w:top w:w="0" w:type="dxa"/>
              <w:right w:w="108" w:type="dxa"/>
              <w:bottom w:w="0" w:type="dxa"/>
            </w:tcMar>
            <w:tcW w:w="4139" w:type="dxa"/>
            <w:textDirection w:val="lrTb"/>
            <w:noWrap w:val="false"/>
          </w:tcPr>
          <w:p>
            <w:pPr>
              <w:pStyle w:val="1119"/>
              <w:pBdr/>
              <w:spacing w:after="60"/>
              <w:ind/>
              <w:rPr>
                <w:rFonts w:ascii="Times New Roman" w:hAnsi="Times New Roman" w:cs="Times New Roman"/>
                <w:color w:val="000000" w:themeColor="text1"/>
                <w:sz w:val="24"/>
                <w:szCs w:val="24"/>
              </w:rPr>
            </w:pPr>
            <w:r>
              <w:rPr>
                <w:rStyle w:val="1118"/>
                <w:rFonts w:ascii="Times New Roman" w:hAnsi="Times New Roman" w:eastAsia="Times New Roman" w:cs="Times New Roman"/>
                <w:color w:val="000000" w:themeColor="text1"/>
                <w:lang w:val="pt-BR"/>
              </w:rPr>
              <w:t xml:space="preserve">Số:</w:t>
            </w:r>
            <w:r>
              <w:rPr>
                <w:rFonts w:ascii="Times New Roman" w:hAnsi="Times New Roman" w:eastAsia="Times New Roman" w:cs="Times New Roman"/>
                <w:color w:val="081b3a"/>
                <w:spacing w:val="3"/>
                <w:sz w:val="23"/>
                <w:highlight w:val="white"/>
              </w:rPr>
              <w:t xml:space="preserve">275/2026/1471/VFI-CT.T04.A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811" w:type="dxa"/>
            <w:textDirection w:val="lrTb"/>
            <w:noWrap w:val="false"/>
          </w:tcPr>
          <w:p>
            <w:pPr>
              <w:pStyle w:val="1119"/>
              <w:pBdr/>
              <w:spacing w:after="60"/>
              <w:ind w:right="-56"/>
              <w:jc w:val="right"/>
              <w:rPr>
                <w:rFonts w:ascii="Times New Roman" w:hAnsi="Times New Roman" w:cs="Times New Roman"/>
                <w:color w:val="000000" w:themeColor="text1"/>
                <w:sz w:val="24"/>
                <w:szCs w:val="24"/>
              </w:rPr>
            </w:pPr>
            <w:r>
              <w:rPr>
                <w:rStyle w:val="1118"/>
                <w:rFonts w:ascii="Times New Roman" w:hAnsi="Times New Roman" w:eastAsia="Times New Roman" w:cs="Times New Roman"/>
                <w:i/>
                <w:color w:val="000000" w:themeColor="text1"/>
              </w:rPr>
              <w:t xml:space="preserve">TP. Hà Nội</w:t>
            </w:r>
            <w:r>
              <w:rPr>
                <w:rStyle w:val="1118"/>
                <w:rFonts w:ascii="Times New Roman" w:hAnsi="Times New Roman" w:eastAsia="Times New Roman" w:cs="Times New Roman"/>
                <w:i/>
                <w:color w:val="000000" w:themeColor="text1"/>
                <w:lang w:val="vi-VN"/>
              </w:rPr>
              <w:t xml:space="preserve">, </w:t>
            </w:r>
            <w:r>
              <w:rPr>
                <w:rStyle w:val="1118"/>
                <w:rFonts w:ascii="Times New Roman" w:hAnsi="Times New Roman" w:eastAsia="Times New Roman" w:cs="Times New Roman"/>
                <w:i/>
                <w:color w:val="000000" w:themeColor="text1"/>
                <w:lang w:val="vi-VN"/>
              </w:rPr>
              <w:t xml:space="preserve">ngày 19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Style w:val="1119"/>
        <w:pBdr/>
        <w:spacing w:after="120" w:before="200" w:line="288" w:lineRule="auto"/>
        <w:ind/>
        <w:jc w:val="center"/>
        <w:rPr>
          <w:rStyle w:val="1118"/>
          <w:rFonts w:ascii="Times New Roman" w:hAnsi="Times New Roman"/>
          <w:b/>
          <w:bCs/>
          <w:color w:val="000000" w:themeColor="text1"/>
          <w:sz w:val="30"/>
          <w:szCs w:val="30"/>
        </w:rPr>
      </w:pPr>
      <w:r>
        <w:rPr>
          <w:rStyle w:val="1118"/>
          <w:rFonts w:ascii="Times New Roman" w:hAnsi="Times New Roman"/>
          <w:b/>
          <w:bCs/>
          <w:color w:val="000000" w:themeColor="text1"/>
          <w:sz w:val="30"/>
          <w:szCs w:val="30"/>
          <w:lang w:val="vi-VN"/>
        </w:rPr>
        <w:t xml:space="preserve">CHỨNG THƯ THẨM ĐỊNH GIÁ</w:t>
      </w:r>
      <w:r>
        <w:rPr>
          <w:rStyle w:val="1118"/>
          <w:rFonts w:ascii="Times New Roman" w:hAnsi="Times New Roman"/>
          <w:b/>
          <w:bCs/>
          <w:color w:val="000000" w:themeColor="text1"/>
          <w:sz w:val="30"/>
          <w:szCs w:val="30"/>
        </w:rPr>
      </w:r>
      <w:r>
        <w:rPr>
          <w:rStyle w:val="1118"/>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 </w:t>
      </w:r>
      <w:r>
        <w:rPr>
          <w:rFonts w:ascii="Times New Roman Bold" w:hAnsi="Times New Roman Bold"/>
          <w:b/>
          <w:color w:val="000000" w:themeColor="text1"/>
          <w:lang w:val="pt-BR"/>
        </w:rPr>
        <w:t xml:space="preserve">Ông Nguyễn Minh Thông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288" w:lineRule="auto"/>
        <w:ind w:firstLine="432"/>
        <w:jc w:val="both"/>
        <w:rPr>
          <w:color w:val="000000" w:themeColor="text1"/>
          <w:spacing w:val="-2"/>
          <w:lang w:val="pt-BR"/>
        </w:rPr>
      </w:pPr>
      <w:r>
        <w:rPr>
          <w:color w:val="000000" w:themeColor="text1"/>
          <w:spacing w:val="-2"/>
          <w:lang w:val="pt-BR"/>
        </w:rPr>
        <w:t xml:space="preserve">Căn cứ Hợp đồng dịch vụ thẩm định giá số: </w:t>
      </w:r>
      <w:r>
        <w:rPr>
          <w:color w:val="000000" w:themeColor="text1"/>
          <w:spacing w:val="-4"/>
          <w:lang w:val="vi-VN"/>
        </w:rPr>
        <w:t xml:space="preserve">275/2026/1470/VFI-CT.T04.A</w:t>
      </w:r>
      <w:r>
        <w:rPr>
          <w:color w:val="000000" w:themeColor="text1"/>
          <w:spacing w:val="-2"/>
          <w:lang w:val="pt-BR"/>
        </w:rPr>
        <w:t xml:space="preserve"> ký </w:t>
      </w:r>
      <w:r>
        <w:rPr>
          <w:color w:val="000000" w:themeColor="text1"/>
          <w:spacing w:val="-4"/>
        </w:rPr>
        <w:t xml:space="preserve">16 tháng 9 năm 2026</w:t>
      </w:r>
      <w:r>
        <w:rPr>
          <w:color w:val="000000" w:themeColor="text1"/>
          <w:spacing w:val="-4"/>
        </w:rPr>
        <w:t xml:space="preserve"> </w:t>
      </w:r>
      <w:r>
        <w:rPr>
          <w:color w:val="000000" w:themeColor="text1"/>
          <w:spacing w:val="-2"/>
          <w:lang w:val="pt-BR"/>
        </w:rPr>
        <w:t xml:space="preserve">giữa </w:t>
      </w:r>
      <w:r>
        <w:rPr>
          <w:color w:val="000000" w:themeColor="text1"/>
          <w:spacing w:val="-4"/>
        </w:rPr>
        <w:t xml:space="preserve">Ông Nguyễn Minh Thông</w:t>
      </w:r>
      <w:r>
        <w:rPr>
          <w:color w:val="000000" w:themeColor="text1"/>
          <w:spacing w:val="-2"/>
          <w:lang w:val="pt-BR"/>
        </w:rPr>
        <w:t xml:space="preserve"> với</w:t>
      </w:r>
      <w:r>
        <w:rPr>
          <w:color w:val="000000" w:themeColor="text1"/>
          <w:spacing w:val="-2"/>
          <w:lang w:val="pt-BR"/>
        </w:rPr>
        <w:t xml:space="preserve"> </w:t>
      </w:r>
      <w:r>
        <w:rPr>
          <w:color w:val="000000" w:themeColor="text1"/>
          <w:spacing w:val="-4"/>
          <w:lang w:val="vi-VN"/>
        </w:rPr>
        <w:t xml:space="preserve">Công ty Cổ phần Thẩm định và Đầu tư Tài chính Hoa Sen</w:t>
      </w:r>
      <w:r>
        <w:rPr>
          <w:color w:val="000000" w:themeColor="text1"/>
          <w:spacing w:val="-2"/>
          <w:lang w:val="pt-BR"/>
        </w:rPr>
        <w:t xml:space="preserve">;</w:t>
      </w:r>
      <w:r>
        <w:rPr>
          <w:color w:val="000000" w:themeColor="text1"/>
          <w:spacing w:val="-2"/>
          <w:lang w:val="pt-BR"/>
        </w:rPr>
      </w:r>
      <w:r>
        <w:rPr>
          <w:color w:val="000000" w:themeColor="text1"/>
          <w:spacing w:val="-2"/>
          <w:lang w:val="pt-BR"/>
        </w:rPr>
      </w:r>
    </w:p>
    <w:p>
      <w:pPr>
        <w:pBdr/>
        <w:spacing w:after="120" w:before="120" w:line="288" w:lineRule="auto"/>
        <w:ind w:firstLine="432"/>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275/2026/1471/VFI-BC.T04.A</w:t>
      </w:r>
      <w:r>
        <w:rPr>
          <w:color w:val="000000" w:themeColor="text1"/>
          <w:spacing w:val="-2"/>
          <w:lang w:val="pt-BR"/>
        </w:rPr>
        <w:t xml:space="preserve"> </w:t>
      </w:r>
      <w:r>
        <w:rPr>
          <w:color w:val="000000" w:themeColor="text1"/>
          <w:spacing w:val="-2"/>
          <w:lang w:val="pt-BR"/>
        </w:rPr>
        <w:t xml:space="preserve">ngày</w:t>
      </w:r>
      <w:r>
        <w:rPr>
          <w:color w:val="00b050"/>
          <w:spacing w:val="-2"/>
          <w:lang w:val="pt-BR"/>
        </w:rPr>
        <w:t xml:space="preserve"> </w:t>
      </w:r>
      <w:r>
        <w:rPr>
          <w:color w:val="000000" w:themeColor="text1"/>
          <w:spacing w:val="-2"/>
        </w:rPr>
        <w:t xml:space="preserve">19 tháng 9 năm 2026</w:t>
      </w:r>
      <w:r>
        <w:rPr>
          <w:color w:val="000000" w:themeColor="text1"/>
          <w:spacing w:val="-2"/>
          <w:lang w:val="vi-VN"/>
        </w:rPr>
        <w:t xml:space="preserve"> </w:t>
      </w:r>
      <w:r>
        <w:rPr>
          <w:color w:val="000000" w:themeColor="text1"/>
          <w:spacing w:val="-2"/>
          <w:lang w:val="pt-BR"/>
        </w:rPr>
        <w:t xml:space="preserve">của Công ty Cổ phần Thẩm định và Đầu tư Tài chính Hoa Sen;</w:t>
      </w:r>
      <w:r>
        <w:rPr>
          <w:color w:val="000000" w:themeColor="text1"/>
          <w:spacing w:val="-2"/>
        </w:rPr>
      </w:r>
      <w:r>
        <w:rPr>
          <w:color w:val="000000" w:themeColor="text1"/>
          <w:spacing w:val="-2"/>
        </w:rPr>
      </w:r>
    </w:p>
    <w:p>
      <w:pPr>
        <w:pBdr/>
        <w:spacing w:after="120" w:before="120" w:line="288" w:lineRule="auto"/>
        <w:ind w:firstLine="432"/>
        <w:rPr>
          <w:color w:val="000000" w:themeColor="text1"/>
        </w:rPr>
      </w:pPr>
      <w:r>
        <w:rPr>
          <w:color w:val="000000" w:themeColor="text1"/>
          <w:lang w:val="pt-BR"/>
        </w:rPr>
        <w:t xml:space="preserve">Công ty Cổ phần Thẩm định và Đầu tư Tài chính Hoa Sen 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Nguyễn Minh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027083000480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1973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272 Thăng Long, Hòa Cường Nam, Hải Châu, Đà Nẵng (nay là phường Hải Châu Đà Nẵng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color w:val="000000" w:themeColor="text1"/>
        </w:rPr>
      </w:pPr>
      <w:r>
        <w:rPr>
          <w:b/>
          <w:bCs/>
          <w:color w:val="000000" w:themeColor="text1"/>
        </w:rPr>
        <w:t xml:space="preserve">2. 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88"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88"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lang w:val="vi-VN"/>
              </w:rPr>
              <w:tab/>
            </w:r>
            <w:r>
              <w:rPr>
                <w:b/>
                <w:bCs/>
                <w:color w:val="000000" w:themeColor="text1"/>
              </w:rPr>
            </w:r>
            <w:r>
              <w:rPr>
                <w:b/>
                <w:bCs/>
                <w:color w:val="000000" w:themeColor="text1"/>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40" w:before="40" w:line="288"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vMerge w:val="restart"/>
            <w:textDirection w:val="lrTb"/>
            <w:noWrap w:val="false"/>
          </w:tcPr>
          <w:p>
            <w:pPr>
              <w:pBdr/>
              <w:spacing w:after="40" w:before="40" w:line="288"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rFonts w:ascii="Times New Roman" w:hAnsi="Times New Roman" w:eastAsia="Times New Roman" w:cs="Times New Roman"/>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 Thời điểm thẩm định giá:</w:t>
      </w:r>
      <w:r>
        <w:rPr>
          <w:bCs/>
          <w:color w:val="000000" w:themeColor="text1"/>
          <w:lang w:val="nl-NL"/>
        </w:rPr>
        <w:t xml:space="preserve"> </w:t>
      </w:r>
      <w:r>
        <w:rPr>
          <w:bCs/>
          <w:color w:val="000000" w:themeColor="text1"/>
          <w:lang w:val="nl-NL"/>
        </w:rPr>
        <w:t xml:space="preserve">Tháng 09/2026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Cơ sở giá trị của tài sản thẩm định giá:</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Giả thiết và giả thiết đặc biệt:</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 </w:t>
      </w:r>
      <w:r>
        <w:rPr>
          <w:b/>
          <w:color w:val="000000" w:themeColor="text1"/>
        </w:rPr>
        <w:t xml:space="preserve">Giá trị tài sản thẩm định giá</w:t>
      </w:r>
      <w:r>
        <w:rPr>
          <w:b/>
          <w:bCs/>
          <w:color w:val="000000" w:themeColor="text1"/>
          <w:lang w:val="pt-BR"/>
        </w:rPr>
        <w:t xml:space="preserve">:</w:t>
      </w:r>
      <w:bookmarkEnd w:id="0"/>
      <w:r/>
      <w:bookmarkEnd w:id="1"/>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 khách hàng tại thời điểm </w:t>
      </w:r>
      <w:r>
        <w:rPr>
          <w:bCs/>
          <w:color w:val="000000" w:themeColor="text1"/>
          <w:lang w:val="nl-NL"/>
        </w:rPr>
        <w:t xml:space="preserve">Tháng 09/2026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line="276" w:lineRule="auto"/>
              <w:ind/>
              <w:jc w:val="both"/>
              <w:rPr>
                <w:b/>
                <w:bCs/>
              </w:rPr>
            </w:pPr>
            <w:r>
              <w:rPr>
                <w:rFonts w:ascii="Times New Roman" w:hAnsi="Times New Roman" w:eastAsia="Times New Roman" w:cs="Times New Roman"/>
                <w:b/>
                <w:bCs/>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76,4</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180.000.000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13.752.000.000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13.752.000.000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ba tỷ bảy trăm năm mươi hai triệu đồng </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color w:val="000000" w:themeColor="text1"/>
        </w:rPr>
      </w:pPr>
      <w:r>
        <w:rPr>
          <w:color w:val="000000" w:themeColor="text1"/>
          <w:lang w:val="pt-BR"/>
        </w:rPr>
        <w:t xml:space="preserve">- Chi tiết như Báo cáo kèm theo.</w:t>
      </w:r>
      <w:r>
        <w:rPr>
          <w:color w:val="000000" w:themeColor="text1"/>
        </w:rPr>
      </w:r>
      <w:r>
        <w:rPr>
          <w:color w:val="000000" w:themeColor="text1"/>
        </w:rPr>
      </w:r>
    </w:p>
    <w:p>
      <w:pPr>
        <w:pBdr/>
        <w:spacing w:after="120" w:before="120" w:line="312" w:lineRule="auto"/>
        <w:ind/>
        <w:rPr>
          <w:rFonts w:eastAsia="Calibri"/>
          <w:b/>
          <w:bCs/>
          <w:color w:val="000000" w:themeColor="text1"/>
          <w:spacing w:val="-4"/>
          <w:lang w:val="vi-VN"/>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rFonts w:eastAsia="Calibri"/>
          <w:b/>
          <w:bCs/>
          <w:color w:val="000000" w:themeColor="text1"/>
          <w:spacing w:val="-4"/>
          <w:lang w:val="vi-VN"/>
        </w:rPr>
      </w:r>
      <w:r>
        <w:rPr>
          <w:rFonts w:eastAsia="Calibri"/>
          <w:b/>
          <w:bCs/>
          <w:color w:val="000000" w:themeColor="text1"/>
          <w:spacing w:val="-4"/>
          <w:lang w:val="vi-VN"/>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rPr>
      </w:r>
      <w:r>
        <w:rPr>
          <w:color w:val="000000" w:themeColor="text1"/>
          <w:spacing w:val="-6"/>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73" w:type="dxa"/>
        <w:tblBorders/>
        <w:tblLayout w:type="fixed"/>
        <w:tblLook w:val="04A0" w:firstRow="1" w:lastRow="0" w:firstColumn="1" w:lastColumn="0" w:noHBand="0" w:noVBand="1"/>
      </w:tblPr>
      <w:tblGrid>
        <w:gridCol w:w="29"/>
        <w:gridCol w:w="1787"/>
        <w:gridCol w:w="2335"/>
        <w:gridCol w:w="5657"/>
        <w:gridCol w:w="65"/>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110"/>
                  <w:rFonts w:eastAsiaTheme="majorEastAsia"/>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119"/>
              <w:pBdr/>
              <w:spacing w:after="60"/>
              <w:ind/>
              <w:rPr>
                <w:rFonts w:ascii="Times New Roman" w:hAnsi="Times New Roman" w:cs="Times New Roman"/>
                <w:color w:val="000000" w:themeColor="text1"/>
                <w:sz w:val="24"/>
                <w:szCs w:val="24"/>
              </w:rPr>
            </w:pPr>
            <w:r>
              <w:rPr>
                <w:rStyle w:val="1118"/>
                <w:rFonts w:ascii="Times New Roman" w:hAnsi="Times New Roman" w:eastAsia="Times New Roman" w:cs="Times New Roman"/>
                <w:color w:val="000000" w:themeColor="text1"/>
                <w:lang w:val="pt-BR"/>
              </w:rPr>
              <w:t xml:space="preserve">Số: </w:t>
            </w:r>
            <w:r>
              <w:rPr>
                <w:rStyle w:val="1118"/>
                <w:rFonts w:ascii="Times New Roman" w:hAnsi="Times New Roman" w:eastAsia="Times New Roman" w:cs="Times New Roman"/>
                <w:color w:val="000000" w:themeColor="text1"/>
                <w:lang w:val="pt-BR"/>
              </w:rPr>
              <w:t xml:space="preserve">275/2026/1471/VFI-CT.T04.A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657" w:type="dxa"/>
            <w:textDirection w:val="lrTb"/>
            <w:noWrap w:val="false"/>
          </w:tcPr>
          <w:p>
            <w:pPr>
              <w:pStyle w:val="1119"/>
              <w:pBdr/>
              <w:spacing w:after="60"/>
              <w:ind w:right="-56"/>
              <w:jc w:val="right"/>
              <w:rPr>
                <w:rFonts w:ascii="Times New Roman" w:hAnsi="Times New Roman" w:cs="Times New Roman"/>
                <w:color w:val="000000" w:themeColor="text1"/>
                <w:sz w:val="24"/>
                <w:szCs w:val="24"/>
              </w:rPr>
            </w:pPr>
            <w:r>
              <w:rPr>
                <w:rStyle w:val="1118"/>
                <w:rFonts w:ascii="Times New Roman" w:hAnsi="Times New Roman" w:eastAsia="Times New Roman" w:cs="Times New Roman"/>
                <w:i/>
                <w:color w:val="000000" w:themeColor="text1"/>
              </w:rPr>
              <w:t xml:space="preserve">TP. Hà Nội</w:t>
            </w:r>
            <w:r>
              <w:rPr>
                <w:rStyle w:val="1118"/>
                <w:rFonts w:ascii="Times New Roman" w:hAnsi="Times New Roman" w:eastAsia="Times New Roman" w:cs="Times New Roman"/>
                <w:i/>
                <w:lang w:val="vi-VN"/>
              </w:rPr>
              <w:t xml:space="preserve">, </w:t>
            </w:r>
            <w:r>
              <w:rPr>
                <w:rStyle w:val="1118"/>
                <w:rFonts w:ascii="Times New Roman" w:hAnsi="Times New Roman" w:eastAsia="Times New Roman" w:cs="Times New Roman"/>
                <w:i/>
                <w:color w:val="000000" w:themeColor="text1"/>
                <w:lang w:val="vi-VN"/>
              </w:rPr>
              <w:t xml:space="preserve">ngày 19 tháng 9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gridAfter w:val="1"/>
          <w:gridBefore w:val="1"/>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119"/>
              <w:pBdr/>
              <w:spacing w:after="60"/>
              <w:ind/>
              <w:rPr>
                <w:rStyle w:val="1118"/>
                <w:color w:val="000000" w:themeColor="text1"/>
                <w:lang w:val="pt-BR"/>
              </w:rPr>
            </w:pPr>
            <w:r>
              <w:rPr>
                <w:rStyle w:val="1118"/>
                <w:color w:val="000000" w:themeColor="text1"/>
                <w:lang w:val="pt-BR"/>
              </w:rPr>
            </w:r>
            <w:r>
              <w:rPr>
                <w:rStyle w:val="1118"/>
                <w:color w:val="000000" w:themeColor="text1"/>
                <w:lang w:val="pt-BR"/>
              </w:rPr>
            </w:r>
            <w:r>
              <w:rPr>
                <w:rStyle w:val="1118"/>
                <w:color w:val="000000" w:themeColor="text1"/>
                <w:lang w:val="pt-BR"/>
              </w:rPr>
            </w:r>
          </w:p>
        </w:tc>
        <w:tc>
          <w:tcPr>
            <w:shd w:val="clear" w:color="auto" w:fill="auto"/>
            <w:tcBorders/>
            <w:tcMar>
              <w:left w:w="108" w:type="dxa"/>
              <w:top w:w="0" w:type="dxa"/>
              <w:right w:w="108" w:type="dxa"/>
              <w:bottom w:w="0" w:type="dxa"/>
            </w:tcMar>
            <w:tcW w:w="5657" w:type="dxa"/>
            <w:textDirection w:val="lrTb"/>
            <w:noWrap w:val="false"/>
          </w:tcPr>
          <w:p>
            <w:pPr>
              <w:pStyle w:val="1119"/>
              <w:pBdr/>
              <w:spacing w:after="60"/>
              <w:ind w:right="-56"/>
              <w:rPr>
                <w:rStyle w:val="1118"/>
                <w:i/>
              </w:rPr>
            </w:pPr>
            <w:r>
              <w:rPr>
                <w:i/>
              </w:rPr>
            </w:r>
            <w:r>
              <w:rPr>
                <w:rStyle w:val="1118"/>
                <w:i/>
              </w:rPr>
            </w:r>
            <w:r>
              <w:rPr>
                <w:rStyle w:val="1118"/>
                <w:i/>
              </w:rPr>
            </w:r>
          </w:p>
        </w:tc>
      </w:tr>
    </w:tbl>
    <w:p>
      <w:pPr>
        <w:pStyle w:val="1119"/>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933"/>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 xml:space="preserve">275/2026/1470/VFI-CT.T04.A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933"/>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THÔNG TIN 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w:t>
            </w:r>
            <w:r>
              <w:rPr>
                <w:b/>
                <w:bCs/>
                <w:color w:val="000000" w:themeColor="text1"/>
              </w:rPr>
              <w:t xml:space="preserve"> </w:t>
            </w:r>
            <w:r>
              <w:rPr>
                <w:b/>
                <w:bCs/>
              </w:rPr>
              <w:t xml:space="preserve">Vũ Văn Quân</w:t>
            </w:r>
            <w:r>
              <w:rPr>
                <w:b/>
                <w:bCs/>
                <w:color w:val="000000" w:themeColor="text1"/>
              </w:rPr>
            </w:r>
            <w:r>
              <w:rPr>
                <w:b/>
                <w:bCs/>
                <w:color w:val="000000" w:themeColor="text1"/>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89" w:type="dxa"/>
            <w:vAlign w:val="center"/>
            <w:vMerge w:val="restart"/>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vMerge w:val="restart"/>
            <w:textDirection w:val="lrTb"/>
            <w:noWrap w:val="false"/>
          </w:tcPr>
          <w:p>
            <w:pPr>
              <w:pBdr/>
              <w:spacing w:after="40" w:before="40" w:line="276" w:lineRule="auto"/>
              <w:ind/>
              <w:rPr>
                <w:b/>
                <w:bCs/>
                <w:color w:val="000000" w:themeColor="text1"/>
              </w:rPr>
            </w:pPr>
            <w:r>
              <w:rPr>
                <w:b/>
                <w:bCs/>
              </w:rPr>
              <w:t xml:space="preserve">Chủ tịch HĐQT kiêm Tổng Giám Đốc</w:t>
            </w:r>
            <w:r>
              <w:rPr>
                <w:b/>
                <w:bCs/>
                <w:color w:val="000000" w:themeColor="text1"/>
              </w:rPr>
            </w:r>
            <w:r>
              <w:rPr>
                <w:b/>
                <w:bCs/>
                <w:color w:val="000000" w:themeColor="text1"/>
              </w:rPr>
            </w:r>
          </w:p>
        </w:tc>
      </w:tr>
    </w:tbl>
    <w:p>
      <w:pPr>
        <w:pStyle w:val="1120"/>
        <w:pBdr/>
        <w:tabs>
          <w:tab w:val="left" w:leader="none" w:pos="284"/>
        </w:tabs>
        <w:spacing w:after="120" w:line="320" w:lineRule="atLeast"/>
        <w:ind w:left="0"/>
        <w:jc w:val="both"/>
        <w:rPr>
          <w:b/>
          <w:bCs/>
          <w:color w:val="000000" w:themeColor="text1"/>
        </w:rPr>
      </w:pPr>
      <w:r>
        <w:rPr>
          <w:b/>
          <w:bCs/>
          <w:color w:val="000000" w:themeColor="text1"/>
          <w:lang w:val="pt-BR"/>
        </w:rPr>
        <w:t xml:space="preserve">II. THÔNG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Nguyễn Minh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027083000480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1973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272 Thăng Long, Hòa Cường Nam, Hải Châu, Đà Nẵng (nay là phường Hải Châu Đà Nẵng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color w:val="000000"/>
                <w:sz w:val="24"/>
              </w:rPr>
              <w:t xml:space="preserve">phường Hải Châu, Thành phố Đà Nẵng </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934"/>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16.07247, 108.22446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12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r>
            <w:r>
              <w:rPr>
                <w:rFonts w:ascii="Times New Roman" w:hAnsi="Times New Roman" w:eastAsia="Times New Roman" w:cs="Times New Roman"/>
                <w:color w:val="000000"/>
                <w:sz w:val="24"/>
              </w:rPr>
              <w:t xml:space="preserve">19/09/2026.</w:t>
            </w:r>
            <w:r>
              <w:rPr>
                <w:lang w:val="pt-BR"/>
              </w:rPr>
            </w:r>
            <w:r>
              <w:rPr>
                <w:lang w:val="pt-BR"/>
              </w:rPr>
            </w:r>
          </w:p>
        </w:tc>
      </w:tr>
    </w:tbl>
    <w:p>
      <w:pPr>
        <w:pBdr/>
        <w:spacing w:after="120" w:before="120" w:line="276" w:lineRule="auto"/>
        <w:ind/>
        <w:rPr>
          <w:b/>
          <w:bCs/>
          <w:color w:val="000000" w:themeColor="text1"/>
          <w:spacing w:val="-6"/>
        </w:rPr>
      </w:pPr>
      <w:r>
        <w:rPr>
          <w:b/>
          <w:bCs/>
          <w:color w:val="000000" w:themeColor="text1"/>
          <w:spacing w:val="-6"/>
          <w:lang w:val="pt-BR"/>
        </w:rPr>
        <w:t xml:space="preserve">2. Các nguồn thông tin được sử dụng trong quá trình thẩm định giá và xem xét đánh giá các thông tin thu thập</w:t>
      </w:r>
      <w:r>
        <w:rPr>
          <w:b/>
          <w:bCs/>
          <w:color w:val="000000" w:themeColor="text1"/>
          <w:spacing w:val="-6"/>
        </w:rPr>
      </w:r>
      <w:r>
        <w:rPr>
          <w:b/>
          <w:bCs/>
          <w:color w:val="000000" w:themeColor="text1"/>
          <w:spacing w:val="-6"/>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 gọi điện trực tiếp</w:t>
      </w:r>
      <w:r>
        <w:rPr>
          <w:color w:val="000000" w:themeColor="text1"/>
          <w:lang w:val="pt-BR"/>
        </w:rPr>
        <w:t xml:space="preserve">.</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những</w:t>
      </w:r>
      <w:r>
        <w:rPr>
          <w:color w:val="000000" w:themeColor="text1"/>
          <w:lang w:val="vi-VN"/>
        </w:rPr>
        <w:t xml:space="preserve"> người </w:t>
      </w:r>
      <w:r>
        <w:rPr>
          <w:color w:val="000000" w:themeColor="text1"/>
          <w:lang w:val="pt-BR"/>
        </w:rPr>
        <w:t xml:space="preserve">dân sinh</w:t>
      </w:r>
      <w:r>
        <w:rPr>
          <w:color w:val="000000" w:themeColor="text1"/>
          <w:lang w:val="vi-VN"/>
        </w:rPr>
        <w:t xml:space="preserve"> s</w:t>
      </w:r>
      <w:r>
        <w:rPr>
          <w:color w:val="000000" w:themeColor="text1"/>
          <w:lang w:val="pt-BR"/>
        </w:rPr>
        <w:t xml:space="preserve">ống xung quanh trên địa bàn.</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 và phổ biến trên thị trường.</w:t>
      </w:r>
      <w:r>
        <w:rPr>
          <w:color w:val="000000" w:themeColor="text1"/>
        </w:rPr>
      </w:r>
      <w:r>
        <w:rPr>
          <w:color w:val="000000" w:themeColor="text1"/>
        </w:rPr>
      </w:r>
    </w:p>
    <w:p>
      <w:pPr>
        <w:pStyle w:val="112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 Căn cứ pháp lý</w:t>
      </w:r>
      <w:r>
        <w:rPr>
          <w:b/>
          <w:bCs/>
          <w:color w:val="000000" w:themeColor="text1"/>
        </w:rPr>
      </w:r>
      <w:r>
        <w:rPr>
          <w:b/>
          <w:bCs/>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3.1. Văn bản quy phạm pháp luật:</w:t>
      </w:r>
      <w:r>
        <w:rPr>
          <w:b/>
          <w:color w:val="000000" w:themeColor="text1"/>
        </w:rPr>
      </w:r>
      <w:r>
        <w:rPr>
          <w:b/>
          <w:color w:val="000000" w:themeColor="text1"/>
        </w:rPr>
      </w:r>
    </w:p>
    <w:p>
      <w:pPr>
        <w:pStyle w:val="1120"/>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120"/>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của Bộ Tài chính 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 của Bộ Tài chính ban hành chuẩn mực thẩm định giá Việt Nam về thẩm định giá doanh nghiệp;</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của Bộ Tài chính ban hành chuẩn mực thẩm định giá Việt Nam về thẩm định giá tài sản vô hình;</w:t>
      </w:r>
      <w:r>
        <w:rPr>
          <w:color w:val="000000" w:themeColor="text1"/>
        </w:rPr>
      </w:r>
      <w:r>
        <w:rPr>
          <w:color w:val="000000" w:themeColor="text1"/>
        </w:rPr>
      </w:r>
    </w:p>
    <w:p>
      <w:pPr>
        <w:pStyle w:val="1120"/>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của Bộ Tài chính ban hành chuẩn mực thẩm định giá Việt Nam về thẩm định giá bất động sản;</w:t>
      </w:r>
      <w:r>
        <w:rPr>
          <w:color w:val="000000" w:themeColor="text1"/>
        </w:rPr>
      </w:r>
      <w:r>
        <w:rPr>
          <w:color w:val="000000" w:themeColor="text1"/>
        </w:rPr>
      </w:r>
    </w:p>
    <w:p>
      <w:pPr>
        <w:pStyle w:val="1120"/>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3.2. Các văn bản liên quan khác:</w:t>
      </w:r>
      <w:r>
        <w:rPr>
          <w:b/>
          <w:color w:val="000000" w:themeColor="text1"/>
        </w:rPr>
      </w:r>
      <w:r>
        <w:rPr>
          <w:b/>
          <w:color w:val="000000" w:themeColor="text1"/>
        </w:rPr>
      </w:r>
    </w:p>
    <w:p>
      <w:pPr>
        <w:pStyle w:val="1120"/>
        <w:pBdr/>
        <w:tabs>
          <w:tab w:val="left" w:leader="none" w:pos="993"/>
        </w:tabs>
        <w:spacing w:after="120" w:before="120" w:line="276" w:lineRule="auto"/>
        <w:ind w:left="0"/>
        <w:jc w:val="both"/>
        <w:rPr>
          <w:b/>
          <w:color w:val="000000" w:themeColor="text1"/>
        </w:rPr>
      </w:pPr>
      <w:r>
        <w:rPr>
          <w:b/>
          <w:color w:val="000000" w:themeColor="text1"/>
          <w:lang w:val="pt-BR"/>
        </w:rPr>
        <w:t xml:space="preserve">a. Hồ sơ pháp lý của tài sản: </w:t>
      </w:r>
      <w:r>
        <w:rPr>
          <w:b/>
          <w:color w:val="000000" w:themeColor="text1"/>
        </w:rPr>
      </w:r>
      <w:r>
        <w:rPr>
          <w:b/>
          <w:color w:val="000000" w:themeColor="text1"/>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chứng nhận quyền sử dụng đất số AK 280023, số vào sổ cấp giấy: T 01102, do UBND TP. Đà Nẵng cấp ngày 14/08/2007.</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Giấy phép xây dựng số 1926/GPXD ngày 12/11/2018 của Sở Xây dựng Thành phố Đà Nẵng cấp phép xây dựng cho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Hợp đồng xây dựng số 248/HĐXD-QLDA ngày 17 tháng 5 năm 2018 của Bộ Xây dựng về việc thông báo kết quả thẩm dịnh TKCS điều chỉnh công trình “ Tổ hợp khách sạn, căn hộ dịch vụ Marriott và nhà ở để bán” tại số 58 đường Bạch Đằng, phường Hải Châu I, quận Hải C</w:t>
      </w:r>
      <w:r>
        <w:rPr>
          <w:rFonts w:ascii="Times New Roman" w:hAnsi="Times New Roman" w:eastAsia="Times New Roman" w:cs="Times New Roman"/>
          <w:color w:val="000000"/>
          <w:sz w:val="24"/>
        </w:rPr>
        <w:t xml:space="preserve">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120"/>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dịch vụ thẩm định giá số 275/2026/1470/VFI-CT.T04.A ngày 16/09/2026 giữa Nguyễn Minh Thông với Công ty Cổ phần Thẩm định và Đầu tư Tài chính Hoa Sen.</w:t>
      </w:r>
      <w:r>
        <w:rPr>
          <w:color w:val="000000" w:themeColor="text1"/>
          <w:lang w:val="pt-BR"/>
        </w:rPr>
        <w:t xml:space="preserve">.</w:t>
      </w:r>
      <w:r>
        <w:rPr>
          <w:b/>
          <w:color w:val="000000" w:themeColor="text1"/>
        </w:rPr>
      </w:r>
      <w:r>
        <w:rPr>
          <w:b/>
          <w:color w:val="000000" w:themeColor="text1"/>
        </w:rPr>
      </w:r>
    </w:p>
    <w:p>
      <w:pPr>
        <w:pStyle w:val="1120"/>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 TỔNG QUAN VỀ THỊ TRƯỜNG CỦA TÀI SẢN THẨM ĐỊNH GIÁ</w:t>
      </w:r>
      <w:r>
        <w:rPr>
          <w:b/>
          <w:bCs/>
          <w:color w:val="000000" w:themeColor="text1"/>
        </w:rPr>
      </w:r>
      <w:r>
        <w:rPr>
          <w:b/>
          <w:bCs/>
          <w:color w:val="000000" w:themeColor="text1"/>
        </w:rPr>
      </w:r>
    </w:p>
    <w:p>
      <w:pPr>
        <w:pStyle w:val="1120"/>
        <w:numPr>
          <w:ilvl w:val="0"/>
          <w:numId w:val="43"/>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rPr>
      </w:pPr>
      <w:r>
        <w:rPr>
          <w:b/>
          <w:bCs/>
          <w:iCs/>
          <w:color w:val="000000" w:themeColor="text1"/>
        </w:rPr>
        <w:t xml:space="preserve">Tổng quan thị trường</w:t>
      </w:r>
      <w:r>
        <w:rPr>
          <w:b/>
          <w:bCs/>
          <w:iCs/>
          <w:color w:val="000000" w:themeColor="text1"/>
        </w:rPr>
      </w:r>
      <w:r>
        <w:rPr>
          <w:b/>
          <w:bCs/>
          <w:iCs/>
          <w:color w:val="000000" w:themeColor="text1"/>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DKRA Consulting vừa công bố Báo cáo thị trường bất động sản nhà ở TP. Đà Nẵng quý 2/2026, cho thấy bức tranh phân hóa rõ nét giữa các phân khúc. Trong khi căn hộ và nhà phố ghi nhận tín hiệu tích cực về nguồn cung và giao dịch, đất nền cùng bất động sản ng</w:t>
      </w:r>
      <w:r>
        <w:rPr>
          <w:rFonts w:ascii="Times New Roman" w:hAnsi="Times New Roman" w:eastAsia="Times New Roman" w:cs="Times New Roman"/>
          <w:color w:val="000000"/>
          <w:sz w:val="24"/>
          <w:highlight w:val="white"/>
        </w:rPr>
        <w:t xml:space="preserve">hỉ dưỡng vẫn đối mặt nhiều áp lực, …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DKRA Consulting, đất nền vẫn là phân khúc khan hiếm nguồn cung. Toàn thị trường chỉ còn khoảng 1.470 sản phẩm sơ cấp, giảm 13% so với quý trước và toàn bộ đều đến từ các dự án đã mở bán trước đó. Thanh khoản tiếp tục ở mức thấp khi lượng giao dịch chỉ</w:t>
      </w:r>
      <w:r>
        <w:rPr>
          <w:rFonts w:ascii="Times New Roman" w:hAnsi="Times New Roman" w:eastAsia="Times New Roman" w:cs="Times New Roman"/>
          <w:color w:val="000000"/>
          <w:sz w:val="24"/>
          <w:highlight w:val="white"/>
        </w:rPr>
        <w:t xml:space="preserve"> đạt khoảng 4% tổng nguồn cung sơ cấp. Giá bán sơ cấp gần như đi ngang nhưng vẫn neo ở mức cao do chi phí đầu vào chưa giảm. Trong khi đó, giá thứ cấp cũng ít biến động, phản ánh tâm lý thận trọng của cả người mua lẫn nhà đầu tư.</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Để kích cầu, nhiều chủ đầu tư tiếp tục triển khai các chính sách như kéo giãn tiến độ thanh toán, hỗ trợ lãi suất và liên kết ngân hàng. Trái ngược với đất nền, phân khúc căn hộ ghi nhận sự cải thiện rõ rệt. Nguồn cung sơ cấp tăng khoảng 47%, trong khi ngu</w:t>
      </w:r>
      <w:r>
        <w:rPr>
          <w:rFonts w:ascii="Times New Roman" w:hAnsi="Times New Roman" w:eastAsia="Times New Roman" w:cs="Times New Roman"/>
          <w:color w:val="000000"/>
          <w:sz w:val="24"/>
          <w:highlight w:val="white"/>
        </w:rPr>
        <w:t xml:space="preserve">ồn cung mới tăng gấp 2,2 lần so với quý trước. Đáng chú ý, căn hộ hạng A và hạng B tiếp tục giữ vai trò chủ lực khi chiếm 88% nguồn cung và 93% lượng tiêu thụ toàn thị trường.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Lượng giao dịch tăng 54%, tuy nhiên sức mua chủ yếu tập trung tại một số dự án mới của các chủ đầu tư lớn. Hai tháng cuối quý, thị trường bắt đầu chững lại khi lãi suất vay mua nhà vẫn duy trì ở mức cao. Về giá bán, căn hộ sơ cấp tăng khoảng 2%, trong khi </w:t>
      </w:r>
      <w:r>
        <w:rPr>
          <w:rFonts w:ascii="Times New Roman" w:hAnsi="Times New Roman" w:eastAsia="Times New Roman" w:cs="Times New Roman"/>
          <w:color w:val="000000"/>
          <w:sz w:val="24"/>
          <w:highlight w:val="white"/>
        </w:rPr>
        <w:t xml:space="preserve">thị trường thứ cấp giảm khoảng 6%, phản ánh xu hướng nhiều nhà đầu tư chấp nhận giảm kỳ vọng lợi nhuận để cải thiện thanh khoản.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Ở phân khúc nhà phố và biệt thự, nguồn cung sơ cấp tăng 27%, chủ yếu nhờ một dự án quy mô lớn được mở bán trong quý. Lượng tiêu thụ đạt mức cao nhất từ trước đến nay, song giao dịch gần như chỉ tập trung tại dự án này. Điều đó cho thấy sự tăng trưởng chưa </w:t>
      </w:r>
      <w:r>
        <w:rPr>
          <w:rFonts w:ascii="Times New Roman" w:hAnsi="Times New Roman" w:eastAsia="Times New Roman" w:cs="Times New Roman"/>
          <w:color w:val="000000"/>
          <w:sz w:val="24"/>
          <w:highlight w:val="white"/>
        </w:rPr>
        <w:t xml:space="preserve">lan tỏa trên toàn thị trường. Giá bán sơ cấp gần như ổn định theo quý nhưng tăng trung bình 10% so với cùng kỳ năm trước. Trong khi đó, giá thứ cấp giảm nhẹ khoảng 1% do áp lực chi phí vốn khiến nhiều nhà đầu tư điều chỉnh giá bán.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ghi nhận của DKRA Consulting, dòng tiền vẫn ưu tiên những dự án có pháp lý đầy đủ, tiến độ xây dựng đảm bảo và được phát triển bởi các doanh nghiệp có năng lực tài chính mạnh. Đối với biệt thự nghỉ dưỡng, nguồn cung sơ cấp tăng 11% so với quý trước nh</w:t>
      </w:r>
      <w:r>
        <w:rPr>
          <w:rFonts w:ascii="Times New Roman" w:hAnsi="Times New Roman" w:eastAsia="Times New Roman" w:cs="Times New Roman"/>
          <w:color w:val="000000"/>
          <w:sz w:val="24"/>
          <w:highlight w:val="white"/>
        </w:rPr>
        <w:t xml:space="preserve">ưng hơn 88% đến từ hàng tồn kho. Dù lượng giao dịch có cải thiện nhẹ, thanh khoản vẫn ở mức thấp do lãi suất cao làm giảm sức hấp thụ của thị trường.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Giá bán sơ cấp ổn định theo quý và tăng khoảng 7% so với cùng kỳ. Các chương trình chia sẻ lợi nhuận, hỗ trợ lãi suất, ân hạn nợ gốc tiếp tục được triển khai nhằm thu hút khách hàng. Trong khi đó, nhà phố và shophouse nghỉ dưỡng gần như không xuất hiện ngu</w:t>
      </w:r>
      <w:r>
        <w:rPr>
          <w:rFonts w:ascii="Times New Roman" w:hAnsi="Times New Roman" w:eastAsia="Times New Roman" w:cs="Times New Roman"/>
          <w:color w:val="000000"/>
          <w:sz w:val="24"/>
          <w:highlight w:val="white"/>
        </w:rPr>
        <w:t xml:space="preserve">ồn cung mới. Thị trường không ghi nhận giao dịch đáng kể dù giá bán vẫn dao động từ 7,1–16,3 tỷ đồng/căn.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DKRA Consulting, bên cạnh áp lực lãi suất, hàng loạt dự án chưa đưa vào khai thác cùng những vướng mắc pháp lý kéo dài tiếp tục ảnh hưởng tiêu cực đến niềm tin của nhà đầu tư. Tương tự, condotel vẫn chưa thoát khỏi giai đoạn trầm lắng. Nguồn cung giảm</w:t>
      </w:r>
      <w:r>
        <w:rPr>
          <w:rFonts w:ascii="Times New Roman" w:hAnsi="Times New Roman" w:eastAsia="Times New Roman" w:cs="Times New Roman"/>
          <w:color w:val="000000"/>
          <w:sz w:val="24"/>
          <w:highlight w:val="white"/>
        </w:rPr>
        <w:t xml:space="preserve"> nhẹ và toàn bộ sản phẩm đều là hàng tồn kho. Đặc biệt, lượng giao dịch giảm hơn 94% so với quý trước, trong khi nguồn cung mới đã vắng bóng hơn một năm qua.</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DKRA Consulting dự báo trong quý 3/2026, thị trường bất động sản Đà Nẵng vẫn đối mặt nhiều khó khăn. Ở phân khúc đất nền, nguồn cung mới dự kiến chỉ khoảng 100–200 sản phẩm, tập trung tại phường Ngũ Hành Sơn, phường Điện Bàn Đông và xã Núi Thành. Giá bán đ</w:t>
      </w:r>
      <w:r>
        <w:rPr>
          <w:rFonts w:ascii="Times New Roman" w:hAnsi="Times New Roman" w:eastAsia="Times New Roman" w:cs="Times New Roman"/>
          <w:color w:val="000000"/>
          <w:sz w:val="24"/>
          <w:highlight w:val="white"/>
        </w:rPr>
        <w:t xml:space="preserve">ược dự báo tiếp tục đi ngang trong khi thanh khoản khó cải thiện đáng kể. Đối với căn hộ, nguồn cung mới có thể giảm còn khoảng 1.500–2.000 căn, chủ yếu tập trung tại phường Ngũ Hành Sơn và phường Hòa Xuân. Phân khúc cao cấp tiếp tục chiếm ưu thế nhưng sức</w:t>
      </w:r>
      <w:r>
        <w:rPr>
          <w:rFonts w:ascii="Times New Roman" w:hAnsi="Times New Roman" w:eastAsia="Times New Roman" w:cs="Times New Roman"/>
          <w:color w:val="000000"/>
          <w:sz w:val="24"/>
          <w:highlight w:val="white"/>
        </w:rPr>
        <w:t xml:space="preserve"> cầu nhiều khả năng vẫn chịu áp lực từ lãi suất và chính sách kiểm soát tín dụng.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Ở phân khúc nhà phố và biệt thự, nguồn cung dự kiến duy trì ở mức 1.500–2.000 căn, tập trung chủ yếu tại phường Hải Vân. Giao dịch được dự báo tiếp tục tập trung vào các dự án quy mô lớn, pháp lý hoàn chỉnh và có chính sách bán hàng hấp dẫn. Riêng bất động</w:t>
      </w:r>
      <w:r>
        <w:rPr>
          <w:rFonts w:ascii="Times New Roman" w:hAnsi="Times New Roman" w:eastAsia="Times New Roman" w:cs="Times New Roman"/>
          <w:color w:val="000000"/>
          <w:sz w:val="24"/>
          <w:highlight w:val="white"/>
        </w:rPr>
        <w:t xml:space="preserve"> sản nghỉ dưỡng được nhận định chưa có nhiều cơ hội bứt phá. Nguồn cung mới tiếp tục khan hiếm, thanh khoản khó cải thiện khi các nút thắt pháp lý chưa được tháo gỡ và niềm tin của nhà đầu tư vẫn chưa phục hồi. Các chủ đầu tư nhiều khả năng sẽ tiếp tục duy</w:t>
      </w:r>
      <w:r>
        <w:rPr>
          <w:rFonts w:ascii="Times New Roman" w:hAnsi="Times New Roman" w:eastAsia="Times New Roman" w:cs="Times New Roman"/>
          <w:color w:val="000000"/>
          <w:sz w:val="24"/>
          <w:highlight w:val="white"/>
        </w:rPr>
        <w:t xml:space="preserve"> trì chính sách hỗ trợ lãi suất, giãn tiến độ thanh toán và ân hạn nợ gốc để giữ sức hút cho dự án.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Theo DKRA Consulting, trong ngắn hạn, khi mặt bằng lãi suất chưa có dấu hiệu giảm mạnh và tín dụng bất động sản vẫn được kiểm soát chặt, thị trường được dự báo sẽ tiếp tục diễn biến thận trọng, với dòng tiền ưu tiên các sản phẩm có giá trị khai thác thực v</w:t>
      </w:r>
      <w:r>
        <w:rPr>
          <w:rFonts w:ascii="Times New Roman" w:hAnsi="Times New Roman" w:eastAsia="Times New Roman" w:cs="Times New Roman"/>
          <w:color w:val="000000"/>
          <w:sz w:val="24"/>
          <w:highlight w:val="white"/>
        </w:rPr>
        <w:t xml:space="preserve">à mức độ an toàn cao.</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i/>
          <w:color w:val="000000"/>
          <w:sz w:val="24"/>
          <w:highlight w:val="white"/>
        </w:rPr>
        <w:t xml:space="preserve">(Nguồn tham khảo: https://cafef.vn/thi-truong-bat-dong-san-da-nang-can-ho-tang-nhiet-dat-nen-i-ach-nghi-duong-van-ngu-dong-188260716143741785.chn)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2.Tổng quan dự án</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Chủ Đầu tư: Công ty Cổ phần Địa ốc Foodinco</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điểm: 58 Bạch Đằng,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hình sản phẩm: Căn hộ studio, 1 phòng ngủ và 2 phòng ngủ cao cấp</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Từ 43,1 m² – 88,8 m²</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sở hữu: Sổ hồng lâu dài</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Tiêu chuẩn bàn giao: Hoàn thiện kèm nội thất</w:t>
      </w:r>
      <w:r>
        <w:rPr>
          <w:rFonts w:ascii="Times New Roman" w:hAnsi="Times New Roman" w:eastAsia="Times New Roman" w:cs="Times New Roman"/>
          <w:sz w:val="24"/>
        </w:rPr>
      </w:r>
      <w:r>
        <w:rPr>
          <w:rFonts w:ascii="Times New Roman" w:hAnsi="Times New Roman" w:eastAsia="Times New Roman" w:cs="Times New Roman"/>
          <w:sz w:val="24"/>
        </w:rPr>
      </w:r>
    </w:p>
    <w:p>
      <w:pPr>
        <w:numPr>
          <w:ilvl w:val="0"/>
          <w:numId w:val="44"/>
        </w:numPr>
        <w:pBdr>
          <w:top w:val="none" w:color="000000" w:sz="4" w:space="0"/>
          <w:left w:val="none" w:color="000000" w:sz="4" w:space="0"/>
          <w:bottom w:val="none" w:color="000000" w:sz="4" w:space="0"/>
          <w:right w:val="none" w:color="000000" w:sz="4" w:space="0"/>
        </w:pBdr>
        <w:spacing/>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Tổng số căn hộ: 224 căn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5 yếu tố tạo sức hút cho M Landmark Residences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trung tâm, tầm nhìn hướng sông Hàn cùng chuỗi tiện ích cao cấp... của M Landmark Residences Đà Nẵng thu hút sự quan tâm của tầng lớp tinh hoa.</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Tọa lạc tại lõi đô thị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 Landmark Residences nằm trong tòa nhà M Landmark tại số 58 Bạch Đằng - một trong những tuyến phố trung tâm sầm uất bậc nhất của Đà Nẵng, ven sông Hàn và là trung tâm diễn ra các sự kiện văn hóa, du lịch lớn như Lễ hội pháo hoa quốc tế Đà Nẵng... Từ dự án</w:t>
      </w:r>
      <w:r>
        <w:rPr>
          <w:rFonts w:ascii="Times New Roman" w:hAnsi="Times New Roman" w:eastAsia="Times New Roman" w:cs="Times New Roman"/>
          <w:color w:val="000000"/>
          <w:sz w:val="24"/>
        </w:rPr>
        <w:t xml:space="preserve">, chủ nhân các căn hộ có thể kết nối nhanh đến sân bay quốc tế Đà Nẵng, các bãi biển nổi tiếng như Mỹ Khê và các điểm đến di sản tại miền Trung như Hội An, Mỹ Sơn, Huế...</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Chủ đầu tư và đơn vị thiết kế giàu kinh nghiệm</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Dự án do Công ty CP Địa ốc Foodinco - thành viên Alphanam Group làm chủ đầu tư. Đây là doanh nghiệp có bề dày kinh nghiệm trong lĩnh vực bất động sản, triển khai nhiều dự án quy mô trên toàn quốc.</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 Landmark Residences Đà Nẵng được thiết kế bởi DP Architects (Singapore) và Công ty SDesign do kiến trúc sư người Tây Ban Nha Salvador Perez Arroyo dẫn dắt. Các đơn vị này từng tham gia nhiều công trình biểu tượng trên thế giới. Dự án được trang bị hệ thố</w:t>
      </w:r>
      <w:r>
        <w:rPr>
          <w:rFonts w:ascii="Times New Roman" w:hAnsi="Times New Roman" w:eastAsia="Times New Roman" w:cs="Times New Roman"/>
          <w:color w:val="000000"/>
          <w:sz w:val="24"/>
        </w:rPr>
        <w:t xml:space="preserve">ng phòng cháy chữa cháy, báo cháy địa chỉ, hệ thống cáp quang, an ninh... đều được hoàn thiện theo tiêu chuẩn Mỹ.</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Tầm nhìn sông Hàn, số lượng giới hạn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Dự án cung cấp 224 căn hộ diện tích từ 43 m2 đến 89 m2, gồm một đến ba phòng ngủ. Tất cả căn hộ đều sở hữu tầm nhìn rộng mở, có thể quan sát toàn cảnh sông Hàn và các cây cầu nổi tiếng như cầu Rồng, cầu Sông Hàn, Trần Thị Lý, Nguyễn Văn Trỗi, Thuận Phước, </w:t>
      </w:r>
      <w:r>
        <w:rPr>
          <w:rFonts w:ascii="Times New Roman" w:hAnsi="Times New Roman" w:eastAsia="Times New Roman" w:cs="Times New Roman"/>
          <w:color w:val="000000"/>
          <w:sz w:val="24"/>
        </w:rPr>
        <w:t xml:space="preserve">Tiên Sơn... hoặc tầm nhìn trung tâm thành phố. Đây cũng là "khán đài trên cao" mỗi mùa lễ hội, nơi các chủ nhân có thể ngắm những màn trình diễn pháo hoa rực rỡ bên dòng sông Hàn trong không gian riêng tư.</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Không gian căn hộ được thiết kế hiện đại, tối ưu công năng và ánh sáng tự nhiên. Theo đại diện chủ đầu tư, dự án hướng đến chuẩn sống mới tại trung tâm Đà Nẵng, phục vụ nhóm khách hàng cao cấp, chuyên gia và khách quốc tế. Đại diện chủ đầu tư kỳ vọng M Lan</w:t>
      </w:r>
      <w:r>
        <w:rPr>
          <w:rFonts w:ascii="Times New Roman" w:hAnsi="Times New Roman" w:eastAsia="Times New Roman" w:cs="Times New Roman"/>
          <w:color w:val="000000"/>
          <w:sz w:val="24"/>
        </w:rPr>
        <w:t xml:space="preserve">dmark Residences Đà Nẵng trở thành hình mẫu về chuẩn sống mới tại Đà Nẵng - tiện nghi và mang tinh thần thời đại.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Tiện ích từ khách sạn 5 sao trong cùng tòa nhà</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 Landmark Residences Đà Nẵng nằm trong cùng tòa nhà với Courtyard by Marriott Danang Han River - khách sạn đầu tiên mang thương hiệu Courtyard by Marriott tại Việt Nam, vận hành theo tiêu chuẩn quốc tế.</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Chủ nhân các căn hộ có thể kết nối với hệ thống tiện ích cao cấp như The Landmark Restaurant phục vụ ẩm thực Á - Âu, The Chill Bean - espresso bar dành cho tín đồ cà phê, hồ bơi vô cực ngoài trời trên tầng thượng, hồ bơi trẻ em, phòng gym cùng hệ thống phò</w:t>
      </w:r>
      <w:r>
        <w:rPr>
          <w:rFonts w:ascii="Times New Roman" w:hAnsi="Times New Roman" w:eastAsia="Times New Roman" w:cs="Times New Roman"/>
          <w:color w:val="000000"/>
          <w:sz w:val="24"/>
        </w:rPr>
        <w:t xml:space="preserve">ng hội nghị được thiết kế linh hoạt đáp ứng các sự kiện riêng tư hay tiệc kết nối dành cho cộng đồng cư dân thượng lưu.</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Tiềm năng sinh lời</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Thị trường bất động sản Đà Nẵng đang ghi nhận những cú hích từ loạt chiến lược phát triển đô thị trọng điểm như trung tâm tài chính quốc tế Đà Nẵng, khu thương mại tự do và việc sáp nhập địa giới hành chính... Những yếu tố này được kỳ vọng tạo lực đẩy cho </w:t>
      </w:r>
      <w:r>
        <w:rPr>
          <w:rFonts w:ascii="Times New Roman" w:hAnsi="Times New Roman" w:eastAsia="Times New Roman" w:cs="Times New Roman"/>
          <w:color w:val="000000"/>
          <w:sz w:val="24"/>
        </w:rPr>
        <w:t xml:space="preserve">bất động sản trung tâm, nhất là phân khúc hạng sang.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Trong bối cảnh đó, các dự án nằm ở khu vực lõi đô thị như M Landmark Residences Đà Nẵng sẽ có nhiều lợi thế về tăng giá trong dài hạn, đồng thời mang đến dòng tiền ổn định từ khai thác cho thuê hoặc phục vụ nhu cầu ở thực của nhóm khách hàng chuyên gia, ng</w:t>
      </w:r>
      <w:r>
        <w:rPr>
          <w:rFonts w:ascii="Times New Roman" w:hAnsi="Times New Roman" w:eastAsia="Times New Roman" w:cs="Times New Roman"/>
          <w:color w:val="000000"/>
          <w:sz w:val="24"/>
        </w:rPr>
        <w:t xml:space="preserve">ười nước ngoài làm việc tại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(Nguồn tham khảo: </w:t>
      </w:r>
      <w:hyperlink r:id="rId17" w:tooltip="https://alphanamfamily.com/tin-tuc/5-yeu-to-tao-suc-hut-cho-m-landmark-residences-da-nang" w:history="1">
        <w:r>
          <w:rPr>
            <w:rStyle w:val="1110"/>
            <w:rFonts w:ascii="Times New Roman" w:hAnsi="Times New Roman" w:eastAsia="Times New Roman" w:cs="Times New Roman"/>
            <w:i/>
            <w:color w:val="000000"/>
            <w:sz w:val="24"/>
            <w:u w:val="none"/>
          </w:rPr>
          <w:t xml:space="preserve">https://alphanamfamily.com/tin-tuc/5-yeu-to-tao-suc-hut-cho-m-landmark-residences-da-nang</w:t>
        </w:r>
      </w:hyperlink>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p>
      <w:pPr>
        <w:pStyle w:val="1120"/>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IV. THÔNG TIN VỀ TÀI SẢN THẨM ĐỊNH GIÁ</w:t>
      </w:r>
      <w:r>
        <w:rPr>
          <w:b/>
          <w:bCs/>
          <w:color w:val="000000" w:themeColor="text1"/>
        </w:rPr>
      </w:r>
      <w:r>
        <w:rPr>
          <w:b/>
          <w:bCs/>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023"/>
        <w:gridCol w:w="2539"/>
        <w:gridCol w:w="2473"/>
        <w:gridCol w:w="175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Tên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Nội dung Thửa đất theo Hồ sơ pháp lý</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Thửa đất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Tờ bản đồ số:</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58 Bạch Đằng, phường Hải Châu 1, quận Hải Châu, thành phố Đà Nẵng (Nay là phường Hải Châu, Thành phố Đà Nẵng)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2476,2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Sử dụng riêng: 2476,2 m²</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84"/>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Mục đích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Đất ở tại đô thị</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sử dụng: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Lâu dài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Về đất: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2.1</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Vị trí; Giao thông;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tiếp giáp chính:</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Đường Bạch Đằng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Mặt cắt đường/ngõ trước mặt tài sản thẩm định giá (m):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Khoảng cách đến trục đường chính (m):</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Tài sản nằm tại Toà căn hộ 45 tầng, dự án M Landmark Residences Đà Nẵng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trên bản đồ vệ tinh: (16.0725691,108.2237296)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5591175" cy="28765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14376" name=""/>
                              <pic:cNvPicPr>
                                <a:picLocks noChangeAspect="1"/>
                              </pic:cNvPicPr>
                              <pic:nvPr/>
                            </pic:nvPicPr>
                            <pic:blipFill rotWithShape="1">
                              <a:blip r:embed="rId18"/>
                              <a:stretch/>
                            </pic:blipFill>
                            <pic:spPr bwMode="auto">
                              <a:xfrm>
                                <a:off x="0" y="0"/>
                                <a:ext cx="5591174" cy="28765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0.25pt;height:226.5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2.2.</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Thông tin về căn hộ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Loại nhà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lef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31.08, Toà căn hộ 45 tầng, dự án M Landmark Residences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Hình thức sở hữu: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Sở hữu riêng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7"/>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Thời hạn sở hữu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Diện tích sử dụng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sz w:val="24"/>
              </w:rPr>
              <w:t xml:space="preserve">76,4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613"/>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Số tầng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sz w:val="24"/>
              </w:rPr>
              <w:t xml:space="preserve">31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Hướng cửa: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sz w:val="24"/>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2.3.</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Điều kiện kinh doanh; Hạ tầng nội bộ; 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nội bộ:</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xung quanh:</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bottom w:val="single" w:color="000000" w:sz="8" w:space="0"/>
              <w:right w:val="single" w:color="000000" w:sz="8" w:space="0"/>
            </w:tcBorders>
            <w:tcMar>
              <w:left w:w="108" w:type="dxa"/>
              <w:top w:w="0" w:type="dxa"/>
              <w:right w:w="108" w:type="dxa"/>
              <w:bottom w:w="0" w:type="dxa"/>
            </w:tcMar>
            <w:tcW w:w="67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Hạ tầng khu dân cư thông thường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Mật độ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Cao/đông đúc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Đời sống dân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Cao</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02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Lợi thế kinh doanh: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5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Phù hợp để 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24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Khả năng chuyển nhượng: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175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Tốt</w:t>
            </w:r>
            <w:r>
              <w:rPr>
                <w:rFonts w:ascii="Times New Roman" w:hAnsi="Times New Roman" w:eastAsia="Times New Roman" w:cs="Times New Roman"/>
                <w:sz w:val="24"/>
              </w:rPr>
            </w:r>
            <w:r>
              <w:rPr>
                <w:rFonts w:ascii="Times New Roman" w:hAnsi="Times New Roman" w:eastAsia="Times New Roman" w:cs="Times New Roman"/>
                <w:sz w:val="24"/>
              </w:rPr>
            </w:r>
          </w:p>
        </w:tc>
      </w:tr>
    </w:tbl>
    <w:p>
      <w:pPr>
        <w:pStyle w:val="1120"/>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120"/>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định giá không xảy ra tranh chấp, </w:t>
      </w:r>
      <w:r>
        <w:rPr>
          <w:color w:val="000000" w:themeColor="text1"/>
          <w:spacing w:val="-2"/>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rPr>
      </w:r>
      <w:r>
        <w:rPr>
          <w:color w:val="000000" w:themeColor="text1"/>
          <w:spacing w:val="-2"/>
        </w:rPr>
      </w:r>
    </w:p>
    <w:p>
      <w:pPr>
        <w:pStyle w:val="1120"/>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VI. CƠ SỞ GIÁ TRỊ THẨM ĐỊNH GIÁ</w:t>
      </w:r>
      <w:r>
        <w:rPr>
          <w:b/>
          <w:bCs/>
          <w:color w:val="000000" w:themeColor="text1"/>
        </w:rPr>
      </w:r>
      <w:r>
        <w:rPr>
          <w:b/>
          <w:bCs/>
          <w:color w:val="000000" w:themeColor="text1"/>
        </w:rPr>
      </w:r>
    </w:p>
    <w:p>
      <w:pPr>
        <w:pStyle w:val="1120"/>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color w:val="000000" w:themeColor="text1"/>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lang w:val="pt-BR"/>
        </w:rPr>
        <w:t xml:space="preserve">“Giá trị thị trường là khoản tiền ước t</w:t>
      </w:r>
      <w:r>
        <w:rPr>
          <w:i/>
          <w:iCs/>
          <w:color w:val="000000" w:themeColor="text1"/>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120"/>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120"/>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tiếp cận từ thị trường: </w:t>
      </w:r>
      <w:r>
        <w:rPr>
          <w:bCs/>
          <w:color w:val="000000" w:themeColor="text1"/>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rPr>
      </w:r>
      <w:r>
        <w:rPr>
          <w:bCs/>
          <w:color w:val="000000" w:themeColor="text1"/>
        </w:rPr>
      </w:r>
    </w:p>
    <w:p>
      <w:pPr>
        <w:pStyle w:val="1120"/>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Xác đị</w:t>
      </w:r>
      <w:r>
        <w:rPr>
          <w:bCs/>
          <w:color w:val="000000" w:themeColor="text1"/>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rPr>
      </w:r>
      <w:r>
        <w:rPr>
          <w:bCs/>
          <w:color w:val="000000" w:themeColor="text1"/>
        </w:rPr>
      </w:r>
    </w:p>
    <w:p>
      <w:pPr>
        <w:pStyle w:val="1120"/>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rPr>
      </w:r>
      <w:r>
        <w:rPr>
          <w:b/>
          <w:color w:val="000000" w:themeColor="text1"/>
        </w:rPr>
      </w:r>
    </w:p>
    <w:p>
      <w:pPr>
        <w:pStyle w:val="1120"/>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w:t>
      </w:r>
      <w:r>
        <w:rPr>
          <w:color w:val="000000" w:themeColor="text1"/>
          <w:spacing w:val="-4"/>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rPr>
      </w:r>
      <w:r>
        <w:rPr>
          <w:color w:val="000000" w:themeColor="text1"/>
          <w:spacing w:val="-4"/>
        </w:rPr>
      </w:r>
    </w:p>
    <w:p>
      <w:pPr>
        <w:pStyle w:val="1120"/>
        <w:pBdr/>
        <w:spacing w:after="120" w:before="120" w:line="276" w:lineRule="auto"/>
        <w:ind w:left="0"/>
        <w:jc w:val="both"/>
        <w:rPr>
          <w:color w:val="000000" w:themeColor="text1"/>
        </w:rPr>
      </w:pPr>
      <w:r>
        <w:rPr>
          <w:b/>
          <w:bCs/>
          <w:color w:val="000000" w:themeColor="text1"/>
          <w:lang w:val="pt-BR"/>
        </w:rPr>
        <w:t xml:space="preserve">VIII. GIÁ TRỊ TÀI SẢN THẨM ĐỊNH</w:t>
      </w:r>
      <w:r>
        <w:rPr>
          <w:color w:val="000000" w:themeColor="text1"/>
        </w:rPr>
      </w:r>
      <w:r>
        <w:rPr>
          <w:color w:val="000000" w:themeColor="text1"/>
        </w:rPr>
      </w:r>
    </w:p>
    <w:p>
      <w:pPr>
        <w:pStyle w:val="1120"/>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đơn giá quyền sử dụng đất:</w:t>
      </w:r>
      <w:r>
        <w:rPr>
          <w:b/>
          <w:color w:val="000000" w:themeColor="text1"/>
        </w:rPr>
      </w:r>
      <w:r>
        <w:rPr>
          <w:b/>
          <w:color w:val="000000" w:themeColor="text1"/>
        </w:rPr>
      </w:r>
    </w:p>
    <w:p>
      <w:pPr>
        <w:pStyle w:val="1120"/>
        <w:pBdr/>
        <w:spacing w:after="120" w:before="120" w:line="276" w:lineRule="auto"/>
        <w:ind w:firstLine="357" w:left="0"/>
        <w:jc w:val="both"/>
        <w:rPr>
          <w:bCs/>
          <w:color w:val="000000" w:themeColor="text1"/>
        </w:rPr>
      </w:pPr>
      <w:r>
        <w:rPr>
          <w:color w:val="000000" w:themeColor="text1"/>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120"/>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83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https://batdongsan.com.vn/ban-can-ho-chung-cu-duong-bach-dang-phuong-hai-chau_1-m-landmark-residence/chau-my-srt-oc-quyen-tang-39-truc-16-2br-hang-sang-bat-nhat-a-nang-mlandmark-pr45776888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https://batdongsan.com.vn/ban-can-ho-chung-cu-duong-bach-dang-phuong-hai-chau_1-m-landmark-residence/chau-my-srt-oc-quyen-tang-39-truc-16-2br-hang-sang-bat-nhat-a-nang-mlandmark-pr45776888</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https://batdongsan.com.vn/ban-can-ho-chung-cu-duong-bach-dang-phuong-hai-chau_1-m-landmark-residence/2-pn-view-truc-dien-song-han-marriot-danh-cho-gioi-tinh-hoa-full-noi-that-pr44960769</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0931199800</w:t>
            </w:r>
            <w:r>
              <w:rPr>
                <w:sz w:val="22"/>
                <w:szCs w:val="22"/>
              </w:rPr>
              <w:t xml:space="preserve"> </w:t>
            </w:r>
            <w:r>
              <w:rPr>
                <w:sz w:val="22"/>
                <w:szCs w:val="22"/>
              </w:rPr>
              <w:br/>
              <w:t xml:space="preserve">(</w:t>
            </w:r>
            <w:r>
              <w:rPr>
                <w:sz w:val="22"/>
                <w:szCs w:val="22"/>
              </w:rPr>
              <w:t xml:space="preserve">Mỹ Châu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0931199800</w:t>
            </w:r>
            <w:r>
              <w:rPr>
                <w:sz w:val="22"/>
                <w:szCs w:val="22"/>
              </w:rPr>
              <w:br/>
              <w:t xml:space="preserve">(</w:t>
            </w:r>
            <w:r>
              <w:rPr>
                <w:sz w:val="22"/>
                <w:szCs w:val="22"/>
              </w:rPr>
              <w:t xml:space="preserve">Mỹ Châu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0932561759</w:t>
            </w:r>
            <w:r>
              <w:rPr>
                <w:sz w:val="22"/>
                <w:szCs w:val="22"/>
              </w:rPr>
              <w:br/>
              <w:t xml:space="preserve">(</w:t>
            </w:r>
            <w:r>
              <w:rPr>
                <w:sz w:val="22"/>
                <w:szCs w:val="22"/>
              </w:rPr>
              <w:t xml:space="preserve">Thành Đạt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Hợp đồng mua bán công chứng vi bằng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Phổ thông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trí tương quan giữa TSTĐ và TSSS</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333234" cy="241143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55265" name=""/>
                              <pic:cNvPicPr>
                                <a:picLocks noChangeAspect="1"/>
                              </pic:cNvPicPr>
                              <pic:nvPr/>
                            </pic:nvPicPr>
                            <pic:blipFill rotWithShape="1">
                              <a:blip r:embed="rId19"/>
                              <a:stretch/>
                            </pic:blipFill>
                            <pic:spPr bwMode="auto">
                              <a:xfrm rot="0" flipH="0" flipV="0">
                                <a:off x="0" y="0"/>
                                <a:ext cx="4333233" cy="24114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41.20pt;height:189.88pt;mso-wrap-distance-left:0.00pt;mso-wrap-distance-top:0.00pt;mso-wrap-distance-right:0.00pt;mso-wrap-distance-bottom:0.00pt;rotation:0;z-index:1;" stroked="false">
                      <v:imagedata r:id="rId19"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 mặt thoáng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31, Thuộc nhóm tầng: Trung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39,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39, Thuộc nhóm tầng: Cao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Tầng 31, Thuộc nhóm tầng: Trung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Nam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Bắc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 phòng ngủ, 2 nhà vệ sinh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Cơ bản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17.190.000.000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15.347.000.000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 (đã giảm trừ giá trị nội thất nếu có)</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14.611.500.000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13.044.950.000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Đơn giá QSD căn hộ (đồng/m2)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r>
            <w:r>
              <w:rPr>
                <w:color w:val="000000" w:themeColor="text1"/>
                <w:sz w:val="22"/>
                <w:szCs w:val="22"/>
              </w:rPr>
              <w:t xml:space="preserve">T</w:t>
            </w:r>
            <w:r>
              <w:rPr>
                <w:color w:val="000000" w:themeColor="text1"/>
                <w:sz w:val="22"/>
                <w:szCs w:val="22"/>
              </w:rPr>
              <w:t xml:space="preserve">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Loại hình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Mô tả 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Tuổi đời – hiện trạng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thông thủy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thoáng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 ban công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Cấu trúc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Nội thất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Không gian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bất lợi của tài sản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 </w:t>
            </w:r>
            <w:r>
              <w:rPr>
                <w:color w:val="000000"/>
                <w:sz w:val="22"/>
                <w:szCs w:val="22"/>
              </w:rPr>
            </w: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w:t>
      </w:r>
      <w:r>
        <w:rPr>
          <w:color w:val="000000" w:themeColor="text1"/>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120"/>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Giá trị BĐS thị trường (Ước </w:t>
            </w:r>
            <w:r>
              <w:rPr>
                <w:b/>
                <w:color w:val="000000" w:themeColor="text1"/>
                <w:sz w:val="22"/>
              </w:rPr>
              <w:t xml:space="preserve">tính trước điều chỉnh)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14.611.500.000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13.044.950.024</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color w:val="000000" w:themeColor="text1"/>
                <w:sz w:val="22"/>
              </w:rPr>
              <w:t xml:space="preserve">Đơn giá QSD căn hộ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Hợp đồng mua bán công chứng vi bằng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Loại hình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Phổ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Mô tả 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Dự án M LANDMARK RESIDENCES DA NANG, Phường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Tuổi đời – hiện trạng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thông thủy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thoáng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 mặt thoáng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191.250.000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Tầng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Trung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39, Thuộc nhóm tầng: Cao</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Tầng 31, Thuộc nhóm tầng: Trung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 ban công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Nam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Bắc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Cấu trúc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 phòng ngủ, 2 nhà vệ sinh</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Nội thất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Cao cấp</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Cơ bản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Không gian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gian, diện tích Khép kín (Không gian khép kín toàn khu: có bảo vệ toàn khu, trung tâm thương mại, siêu thị, sân chơi, sân vườn, bể bơi riêng)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sông, suối, đầm, ao lớn (S=0,5ha), ruộng lúa, đồi núi xa, ngắm hoàng hôn, bình minh xa soi mặt nước, thơ mộng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bất lợi của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183.600.000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172.552.249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183.600.000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172.552.249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179.917.416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7.650.000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7.650.000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D2, chênh lệch giữa mức giá trung bình của các mức giá chỉ dẫn nằm trong khoảng từ  </w:t>
      </w:r>
      <w:r>
        <w:t xml:space="preserve">-4,09% đến 2,05%,</w:t>
      </w:r>
      <w:r>
        <w:rPr>
          <w:color w:val="00b050"/>
        </w:rPr>
        <w:t xml:space="preserve"> </w:t>
      </w:r>
      <w:r>
        <w:rPr>
          <w:color w:val="000000" w:themeColor="text1"/>
        </w:rPr>
        <w:t xml:space="preserve">đảm bảo không quá 15% (theo Thông tư số 32/2024/TT-BTC ngày 16/5/2024 của Bộ Tài chính).</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61.212.240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183.600.000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61.193.880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172.552.249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57.511.665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179.917.785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180.000.000</w:t>
            </w:r>
            <w:r>
              <w:rPr>
                <w:b/>
                <w:bCs/>
                <w:color w:val="000000"/>
              </w:rPr>
            </w:r>
            <w:r>
              <w:rPr>
                <w:b/>
                <w:bCs/>
                <w:color w:val="000000"/>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 </w:t>
      </w:r>
      <w:r>
        <w:rPr>
          <w:b/>
          <w:bCs/>
          <w:color w:val="000000" w:themeColor="text1"/>
          <w:lang w:val="vi-VN"/>
        </w:rPr>
        <w:t xml:space="preserve">180.000.000</w:t>
      </w:r>
      <w:r>
        <w:rPr>
          <w:b/>
          <w:bCs/>
          <w:color w:val="000000" w:themeColor="text1"/>
        </w:rPr>
        <w:t xml:space="preserve"> </w:t>
      </w:r>
      <w:r>
        <w:rPr>
          <w:b/>
          <w:bCs/>
        </w:rPr>
        <w:t xml:space="preserve">đồng/m²</w:t>
      </w:r>
      <w:r>
        <w:rPr>
          <w:b/>
          <w:bCs/>
        </w:rPr>
        <w:t xml:space="preserve">.</w:t>
      </w:r>
      <w:r>
        <w:rPr>
          <w:b/>
          <w:bCs/>
          <w:color w:val="000000" w:themeColor="text1"/>
        </w:rPr>
      </w:r>
      <w:r>
        <w:rPr>
          <w:b/>
          <w:bCs/>
          <w:color w:val="000000" w:themeColor="text1"/>
        </w:rPr>
      </w:r>
    </w:p>
    <w:p>
      <w:pPr>
        <w:pStyle w:val="1120"/>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120"/>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Tổ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t xml:space="preserve">Tháng 09/2026</w:t>
      </w:r>
      <w:r>
        <w:rPr>
          <w:color w:val="000000" w:themeColor="text1"/>
        </w:rPr>
        <w:t xml:space="preserve"> ước tính như sau:</w:t>
      </w:r>
      <w:r>
        <w:rPr>
          <w:color w:val="000000" w:themeColor="text1"/>
        </w:rPr>
      </w:r>
      <w:r>
        <w:rPr>
          <w:color w:val="000000" w:themeColor="text1"/>
        </w:rPr>
      </w:r>
    </w:p>
    <w:tbl>
      <w:tblPr>
        <w:tblStyle w:val="112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color w:val="000000" w:themeColor="text1"/>
              </w:rPr>
              <w:t xml:space="preserve">TT</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rPr>
            </w:pPr>
            <w:r>
              <w:rPr>
                <w:b/>
                <w:color w:val="000000" w:themeColor="text1"/>
              </w:rPr>
              <w:t xml:space="preserve">Tài sản</w:t>
            </w:r>
            <w:r>
              <w:rPr>
                <w:color w:val="000000" w:themeColor="text1"/>
              </w:rPr>
            </w:r>
            <w:r>
              <w:rPr>
                <w:color w:val="000000" w:themeColor="text1"/>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rPr>
            </w:pPr>
            <w:r>
              <w:rPr>
                <w:b/>
                <w:color w:val="000000" w:themeColor="text1"/>
              </w:rPr>
              <w:t xml:space="preserve">Diện tích</w:t>
            </w:r>
            <w:r>
              <w:rPr>
                <w:b/>
                <w:color w:val="000000" w:themeColor="text1"/>
              </w:rPr>
              <w:br/>
              <w:t xml:space="preserve"> (m²)</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rPr>
            </w:pPr>
            <w:r>
              <w:rPr>
                <w:b/>
                <w:color w:val="000000" w:themeColor="text1"/>
              </w:rPr>
              <w:t xml:space="preserve">Đơn giá </w:t>
            </w:r>
            <w:r>
              <w:rPr>
                <w:b/>
                <w:bCs/>
                <w:color w:val="000000" w:themeColor="text1"/>
              </w:rPr>
            </w:r>
            <w:r>
              <w:rPr>
                <w:b/>
                <w:bCs/>
                <w:color w:val="000000" w:themeColor="text1"/>
              </w:rPr>
            </w:r>
          </w:p>
          <w:p>
            <w:pPr>
              <w:pBdr/>
              <w:spacing w:line="312" w:lineRule="auto"/>
              <w:ind/>
              <w:jc w:val="center"/>
              <w:rPr>
                <w:color w:val="000000" w:themeColor="text1"/>
              </w:rPr>
            </w:pPr>
            <w:r>
              <w:rPr>
                <w:b/>
                <w:color w:val="000000" w:themeColor="text1"/>
              </w:rPr>
              <w:t xml:space="preserve">(đồng/m²)</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rPr>
            </w:pPr>
            <w:r>
              <w:rPr>
                <w:b/>
                <w:lang w:val="nl-NL"/>
              </w:rPr>
              <w:t xml:space="preserve">Giá trị thẩm định</w:t>
            </w:r>
            <w:r>
              <w:rPr>
                <w:b/>
              </w:rPr>
              <w:t xml:space="preserve"> </w:t>
            </w:r>
            <w:r>
              <w:rPr>
                <w:b/>
              </w:rPr>
              <w:br/>
              <w:t xml:space="preserve">(đồng)</w:t>
            </w:r>
            <w:r>
              <w:rPr>
                <w:color w:val="000000" w:themeColor="text1"/>
              </w:rPr>
            </w:r>
            <w:r>
              <w:rPr>
                <w:color w:val="000000" w:themeColor="text1"/>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after="60" w:before="60" w:line="276" w:lineRule="auto"/>
              <w:ind w:right="0" w:firstLine="0" w:left="90"/>
              <w:jc w:val="both"/>
              <w:rPr>
                <w:b/>
                <w:bCs/>
                <w:spacing w:val="2"/>
              </w:rPr>
            </w:pPr>
            <w:r>
              <w:rPr>
                <w:b/>
                <w:bCs/>
                <w:color w:val="000000" w:themeColor="text1"/>
                <w:lang w:val="pt-BR"/>
              </w:rPr>
            </w:r>
            <w:r>
              <w:rPr>
                <w:rFonts w:ascii="Times New Roman" w:hAnsi="Times New Roman" w:eastAsia="Times New Roman" w:cs="Times New Roman"/>
                <w:b/>
                <w:bCs/>
                <w:color w:val="000000"/>
                <w:sz w:val="24"/>
              </w:rPr>
              <w:t xml:space="preserve">Tài sản hình thành trong tương lai là căn hộ 31.08, tại Toà căn hộ 45 tầng, dự án M Landmark Residences Đà Nẵng, có địa chỉ: tại số 58 Bạch Đằng, phường Hải Châu I, quận Hải Châu, Thành phố Đà Nẵng (Nay là phường Hải Châu, Thành phố Đà Nẵng).</w:t>
            </w:r>
            <w:r>
              <w:rPr>
                <w:b/>
                <w:bCs/>
                <w:spacing w:val="2"/>
              </w:rPr>
            </w:r>
            <w:r>
              <w:rPr>
                <w:b/>
                <w:bCs/>
                <w:spacing w:val="2"/>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rPr>
            </w:pPr>
            <w:r>
              <w:rPr>
                <w:b/>
                <w:color w:val="000000" w:themeColor="text1"/>
              </w:rPr>
              <w:t xml:space="preserve"> </w:t>
            </w:r>
            <w:r>
              <w:rPr>
                <w:color w:val="000000" w:themeColor="text1"/>
              </w:rPr>
            </w:r>
            <w:r>
              <w:rPr>
                <w:color w:val="000000" w:themeColor="text1"/>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rPr>
            </w:pPr>
            <w:r>
              <w:rPr>
                <w:b/>
                <w:bCs/>
              </w:rPr>
              <w:t xml:space="preserve">1</w:t>
            </w:r>
            <w:r>
              <w:rPr>
                <w:color w:val="000000" w:themeColor="text1"/>
              </w:rPr>
            </w:r>
            <w:r>
              <w:rPr>
                <w:color w:val="000000" w:themeColor="text1"/>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rPr>
            </w:pPr>
            <w:r>
              <w:rPr>
                <w:b/>
                <w:bCs/>
              </w:rPr>
              <w:t xml:space="preserve">Căn hộ chung cư</w:t>
            </w:r>
            <w:r>
              <w:rPr>
                <w:color w:val="000000" w:themeColor="text1"/>
              </w:rPr>
            </w:r>
            <w:r>
              <w:rPr>
                <w:color w:val="000000" w:themeColor="text1"/>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rPr>
            </w:pPr>
            <w:r>
              <w:rPr>
                <w:color w:val="000000" w:themeColor="text1"/>
              </w:rPr>
              <w:t xml:space="preserve">76,4</w:t>
            </w:r>
            <w:r>
              <w:rPr>
                <w:color w:val="000000" w:themeColor="text1"/>
              </w:rPr>
            </w:r>
            <w:r>
              <w:rPr>
                <w:color w:val="000000" w:themeColor="text1"/>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rPr>
            </w:pPr>
            <w:r>
              <w:rPr>
                <w:color w:val="000000" w:themeColor="text1"/>
              </w:rPr>
              <w:t xml:space="preserve">180.000.000</w:t>
            </w:r>
            <w:r>
              <w:rPr>
                <w:color w:val="000000" w:themeColor="text1"/>
              </w:rPr>
            </w:r>
            <w:r>
              <w:rPr>
                <w:color w:val="000000" w:themeColor="text1"/>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rPr>
            </w:pPr>
            <w:r>
              <w:rPr>
                <w:color w:val="000000" w:themeColor="text1"/>
              </w:rPr>
              <w:t xml:space="preserve">13.752.000.000</w:t>
            </w:r>
            <w:r>
              <w:rPr>
                <w:color w:val="000000" w:themeColor="text1"/>
              </w:rPr>
            </w:r>
            <w:r>
              <w:rPr>
                <w:color w:val="000000" w:themeColor="text1"/>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rPr>
            </w:pPr>
            <w:r>
              <w:rPr>
                <w:b/>
                <w:color w:val="000000" w:themeColor="text1"/>
              </w:rPr>
              <w:t xml:space="preserve">TỔNG CỘNG:</w:t>
            </w:r>
            <w:r>
              <w:rPr>
                <w:color w:val="000000" w:themeColor="text1"/>
              </w:rPr>
            </w:r>
            <w:r>
              <w:rPr>
                <w:color w:val="000000" w:themeColor="text1"/>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color w:val="000000" w:themeColor="text1"/>
              </w:rPr>
            </w:pPr>
            <w:r>
              <w:t xml:space="preserve">13.752.000.000</w:t>
            </w:r>
            <w:r>
              <w:rPr>
                <w:b/>
                <w:color w:val="000000" w:themeColor="text1"/>
              </w:rPr>
            </w:r>
            <w:r>
              <w:rPr>
                <w:b/>
                <w:color w:val="000000" w:themeColor="text1"/>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rPr>
            </w:pPr>
            <w:r>
              <w:rPr>
                <w:b/>
                <w:i/>
                <w:color w:val="000000" w:themeColor="text1"/>
              </w:rPr>
              <w:t xml:space="preserve">(Bằng chữ:</w:t>
            </w:r>
            <w:r>
              <w:rPr>
                <w:b/>
                <w:bCs/>
                <w:i/>
                <w:iCs/>
                <w:color w:val="000000"/>
              </w:rPr>
              <w:t xml:space="preserve"> Mười ba tỷ bảy trăm năm mươi hai triệu đồng </w:t>
            </w:r>
            <w:r>
              <w:rPr>
                <w:b/>
                <w:i/>
                <w:color w:val="000000" w:themeColor="text1"/>
              </w:rPr>
              <w:t xml:space="preserve">./.)</w:t>
            </w:r>
            <w:r>
              <w:rPr>
                <w:color w:val="000000" w:themeColor="text1"/>
              </w:rPr>
            </w:r>
            <w:r>
              <w:rPr>
                <w:color w:val="000000" w:themeColor="text1"/>
              </w:rPr>
            </w:r>
          </w:p>
        </w:tc>
      </w:tr>
    </w:tbl>
    <w:p>
      <w:pPr>
        <w:pStyle w:val="1120"/>
        <w:pBdr/>
        <w:tabs>
          <w:tab w:val="left" w:leader="none" w:pos="993"/>
        </w:tabs>
        <w:spacing w:after="120" w:before="120" w:line="288" w:lineRule="auto"/>
        <w:ind w:left="0"/>
        <w:jc w:val="both"/>
        <w:rPr>
          <w:b/>
          <w:color w:val="000000" w:themeColor="text1"/>
        </w:rPr>
      </w:pPr>
      <w:r>
        <w:rPr>
          <w:b/>
          <w:color w:val="000000" w:themeColor="text1"/>
          <w:lang w:val="pt-BR"/>
        </w:rPr>
        <w:t xml:space="preserve">IX.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120"/>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120"/>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 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120"/>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120"/>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XI.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w:t>
      </w:r>
      <w:r>
        <w:rPr>
          <w:color w:val="000000" w:themeColor="text1"/>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120"/>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w:t>
      </w:r>
      <w:r>
        <w:rPr>
          <w:color w:val="000000" w:themeColor="text1"/>
          <w:spacing w:val="2"/>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120"/>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120"/>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120"/>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tài sản thẩm định giá không xảy ra tranh chấp, </w:t>
      </w:r>
      <w:r>
        <w:rPr>
          <w:color w:val="000000" w:themeColor="text1"/>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rPr>
      </w:r>
      <w:r>
        <w:rPr>
          <w:color w:val="000000" w:themeColor="text1"/>
        </w:rPr>
      </w:r>
    </w:p>
    <w:p>
      <w:pPr>
        <w:pStyle w:val="1120"/>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20"/>
        <w:numPr>
          <w:ilvl w:val="0"/>
          <w:numId w:val="3"/>
        </w:numPr>
        <w:pBdr/>
        <w:tabs>
          <w:tab w:val="left" w:leader="none" w:pos="993"/>
        </w:tabs>
        <w:spacing w:after="120" w:before="120" w:line="288" w:lineRule="auto"/>
        <w:ind/>
        <w:jc w:val="both"/>
        <w:rPr>
          <w:color w:val="000000" w:themeColor="text1"/>
        </w:rPr>
      </w:pPr>
      <w:r>
        <w:rPr>
          <w:color w:val="000000" w:themeColor="text1"/>
        </w:rPr>
        <w:t xml:space="preserve">Tổ thẩm định sử dụng Phương pháp so sánh để xác định giá trị tài sản thẩm định giá trong đó việc thu thập thông tin vị trí định vị các TSSS trong mối tương quan với TSTĐ được xác địn</w:t>
      </w:r>
      <w:r>
        <w:rPr>
          <w:color w:val="000000" w:themeColor="text1"/>
        </w:rPr>
        <w:t xml:space="preserve">h thông qua định vị do môi giới, chủ nhà cung cấp hoặc qua việc mô tả, nên nguồn định vị các TSSS chỉ mang tính chính xác tương đối. Khách hàng và các bên thứ ba khi sử dụng kết quả thẩm định giá cần lưu ý khi sử dụng Chứng thư thẩm định giá.</w:t>
      </w:r>
      <w:r>
        <w:rPr>
          <w:color w:val="000000" w:themeColor="text1"/>
        </w:rPr>
      </w:r>
      <w:r>
        <w:rPr>
          <w:color w:val="000000" w:themeColor="text1"/>
        </w:rPr>
      </w:r>
    </w:p>
    <w:p>
      <w:pPr>
        <w:pStyle w:val="1120"/>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120"/>
        <w:numPr>
          <w:ilvl w:val="0"/>
          <w:numId w:val="5"/>
        </w:numPr>
        <w:pBdr/>
        <w:tabs>
          <w:tab w:val="left" w:leader="none" w:pos="993"/>
        </w:tabs>
        <w:spacing w:after="120" w:before="120" w:line="288" w:lineRule="auto"/>
        <w:ind w:hanging="357" w:left="357"/>
        <w:jc w:val="both"/>
        <w:rPr>
          <w:color w:val="000000" w:themeColor="text1"/>
        </w:rPr>
      </w:p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XII. CÁC PHỤ LỤC KÈM THEO </w:t>
      </w:r>
      <w:r>
        <w:rPr>
          <w:b/>
          <w:bCs/>
          <w:color w:val="000000" w:themeColor="text1"/>
        </w:rPr>
      </w:r>
      <w:r>
        <w:rPr>
          <w:b/>
          <w:bCs/>
          <w:color w:val="000000" w:themeColor="text1"/>
        </w:rPr>
      </w:r>
    </w:p>
    <w:p>
      <w:pPr>
        <w:pStyle w:val="1120"/>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120"/>
        <w:pBdr/>
        <w:tabs>
          <w:tab w:val="left" w:leader="none" w:pos="993"/>
        </w:tabs>
        <w:spacing w:after="120" w:before="120" w:line="288" w:lineRule="auto"/>
        <w:ind w:left="0"/>
        <w:jc w:val="both"/>
        <w:rPr>
          <w:color w:val="000000" w:themeColor="text1"/>
          <w:lang w:val="vi-VN"/>
        </w:rPr>
      </w:pPr>
      <w:r>
        <w:rPr>
          <w:color w:val="000000" w:themeColor="text1"/>
          <w:lang w:val="pt-BR"/>
        </w:rPr>
        <w:t xml:space="preserve">Phụ lục 2: Thông tin thu thập thị trường.</w:t>
      </w:r>
      <w:r>
        <w:rPr>
          <w:color w:val="000000" w:themeColor="text1"/>
          <w:lang w:val="vi-VN"/>
        </w:rPr>
      </w:r>
      <w:r>
        <w:rPr>
          <w:color w:val="000000" w:themeColor="text1"/>
          <w:lang w:val="vi-VN"/>
        </w:rPr>
      </w:r>
    </w:p>
    <w:p>
      <w:pPr>
        <w:pStyle w:val="1120"/>
        <w:pBdr/>
        <w:tabs>
          <w:tab w:val="left" w:leader="none" w:pos="993"/>
        </w:tabs>
        <w:spacing w:after="120" w:before="120" w:line="288" w:lineRule="auto"/>
        <w:ind w:left="0"/>
        <w:jc w:val="both"/>
        <w:rPr>
          <w:color w:val="000000" w:themeColor="text1"/>
        </w:rPr>
      </w:pPr>
      <w:r>
        <w:rPr>
          <w:color w:val="000000" w:themeColor="text1"/>
          <w:lang w:val="vi-VN"/>
        </w:rPr>
      </w:r>
      <w:r>
        <w:rPr>
          <w:color w:val="000000" w:themeColor="text1"/>
          <w:lang w:val="vi-VN"/>
        </w:rPr>
        <w:t xml:space="preserve">Báo cáo kết quả thẩm định giá được phát hành 03 (ba) bản chính bằng tiếng Việt kèm theo Chứng thư thẩm định giá số </w:t>
      </w:r>
      <w:r>
        <w:rPr>
          <w:color w:val="000000" w:themeColor="text1"/>
          <w:lang w:val="vi-VN"/>
        </w:rPr>
        <w:t xml:space="preserve">275/2026/1471/VFI-CT.T04.A</w:t>
      </w:r>
      <w:r>
        <w:rPr>
          <w:color w:val="000000" w:themeColor="text1"/>
          <w:lang w:val="vi-VN"/>
        </w:rPr>
        <w:t xml:space="preserve"> </w:t>
      </w:r>
      <w:r>
        <w:rPr>
          <w:color w:val="000000" w:themeColor="text1"/>
        </w:rPr>
        <w:t xml:space="preserve">ngày 19 tháng 9 năm 2026</w:t>
      </w:r>
      <w:r>
        <w:rPr>
          <w:color w:val="000000" w:themeColor="text1"/>
        </w:rPr>
        <w:t xml:space="preserve"> </w:t>
      </w:r>
      <w:r>
        <w:rPr>
          <w:color w:val="000000" w:themeColor="text1"/>
          <w:lang w:val="vi-VN"/>
        </w:rPr>
        <w:t xml:space="preserve">tại</w:t>
      </w:r>
      <w:r>
        <w:rPr>
          <w:color w:val="000000" w:themeColor="text1"/>
        </w:rPr>
        <w:t xml:space="preserve"> </w:t>
      </w:r>
      <w:r>
        <w:rPr>
          <w:color w:val="000000" w:themeColor="text1"/>
          <w:lang w:val="vi-VN"/>
        </w:rPr>
        <w:t xml:space="preserve">Công ty Cổ phần Thẩm định và Đầu tư Tài chính Hoa Sen.</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color w:val="000000" w:themeColor="text1"/>
          <w:u w:val="single"/>
        </w:rPr>
      </w:pPr>
      <w:r>
        <w:rPr>
          <w:b/>
          <w:color w:val="000000" w:themeColor="text1"/>
          <w:u w:val="single"/>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01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VÀ PHÁP LÝ 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275/2026/1471/VFI-BC.T04.A</w:t>
      </w:r>
      <w:r>
        <w:rPr>
          <w:i/>
          <w:lang w:val="pt-BR"/>
        </w:rPr>
        <w:t xml:space="preserve"> </w:t>
      </w:r>
      <w:r>
        <w:rPr>
          <w:i/>
          <w:lang w:val="pt-BR"/>
        </w:rPr>
        <w:t xml:space="preserve">19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12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toà nhà</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1492530" cy="196455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20071" name=""/>
                              <pic:cNvPicPr>
                                <a:picLocks noChangeAspect="1"/>
                              </pic:cNvPicPr>
                              <pic:nvPr/>
                            </pic:nvPicPr>
                            <pic:blipFill rotWithShape="1">
                              <a:blip r:embed="rId20"/>
                              <a:stretch/>
                            </pic:blipFill>
                            <pic:spPr bwMode="auto">
                              <a:xfrm flipH="0" flipV="0">
                                <a:off x="0" y="0"/>
                                <a:ext cx="1492529" cy="19645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7.52pt;height:154.69pt;mso-wrap-distance-left:0.00pt;mso-wrap-distance-top:0.00pt;mso-wrap-distance-right:0.00pt;mso-wrap-distance-bottom:0.00pt;z-index:1;" stroked="false">
                      <v:imagedata r:id="rId20" o:title=""/>
                      <o:lock v:ext="edit" rotation="t"/>
                    </v:shape>
                  </w:pict>
                </mc:Fallback>
              </mc:AlternateContent>
            </w:r>
            <w:r>
              <w:rPr>
                <w:i/>
                <w:iCs/>
                <w:color w:val="000000" w:themeColor="text1"/>
              </w:rPr>
            </w:r>
            <w:r>
              <w:rPr>
                <w:i/>
                <w:iCs/>
                <w:color w:val="000000" w:themeColor="text1"/>
              </w:rPr>
            </w:r>
          </w:p>
        </w:tc>
        <w:tc>
          <w:tcPr>
            <w:tcBorders/>
            <w:tcW w:w="4757" w:type="dxa"/>
            <w:vAlign w:val="center"/>
            <w:textDirection w:val="lrTb"/>
            <w:noWrap w:val="false"/>
          </w:tcPr>
          <w:p>
            <w:pPr>
              <w:pBdr/>
              <w:spacing w:after="120"/>
              <w:ind/>
              <w:jc w:val="center"/>
              <w:rPr>
                <w:i/>
                <w:iCs/>
                <w:color w:val="000000" w:themeColor="text1"/>
              </w:rPr>
            </w:pPr>
            <w:r>
              <w:rPr>
                <w:i/>
                <w:iCs/>
                <w:color w:val="000000" w:themeColor="text1"/>
              </w:rPr>
            </w:r>
            <w:r>
              <mc:AlternateContent>
                <mc:Choice Requires="wpg">
                  <w:drawing>
                    <wp:inline xmlns:wp="http://schemas.openxmlformats.org/drawingml/2006/wordprocessingDrawing" distT="0" distB="0" distL="0" distR="0">
                      <wp:extent cx="2457810" cy="21550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0435" name=""/>
                              <pic:cNvPicPr>
                                <a:picLocks noChangeAspect="1"/>
                              </pic:cNvPicPr>
                              <pic:nvPr/>
                            </pic:nvPicPr>
                            <pic:blipFill rotWithShape="1">
                              <a:blip r:embed="rId21"/>
                              <a:stretch/>
                            </pic:blipFill>
                            <pic:spPr bwMode="auto">
                              <a:xfrm flipH="0" flipV="0">
                                <a:off x="0" y="0"/>
                                <a:ext cx="2457810" cy="2155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3.53pt;height:169.69pt;mso-wrap-distance-left:0.00pt;mso-wrap-distance-top:0.00pt;mso-wrap-distance-right:0.00pt;mso-wrap-distance-bottom:0.00pt;z-index:1;" stroked="false">
                      <v:imagedata r:id="rId21" o:title=""/>
                      <o:lock v:ext="edit" rotation="t"/>
                    </v:shape>
                  </w:pict>
                </mc:Fallback>
              </mc:AlternateContent>
            </w:r>
            <w:r>
              <w:rPr>
                <w:i/>
                <w:iCs/>
                <w:color w:val="000000" w:themeColor="text1"/>
              </w:rPr>
            </w:r>
            <w:r>
              <w:rPr>
                <w:i/>
                <w:iCs/>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544765" cy="262510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21551" name=""/>
                              <pic:cNvPicPr>
                                <a:picLocks noChangeAspect="1"/>
                              </pic:cNvPicPr>
                              <pic:nvPr/>
                            </pic:nvPicPr>
                            <pic:blipFill rotWithShape="1">
                              <a:blip r:embed="rId22"/>
                              <a:stretch/>
                            </pic:blipFill>
                            <pic:spPr bwMode="auto">
                              <a:xfrm flipH="0" flipV="0">
                                <a:off x="0" y="0"/>
                                <a:ext cx="2544765" cy="26251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38pt;height:206.70pt;mso-wrap-distance-left:0.00pt;mso-wrap-distance-top:0.00pt;mso-wrap-distance-right:0.00pt;mso-wrap-distance-bottom:0.00pt;z-index:1;" stroked="false">
                      <v:imagedata r:id="rId22"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414182" cy="250457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88863" name=""/>
                              <pic:cNvPicPr>
                                <a:picLocks noChangeAspect="1"/>
                              </pic:cNvPicPr>
                              <pic:nvPr/>
                            </pic:nvPicPr>
                            <pic:blipFill rotWithShape="1">
                              <a:blip r:embed="rId23"/>
                              <a:stretch/>
                            </pic:blipFill>
                            <pic:spPr bwMode="auto">
                              <a:xfrm flipH="0" flipV="0">
                                <a:off x="0" y="0"/>
                                <a:ext cx="2414182" cy="25045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0.09pt;height:197.21pt;mso-wrap-distance-left:0.00pt;mso-wrap-distance-top:0.00pt;mso-wrap-distance-right:0.00pt;mso-wrap-distance-bottom:0.00pt;z-index:1;" stroked="false">
                      <v:imagedata r:id="rId23" o:title=""/>
                      <o:lock v:ext="edit" rotation="t"/>
                    </v:shape>
                  </w:pict>
                </mc:Fallback>
              </mc:AlternateContent>
            </w:r>
            <w:r>
              <w:rPr>
                <w:i/>
                <w:color w:val="000000" w:themeColor="text1"/>
              </w:rPr>
            </w:r>
            <w:r>
              <w:rPr>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i/>
                <w:color w:val="000000" w:themeColor="text1"/>
              </w:rPr>
            </w:pPr>
            <w:r>
              <w:rPr>
                <w:i/>
                <w:color w:val="000000" w:themeColor="text1"/>
              </w:rPr>
            </w:r>
            <w:r>
              <mc:AlternateContent>
                <mc:Choice Requires="wpg">
                  <w:drawing>
                    <wp:inline xmlns:wp="http://schemas.openxmlformats.org/drawingml/2006/wordprocessingDrawing" distT="0" distB="0" distL="0" distR="0">
                      <wp:extent cx="2429672" cy="26378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80551" name=""/>
                              <pic:cNvPicPr>
                                <a:picLocks noChangeAspect="1"/>
                              </pic:cNvPicPr>
                              <pic:nvPr/>
                            </pic:nvPicPr>
                            <pic:blipFill rotWithShape="1">
                              <a:blip r:embed="rId24"/>
                              <a:stretch/>
                            </pic:blipFill>
                            <pic:spPr bwMode="auto">
                              <a:xfrm flipH="0" flipV="0">
                                <a:off x="0" y="0"/>
                                <a:ext cx="2429672" cy="2637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1.31pt;height:207.71pt;mso-wrap-distance-left:0.00pt;mso-wrap-distance-top:0.00pt;mso-wrap-distance-right:0.00pt;mso-wrap-distance-bottom:0.00pt;z-index:1;" stroked="false">
                      <v:imagedata r:id="rId24" o:title=""/>
                      <o:lock v:ext="edit" rotation="t"/>
                    </v:shape>
                  </w:pict>
                </mc:Fallback>
              </mc:AlternateContent>
            </w:r>
            <w:r>
              <w:rPr>
                <w:i/>
                <w:color w:val="000000" w:themeColor="text1"/>
              </w:rPr>
            </w:r>
            <w:r>
              <w:rPr>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rPr>
            </w:r>
            <w:r>
              <mc:AlternateContent>
                <mc:Choice Requires="wpg">
                  <w:drawing>
                    <wp:inline xmlns:wp="http://schemas.openxmlformats.org/drawingml/2006/wordprocessingDrawing" distT="0" distB="0" distL="0" distR="0">
                      <wp:extent cx="2660584" cy="261597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30578" name=""/>
                              <pic:cNvPicPr>
                                <a:picLocks noChangeAspect="1"/>
                              </pic:cNvPicPr>
                              <pic:nvPr/>
                            </pic:nvPicPr>
                            <pic:blipFill rotWithShape="1">
                              <a:blip r:embed="rId25"/>
                              <a:stretch/>
                            </pic:blipFill>
                            <pic:spPr bwMode="auto">
                              <a:xfrm flipH="0" flipV="0">
                                <a:off x="0" y="0"/>
                                <a:ext cx="2660583" cy="26159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9.49pt;height:205.98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jc w:val="center"/>
        <w:rPr>
          <w:color w:val="000000" w:themeColor="text1"/>
        </w:rPr>
      </w:pPr>
      <w:r>
        <w:rPr>
          <w:rFonts w:ascii="Times New Roman" w:hAnsi="Times New Roman" w:eastAsia="Times New Roman" w:cs="Times New Roman"/>
          <w:b/>
          <w:bCs/>
          <w:color w:val="000000" w:themeColor="text1"/>
        </w:rPr>
        <w:t xml:space="preserve">Biên bản khảo sát </w:t>
      </w:r>
      <w:r>
        <w:rPr>
          <w:color w:val="000000" w:themeColor="text1"/>
        </w:rPr>
      </w:r>
      <w:r>
        <w:rPr>
          <w:color w:val="000000" w:themeColor="text1"/>
        </w:rPr>
      </w:r>
    </w:p>
    <w:p>
      <w:pPr>
        <w:pBdr/>
        <w:spacing w:after="200" w:line="276" w:lineRule="auto"/>
        <w:ind/>
        <w:jc w:val="center"/>
        <w:rPr>
          <w:color w:val="000000" w:themeColor="text1"/>
        </w:rPr>
      </w:pPr>
      <w:r>
        <w:rPr>
          <w:color w:val="000000" w:themeColor="text1"/>
        </w:rPr>
      </w:r>
      <w:r>
        <mc:AlternateContent>
          <mc:Choice Requires="wpg">
            <w:drawing>
              <wp:inline xmlns:wp="http://schemas.openxmlformats.org/drawingml/2006/wordprocessingDrawing" distT="0" distB="0" distL="0" distR="0">
                <wp:extent cx="6048375" cy="853870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273051" name=""/>
                        <pic:cNvPicPr>
                          <a:picLocks noChangeAspect="1"/>
                        </pic:cNvPicPr>
                        <pic:nvPr/>
                      </pic:nvPicPr>
                      <pic:blipFill rotWithShape="1">
                        <a:blip r:embed="rId26"/>
                        <a:stretch/>
                      </pic:blipFill>
                      <pic:spPr bwMode="auto">
                        <a:xfrm flipH="0" flipV="0">
                          <a:off x="0" y="0"/>
                          <a:ext cx="6048374" cy="85387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72.34pt;mso-wrap-distance-left:0.00pt;mso-wrap-distance-top:0.00pt;mso-wrap-distance-right:0.00pt;mso-wrap-distance-bottom:0.00pt;z-index:1;" stroked="false">
                <v:imagedata r:id="rId26" o:title=""/>
                <o:lock v:ext="edit" rotation="t"/>
              </v:shape>
            </w:pict>
          </mc:Fallback>
        </mc:AlternateContent>
      </w:r>
      <w:r>
        <w:rPr>
          <w:color w:val="000000" w:themeColor="text1"/>
        </w:rPr>
        <w:br w:type="page" w:clear="all"/>
      </w:r>
      <w:r>
        <w:rPr>
          <w:color w:val="000000" w:themeColor="text1"/>
        </w:rPr>
      </w:r>
      <w:r>
        <w:rPr>
          <w:color w:val="000000" w:themeColor="text1"/>
        </w:rPr>
      </w:r>
    </w:p>
    <w:p>
      <w:pPr>
        <w:pBdr/>
        <w:spacing w:after="200" w:line="276" w:lineRule="auto"/>
        <w:ind/>
        <w:jc w:val="center"/>
        <w:rPr>
          <w:i/>
          <w:color w:val="000000" w:themeColor="text1"/>
        </w:rPr>
      </w:pPr>
      <w:r>
        <w:rPr>
          <w:b/>
          <w:color w:val="000000" w:themeColor="text1"/>
          <w:u w:val="single"/>
          <w:lang w:val="vi-VN"/>
        </w:rPr>
        <w:t xml:space="preserve">PHỤ LỤC</w:t>
      </w:r>
      <w:r>
        <w:rPr>
          <w:b/>
          <w:color w:val="000000" w:themeColor="text1"/>
          <w:u w:val="single"/>
          <w:lang w:val="pt-BR"/>
        </w:rPr>
        <w:t xml:space="preserve"> 02</w:t>
      </w:r>
      <w:r>
        <w:rPr>
          <w:b/>
          <w:color w:val="000000" w:themeColor="text1"/>
          <w:lang w:val="vi-VN"/>
        </w:rPr>
        <w:t xml:space="preserve">: THÔNG TIN THU THẬP THỊ TRƯỜN</w:t>
      </w:r>
      <w:r>
        <w:rPr>
          <w:b/>
          <w:color w:val="000000" w:themeColor="text1"/>
        </w:rPr>
        <w:t xml:space="preserve">G</w:t>
      </w:r>
      <w:r>
        <w:rPr>
          <w:i/>
          <w:color w:val="000000" w:themeColor="text1"/>
        </w:rPr>
      </w:r>
      <w:r>
        <w:rPr>
          <w:i/>
          <w:color w:val="000000" w:themeColor="text1"/>
        </w:rPr>
      </w:r>
    </w:p>
    <w:p>
      <w:pPr>
        <w:pBdr/>
        <w:spacing/>
        <w:ind/>
        <w:jc w:val="center"/>
        <w:rPr>
          <w:i/>
          <w:color w:val="000000" w:themeColor="text1"/>
        </w:rPr>
      </w:pPr>
      <w:r>
        <w:rPr>
          <w:i/>
          <w:color w:val="000000" w:themeColor="text1"/>
          <w:lang w:val="pt-BR"/>
        </w:rPr>
        <w:t xml:space="preserve">(Kèm theo Báo cáo thẩm định số </w:t>
      </w:r>
      <w:r>
        <w:rPr>
          <w:i/>
        </w:rPr>
        <w:t xml:space="preserve">275/2026/1471/VFI-BC.T04.A</w:t>
      </w:r>
      <w:r>
        <w:rPr>
          <w:i/>
          <w:lang w:val="pt-BR"/>
        </w:rPr>
        <w:t xml:space="preserve"> </w:t>
      </w:r>
      <w:r>
        <w:rPr>
          <w:i/>
          <w:lang w:val="pt-BR"/>
        </w:rPr>
        <w:t xml:space="preserve">19 tháng 9 năm 2026</w:t>
      </w:r>
      <w:r>
        <w:rPr>
          <w:i/>
          <w:color w:val="000000" w:themeColor="text1"/>
          <w:lang w:val="pt-BR"/>
        </w:rPr>
        <w:t xml:space="preserve"> của </w:t>
      </w:r>
      <w:r>
        <w:rPr>
          <w:i/>
          <w:color w:val="000000" w:themeColor="text1"/>
        </w:rPr>
      </w:r>
      <w:r>
        <w:rPr>
          <w:i/>
          <w:color w:val="000000" w:themeColor="text1"/>
        </w:rPr>
      </w:r>
    </w:p>
    <w:p>
      <w:pPr>
        <w:pBdr/>
        <w:spacing w:after="120"/>
        <w:ind/>
        <w:jc w:val="center"/>
        <w:rPr>
          <w:i/>
          <w:color w:val="000000" w:themeColor="text1"/>
          <w:lang w:val="pt-BR"/>
        </w:rPr>
      </w:pPr>
      <w:r>
        <w:rPr>
          <w:i/>
          <w:color w:val="000000" w:themeColor="text1"/>
          <w:lang w:val="pt-BR"/>
        </w:rPr>
        <w:t xml:space="preserve">Công ty Cổ phần Thẩm định và Đầu tư Tài chính Hoa Sen)</w:t>
      </w:r>
      <w:r>
        <w:rPr>
          <w:i/>
          <w:color w:val="000000" w:themeColor="text1"/>
          <w:lang w:val="pt-BR"/>
        </w:rPr>
      </w:r>
      <w:r>
        <w:rPr>
          <w:i/>
          <w:color w:val="000000" w:themeColor="text1"/>
          <w:lang w:val="pt-BR"/>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4169"/>
        <w:gridCol w:w="4418"/>
        <w:gridCol w:w="6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17.190.000.000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14.611.500.000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08/2026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Hợp đồng mua bán công chứng vi bằng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39.16,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76,4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thoáng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 39, Thuộc nhóm tầng: Cao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ban công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 phòng ngủ, 2 nhà vệ sinh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Nội thất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Cao cấp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lợi thế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bất lợi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có bất lợi thương mại</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91"/>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1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Bằng chứng thu thập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878"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bottom w:val="single" w:color="000000" w:sz="8" w:space="0"/>
              <w:right w:val="single" w:color="000000" w:sz="8" w:space="0"/>
            </w:tcBorders>
            <w:tcMar>
              <w:left w:w="108" w:type="dxa"/>
              <w:top w:w="0" w:type="dxa"/>
              <w:right w:w="108" w:type="dxa"/>
              <w:bottom w:w="0" w:type="dxa"/>
            </w:tcMar>
            <w:tcW w:w="85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40042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526371" name=""/>
                              <pic:cNvPicPr>
                                <a:picLocks noChangeAspect="1"/>
                              </pic:cNvPicPr>
                              <pic:nvPr/>
                            </pic:nvPicPr>
                            <pic:blipFill rotWithShape="1">
                              <a:blip r:embed="rId27"/>
                              <a:stretch/>
                            </pic:blipFill>
                            <pic:spPr bwMode="auto">
                              <a:xfrm>
                                <a:off x="0" y="0"/>
                                <a:ext cx="5495924" cy="34004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2.75pt;height:267.75pt;mso-wrap-distance-left:0.00pt;mso-wrap-distance-top:0.00pt;mso-wrap-distance-right:0.00pt;mso-wrap-distance-bottom:0.00pt;z-index:1;" stroked="false">
                      <v:imagedata r:id="rId27"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666875" cy="283845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45444" name=""/>
                              <pic:cNvPicPr>
                                <a:picLocks noChangeAspect="1"/>
                              </pic:cNvPicPr>
                              <pic:nvPr/>
                            </pic:nvPicPr>
                            <pic:blipFill rotWithShape="1">
                              <a:blip r:embed="rId28"/>
                              <a:stretch/>
                            </pic:blipFill>
                            <pic:spPr bwMode="auto">
                              <a:xfrm>
                                <a:off x="0" y="0"/>
                                <a:ext cx="1666874"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31.25pt;height:223.50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mc:AlternateContent>
                <mc:Choice Requires="wpg">
                  <w:drawing>
                    <wp:inline xmlns:wp="http://schemas.openxmlformats.org/drawingml/2006/wordprocessingDrawing" distT="0" distB="0" distL="0" distR="0">
                      <wp:extent cx="1564705" cy="280035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559259" name=""/>
                              <pic:cNvPicPr>
                                <a:picLocks noChangeAspect="1"/>
                              </pic:cNvPicPr>
                              <pic:nvPr/>
                            </pic:nvPicPr>
                            <pic:blipFill rotWithShape="1">
                              <a:blip r:embed="rId29"/>
                              <a:stretch/>
                            </pic:blipFill>
                            <pic:spPr bwMode="auto">
                              <a:xfrm flipH="0" flipV="0">
                                <a:off x="0" y="0"/>
                                <a:ext cx="1564704" cy="28003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23.21pt;height:220.50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14500" cy="28384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56079" name=""/>
                              <pic:cNvPicPr>
                                <a:picLocks noChangeAspect="1"/>
                              </pic:cNvPicPr>
                              <pic:nvPr/>
                            </pic:nvPicPr>
                            <pic:blipFill rotWithShape="1">
                              <a:blip r:embed="rId30"/>
                              <a:stretch/>
                            </pic:blipFill>
                            <pic:spPr bwMode="auto">
                              <a:xfrm>
                                <a:off x="0" y="0"/>
                                <a:ext cx="1714500" cy="2838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5.00pt;height:223.50pt;mso-wrap-distance-left:0.00pt;mso-wrap-distance-top:0.00pt;mso-wrap-distance-right:0.00pt;mso-wrap-distance-bottom:0.00pt;z-index:1;" stroked="false">
                      <v:imagedata r:id="rId30" o:title=""/>
                      <o:lock v:ext="edit" rotation="t"/>
                    </v:shape>
                  </w:pict>
                </mc:Fallback>
              </mc:AlternateContent>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0" w:type="dxa"/>
              <w:top w:w="0" w:type="dxa"/>
              <w:right w:w="0" w:type="dxa"/>
              <w:bottom w:w="0" w:type="dxa"/>
            </w:tcMar>
            <w:tcW w:w="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200" w:line="276" w:lineRule="auto"/>
        <w:ind/>
        <w:jc w:val="center"/>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p>
      <w:pPr>
        <w:pBdr/>
        <w:spacing w:after="200" w:line="276" w:lineRule="auto"/>
        <w:ind/>
        <w:jc w:val="center"/>
        <w:rPr>
          <w:b/>
          <w:bCs/>
          <w:iCs/>
          <w:color w:val="000000" w:themeColor="text1"/>
        </w:rPr>
      </w:pPr>
      <w:r>
        <w:rPr>
          <w:b/>
          <w:bCs/>
          <w:iCs/>
          <w:color w:val="000000" w:themeColor="text1"/>
          <w:lang w:val="pt-BR"/>
        </w:rPr>
        <w:br w:type="page" w:clear="all"/>
      </w:r>
      <w:r>
        <w:rPr>
          <w:b/>
          <w:bCs/>
          <w:iCs/>
          <w:color w:val="000000" w:themeColor="text1"/>
        </w:rPr>
      </w:r>
      <w:r>
        <w:rPr>
          <w:b/>
          <w:bCs/>
          <w:iCs/>
          <w:color w:val="000000" w:themeColor="text1"/>
        </w:rPr>
      </w:r>
    </w:p>
    <w:p>
      <w:pPr>
        <w:pBdr/>
        <w:spacing w:after="200" w:line="276" w:lineRule="auto"/>
        <w:ind/>
        <w:jc w:val="left"/>
        <w:rPr>
          <w:b/>
          <w:bCs/>
          <w:color w:val="000000" w:themeColor="text1"/>
        </w:rPr>
      </w:pPr>
      <w:r>
        <w:rPr>
          <w:b/>
          <w:bCs/>
          <w:color w:val="000000" w:themeColor="text1"/>
        </w:rPr>
      </w:r>
      <w:r>
        <w:rPr>
          <w:b/>
          <w:bCs/>
          <w:color w:val="000000" w:themeColor="text1"/>
        </w:rPr>
      </w:r>
      <w:r>
        <w:rPr>
          <w:b/>
          <w:bCs/>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4341"/>
        <w:gridCol w:w="4447"/>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https://batdongsan.com.vn/ban-can-ho-chung-cu-duong-bach-dang-phuong-hai-chau_1-m-landmark-residence/chau-my-srt-oc-quyen-tang-39-truc-16-2br-hang-sang-bat-nhat-a-nang-mlandmark-pr45776888</w:t>
              <w:br/>
              <w:t xml:space="preserve">   0931199800 </w:t>
              <w:br/>
              <w:t xml:space="preserve">  (Mỹ Châu)</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17.190.000.000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14.611.500.000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08/2026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Hợp đồng mua bán công chứng vi bằng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39.08,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76,4</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thoáng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 39, Thuộc nhóm tầng: Cao</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ban công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 phòng ngủ, 2 nhà vệ sinh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Nội thất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Cao cấp</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lợi thế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bất lợi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có bất lợi thương mại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34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Bằng chứng thu thập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37"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bottom w:val="single" w:color="000000" w:sz="8" w:space="0"/>
              <w:right w:val="single" w:color="000000" w:sz="8" w:space="0"/>
            </w:tcBorders>
            <w:tcMar>
              <w:left w:w="108" w:type="dxa"/>
              <w:top w:w="0" w:type="dxa"/>
              <w:right w:w="108" w:type="dxa"/>
              <w:bottom w:w="0" w:type="dxa"/>
            </w:tcMar>
            <w:tcW w:w="878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mc:AlternateContent>
                <mc:Choice Requires="wpg">
                  <w:drawing>
                    <wp:inline xmlns:wp="http://schemas.openxmlformats.org/drawingml/2006/wordprocessingDrawing" distT="0" distB="0" distL="0" distR="0">
                      <wp:extent cx="5495925" cy="32670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692173" name=""/>
                              <pic:cNvPicPr>
                                <a:picLocks noChangeAspect="1"/>
                              </pic:cNvPicPr>
                              <pic:nvPr/>
                            </pic:nvPicPr>
                            <pic:blipFill rotWithShape="1">
                              <a:blip r:embed="rId31"/>
                              <a:stretch/>
                            </pic:blipFill>
                            <pic:spPr bwMode="auto">
                              <a:xfrm>
                                <a:off x="0" y="0"/>
                                <a:ext cx="5495924" cy="3267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2.75pt;height:257.25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2600325" cy="23050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63608" name=""/>
                              <pic:cNvPicPr>
                                <a:picLocks noChangeAspect="1"/>
                              </pic:cNvPicPr>
                              <pic:nvPr/>
                            </pic:nvPicPr>
                            <pic:blipFill rotWithShape="1">
                              <a:blip r:embed="rId32"/>
                              <a:stretch/>
                            </pic:blipFill>
                            <pic:spPr bwMode="auto">
                              <a:xfrm>
                                <a:off x="0" y="0"/>
                                <a:ext cx="2600325" cy="23050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4.75pt;height:181.50pt;mso-wrap-distance-left:0.00pt;mso-wrap-distance-top:0.00pt;mso-wrap-distance-right:0.00pt;mso-wrap-distance-bottom:0.00pt;z-index:1;" stroked="false">
                      <v:imagedata r:id="rId32"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2571750" cy="233362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84038" name=""/>
                              <pic:cNvPicPr>
                                <a:picLocks noChangeAspect="1"/>
                              </pic:cNvPicPr>
                              <pic:nvPr/>
                            </pic:nvPicPr>
                            <pic:blipFill rotWithShape="1">
                              <a:blip r:embed="rId33"/>
                              <a:stretch/>
                            </pic:blipFill>
                            <pic:spPr bwMode="auto">
                              <a:xfrm>
                                <a:off x="0" y="0"/>
                                <a:ext cx="2571750" cy="2333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2.50pt;height:183.75pt;mso-wrap-distance-left:0.00pt;mso-wrap-distance-top:0.00pt;mso-wrap-distance-right:0.00pt;mso-wrap-distance-bottom:0.00pt;z-index:1;" stroked="false">
                      <v:imagedata r:id="rId33" o:title=""/>
                      <o:lock v:ext="edit" rotation="t"/>
                    </v:shape>
                  </w:pict>
                </mc:Fallback>
              </mc:AlternateContent>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ind/>
        <w:rPr>
          <w:b/>
          <w:bCs/>
          <w:color w:val="000000" w:themeColor="text1"/>
        </w:rPr>
      </w:pPr>
      <w:r>
        <w:rPr>
          <w:b/>
          <w:bCs/>
          <w:color w:val="000000" w:themeColor="text1"/>
          <w:lang w:val="pt-BR"/>
        </w:rPr>
        <w:br w:type="page" w:clear="all"/>
      </w:r>
      <w:r>
        <w:rPr>
          <w:b/>
          <w:bCs/>
          <w:color w:val="000000" w:themeColor="text1"/>
        </w:rPr>
      </w:r>
      <w:r>
        <w:rPr>
          <w:b/>
          <w:bCs/>
          <w:color w:val="000000" w:themeColor="text1"/>
        </w:rPr>
      </w:r>
    </w:p>
    <w:tbl>
      <w:tblPr>
        <w:tblStyle w:val="1124"/>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STT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ĐẶC ĐIỂM BĐS</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TSSS3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A</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Thông tin về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Nguồn tham khảo</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https://batdongsan.com.vn/ban-can-ho-chung-cu-duong-bach-dang-phuong-hai-chau_1-m-landmark-residence/2-pn-view-truc-dien-song-han-marriot-danh-cho-gioi-tinh-hoa-full-noi-that-pr44960769</w:t>
              <w:br/>
              <w:t xml:space="preserve">   0932561759 </w:t>
              <w:br/>
              <w:t xml:space="preserve">  (Thành Đạt)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rao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15.347.000.000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Giá thương lượng/bán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13.044.950.000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Tình trạng giao dịch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Đang giao dịch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Thời điểm thu thập thông tin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Tháng 08/2026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6</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Pháp lý</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Hợp đồng mua bán công chứng vi bằng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Loại hình 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Căn hộ chung cư</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1125"/>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Vị trí</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Căn hộ số 31.07 Toà căn hộ 45 tầng, dự án M Landmark Residences Đà Nẵng, 58 Bạch Đằng, Phường Hải Châu 1, quận Hải Châu, Thành phố Đà Nẵng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9</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Diện tích đất (m²)</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75,6</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10</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Mặt tiếp giáp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 mặt thoáng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11</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Tầng 31, Thuộc nhóm tầng: Trung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12</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Hướng ban công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Bắc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13</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Cấu trúc</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2 phòng ngủ, 2 nhà vệ sinh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14</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Nội thất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Cao cấp</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lợi thế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View hồ sông, sông, suối, đầm, ao lớn (S=0,5ha), ruộng lúa, đồi núi xa, ngắm hoàng hôn, bình minh xa soi mặt nước, thơ mộng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16</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Các bất lợi thương mại của thửa đất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Không có bất lợi thương mại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17</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cơ sở hạ tầng kỹ thuật</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18</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Điều kiện môi trường an ninh</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B</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Bằng chứng thu thập</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5381625" cy="2967336"/>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2079" name=""/>
                              <pic:cNvPicPr>
                                <a:picLocks noChangeAspect="1"/>
                              </pic:cNvPicPr>
                              <pic:nvPr/>
                            </pic:nvPicPr>
                            <pic:blipFill rotWithShape="1">
                              <a:blip r:embed="rId34"/>
                              <a:stretch/>
                            </pic:blipFill>
                            <pic:spPr bwMode="auto">
                              <a:xfrm flipH="0" flipV="0">
                                <a:off x="0" y="0"/>
                                <a:ext cx="5381624" cy="296733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3.75pt;height:233.65pt;mso-wrap-distance-left:0.00pt;mso-wrap-distance-top:0.00pt;mso-wrap-distance-right:0.00pt;mso-wrap-distance-bottom:0.00pt;z-index:1;" stroked="false">
                      <v:imagedata r:id="rId34" o:title=""/>
                      <o:lock v:ext="edit" rotation="t"/>
                    </v:shape>
                  </w:pict>
                </mc:Fallback>
              </mc:AlternateContent>
            </w: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695450" cy="37719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93904" name=""/>
                              <pic:cNvPicPr>
                                <a:picLocks noChangeAspect="1"/>
                              </pic:cNvPicPr>
                              <pic:nvPr/>
                            </pic:nvPicPr>
                            <pic:blipFill rotWithShape="1">
                              <a:blip r:embed="rId35"/>
                              <a:stretch/>
                            </pic:blipFill>
                            <pic:spPr bwMode="auto">
                              <a:xfrm>
                                <a:off x="0" y="0"/>
                                <a:ext cx="1695449" cy="37719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3.50pt;height:297.00pt;mso-wrap-distance-left:0.00pt;mso-wrap-distance-top:0.00pt;mso-wrap-distance-right:0.00pt;mso-wrap-distance-bottom:0.00pt;z-index:1;" stroked="false">
                      <v:imagedata r:id="rId35" o:title=""/>
                      <o:lock v:ext="edit" rotation="t"/>
                    </v:shape>
                  </w:pict>
                </mc:Fallback>
              </mc:AlternateContent>
            </w: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1790700" cy="37528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154860" name=""/>
                              <pic:cNvPicPr>
                                <a:picLocks noChangeAspect="1"/>
                              </pic:cNvPicPr>
                              <pic:nvPr/>
                            </pic:nvPicPr>
                            <pic:blipFill rotWithShape="1">
                              <a:blip r:embed="rId36"/>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41.00pt;height:295.50pt;mso-wrap-distance-left:0.00pt;mso-wrap-distance-top:0.00pt;mso-wrap-distance-right:0.00pt;mso-wrap-distance-bottom:0.00pt;z-index:1;" stroked="false">
                      <v:imagedata r:id="rId36" o:title=""/>
                      <o:lock v:ext="edit" rotation="t"/>
                    </v:shape>
                  </w:pict>
                </mc:Fallback>
              </mc:AlternateContent>
              <w:t xml:space="preserve">   </w:t>
              <mc:AlternateContent>
                <mc:Choice Requires="wpg">
                  <w:drawing>
                    <wp:inline xmlns:wp="http://schemas.openxmlformats.org/drawingml/2006/wordprocessingDrawing" distT="0" distB="0" distL="0" distR="0">
                      <wp:extent cx="1790700" cy="37528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93420" name=""/>
                              <pic:cNvPicPr>
                                <a:picLocks noChangeAspect="1"/>
                              </pic:cNvPicPr>
                              <pic:nvPr/>
                            </pic:nvPicPr>
                            <pic:blipFill rotWithShape="1">
                              <a:blip r:embed="rId37"/>
                              <a:stretch/>
                            </pic:blipFill>
                            <pic:spPr bwMode="auto">
                              <a:xfrm>
                                <a:off x="0" y="0"/>
                                <a:ext cx="1790699" cy="3752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41.00pt;height:295.5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top w:val="none" w:color="000000" w:sz="4" w:space="0"/>
          <w:left w:val="none" w:color="000000" w:sz="4" w:space="0"/>
          <w:bottom w:val="none" w:color="000000" w:sz="4" w:space="0"/>
          <w:right w:val="none" w:color="000000" w:sz="4" w:space="0"/>
        </w:pBdr>
        <w:spacing w:after="120"/>
        <w:ind w:right="0" w:firstLine="0" w:left="0"/>
        <w:jc w:val="center"/>
        <w:rPr>
          <w:rFonts w:ascii="Times New Roman" w:hAnsi="Times New Roman" w:eastAsia="Times New Roman" w:cs="Times New Roman"/>
          <w:sz w:val="24"/>
        </w:rPr>
      </w:pPr>
      <w:r>
        <w:rPr>
          <w:rFonts w:ascii="Times New Roman" w:hAnsi="Times New Roman" w:eastAsia="Times New Roman" w:cs="Times New Roman"/>
          <w:i/>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124"/>
        <w:tblInd w:w="2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02"/>
        <w:gridCol w:w="4535"/>
      </w:tblGrid>
      <w:tr>
        <w:trPr>
          <w:trHeight w:val="29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Người thu thập thông tin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08"/>
        </w:trPr>
        <w:tc>
          <w:tcPr>
            <w:tcBorders/>
            <w:tcMar>
              <w:left w:w="108" w:type="dxa"/>
              <w:top w:w="0" w:type="dxa"/>
              <w:right w:w="108" w:type="dxa"/>
              <w:bottom w:w="0" w:type="dxa"/>
            </w:tcMar>
            <w:tcW w:w="510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53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Nguyễn Khánh Hà</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200" w:line="276"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ind/>
        <w:rPr>
          <w:b/>
          <w:bCs/>
          <w:color w:val="000000" w:themeColor="text1"/>
        </w:rPr>
      </w:pPr>
      <w:r>
        <w:rPr>
          <w:b/>
          <w:bCs/>
          <w:color w:val="000000" w:themeColor="text1"/>
        </w:rPr>
      </w:r>
      <w:r>
        <w:rPr>
          <w:b/>
          <w:bCs/>
          <w:color w:val="000000" w:themeColor="text1"/>
        </w:rPr>
      </w:r>
      <w:r>
        <w:rPr>
          <w:b/>
          <w:bCs/>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11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1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9">
    <w:nsid w:val="67D45AD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nsid w:val="7D814EA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2">
    <w:nsid w:val="54AAB27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 w:numId="41">
    <w:abstractNumId w:val="39"/>
  </w:num>
  <w:num w:numId="42">
    <w:abstractNumId w:val="40"/>
  </w:num>
  <w:num w:numId="43">
    <w:abstractNumId w:val="41"/>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94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94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94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94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94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94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94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1"/>
    <w:basedOn w:val="9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5"/>
    <w:basedOn w:val="9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6"/>
    <w:basedOn w:val="9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94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94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94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1"/>
    <w:basedOn w:val="94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2"/>
    <w:basedOn w:val="94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3"/>
    <w:basedOn w:val="94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4"/>
    <w:basedOn w:val="94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5"/>
    <w:basedOn w:val="94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6"/>
    <w:basedOn w:val="94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94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 Accent 1"/>
    <w:basedOn w:val="94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79">
    <w:name w:val="Grid Table 6 Colorful - Accent 2"/>
    <w:basedOn w:val="9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0">
    <w:name w:val="Grid Table 6 Colorful - Accent 3"/>
    <w:basedOn w:val="94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1">
    <w:name w:val="Grid Table 6 Colorful - Accent 4"/>
    <w:basedOn w:val="9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2">
    <w:name w:val="Grid Table 6 Colorful - Accent 5"/>
    <w:basedOn w:val="94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3">
    <w:name w:val="Grid Table 6 Colorful - Accent 6"/>
    <w:basedOn w:val="94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7 Colorful - Accent 1"/>
    <w:basedOn w:val="94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7 Colorful - Accent 2"/>
    <w:basedOn w:val="94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3"/>
    <w:basedOn w:val="94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4"/>
    <w:basedOn w:val="94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5"/>
    <w:basedOn w:val="94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6"/>
    <w:basedOn w:val="94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1 Light - Accent 1"/>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1 Light - Accent 2"/>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 Accent 3"/>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4"/>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5"/>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6"/>
    <w:basedOn w:val="94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2 - Accent 1"/>
    <w:basedOn w:val="94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2 - Accent 2"/>
    <w:basedOn w:val="94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2 - Accent 3"/>
    <w:basedOn w:val="94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 Accent 4"/>
    <w:basedOn w:val="94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5"/>
    <w:basedOn w:val="94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6"/>
    <w:basedOn w:val="94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3 - Accent 1"/>
    <w:basedOn w:val="94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3 - Accent 2"/>
    <w:basedOn w:val="94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3 - Accent 3"/>
    <w:basedOn w:val="94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3 - Accent 4"/>
    <w:basedOn w:val="94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 Accent 5"/>
    <w:basedOn w:val="94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6"/>
    <w:basedOn w:val="94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4 - Accent 1"/>
    <w:basedOn w:val="94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4 - Accent 2"/>
    <w:basedOn w:val="94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4 - Accent 3"/>
    <w:basedOn w:val="94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4 - Accent 4"/>
    <w:basedOn w:val="94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4 - Accent 5"/>
    <w:basedOn w:val="94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 Accent 6"/>
    <w:basedOn w:val="94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5 Dark - Accent 1"/>
    <w:basedOn w:val="94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5">
    <w:name w:val="List Table 5 Dark - Accent 2"/>
    <w:basedOn w:val="94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6">
    <w:name w:val="List Table 5 Dark - Accent 3"/>
    <w:basedOn w:val="94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7">
    <w:name w:val="List Table 5 Dark - Accent 4"/>
    <w:basedOn w:val="94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8">
    <w:name w:val="List Table 5 Dark - Accent 5"/>
    <w:basedOn w:val="94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9">
    <w:name w:val="List Table 5 Dark - Accent 6"/>
    <w:basedOn w:val="94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0">
    <w:name w:val="List Table 6 Colorful - Accent 1"/>
    <w:basedOn w:val="94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6 Colorful - Accent 2"/>
    <w:basedOn w:val="94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6 Colorful - Accent 3"/>
    <w:basedOn w:val="94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6 Colorful - Accent 4"/>
    <w:basedOn w:val="94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6 Colorful - Accent 5"/>
    <w:basedOn w:val="94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6 Colorful - Accent 6"/>
    <w:basedOn w:val="94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7 Colorful - Accent 1"/>
    <w:basedOn w:val="94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7">
    <w:name w:val="List Table 7 Colorful - Accent 2"/>
    <w:basedOn w:val="94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8">
    <w:name w:val="List Table 7 Colorful - Accent 3"/>
    <w:basedOn w:val="94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9">
    <w:name w:val="List Table 7 Colorful - Accent 4"/>
    <w:basedOn w:val="94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0">
    <w:name w:val="List Table 7 Colorful - Accent 5"/>
    <w:basedOn w:val="94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31">
    <w:name w:val="List Table 7 Colorful - Accent 6"/>
    <w:basedOn w:val="94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32" w:default="1">
    <w:name w:val="Normal"/>
    <w:qFormat/>
    <w:pPr>
      <w:pBdr/>
      <w:spacing w:after="0" w:line="240" w:lineRule="auto"/>
      <w:ind/>
    </w:pPr>
    <w:rPr>
      <w:rFonts w:ascii="Times New Roman" w:hAnsi="Times New Roman" w:eastAsia="Times New Roman" w:cs="Times New Roman"/>
      <w:sz w:val="24"/>
      <w:szCs w:val="24"/>
    </w:rPr>
  </w:style>
  <w:style w:type="paragraph" w:styleId="933">
    <w:name w:val="Heading 1"/>
    <w:basedOn w:val="932"/>
    <w:next w:val="932"/>
    <w:link w:val="1106"/>
    <w:qFormat/>
    <w:pPr>
      <w:keepNext w:val="true"/>
      <w:pBdr/>
      <w:spacing w:after="120" w:before="120"/>
      <w:ind/>
      <w:jc w:val="center"/>
      <w:outlineLvl w:val="0"/>
    </w:pPr>
    <w:rPr>
      <w:b/>
      <w:bCs/>
      <w:sz w:val="27"/>
      <w:szCs w:val="27"/>
    </w:rPr>
  </w:style>
  <w:style w:type="paragraph" w:styleId="934">
    <w:name w:val="Heading 2"/>
    <w:basedOn w:val="932"/>
    <w:next w:val="932"/>
    <w:link w:val="110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35">
    <w:name w:val="Heading 3"/>
    <w:basedOn w:val="932"/>
    <w:next w:val="932"/>
    <w:link w:val="1108"/>
    <w:qFormat/>
    <w:pPr>
      <w:keepNext w:val="true"/>
      <w:pBdr/>
      <w:spacing w:before="60"/>
      <w:ind/>
      <w:outlineLvl w:val="2"/>
    </w:pPr>
    <w:rPr>
      <w:sz w:val="28"/>
      <w:szCs w:val="28"/>
    </w:rPr>
  </w:style>
  <w:style w:type="paragraph" w:styleId="936">
    <w:name w:val="Heading 4"/>
    <w:basedOn w:val="932"/>
    <w:next w:val="932"/>
    <w:link w:val="1109"/>
    <w:qFormat/>
    <w:pPr>
      <w:keepNext w:val="true"/>
      <w:pBdr/>
      <w:spacing/>
      <w:ind/>
      <w:jc w:val="center"/>
      <w:outlineLvl w:val="3"/>
    </w:pPr>
    <w:rPr>
      <w:b/>
      <w:bCs/>
    </w:rPr>
  </w:style>
  <w:style w:type="paragraph" w:styleId="937">
    <w:name w:val="Heading 5"/>
    <w:basedOn w:val="932"/>
    <w:next w:val="932"/>
    <w:link w:val="1070"/>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38">
    <w:name w:val="Heading 6"/>
    <w:basedOn w:val="932"/>
    <w:next w:val="932"/>
    <w:link w:val="1071"/>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39">
    <w:name w:val="Heading 7"/>
    <w:basedOn w:val="932"/>
    <w:next w:val="932"/>
    <w:link w:val="1072"/>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40">
    <w:name w:val="Heading 8"/>
    <w:basedOn w:val="932"/>
    <w:next w:val="932"/>
    <w:link w:val="1073"/>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41">
    <w:name w:val="Heading 9"/>
    <w:basedOn w:val="932"/>
    <w:next w:val="932"/>
    <w:link w:val="1074"/>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42" w:default="1">
    <w:name w:val="Default Paragraph Font"/>
    <w:uiPriority w:val="1"/>
    <w:semiHidden/>
    <w:unhideWhenUsed/>
    <w:pPr>
      <w:pBdr/>
      <w:spacing/>
      <w:ind/>
    </w:pPr>
  </w:style>
  <w:style w:type="table" w:styleId="94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44" w:default="1">
    <w:name w:val="No List"/>
    <w:uiPriority w:val="99"/>
    <w:semiHidden/>
    <w:unhideWhenUsed/>
    <w:pPr>
      <w:pBdr/>
      <w:spacing/>
      <w:ind/>
    </w:pPr>
  </w:style>
  <w:style w:type="table" w:styleId="945">
    <w:name w:val="Grid Table Light"/>
    <w:basedOn w:val="94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Plain Table 1"/>
    <w:basedOn w:val="943"/>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Plain Table 2"/>
    <w:basedOn w:val="943"/>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Plain Table 3"/>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Plain Table 4"/>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Plain Table 5"/>
    <w:basedOn w:val="943"/>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1 Light"/>
    <w:basedOn w:val="943"/>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1 Light Accent 1"/>
    <w:basedOn w:val="94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1 Light Accent 2"/>
    <w:basedOn w:val="94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1 Light Accent 3"/>
    <w:basedOn w:val="94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1 Light Accent 4"/>
    <w:basedOn w:val="94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1 Light Accent 5"/>
    <w:basedOn w:val="94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1 Light Accent 6"/>
    <w:basedOn w:val="94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2"/>
    <w:basedOn w:val="94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2 Accent 1"/>
    <w:basedOn w:val="94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2 Accent 2"/>
    <w:basedOn w:val="94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2 Accent 3"/>
    <w:basedOn w:val="94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2 Accent 4"/>
    <w:basedOn w:val="94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2 Accent 5"/>
    <w:basedOn w:val="94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2 Accent 6"/>
    <w:basedOn w:val="94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3"/>
    <w:basedOn w:val="943"/>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3 Accent 1"/>
    <w:basedOn w:val="943"/>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3 Accent 2"/>
    <w:basedOn w:val="943"/>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3 Accent 3"/>
    <w:basedOn w:val="943"/>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3 Accent 4"/>
    <w:basedOn w:val="943"/>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3 Accent 5"/>
    <w:basedOn w:val="943"/>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3 Accent 6"/>
    <w:basedOn w:val="943"/>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4"/>
    <w:basedOn w:val="943"/>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4 Accent 1"/>
    <w:basedOn w:val="943"/>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4 Accent 2"/>
    <w:basedOn w:val="943"/>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4 Accent 3"/>
    <w:basedOn w:val="943"/>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4 Accent 4"/>
    <w:basedOn w:val="943"/>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4 Accent 5"/>
    <w:basedOn w:val="943"/>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4 Accent 6"/>
    <w:basedOn w:val="943"/>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5 Dark"/>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customStyle="1">
    <w:name w:val="Grid Table 5 Dark- Accent 1"/>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5 Dark Accent 2"/>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5 Dark Accent 3"/>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customStyle="1">
    <w:name w:val="Grid Table 5 Dark- Accent 4"/>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5 Dark Accent 5"/>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5 Dark Accent 6"/>
    <w:basedOn w:val="943"/>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6 Colorful"/>
    <w:basedOn w:val="943"/>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6 Colorful Accent 1"/>
    <w:basedOn w:val="943"/>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6 Colorful Accent 2"/>
    <w:basedOn w:val="94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Grid Table 6 Colorful Accent 3"/>
    <w:basedOn w:val="943"/>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Grid Table 6 Colorful Accent 4"/>
    <w:basedOn w:val="94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Grid Table 6 Colorful Accent 5"/>
    <w:basedOn w:val="943"/>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Grid Table 6 Colorful Accent 6"/>
    <w:basedOn w:val="943"/>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Grid Table 7 Colorful"/>
    <w:basedOn w:val="943"/>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Grid Table 7 Colorful Accent 1"/>
    <w:basedOn w:val="943"/>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Grid Table 7 Colorful Accent 2"/>
    <w:basedOn w:val="943"/>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Grid Table 7 Colorful Accent 3"/>
    <w:basedOn w:val="943"/>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Grid Table 7 Colorful Accent 4"/>
    <w:basedOn w:val="943"/>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Grid Table 7 Colorful Accent 5"/>
    <w:basedOn w:val="943"/>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Grid Table 7 Colorful Accent 6"/>
    <w:basedOn w:val="943"/>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1 Light"/>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1 Light Accent 1"/>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1 Light Accent 2"/>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1 Light Accent 3"/>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1 Light Accent 4"/>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1 Light Accent 5"/>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1 Light Accent 6"/>
    <w:basedOn w:val="943"/>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2"/>
    <w:basedOn w:val="943"/>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2 Accent 1"/>
    <w:basedOn w:val="943"/>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2 Accent 2"/>
    <w:basedOn w:val="943"/>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2 Accent 3"/>
    <w:basedOn w:val="943"/>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2 Accent 4"/>
    <w:basedOn w:val="943"/>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2 Accent 5"/>
    <w:basedOn w:val="943"/>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2 Accent 6"/>
    <w:basedOn w:val="943"/>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3"/>
    <w:basedOn w:val="94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3 Accent 1"/>
    <w:basedOn w:val="943"/>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3 Accent 2"/>
    <w:basedOn w:val="943"/>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3 Accent 3"/>
    <w:basedOn w:val="943"/>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3 Accent 4"/>
    <w:basedOn w:val="943"/>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3 Accent 5"/>
    <w:basedOn w:val="943"/>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3 Accent 6"/>
    <w:basedOn w:val="943"/>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4"/>
    <w:basedOn w:val="943"/>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4 Accent 1"/>
    <w:basedOn w:val="943"/>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4 Accent 2"/>
    <w:basedOn w:val="943"/>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4 Accent 3"/>
    <w:basedOn w:val="943"/>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4 Accent 4"/>
    <w:basedOn w:val="943"/>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4 Accent 5"/>
    <w:basedOn w:val="943"/>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4 Accent 6"/>
    <w:basedOn w:val="943"/>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5 Dark"/>
    <w:basedOn w:val="943"/>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5 Dark Accent 1"/>
    <w:basedOn w:val="943"/>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5 Dark Accent 2"/>
    <w:basedOn w:val="943"/>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List Table 5 Dark Accent 3"/>
    <w:basedOn w:val="943"/>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List Table 5 Dark Accent 4"/>
    <w:basedOn w:val="943"/>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List Table 5 Dark Accent 5"/>
    <w:basedOn w:val="943"/>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st Table 5 Dark Accent 6"/>
    <w:basedOn w:val="943"/>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st Table 6 Colorful"/>
    <w:basedOn w:val="943"/>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st Table 6 Colorful Accent 1"/>
    <w:basedOn w:val="943"/>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st Table 6 Colorful Accent 2"/>
    <w:basedOn w:val="943"/>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st Table 6 Colorful Accent 3"/>
    <w:basedOn w:val="943"/>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st Table 6 Colorful Accent 4"/>
    <w:basedOn w:val="943"/>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st Table 6 Colorful Accent 5"/>
    <w:basedOn w:val="943"/>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st Table 6 Colorful Accent 6"/>
    <w:basedOn w:val="943"/>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st Table 7 Colorful"/>
    <w:basedOn w:val="943"/>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st Table 7 Colorful Accent 1"/>
    <w:basedOn w:val="943"/>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st Table 7 Colorful Accent 2"/>
    <w:basedOn w:val="943"/>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st Table 7 Colorful Accent 3"/>
    <w:basedOn w:val="943"/>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st Table 7 Colorful Accent 4"/>
    <w:basedOn w:val="943"/>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st Table 7 Colorful Accent 5"/>
    <w:basedOn w:val="943"/>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st Table 7 Colorful Accent 6"/>
    <w:basedOn w:val="943"/>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Lined - Accent"/>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Lined - Accent 1"/>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Lined - Accent 2"/>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Lined - Accent 3"/>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Lined - Accent 4"/>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Lined - Accent 5"/>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Lined - Accent 6"/>
    <w:basedOn w:val="943"/>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Bordered &amp; Lined - Accent"/>
    <w:basedOn w:val="943"/>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Bordered &amp; Lined - Accent 1"/>
    <w:basedOn w:val="943"/>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Bordered &amp; Lined - Accent 2"/>
    <w:basedOn w:val="943"/>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Bordered &amp; Lined - Accent 3"/>
    <w:basedOn w:val="943"/>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Bordered &amp; Lined - Accent 4"/>
    <w:basedOn w:val="943"/>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Bordered &amp; Lined - Accent 5"/>
    <w:basedOn w:val="943"/>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Bordered &amp; Lined - Accent 6"/>
    <w:basedOn w:val="943"/>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Bordered"/>
    <w:basedOn w:val="943"/>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Bordered - Accent 1"/>
    <w:basedOn w:val="943"/>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Bordered - Accent 2"/>
    <w:basedOn w:val="943"/>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Bordered - Accent 3"/>
    <w:basedOn w:val="943"/>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Bordered - Accent 4"/>
    <w:basedOn w:val="943"/>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Bordered - Accent 5"/>
    <w:basedOn w:val="943"/>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Bordered - Accent 6"/>
    <w:basedOn w:val="943"/>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70" w:customStyle="1">
    <w:name w:val="Heading 5 Char"/>
    <w:basedOn w:val="942"/>
    <w:link w:val="937"/>
    <w:uiPriority w:val="9"/>
    <w:pPr>
      <w:pBdr/>
      <w:spacing/>
      <w:ind/>
    </w:pPr>
    <w:rPr>
      <w:rFonts w:ascii="Arial" w:hAnsi="Arial" w:eastAsia="Arial" w:cs="Arial"/>
      <w:color w:val="365f91" w:themeColor="accent1" w:themeShade="BF"/>
    </w:rPr>
  </w:style>
  <w:style w:type="character" w:styleId="1071" w:customStyle="1">
    <w:name w:val="Heading 6 Char"/>
    <w:basedOn w:val="942"/>
    <w:link w:val="938"/>
    <w:uiPriority w:val="9"/>
    <w:pPr>
      <w:pBdr/>
      <w:spacing/>
      <w:ind/>
    </w:pPr>
    <w:rPr>
      <w:rFonts w:ascii="Arial" w:hAnsi="Arial" w:eastAsia="Arial" w:cs="Arial"/>
      <w:i/>
      <w:iCs/>
      <w:color w:val="595959" w:themeColor="text1" w:themeTint="A6"/>
    </w:rPr>
  </w:style>
  <w:style w:type="character" w:styleId="1072" w:customStyle="1">
    <w:name w:val="Heading 7 Char"/>
    <w:basedOn w:val="942"/>
    <w:link w:val="939"/>
    <w:uiPriority w:val="9"/>
    <w:pPr>
      <w:pBdr/>
      <w:spacing/>
      <w:ind/>
    </w:pPr>
    <w:rPr>
      <w:rFonts w:ascii="Arial" w:hAnsi="Arial" w:eastAsia="Arial" w:cs="Arial"/>
      <w:color w:val="595959" w:themeColor="text1" w:themeTint="A6"/>
    </w:rPr>
  </w:style>
  <w:style w:type="character" w:styleId="1073" w:customStyle="1">
    <w:name w:val="Heading 8 Char"/>
    <w:basedOn w:val="942"/>
    <w:link w:val="940"/>
    <w:uiPriority w:val="9"/>
    <w:pPr>
      <w:pBdr/>
      <w:spacing/>
      <w:ind/>
    </w:pPr>
    <w:rPr>
      <w:rFonts w:ascii="Arial" w:hAnsi="Arial" w:eastAsia="Arial" w:cs="Arial"/>
      <w:i/>
      <w:iCs/>
      <w:color w:val="272727" w:themeColor="text1" w:themeTint="D8"/>
    </w:rPr>
  </w:style>
  <w:style w:type="character" w:styleId="1074" w:customStyle="1">
    <w:name w:val="Heading 9 Char"/>
    <w:basedOn w:val="942"/>
    <w:link w:val="941"/>
    <w:uiPriority w:val="9"/>
    <w:pPr>
      <w:pBdr/>
      <w:spacing/>
      <w:ind/>
    </w:pPr>
    <w:rPr>
      <w:rFonts w:ascii="Arial" w:hAnsi="Arial" w:eastAsia="Arial" w:cs="Arial"/>
      <w:i/>
      <w:iCs/>
      <w:color w:val="272727" w:themeColor="text1" w:themeTint="D8"/>
    </w:rPr>
  </w:style>
  <w:style w:type="paragraph" w:styleId="1075">
    <w:name w:val="Subtitle"/>
    <w:basedOn w:val="932"/>
    <w:next w:val="932"/>
    <w:link w:val="1076"/>
    <w:uiPriority w:val="11"/>
    <w:qFormat/>
    <w:pPr>
      <w:numPr>
        <w:ilvl w:val="1"/>
      </w:numPr>
      <w:pBdr/>
      <w:spacing/>
      <w:ind/>
    </w:pPr>
    <w:rPr>
      <w:color w:val="595959" w:themeColor="text1" w:themeTint="A6"/>
      <w:spacing w:val="15"/>
      <w:sz w:val="28"/>
      <w:szCs w:val="28"/>
    </w:rPr>
  </w:style>
  <w:style w:type="character" w:styleId="1076" w:customStyle="1">
    <w:name w:val="Subtitle Char"/>
    <w:basedOn w:val="942"/>
    <w:link w:val="1075"/>
    <w:uiPriority w:val="11"/>
    <w:pPr>
      <w:pBdr/>
      <w:spacing/>
      <w:ind/>
    </w:pPr>
    <w:rPr>
      <w:color w:val="595959" w:themeColor="text1" w:themeTint="A6"/>
      <w:spacing w:val="15"/>
      <w:sz w:val="28"/>
      <w:szCs w:val="28"/>
    </w:rPr>
  </w:style>
  <w:style w:type="paragraph" w:styleId="1077">
    <w:name w:val="Quote"/>
    <w:basedOn w:val="932"/>
    <w:next w:val="932"/>
    <w:link w:val="1078"/>
    <w:uiPriority w:val="29"/>
    <w:qFormat/>
    <w:pPr>
      <w:pBdr/>
      <w:spacing w:before="160"/>
      <w:ind/>
      <w:jc w:val="center"/>
    </w:pPr>
    <w:rPr>
      <w:i/>
      <w:iCs/>
      <w:color w:val="404040" w:themeColor="text1" w:themeTint="BF"/>
    </w:rPr>
  </w:style>
  <w:style w:type="character" w:styleId="1078" w:customStyle="1">
    <w:name w:val="Quote Char"/>
    <w:basedOn w:val="942"/>
    <w:link w:val="1077"/>
    <w:uiPriority w:val="29"/>
    <w:pPr>
      <w:pBdr/>
      <w:spacing/>
      <w:ind/>
    </w:pPr>
    <w:rPr>
      <w:i/>
      <w:iCs/>
      <w:color w:val="404040" w:themeColor="text1" w:themeTint="BF"/>
    </w:rPr>
  </w:style>
  <w:style w:type="character" w:styleId="1079">
    <w:name w:val="Intense Emphasis"/>
    <w:basedOn w:val="942"/>
    <w:uiPriority w:val="21"/>
    <w:qFormat/>
    <w:pPr>
      <w:pBdr/>
      <w:spacing/>
      <w:ind/>
    </w:pPr>
    <w:rPr>
      <w:i/>
      <w:iCs/>
      <w:color w:val="365f91" w:themeColor="accent1" w:themeShade="BF"/>
    </w:rPr>
  </w:style>
  <w:style w:type="paragraph" w:styleId="1080">
    <w:name w:val="Intense Quote"/>
    <w:basedOn w:val="932"/>
    <w:next w:val="932"/>
    <w:link w:val="1081"/>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81" w:customStyle="1">
    <w:name w:val="Intense Quote Char"/>
    <w:basedOn w:val="942"/>
    <w:link w:val="1080"/>
    <w:uiPriority w:val="30"/>
    <w:pPr>
      <w:pBdr/>
      <w:spacing/>
      <w:ind/>
    </w:pPr>
    <w:rPr>
      <w:i/>
      <w:iCs/>
      <w:color w:val="365f91" w:themeColor="accent1" w:themeShade="BF"/>
    </w:rPr>
  </w:style>
  <w:style w:type="character" w:styleId="1082">
    <w:name w:val="Intense Reference"/>
    <w:basedOn w:val="942"/>
    <w:uiPriority w:val="32"/>
    <w:qFormat/>
    <w:pPr>
      <w:pBdr/>
      <w:spacing/>
      <w:ind/>
    </w:pPr>
    <w:rPr>
      <w:b/>
      <w:bCs/>
      <w:smallCaps/>
      <w:color w:val="365f91" w:themeColor="accent1" w:themeShade="BF"/>
      <w:spacing w:val="5"/>
    </w:rPr>
  </w:style>
  <w:style w:type="paragraph" w:styleId="1083">
    <w:name w:val="No Spacing"/>
    <w:basedOn w:val="932"/>
    <w:uiPriority w:val="1"/>
    <w:qFormat/>
    <w:pPr>
      <w:pBdr/>
      <w:spacing/>
      <w:ind/>
    </w:pPr>
  </w:style>
  <w:style w:type="character" w:styleId="1084">
    <w:name w:val="Subtle Emphasis"/>
    <w:basedOn w:val="942"/>
    <w:uiPriority w:val="19"/>
    <w:qFormat/>
    <w:pPr>
      <w:pBdr/>
      <w:spacing/>
      <w:ind/>
    </w:pPr>
    <w:rPr>
      <w:i/>
      <w:iCs/>
      <w:color w:val="404040" w:themeColor="text1" w:themeTint="BF"/>
    </w:rPr>
  </w:style>
  <w:style w:type="character" w:styleId="1085">
    <w:name w:val="Subtle Reference"/>
    <w:basedOn w:val="942"/>
    <w:uiPriority w:val="31"/>
    <w:qFormat/>
    <w:pPr>
      <w:pBdr/>
      <w:spacing/>
      <w:ind/>
    </w:pPr>
    <w:rPr>
      <w:smallCaps/>
      <w:color w:val="5a5a5a" w:themeColor="text1" w:themeTint="A5"/>
    </w:rPr>
  </w:style>
  <w:style w:type="character" w:styleId="1086">
    <w:name w:val="Book Title"/>
    <w:basedOn w:val="942"/>
    <w:uiPriority w:val="33"/>
    <w:qFormat/>
    <w:pPr>
      <w:pBdr/>
      <w:spacing/>
      <w:ind/>
    </w:pPr>
    <w:rPr>
      <w:b/>
      <w:bCs/>
      <w:i/>
      <w:iCs/>
      <w:spacing w:val="5"/>
    </w:rPr>
  </w:style>
  <w:style w:type="paragraph" w:styleId="1087">
    <w:name w:val="Caption"/>
    <w:basedOn w:val="932"/>
    <w:next w:val="932"/>
    <w:uiPriority w:val="35"/>
    <w:unhideWhenUsed/>
    <w:qFormat/>
    <w:pPr>
      <w:pBdr/>
      <w:spacing w:after="200"/>
      <w:ind/>
    </w:pPr>
    <w:rPr>
      <w:i/>
      <w:iCs/>
      <w:color w:val="1f497d" w:themeColor="text2"/>
      <w:sz w:val="18"/>
      <w:szCs w:val="18"/>
    </w:rPr>
  </w:style>
  <w:style w:type="paragraph" w:styleId="1088">
    <w:name w:val="footnote text"/>
    <w:basedOn w:val="932"/>
    <w:link w:val="1089"/>
    <w:uiPriority w:val="99"/>
    <w:semiHidden/>
    <w:unhideWhenUsed/>
    <w:pPr>
      <w:pBdr/>
      <w:spacing/>
      <w:ind/>
    </w:pPr>
    <w:rPr>
      <w:sz w:val="20"/>
      <w:szCs w:val="20"/>
    </w:rPr>
  </w:style>
  <w:style w:type="character" w:styleId="1089" w:customStyle="1">
    <w:name w:val="Footnote Text Char"/>
    <w:basedOn w:val="942"/>
    <w:link w:val="1088"/>
    <w:uiPriority w:val="99"/>
    <w:semiHidden/>
    <w:pPr>
      <w:pBdr/>
      <w:spacing/>
      <w:ind/>
    </w:pPr>
    <w:rPr>
      <w:sz w:val="20"/>
      <w:szCs w:val="20"/>
    </w:rPr>
  </w:style>
  <w:style w:type="character" w:styleId="1090">
    <w:name w:val="footnote reference"/>
    <w:basedOn w:val="942"/>
    <w:uiPriority w:val="99"/>
    <w:semiHidden/>
    <w:unhideWhenUsed/>
    <w:pPr>
      <w:pBdr/>
      <w:spacing/>
      <w:ind/>
    </w:pPr>
    <w:rPr>
      <w:vertAlign w:val="superscript"/>
    </w:rPr>
  </w:style>
  <w:style w:type="paragraph" w:styleId="1091">
    <w:name w:val="endnote text"/>
    <w:basedOn w:val="932"/>
    <w:link w:val="1092"/>
    <w:uiPriority w:val="99"/>
    <w:semiHidden/>
    <w:unhideWhenUsed/>
    <w:pPr>
      <w:pBdr/>
      <w:spacing/>
      <w:ind/>
    </w:pPr>
    <w:rPr>
      <w:sz w:val="20"/>
      <w:szCs w:val="20"/>
    </w:rPr>
  </w:style>
  <w:style w:type="character" w:styleId="1092" w:customStyle="1">
    <w:name w:val="Endnote Text Char"/>
    <w:basedOn w:val="942"/>
    <w:link w:val="1091"/>
    <w:uiPriority w:val="99"/>
    <w:semiHidden/>
    <w:pPr>
      <w:pBdr/>
      <w:spacing/>
      <w:ind/>
    </w:pPr>
    <w:rPr>
      <w:sz w:val="20"/>
      <w:szCs w:val="20"/>
    </w:rPr>
  </w:style>
  <w:style w:type="character" w:styleId="1093">
    <w:name w:val="endnote reference"/>
    <w:basedOn w:val="942"/>
    <w:uiPriority w:val="99"/>
    <w:semiHidden/>
    <w:unhideWhenUsed/>
    <w:pPr>
      <w:pBdr/>
      <w:spacing/>
      <w:ind/>
    </w:pPr>
    <w:rPr>
      <w:vertAlign w:val="superscript"/>
    </w:rPr>
  </w:style>
  <w:style w:type="paragraph" w:styleId="1094">
    <w:name w:val="toc 1"/>
    <w:basedOn w:val="932"/>
    <w:next w:val="932"/>
    <w:uiPriority w:val="39"/>
    <w:unhideWhenUsed/>
    <w:pPr>
      <w:pBdr/>
      <w:spacing w:after="100"/>
      <w:ind/>
    </w:pPr>
  </w:style>
  <w:style w:type="paragraph" w:styleId="1095">
    <w:name w:val="toc 2"/>
    <w:basedOn w:val="932"/>
    <w:next w:val="932"/>
    <w:uiPriority w:val="39"/>
    <w:unhideWhenUsed/>
    <w:pPr>
      <w:pBdr/>
      <w:spacing w:after="100"/>
      <w:ind w:left="220"/>
    </w:pPr>
  </w:style>
  <w:style w:type="paragraph" w:styleId="1096">
    <w:name w:val="toc 3"/>
    <w:basedOn w:val="932"/>
    <w:next w:val="932"/>
    <w:uiPriority w:val="39"/>
    <w:unhideWhenUsed/>
    <w:pPr>
      <w:pBdr/>
      <w:spacing w:after="100"/>
      <w:ind w:left="440"/>
    </w:pPr>
  </w:style>
  <w:style w:type="paragraph" w:styleId="1097">
    <w:name w:val="toc 4"/>
    <w:basedOn w:val="932"/>
    <w:next w:val="932"/>
    <w:uiPriority w:val="39"/>
    <w:unhideWhenUsed/>
    <w:pPr>
      <w:pBdr/>
      <w:spacing w:after="100"/>
      <w:ind w:left="660"/>
    </w:pPr>
  </w:style>
  <w:style w:type="paragraph" w:styleId="1098">
    <w:name w:val="toc 5"/>
    <w:basedOn w:val="932"/>
    <w:next w:val="932"/>
    <w:uiPriority w:val="39"/>
    <w:unhideWhenUsed/>
    <w:pPr>
      <w:pBdr/>
      <w:spacing w:after="100"/>
      <w:ind w:left="880"/>
    </w:pPr>
  </w:style>
  <w:style w:type="paragraph" w:styleId="1099">
    <w:name w:val="toc 6"/>
    <w:basedOn w:val="932"/>
    <w:next w:val="932"/>
    <w:uiPriority w:val="39"/>
    <w:unhideWhenUsed/>
    <w:pPr>
      <w:pBdr/>
      <w:spacing w:after="100"/>
      <w:ind w:left="1100"/>
    </w:pPr>
  </w:style>
  <w:style w:type="paragraph" w:styleId="1100">
    <w:name w:val="toc 7"/>
    <w:basedOn w:val="932"/>
    <w:next w:val="932"/>
    <w:uiPriority w:val="39"/>
    <w:unhideWhenUsed/>
    <w:pPr>
      <w:pBdr/>
      <w:spacing w:after="100"/>
      <w:ind w:left="1320"/>
    </w:pPr>
  </w:style>
  <w:style w:type="paragraph" w:styleId="1101">
    <w:name w:val="toc 8"/>
    <w:basedOn w:val="932"/>
    <w:next w:val="932"/>
    <w:uiPriority w:val="39"/>
    <w:unhideWhenUsed/>
    <w:pPr>
      <w:pBdr/>
      <w:spacing w:after="100"/>
      <w:ind w:left="1540"/>
    </w:pPr>
  </w:style>
  <w:style w:type="paragraph" w:styleId="1102">
    <w:name w:val="toc 9"/>
    <w:basedOn w:val="932"/>
    <w:next w:val="932"/>
    <w:uiPriority w:val="39"/>
    <w:unhideWhenUsed/>
    <w:pPr>
      <w:pBdr/>
      <w:spacing w:after="100"/>
      <w:ind w:left="1760"/>
    </w:pPr>
  </w:style>
  <w:style w:type="character" w:styleId="1103">
    <w:name w:val="Placeholder Text"/>
    <w:basedOn w:val="942"/>
    <w:uiPriority w:val="99"/>
    <w:semiHidden/>
    <w:pPr>
      <w:pBdr/>
      <w:spacing/>
      <w:ind/>
    </w:pPr>
    <w:rPr>
      <w:color w:val="666666"/>
    </w:rPr>
  </w:style>
  <w:style w:type="paragraph" w:styleId="1104">
    <w:name w:val="TOC Heading"/>
    <w:uiPriority w:val="39"/>
    <w:unhideWhenUsed/>
    <w:pPr>
      <w:pBdr/>
      <w:spacing/>
      <w:ind/>
    </w:pPr>
  </w:style>
  <w:style w:type="paragraph" w:styleId="1105">
    <w:name w:val="table of figures"/>
    <w:basedOn w:val="932"/>
    <w:next w:val="932"/>
    <w:uiPriority w:val="99"/>
    <w:unhideWhenUsed/>
    <w:pPr>
      <w:pBdr/>
      <w:spacing/>
      <w:ind/>
    </w:pPr>
  </w:style>
  <w:style w:type="character" w:styleId="1106" w:customStyle="1">
    <w:name w:val="Heading 1 Char"/>
    <w:basedOn w:val="942"/>
    <w:link w:val="933"/>
    <w:pPr>
      <w:pBdr/>
      <w:spacing/>
      <w:ind/>
    </w:pPr>
    <w:rPr>
      <w:rFonts w:ascii="Times New Roman" w:hAnsi="Times New Roman" w:eastAsia="Times New Roman" w:cs="Times New Roman"/>
      <w:b/>
      <w:bCs/>
      <w:sz w:val="27"/>
      <w:szCs w:val="27"/>
    </w:rPr>
  </w:style>
  <w:style w:type="character" w:styleId="1107" w:customStyle="1">
    <w:name w:val="Heading 2 Char"/>
    <w:basedOn w:val="942"/>
    <w:link w:val="934"/>
    <w:uiPriority w:val="9"/>
    <w:pPr>
      <w:pBdr/>
      <w:spacing/>
      <w:ind/>
    </w:pPr>
    <w:rPr>
      <w:rFonts w:asciiTheme="majorHAnsi" w:hAnsiTheme="majorHAnsi" w:eastAsiaTheme="majorEastAsia" w:cstheme="majorBidi"/>
      <w:color w:val="365f91" w:themeColor="accent1" w:themeShade="BF"/>
      <w:sz w:val="26"/>
      <w:szCs w:val="26"/>
    </w:rPr>
  </w:style>
  <w:style w:type="character" w:styleId="1108" w:customStyle="1">
    <w:name w:val="Heading 3 Char"/>
    <w:basedOn w:val="942"/>
    <w:link w:val="935"/>
    <w:pPr>
      <w:pBdr/>
      <w:spacing/>
      <w:ind/>
    </w:pPr>
    <w:rPr>
      <w:rFonts w:ascii="Times New Roman" w:hAnsi="Times New Roman" w:eastAsia="Times New Roman" w:cs="Times New Roman"/>
      <w:sz w:val="28"/>
      <w:szCs w:val="28"/>
    </w:rPr>
  </w:style>
  <w:style w:type="character" w:styleId="1109" w:customStyle="1">
    <w:name w:val="Heading 4 Char"/>
    <w:basedOn w:val="942"/>
    <w:link w:val="936"/>
    <w:pPr>
      <w:pBdr/>
      <w:spacing/>
      <w:ind/>
    </w:pPr>
    <w:rPr>
      <w:rFonts w:ascii="Times New Roman" w:hAnsi="Times New Roman" w:eastAsia="Times New Roman" w:cs="Times New Roman"/>
      <w:b/>
      <w:bCs/>
      <w:sz w:val="24"/>
      <w:szCs w:val="24"/>
    </w:rPr>
  </w:style>
  <w:style w:type="character" w:styleId="1110">
    <w:name w:val="Hyperlink"/>
    <w:uiPriority w:val="99"/>
    <w:pPr>
      <w:pBdr/>
      <w:spacing/>
      <w:ind/>
    </w:pPr>
    <w:rPr>
      <w:color w:val="000000"/>
      <w:u w:val="single"/>
    </w:rPr>
  </w:style>
  <w:style w:type="character" w:styleId="1111">
    <w:name w:val="Strong"/>
    <w:uiPriority w:val="22"/>
    <w:qFormat/>
    <w:pPr>
      <w:pBdr/>
      <w:spacing/>
      <w:ind/>
    </w:pPr>
    <w:rPr>
      <w:b/>
      <w:bCs/>
    </w:rPr>
  </w:style>
  <w:style w:type="paragraph" w:styleId="1112">
    <w:name w:val="Balloon Text"/>
    <w:basedOn w:val="932"/>
    <w:link w:val="1113"/>
    <w:uiPriority w:val="99"/>
    <w:semiHidden/>
    <w:unhideWhenUsed/>
    <w:pPr>
      <w:pBdr/>
      <w:spacing/>
      <w:ind/>
    </w:pPr>
    <w:rPr>
      <w:rFonts w:ascii="Tahoma" w:hAnsi="Tahoma" w:cs="Tahoma"/>
      <w:sz w:val="16"/>
      <w:szCs w:val="16"/>
    </w:rPr>
  </w:style>
  <w:style w:type="character" w:styleId="1113" w:customStyle="1">
    <w:name w:val="Balloon Text Char"/>
    <w:basedOn w:val="942"/>
    <w:link w:val="1112"/>
    <w:uiPriority w:val="99"/>
    <w:semiHidden/>
    <w:pPr>
      <w:pBdr/>
      <w:spacing/>
      <w:ind/>
    </w:pPr>
    <w:rPr>
      <w:rFonts w:ascii="Tahoma" w:hAnsi="Tahoma" w:eastAsia="Times New Roman" w:cs="Tahoma"/>
      <w:sz w:val="16"/>
      <w:szCs w:val="16"/>
    </w:rPr>
  </w:style>
  <w:style w:type="paragraph" w:styleId="1114">
    <w:name w:val="Header"/>
    <w:basedOn w:val="932"/>
    <w:link w:val="1115"/>
    <w:unhideWhenUsed/>
    <w:pPr>
      <w:pBdr/>
      <w:tabs>
        <w:tab w:val="center" w:leader="none" w:pos="4680"/>
        <w:tab w:val="right" w:leader="none" w:pos="9360"/>
      </w:tabs>
      <w:spacing/>
      <w:ind/>
    </w:pPr>
  </w:style>
  <w:style w:type="character" w:styleId="1115" w:customStyle="1">
    <w:name w:val="Header Char"/>
    <w:basedOn w:val="942"/>
    <w:link w:val="1114"/>
    <w:pPr>
      <w:pBdr/>
      <w:spacing/>
      <w:ind/>
    </w:pPr>
    <w:rPr>
      <w:rFonts w:ascii="Times New Roman" w:hAnsi="Times New Roman" w:eastAsia="Times New Roman" w:cs="Times New Roman"/>
      <w:sz w:val="24"/>
      <w:szCs w:val="24"/>
    </w:rPr>
  </w:style>
  <w:style w:type="paragraph" w:styleId="1116">
    <w:name w:val="Footer"/>
    <w:basedOn w:val="932"/>
    <w:link w:val="1117"/>
    <w:uiPriority w:val="99"/>
    <w:unhideWhenUsed/>
    <w:pPr>
      <w:pBdr/>
      <w:tabs>
        <w:tab w:val="center" w:leader="none" w:pos="4680"/>
        <w:tab w:val="right" w:leader="none" w:pos="9360"/>
      </w:tabs>
      <w:spacing/>
      <w:ind/>
    </w:pPr>
  </w:style>
  <w:style w:type="character" w:styleId="1117" w:customStyle="1">
    <w:name w:val="Footer Char"/>
    <w:basedOn w:val="942"/>
    <w:link w:val="1116"/>
    <w:uiPriority w:val="99"/>
    <w:pPr>
      <w:pBdr/>
      <w:spacing/>
      <w:ind/>
    </w:pPr>
    <w:rPr>
      <w:rFonts w:ascii="Times New Roman" w:hAnsi="Times New Roman" w:eastAsia="Times New Roman" w:cs="Times New Roman"/>
      <w:sz w:val="24"/>
      <w:szCs w:val="24"/>
    </w:rPr>
  </w:style>
  <w:style w:type="character" w:styleId="1118" w:customStyle="1">
    <w:name w:val="normal-h1"/>
    <w:pPr>
      <w:pBdr/>
      <w:spacing/>
      <w:ind/>
    </w:pPr>
    <w:rPr>
      <w:rFonts w:hint="default" w:ascii=".VnTime" w:hAnsi=".VnTime"/>
      <w:color w:val="0000ff"/>
      <w:sz w:val="24"/>
      <w:szCs w:val="24"/>
    </w:rPr>
  </w:style>
  <w:style w:type="paragraph" w:styleId="1119" w:customStyle="1">
    <w:name w:val="normal-p"/>
    <w:basedOn w:val="932"/>
    <w:pPr>
      <w:pBdr/>
      <w:spacing/>
      <w:ind/>
      <w:jc w:val="both"/>
    </w:pPr>
    <w:rPr>
      <w:sz w:val="20"/>
      <w:szCs w:val="20"/>
    </w:rPr>
  </w:style>
  <w:style w:type="paragraph" w:styleId="1120">
    <w:name w:val="List Paragraph"/>
    <w:basedOn w:val="932"/>
    <w:link w:val="1207"/>
    <w:uiPriority w:val="34"/>
    <w:qFormat/>
    <w:pPr>
      <w:pBdr/>
      <w:spacing/>
      <w:ind w:left="720"/>
    </w:pPr>
  </w:style>
  <w:style w:type="paragraph" w:styleId="1121">
    <w:name w:val="Normal (Web)"/>
    <w:basedOn w:val="932"/>
    <w:uiPriority w:val="99"/>
    <w:pPr>
      <w:pBdr/>
      <w:spacing w:after="100" w:afterAutospacing="1" w:before="100" w:beforeAutospacing="1"/>
      <w:ind/>
    </w:pPr>
  </w:style>
  <w:style w:type="paragraph" w:styleId="1122">
    <w:name w:val="Body Text"/>
    <w:basedOn w:val="932"/>
    <w:link w:val="1123"/>
    <w:pPr>
      <w:pBdr/>
      <w:spacing w:after="120"/>
      <w:ind/>
      <w:jc w:val="both"/>
    </w:pPr>
  </w:style>
  <w:style w:type="character" w:styleId="1123" w:customStyle="1">
    <w:name w:val="Body Text Char"/>
    <w:basedOn w:val="942"/>
    <w:link w:val="1122"/>
    <w:pPr>
      <w:pBdr/>
      <w:spacing/>
      <w:ind/>
    </w:pPr>
    <w:rPr>
      <w:rFonts w:ascii="Times New Roman" w:hAnsi="Times New Roman" w:eastAsia="Times New Roman" w:cs="Times New Roman"/>
      <w:sz w:val="24"/>
      <w:szCs w:val="24"/>
    </w:rPr>
  </w:style>
  <w:style w:type="table" w:styleId="1124">
    <w:name w:val="Table Grid"/>
    <w:basedOn w:val="94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2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26">
    <w:name w:val="annotation reference"/>
    <w:basedOn w:val="942"/>
    <w:uiPriority w:val="99"/>
    <w:semiHidden/>
    <w:unhideWhenUsed/>
    <w:pPr>
      <w:pBdr/>
      <w:spacing/>
      <w:ind/>
    </w:pPr>
    <w:rPr>
      <w:sz w:val="16"/>
      <w:szCs w:val="16"/>
    </w:rPr>
  </w:style>
  <w:style w:type="paragraph" w:styleId="1127">
    <w:name w:val="annotation text"/>
    <w:basedOn w:val="932"/>
    <w:link w:val="1128"/>
    <w:uiPriority w:val="99"/>
    <w:unhideWhenUsed/>
    <w:pPr>
      <w:pBdr/>
      <w:spacing/>
      <w:ind/>
    </w:pPr>
    <w:rPr>
      <w:sz w:val="20"/>
      <w:szCs w:val="20"/>
    </w:rPr>
  </w:style>
  <w:style w:type="character" w:styleId="1128" w:customStyle="1">
    <w:name w:val="Comment Text Char"/>
    <w:basedOn w:val="942"/>
    <w:link w:val="1127"/>
    <w:uiPriority w:val="99"/>
    <w:pPr>
      <w:pBdr/>
      <w:spacing/>
      <w:ind/>
    </w:pPr>
    <w:rPr>
      <w:rFonts w:ascii="Times New Roman" w:hAnsi="Times New Roman" w:eastAsia="Times New Roman" w:cs="Times New Roman"/>
      <w:sz w:val="20"/>
      <w:szCs w:val="20"/>
    </w:rPr>
  </w:style>
  <w:style w:type="paragraph" w:styleId="1129">
    <w:name w:val="annotation subject"/>
    <w:basedOn w:val="1127"/>
    <w:next w:val="1127"/>
    <w:link w:val="1130"/>
    <w:uiPriority w:val="99"/>
    <w:semiHidden/>
    <w:unhideWhenUsed/>
    <w:pPr>
      <w:pBdr/>
      <w:spacing/>
      <w:ind/>
    </w:pPr>
    <w:rPr>
      <w:b/>
      <w:bCs/>
    </w:rPr>
  </w:style>
  <w:style w:type="character" w:styleId="1130" w:customStyle="1">
    <w:name w:val="Comment Subject Char"/>
    <w:basedOn w:val="1128"/>
    <w:link w:val="1129"/>
    <w:uiPriority w:val="99"/>
    <w:semiHidden/>
    <w:pPr>
      <w:pBdr/>
      <w:spacing/>
      <w:ind/>
    </w:pPr>
    <w:rPr>
      <w:rFonts w:ascii="Times New Roman" w:hAnsi="Times New Roman" w:eastAsia="Times New Roman" w:cs="Times New Roman"/>
      <w:b/>
      <w:bCs/>
      <w:sz w:val="20"/>
      <w:szCs w:val="20"/>
    </w:rPr>
  </w:style>
  <w:style w:type="paragraph" w:styleId="1131" w:customStyle="1">
    <w:name w:val="font5"/>
    <w:basedOn w:val="932"/>
    <w:pPr>
      <w:pBdr/>
      <w:spacing w:after="100" w:afterAutospacing="1" w:before="100" w:beforeAutospacing="1"/>
      <w:ind/>
    </w:pPr>
    <w:rPr>
      <w:rFonts w:ascii="Tahoma" w:hAnsi="Tahoma" w:cs="Tahoma"/>
      <w:color w:val="000000"/>
      <w:sz w:val="18"/>
      <w:szCs w:val="18"/>
    </w:rPr>
  </w:style>
  <w:style w:type="paragraph" w:styleId="1132" w:customStyle="1">
    <w:name w:val="font6"/>
    <w:basedOn w:val="932"/>
    <w:pPr>
      <w:pBdr/>
      <w:spacing w:after="100" w:afterAutospacing="1" w:before="100" w:beforeAutospacing="1"/>
      <w:ind/>
    </w:pPr>
    <w:rPr>
      <w:rFonts w:ascii="Tahoma" w:hAnsi="Tahoma" w:cs="Tahoma"/>
      <w:b/>
      <w:bCs/>
      <w:color w:val="000000"/>
      <w:sz w:val="18"/>
      <w:szCs w:val="18"/>
    </w:rPr>
  </w:style>
  <w:style w:type="paragraph" w:styleId="1133" w:customStyle="1">
    <w:name w:val="xl233"/>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4" w:customStyle="1">
    <w:name w:val="xl234"/>
    <w:basedOn w:val="932"/>
    <w:pPr>
      <w:pBdr/>
      <w:spacing w:after="100" w:afterAutospacing="1" w:before="100" w:beforeAutospacing="1"/>
      <w:ind/>
      <w:jc w:val="center"/>
    </w:pPr>
  </w:style>
  <w:style w:type="paragraph" w:styleId="1135" w:customStyle="1">
    <w:name w:val="xl235"/>
    <w:basedOn w:val="932"/>
    <w:pPr>
      <w:pBdr/>
      <w:spacing w:after="100" w:afterAutospacing="1" w:before="100" w:beforeAutospacing="1"/>
      <w:ind/>
      <w:jc w:val="center"/>
    </w:pPr>
    <w:rPr>
      <w:b/>
      <w:bCs/>
    </w:rPr>
  </w:style>
  <w:style w:type="paragraph" w:styleId="1136" w:customStyle="1">
    <w:name w:val="xl236"/>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37" w:customStyle="1">
    <w:name w:val="xl23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38" w:customStyle="1">
    <w:name w:val="xl238"/>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9" w:customStyle="1">
    <w:name w:val="xl23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40" w:customStyle="1">
    <w:name w:val="xl240"/>
    <w:basedOn w:val="932"/>
    <w:pPr>
      <w:pBdr/>
      <w:spacing w:after="100" w:afterAutospacing="1" w:before="100" w:beforeAutospacing="1"/>
      <w:ind/>
    </w:pPr>
  </w:style>
  <w:style w:type="paragraph" w:styleId="1141" w:customStyle="1">
    <w:name w:val="xl241"/>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42" w:customStyle="1">
    <w:name w:val="xl242"/>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3" w:customStyle="1">
    <w:name w:val="xl243"/>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4" w:customStyle="1">
    <w:name w:val="xl244"/>
    <w:basedOn w:val="932"/>
    <w:pPr>
      <w:pBdr/>
      <w:spacing w:after="100" w:afterAutospacing="1" w:before="100" w:beforeAutospacing="1"/>
      <w:ind/>
    </w:pPr>
    <w:rPr>
      <w:b/>
      <w:bCs/>
    </w:rPr>
  </w:style>
  <w:style w:type="paragraph" w:styleId="1145" w:customStyle="1">
    <w:name w:val="xl245"/>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46" w:customStyle="1">
    <w:name w:val="xl246"/>
    <w:basedOn w:val="93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47" w:customStyle="1">
    <w:name w:val="xl247"/>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48" w:customStyle="1">
    <w:name w:val="xl248"/>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9" w:customStyle="1">
    <w:name w:val="xl24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50" w:customStyle="1">
    <w:name w:val="xl250"/>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51" w:customStyle="1">
    <w:name w:val="xl251"/>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52" w:customStyle="1">
    <w:name w:val="xl25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3" w:customStyle="1">
    <w:name w:val="xl253"/>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4" w:customStyle="1">
    <w:name w:val="xl254"/>
    <w:basedOn w:val="932"/>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5" w:customStyle="1">
    <w:name w:val="xl255"/>
    <w:basedOn w:val="93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56" w:customStyle="1">
    <w:name w:val="xl256"/>
    <w:basedOn w:val="932"/>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57" w:customStyle="1">
    <w:name w:val="xl25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8" w:customStyle="1">
    <w:name w:val="xl258"/>
    <w:basedOn w:val="932"/>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9" w:customStyle="1">
    <w:name w:val="xl25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0" w:customStyle="1">
    <w:name w:val="xl260"/>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61" w:customStyle="1">
    <w:name w:val="xl261"/>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2" w:customStyle="1">
    <w:name w:val="xl262"/>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3" w:customStyle="1">
    <w:name w:val="xl263"/>
    <w:basedOn w:val="932"/>
    <w:pPr>
      <w:pBdr/>
      <w:shd w:val="clear" w:color="000000" w:fill="ffffff"/>
      <w:spacing w:after="100" w:afterAutospacing="1" w:before="100" w:beforeAutospacing="1"/>
      <w:ind/>
    </w:pPr>
  </w:style>
  <w:style w:type="paragraph" w:styleId="1164" w:customStyle="1">
    <w:name w:val="xl264"/>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5" w:customStyle="1">
    <w:name w:val="xl265"/>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6" w:customStyle="1">
    <w:name w:val="xl26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67" w:customStyle="1">
    <w:name w:val="xl267"/>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8" w:customStyle="1">
    <w:name w:val="xl268"/>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69" w:customStyle="1">
    <w:name w:val="xl269"/>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70" w:customStyle="1">
    <w:name w:val="xl270"/>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1" w:customStyle="1">
    <w:name w:val="xl271"/>
    <w:basedOn w:val="932"/>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72" w:customStyle="1">
    <w:name w:val="xl27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73" w:customStyle="1">
    <w:name w:val="xl273"/>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4" w:customStyle="1">
    <w:name w:val="xl274"/>
    <w:basedOn w:val="932"/>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75" w:customStyle="1">
    <w:name w:val="xl275"/>
    <w:basedOn w:val="932"/>
    <w:pPr>
      <w:pBdr/>
      <w:spacing w:after="100" w:afterAutospacing="1" w:before="100" w:beforeAutospacing="1"/>
      <w:ind/>
    </w:pPr>
  </w:style>
  <w:style w:type="paragraph" w:styleId="1176" w:customStyle="1">
    <w:name w:val="xl27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7" w:customStyle="1">
    <w:name w:val="xl277"/>
    <w:basedOn w:val="932"/>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78" w:customStyle="1">
    <w:name w:val="xl278"/>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9" w:customStyle="1">
    <w:name w:val="xl279"/>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0" w:customStyle="1">
    <w:name w:val="xl280"/>
    <w:basedOn w:val="93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81" w:customStyle="1">
    <w:name w:val="xl281"/>
    <w:basedOn w:val="932"/>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82" w:customStyle="1">
    <w:name w:val="xl282"/>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3" w:customStyle="1">
    <w:name w:val="xl283"/>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4" w:customStyle="1">
    <w:name w:val="xl284"/>
    <w:basedOn w:val="932"/>
    <w:pPr>
      <w:pBdr>
        <w:left w:val="single" w:color="000000" w:sz="4" w:space="0"/>
        <w:bottom w:val="single" w:color="000000" w:sz="4" w:space="0"/>
        <w:right w:val="single" w:color="000000" w:sz="4" w:space="0"/>
      </w:pBdr>
      <w:spacing w:after="100" w:afterAutospacing="1" w:before="100" w:beforeAutospacing="1"/>
      <w:ind/>
    </w:pPr>
  </w:style>
  <w:style w:type="paragraph" w:styleId="1185" w:customStyle="1">
    <w:name w:val="xl285"/>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86" w:customStyle="1">
    <w:name w:val="xl286"/>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87" w:customStyle="1">
    <w:name w:val="xl287"/>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88" w:customStyle="1">
    <w:name w:val="xl288"/>
    <w:basedOn w:val="932"/>
    <w:pPr>
      <w:pBdr>
        <w:top w:val="single" w:color="000000" w:sz="4" w:space="0"/>
        <w:left w:val="single" w:color="000000" w:sz="4" w:space="0"/>
        <w:right w:val="single" w:color="000000" w:sz="4" w:space="0"/>
      </w:pBdr>
      <w:spacing w:after="100" w:afterAutospacing="1" w:before="100" w:beforeAutospacing="1"/>
      <w:ind/>
    </w:pPr>
  </w:style>
  <w:style w:type="paragraph" w:styleId="1189" w:customStyle="1">
    <w:name w:val="xl289"/>
    <w:basedOn w:val="932"/>
    <w:pPr>
      <w:pBdr>
        <w:left w:val="single" w:color="000000" w:sz="4" w:space="0"/>
        <w:right w:val="single" w:color="000000" w:sz="4" w:space="0"/>
      </w:pBdr>
      <w:spacing w:after="100" w:afterAutospacing="1" w:before="100" w:beforeAutospacing="1"/>
      <w:ind/>
    </w:pPr>
    <w:rPr>
      <w:b/>
      <w:bCs/>
    </w:rPr>
  </w:style>
  <w:style w:type="paragraph" w:styleId="1190" w:customStyle="1">
    <w:name w:val="xl290"/>
    <w:basedOn w:val="932"/>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91" w:customStyle="1">
    <w:name w:val="xl291"/>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92" w:customStyle="1">
    <w:name w:val="xl292"/>
    <w:basedOn w:val="932"/>
    <w:pPr>
      <w:pBdr>
        <w:top w:val="single" w:color="000000" w:sz="4" w:space="0"/>
        <w:left w:val="single" w:color="000000" w:sz="4" w:space="0"/>
        <w:right w:val="single" w:color="000000" w:sz="4" w:space="0"/>
      </w:pBdr>
      <w:spacing w:after="100" w:afterAutospacing="1" w:before="100" w:beforeAutospacing="1"/>
      <w:ind/>
    </w:pPr>
  </w:style>
  <w:style w:type="paragraph" w:styleId="1193" w:customStyle="1">
    <w:name w:val="xl293"/>
    <w:basedOn w:val="932"/>
    <w:pPr>
      <w:pBdr>
        <w:left w:val="single" w:color="000000" w:sz="4" w:space="0"/>
        <w:bottom w:val="single" w:color="000000" w:sz="4" w:space="0"/>
        <w:right w:val="single" w:color="000000" w:sz="4" w:space="0"/>
      </w:pBdr>
      <w:spacing w:after="100" w:afterAutospacing="1" w:before="100" w:beforeAutospacing="1"/>
      <w:ind/>
    </w:pPr>
  </w:style>
  <w:style w:type="paragraph" w:styleId="1194" w:customStyle="1">
    <w:name w:val="xl294"/>
    <w:basedOn w:val="93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95">
    <w:name w:val="Title"/>
    <w:basedOn w:val="932"/>
    <w:link w:val="1196"/>
    <w:qFormat/>
    <w:pPr>
      <w:pBdr/>
      <w:spacing/>
      <w:ind/>
      <w:jc w:val="center"/>
    </w:pPr>
    <w:rPr>
      <w:b/>
      <w:bCs/>
      <w:sz w:val="32"/>
      <w:szCs w:val="26"/>
    </w:rPr>
  </w:style>
  <w:style w:type="character" w:styleId="1196" w:customStyle="1">
    <w:name w:val="Title Char"/>
    <w:basedOn w:val="942"/>
    <w:link w:val="1195"/>
    <w:pPr>
      <w:pBdr/>
      <w:spacing/>
      <w:ind/>
    </w:pPr>
    <w:rPr>
      <w:rFonts w:ascii="Times New Roman" w:hAnsi="Times New Roman" w:eastAsia="Times New Roman" w:cs="Times New Roman"/>
      <w:b/>
      <w:bCs/>
      <w:sz w:val="32"/>
      <w:szCs w:val="26"/>
    </w:rPr>
  </w:style>
  <w:style w:type="character" w:styleId="1197" w:customStyle="1">
    <w:name w:val="Unresolved Mention1"/>
    <w:basedOn w:val="942"/>
    <w:uiPriority w:val="99"/>
    <w:semiHidden/>
    <w:unhideWhenUsed/>
    <w:pPr>
      <w:pBdr/>
      <w:spacing/>
      <w:ind/>
    </w:pPr>
    <w:rPr>
      <w:color w:val="605e5c"/>
      <w:shd w:val="clear" w:color="auto" w:fill="e1dfdd"/>
    </w:rPr>
  </w:style>
  <w:style w:type="character" w:styleId="1198" w:customStyle="1">
    <w:name w:val="Body text (3)_"/>
    <w:link w:val="1199"/>
    <w:pPr>
      <w:pBdr/>
      <w:spacing/>
      <w:ind/>
    </w:pPr>
    <w:rPr>
      <w:rFonts w:ascii="Times New Roman" w:hAnsi="Times New Roman" w:cs="Times New Roman"/>
      <w:i/>
      <w:iCs/>
      <w:spacing w:val="4"/>
      <w:shd w:val="clear" w:color="auto" w:fill="ffffff"/>
    </w:rPr>
  </w:style>
  <w:style w:type="paragraph" w:styleId="1199" w:customStyle="1">
    <w:name w:val="Body text (3)1"/>
    <w:basedOn w:val="932"/>
    <w:link w:val="119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200" w:customStyle="1">
    <w:name w:val="t-j"/>
    <w:basedOn w:val="932"/>
    <w:pPr>
      <w:pBdr/>
      <w:spacing w:after="100" w:afterAutospacing="1" w:before="100" w:beforeAutospacing="1"/>
      <w:ind/>
    </w:pPr>
  </w:style>
  <w:style w:type="character" w:styleId="1201" w:customStyle="1">
    <w:name w:val="Unresolved Mention2"/>
    <w:basedOn w:val="942"/>
    <w:uiPriority w:val="99"/>
    <w:semiHidden/>
    <w:unhideWhenUsed/>
    <w:pPr>
      <w:pBdr/>
      <w:spacing/>
      <w:ind/>
    </w:pPr>
    <w:rPr>
      <w:color w:val="605e5c"/>
      <w:shd w:val="clear" w:color="auto" w:fill="e1dfdd"/>
    </w:rPr>
  </w:style>
  <w:style w:type="character" w:styleId="1202">
    <w:name w:val="FollowedHyperlink"/>
    <w:basedOn w:val="942"/>
    <w:uiPriority w:val="99"/>
    <w:semiHidden/>
    <w:unhideWhenUsed/>
    <w:pPr>
      <w:pBdr/>
      <w:spacing/>
      <w:ind/>
    </w:pPr>
    <w:rPr>
      <w:color w:val="800080" w:themeColor="followedHyperlink"/>
      <w:u w:val="single"/>
    </w:rPr>
  </w:style>
  <w:style w:type="character" w:styleId="1203" w:customStyle="1">
    <w:name w:val="text"/>
    <w:basedOn w:val="942"/>
    <w:pPr>
      <w:pBdr/>
      <w:spacing/>
      <w:ind/>
    </w:pPr>
  </w:style>
  <w:style w:type="character" w:styleId="1204" w:customStyle="1">
    <w:name w:val="card-send-time__sendtime"/>
    <w:basedOn w:val="942"/>
    <w:pPr>
      <w:pBdr/>
      <w:spacing/>
      <w:ind/>
    </w:pPr>
  </w:style>
  <w:style w:type="character" w:styleId="1205" w:customStyle="1">
    <w:name w:val="Đề cập Chưa giải quyết1"/>
    <w:basedOn w:val="942"/>
    <w:uiPriority w:val="99"/>
    <w:semiHidden/>
    <w:unhideWhenUsed/>
    <w:pPr>
      <w:pBdr/>
      <w:spacing/>
      <w:ind/>
    </w:pPr>
    <w:rPr>
      <w:color w:val="605e5c"/>
      <w:shd w:val="clear" w:color="auto" w:fill="e1dfdd"/>
    </w:rPr>
  </w:style>
  <w:style w:type="paragraph" w:styleId="1206" w:customStyle="1">
    <w:name w:val="nqtitle"/>
    <w:basedOn w:val="932"/>
    <w:pPr>
      <w:pBdr/>
      <w:spacing w:after="100" w:afterAutospacing="1" w:before="100" w:beforeAutospacing="1"/>
      <w:ind/>
    </w:pPr>
    <w:rPr>
      <w:lang w:val="vi-VN" w:eastAsia="vi-VN"/>
    </w:rPr>
  </w:style>
  <w:style w:type="character" w:styleId="1207" w:customStyle="1">
    <w:name w:val="List Paragraph Char"/>
    <w:link w:val="1120"/>
    <w:uiPriority w:val="34"/>
    <w:qFormat/>
    <w:pPr>
      <w:pBdr/>
      <w:spacing/>
      <w:ind/>
    </w:pPr>
    <w:rPr>
      <w:rFonts w:ascii="Times New Roman" w:hAnsi="Times New Roman" w:eastAsia="Times New Roman" w:cs="Times New Roman"/>
      <w:sz w:val="24"/>
      <w:szCs w:val="24"/>
    </w:rPr>
  </w:style>
  <w:style w:type="character" w:styleId="1208" w:customStyle="1">
    <w:name w:val="Đề cập Chưa giải quyết2"/>
    <w:basedOn w:val="942"/>
    <w:uiPriority w:val="99"/>
    <w:semiHidden/>
    <w:unhideWhenUsed/>
    <w:pPr>
      <w:pBdr/>
      <w:spacing/>
      <w:ind/>
    </w:pPr>
    <w:rPr>
      <w:color w:val="605e5c"/>
      <w:shd w:val="clear" w:color="auto" w:fill="e1dfdd"/>
    </w:rPr>
  </w:style>
  <w:style w:type="character" w:styleId="1209" w:customStyle="1">
    <w:name w:val="Unresolved Mention3"/>
    <w:basedOn w:val="942"/>
    <w:uiPriority w:val="99"/>
    <w:semiHidden/>
    <w:unhideWhenUsed/>
    <w:pPr>
      <w:pBdr/>
      <w:spacing/>
      <w:ind/>
    </w:pPr>
    <w:rPr>
      <w:color w:val="605e5c"/>
      <w:shd w:val="clear" w:color="auto" w:fill="e1dfdd"/>
    </w:rPr>
  </w:style>
  <w:style w:type="character" w:styleId="1210" w:customStyle="1">
    <w:name w:val="copy"/>
    <w:basedOn w:val="942"/>
    <w:pPr>
      <w:pBdr/>
      <w:spacing/>
      <w:ind/>
    </w:pPr>
  </w:style>
  <w:style w:type="paragraph" w:styleId="1211" w:customStyle="1">
    <w:name w:val="align-justify"/>
    <w:basedOn w:val="932"/>
    <w:pPr>
      <w:pBdr/>
      <w:spacing w:after="100" w:afterAutospacing="1" w:before="100" w:beforeAutospacing="1"/>
      <w:ind/>
    </w:pPr>
  </w:style>
  <w:style w:type="character" w:styleId="1212" w:customStyle="1">
    <w:name w:val="btn"/>
    <w:basedOn w:val="942"/>
    <w:pPr>
      <w:pBdr/>
      <w:spacing/>
      <w:ind/>
    </w:pPr>
  </w:style>
  <w:style w:type="character" w:styleId="1213" w:customStyle="1">
    <w:name w:val="hide_mobile"/>
    <w:basedOn w:val="942"/>
    <w:pPr>
      <w:pBdr/>
      <w:spacing/>
      <w:ind/>
    </w:pPr>
  </w:style>
  <w:style w:type="character" w:styleId="1214">
    <w:name w:val="Emphasis"/>
    <w:basedOn w:val="942"/>
    <w:uiPriority w:val="20"/>
    <w:qFormat/>
    <w:pPr>
      <w:pBdr/>
      <w:spacing/>
      <w:ind/>
    </w:pPr>
    <w:rPr>
      <w:i/>
      <w:iCs/>
    </w:rPr>
  </w:style>
  <w:style w:type="character" w:styleId="1215" w:customStyle="1">
    <w:name w:val="t1"/>
    <w:basedOn w:val="942"/>
    <w:pPr>
      <w:pBdr/>
      <w:spacing/>
      <w:ind/>
    </w:pPr>
  </w:style>
  <w:style w:type="character" w:styleId="1216" w:customStyle="1">
    <w:name w:val="Unresolved Mention4"/>
    <w:basedOn w:val="942"/>
    <w:uiPriority w:val="99"/>
    <w:semiHidden/>
    <w:unhideWhenUsed/>
    <w:pPr>
      <w:pBdr/>
      <w:spacing/>
      <w:ind/>
    </w:pPr>
    <w:rPr>
      <w:color w:val="605e5c"/>
      <w:shd w:val="clear" w:color="auto" w:fill="e1dfdd"/>
    </w:rPr>
  </w:style>
  <w:style w:type="character" w:styleId="1217">
    <w:name w:val="Unresolved Mention"/>
    <w:basedOn w:val="94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alphanamfamily.com/tin-tuc/5-yeu-to-tao-suc-hut-cho-m-landmark-residences-da-nang" TargetMode="External"/><Relationship Id="rId18" Type="http://schemas.openxmlformats.org/officeDocument/2006/relationships/image" Target="media/image3.gif"/><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Khánh Hà</cp:lastModifiedBy>
  <cp:revision>36</cp:revision>
  <dcterms:created xsi:type="dcterms:W3CDTF">2026-06-19T03:43:00Z</dcterms:created>
  <dcterms:modified xsi:type="dcterms:W3CDTF">2026-09-23T05:13:56Z</dcterms:modified>
</cp:coreProperties>
</file>