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6016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016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rFonts w:ascii="Times New Roman" w:hAnsi="Times New Roman" w:eastAsia="Times New Roman" w:cs="Times New Roman"/>
                                <w:b/>
                                <w:color w:val="000000"/>
                                <w:sz w:val="24"/>
                              </w:rPr>
                              <w:t xml:space="preserve">275/2026/1329/VFI-CT.44.A </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Ông </w:t>
                            </w:r>
                            <w:r>
                              <w:rPr>
                                <w:rFonts w:ascii="Times New Roman Bold" w:hAnsi="Times New Roman Bold"/>
                                <w:b/>
                                <w:color w:val="000000" w:themeColor="text1"/>
                                <w:lang w:val="pt-BR"/>
                              </w:rPr>
                              <w:t xml:space="preserve">Ngô Hữu Biên</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rFonts w:ascii="Times New Roman" w:hAnsi="Times New Roman" w:eastAsia="Times New Roman" w:cs="Times New Roman"/>
                                <w:color w:val="000000"/>
                                <w:sz w:val="24"/>
                                <w:highlight w:val="white"/>
                              </w:rPr>
                              <w:t xml:space="preserve">Quyền sở hữu Căn hộ chung cư số 1902, địa chỉ: Tòa Park 9, Khu đô thị Vinhomes Times City Park Hill, số 25, ngõ 13, đường Lĩnh Nam, Phường Mai Động, Quận Hoàng Mai (</w:t>
                            </w:r>
                            <w:r>
                              <w:rPr>
                                <w:rFonts w:ascii="Times New Roman" w:hAnsi="Times New Roman" w:eastAsia="Times New Roman" w:cs="Times New Roman"/>
                                <w:i/>
                                <w:color w:val="000000"/>
                                <w:sz w:val="24"/>
                                <w:highlight w:val="white"/>
                              </w:rPr>
                              <w:t xml:space="preserve">nay là Phường Vĩnh Tuy</w:t>
                            </w:r>
                            <w:r>
                              <w:rPr>
                                <w:rFonts w:ascii="Times New Roman" w:hAnsi="Times New Roman" w:eastAsia="Times New Roman" w:cs="Times New Roman"/>
                                <w:color w:val="000000"/>
                                <w:sz w:val="24"/>
                                <w:highlight w:val="white"/>
                              </w:rPr>
                              <w:t xml:space="preserve">), Thành phố Hà Nội theo Giấy chứng nhận Quyền sử dụng đất, quyền sở hữu nhà ở và tài sản khác gắn liền với đất số: CM 288331; Số vào sổ cấp GCN: CS 20828 d</w:t>
                            </w:r>
                            <w:r>
                              <w:rPr>
                                <w:rFonts w:ascii="Times New Roman" w:hAnsi="Times New Roman" w:eastAsia="Times New Roman" w:cs="Times New Roman"/>
                                <w:color w:val="ff0000"/>
                                <w:sz w:val="24"/>
                                <w:highlight w:val="white"/>
                              </w:rPr>
                              <w:t xml:space="preserve">o Sở Tài nguyên và Môi trường thành phố Hà Nội cấp ngày 14/5/201</w:t>
                            </w:r>
                            <w:r>
                              <w:rPr>
                                <w:rFonts w:ascii="Times New Roman" w:hAnsi="Times New Roman" w:eastAsia="Times New Roman" w:cs="Times New Roman"/>
                                <w:color w:val="000000"/>
                                <w:sz w:val="24"/>
                                <w:highlight w:val="white"/>
                              </w:rPr>
                              <w:t xml:space="preserve">8; Chủ sở hữu căn hộ chung cư là Ông Ngô Hữu Biên.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83.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rFonts w:ascii="Times New Roman" w:hAnsi="Times New Roman" w:eastAsia="Times New Roman" w:cs="Times New Roman"/>
                          <w:b/>
                          <w:color w:val="000000"/>
                          <w:sz w:val="24"/>
                        </w:rPr>
                        <w:t xml:space="preserve">275/2026/1329/VFI-CT.44.A </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Ông </w:t>
                      </w:r>
                      <w:r>
                        <w:rPr>
                          <w:rFonts w:ascii="Times New Roman Bold" w:hAnsi="Times New Roman Bold"/>
                          <w:b/>
                          <w:color w:val="000000" w:themeColor="text1"/>
                          <w:lang w:val="pt-BR"/>
                        </w:rPr>
                        <w:t xml:space="preserve">Ngô Hữu Biên</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rFonts w:ascii="Times New Roman" w:hAnsi="Times New Roman" w:eastAsia="Times New Roman" w:cs="Times New Roman"/>
                          <w:color w:val="000000"/>
                          <w:sz w:val="24"/>
                          <w:highlight w:val="white"/>
                        </w:rPr>
                        <w:t xml:space="preserve">Quyền sở hữu Căn hộ chung cư số 1902, địa chỉ: Tòa Park 9, Khu đô thị Vinhomes Times City Park Hill, số 25, ngõ 13, đường Lĩnh Nam, Phường Mai Động, Quận Hoàng Mai (</w:t>
                      </w:r>
                      <w:r>
                        <w:rPr>
                          <w:rFonts w:ascii="Times New Roman" w:hAnsi="Times New Roman" w:eastAsia="Times New Roman" w:cs="Times New Roman"/>
                          <w:i/>
                          <w:color w:val="000000"/>
                          <w:sz w:val="24"/>
                          <w:highlight w:val="white"/>
                        </w:rPr>
                        <w:t xml:space="preserve">nay là Phường Vĩnh Tuy</w:t>
                      </w:r>
                      <w:r>
                        <w:rPr>
                          <w:rFonts w:ascii="Times New Roman" w:hAnsi="Times New Roman" w:eastAsia="Times New Roman" w:cs="Times New Roman"/>
                          <w:color w:val="000000"/>
                          <w:sz w:val="24"/>
                          <w:highlight w:val="white"/>
                        </w:rPr>
                        <w:t xml:space="preserve">), Thành phố Hà Nội theo Giấy chứng nhận Quyền sử dụng đất, quyền sở hữu nhà ở và tài sản khác gắn liền với đất số: CM 288331; Số vào sổ cấp GCN: CS 20828 d</w:t>
                      </w:r>
                      <w:r>
                        <w:rPr>
                          <w:rFonts w:ascii="Times New Roman" w:hAnsi="Times New Roman" w:eastAsia="Times New Roman" w:cs="Times New Roman"/>
                          <w:color w:val="ff0000"/>
                          <w:sz w:val="24"/>
                          <w:highlight w:val="white"/>
                        </w:rPr>
                        <w:t xml:space="preserve">o Sở Tài nguyên và Môi trường thành phố Hà Nội cấp ngày 14/5/201</w:t>
                      </w:r>
                      <w:r>
                        <w:rPr>
                          <w:rFonts w:ascii="Times New Roman" w:hAnsi="Times New Roman" w:eastAsia="Times New Roman" w:cs="Times New Roman"/>
                          <w:color w:val="000000"/>
                          <w:sz w:val="24"/>
                          <w:highlight w:val="white"/>
                        </w:rPr>
                        <w:t xml:space="preserve">8; Chủ sở hữu căn hộ chung cư là Ông Ngô Hữu Biên.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Style w:val="1148"/>
        <w:tblInd w:w="93" w:type="dxa"/>
        <w:tblW w:w="0" w:type="auto"/>
        <w:tblCellMar>
          <w:left w:w="10" w:type="dxa"/>
          <w:top w:w="0" w:type="dxa"/>
          <w:right w:w="1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280"/>
        <w:gridCol w:w="1520"/>
      </w:tblGrid>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highlight w:val="white"/>
                <w:u w:val="single"/>
              </w:rPr>
              <w:t xml:space="preserve">NỘI DUNG</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highlight w:val="white"/>
                <w:u w:val="single"/>
              </w:rPr>
              <w:t xml:space="preserve">TRANG</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highlight w:val="white"/>
              </w:rPr>
              <w:t xml:space="preserve">Chứng thư thẩm định giá</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highlight w:val="white"/>
              </w:rPr>
              <w:t xml:space="preserve">1-3</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highlight w:val="white"/>
              </w:rPr>
              <w:t xml:space="preserve">Báo cáo thẩm định giá</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highlight w:val="white"/>
              </w:rPr>
              <w:t xml:space="preserve">4-2</w:t>
            </w:r>
            <w:r>
              <w:rPr>
                <w:rFonts w:ascii="Times New Roman" w:hAnsi="Times New Roman" w:eastAsia="Times New Roman" w:cs="Times New Roman"/>
                <w:b/>
                <w:color w:val="000000"/>
                <w:sz w:val="24"/>
                <w:highlight w:val="none"/>
              </w:rPr>
              <w:t xml:space="preserve">0</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highlight w:val="white"/>
              </w:rPr>
              <w:t xml:space="preserve">Các phụ lục chi tiết kèm theo</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highlight w:val="white"/>
              </w:rPr>
              <w:t xml:space="preserve"> </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Phụ lục 1: Thông tin hiện trạng</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21</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Phụ lục 2: Thông tin thu thập thị trường + Hồ sơ pháp lý + BBKS</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22</w:t>
            </w:r>
            <w:r>
              <w:rPr>
                <w:rFonts w:ascii="Times New Roman" w:hAnsi="Times New Roman" w:eastAsia="Times New Roman" w:cs="Times New Roman"/>
                <w:b/>
                <w:color w:val="000000"/>
                <w:sz w:val="24"/>
                <w:highlight w:val="white"/>
              </w:rPr>
              <w:t xml:space="preserve">-</w:t>
            </w:r>
            <w:r>
              <w:rPr>
                <w:rFonts w:ascii="Times New Roman" w:hAnsi="Times New Roman" w:eastAsia="Times New Roman" w:cs="Times New Roman"/>
                <w:b/>
                <w:color w:val="000000"/>
                <w:sz w:val="24"/>
              </w:rPr>
              <w:t xml:space="preserve">30</w:t>
            </w:r>
            <w:r/>
          </w:p>
        </w:tc>
      </w:tr>
    </w:tbl>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43"/>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Style w:val="1148"/>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542"/>
        <w:gridCol w:w="3073"/>
        <w:gridCol w:w="5193"/>
        <w:gridCol w:w="142"/>
      </w:tblGrid>
      <w:tr>
        <w:trPr>
          <w:trHeight w:val="1123"/>
        </w:trPr>
        <w:tc>
          <w:tcPr>
            <w:tcBorders/>
            <w:tcMar>
              <w:left w:w="108" w:type="dxa"/>
              <w:top w:w="0" w:type="dxa"/>
              <w:right w:w="108" w:type="dxa"/>
              <w:bottom w:w="0" w:type="dxa"/>
            </w:tcMar>
            <w:tcW w:w="1542"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pPr>
            <w:r>
              <mc:AlternateContent>
                <mc:Choice Requires="wpg">
                  <w:drawing>
                    <wp:inline xmlns:wp="http://schemas.openxmlformats.org/drawingml/2006/wordprocessingDrawing" distT="0" distB="0" distL="0" distR="0">
                      <wp:extent cx="1019175" cy="923925"/>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131286" name=""/>
                              <pic:cNvPicPr>
                                <a:picLocks noChangeAspect="1"/>
                              </pic:cNvPicPr>
                              <pic:nvPr/>
                            </pic:nvPicPr>
                            <pic:blipFill rotWithShape="1">
                              <a:blip r:embed="rId14"/>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25pt;height:72.75pt;mso-wrap-distance-left:0.00pt;mso-wrap-distance-top:0.00pt;mso-wrap-distance-right:0.00pt;mso-wrap-distance-bottom:0.00pt;z-index:1;" stroked="false">
                      <v:imagedata r:id="rId14" o:title=""/>
                      <o:lock v:ext="edit" rotation="t"/>
                    </v:shape>
                  </w:pict>
                </mc:Fallback>
              </mc:AlternateContent>
            </w:r>
            <w:r/>
          </w:p>
        </w:tc>
        <w:tc>
          <w:tcPr>
            <w:gridSpan w:val="3"/>
            <w:tcBorders/>
            <w:tcMar>
              <w:left w:w="108" w:type="dxa"/>
              <w:top w:w="0" w:type="dxa"/>
              <w:right w:w="108" w:type="dxa"/>
              <w:bottom w:w="0" w:type="dxa"/>
            </w:tcMar>
            <w:tcW w:w="8408"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highlight w:val="white"/>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28" w:firstLine="0" w:left="0"/>
              <w:jc w:val="both"/>
              <w:rPr/>
            </w:pPr>
            <w:r>
              <w:rPr>
                <w:rFonts w:ascii="Times New Roman" w:hAnsi="Times New Roman" w:eastAsia="Times New Roman" w:cs="Times New Roman"/>
                <w:color w:val="000000"/>
                <w:sz w:val="24"/>
                <w:highlight w:val="white"/>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highlight w:val="white"/>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highlight w:val="white"/>
              </w:rPr>
              <w:t xml:space="preserve">Email: </w:t>
              <w:tab/>
            </w:r>
            <w:hyperlink r:id="rId15" w:tooltip="mailto:ilotus.contact@gmail.com" w:history="1">
              <w:r>
                <w:rPr>
                  <w:rStyle w:val="1134"/>
                  <w:rFonts w:ascii="Times New Roman" w:hAnsi="Times New Roman" w:eastAsia="Times New Roman" w:cs="Times New Roman"/>
                  <w:color w:val="000000"/>
                  <w:sz w:val="24"/>
                  <w:highlight w:val="white"/>
                  <w:u w:val="none"/>
                </w:rPr>
                <w:t xml:space="preserve">ilotus.contact@gmail.com</w:t>
              </w:r>
            </w:hyperlink>
            <w:r>
              <w:rPr>
                <w:rFonts w:ascii="Times New Roman" w:hAnsi="Times New Roman" w:eastAsia="Times New Roman" w:cs="Times New Roman"/>
                <w:color w:val="000000"/>
                <w:sz w:val="24"/>
                <w:highlight w:val="white"/>
              </w:rPr>
              <w:t xml:space="preserve">                         Website: ilotus.com.vn</w:t>
            </w:r>
            <w:r/>
          </w:p>
        </w:tc>
      </w:tr>
      <w:tr>
        <w:trPr>
          <w:gridAfter w:val="1"/>
          <w:trHeight w:val="432"/>
        </w:trPr>
        <w:tc>
          <w:tcPr>
            <w:gridSpan w:val="2"/>
            <w:tcBorders/>
            <w:tcMar>
              <w:left w:w="108" w:type="dxa"/>
              <w:top w:w="0" w:type="dxa"/>
              <w:right w:w="108" w:type="dxa"/>
              <w:bottom w:w="0" w:type="dxa"/>
            </w:tcMar>
            <w:tcW w:w="4615"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highlight w:val="white"/>
              </w:rPr>
              <w:t xml:space="preserve">Số: 275/2026/1329/VFI-CT.44.A</w:t>
            </w:r>
            <w:r/>
          </w:p>
        </w:tc>
        <w:tc>
          <w:tcPr>
            <w:tcBorders/>
            <w:tcMar>
              <w:left w:w="108" w:type="dxa"/>
              <w:top w:w="0" w:type="dxa"/>
              <w:right w:w="108" w:type="dxa"/>
              <w:bottom w:w="0" w:type="dxa"/>
            </w:tcMar>
            <w:tcW w:w="5193"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highlight w:val="white"/>
              </w:rPr>
              <w:t xml:space="preserve">TP. Hà Nội, ngày 24 tháng 8 năm 2026</w:t>
            </w:r>
            <w:r/>
          </w:p>
        </w:tc>
      </w:tr>
      <w:tr>
        <w:trPr/>
        <w:tc>
          <w:tcPr>
            <w:tcBorders/>
            <w:tcMar>
              <w:left w:w="0" w:type="dxa"/>
              <w:top w:w="0" w:type="dxa"/>
              <w:right w:w="0" w:type="dxa"/>
              <w:bottom w:w="0" w:type="dxa"/>
            </w:tcMar>
            <w:tcW w:w="1542"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3073"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5193"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42"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after="120" w:before="200" w:line="288" w:lineRule="auto"/>
        <w:ind w:right="0" w:firstLine="0" w:left="0"/>
        <w:jc w:val="center"/>
        <w:rPr/>
      </w:pPr>
      <w:r>
        <w:rPr>
          <w:rFonts w:ascii="Times New Roman" w:hAnsi="Times New Roman" w:eastAsia="Times New Roman" w:cs="Times New Roman"/>
          <w:b/>
          <w:color w:val="000000"/>
          <w:sz w:val="30"/>
          <w:highlight w:val="white"/>
        </w:rPr>
        <w:t xml:space="preserve">CHỨNG THƯ THẨM ĐỊNH GIÁ</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highlight w:val="white"/>
          <w:u w:val="single"/>
        </w:rPr>
        <w:t xml:space="preserve">Kính gửi</w:t>
      </w:r>
      <w:r>
        <w:rPr>
          <w:rFonts w:ascii="Times New Roman" w:hAnsi="Times New Roman" w:eastAsia="Times New Roman" w:cs="Times New Roman"/>
          <w:b/>
          <w:color w:val="000000"/>
          <w:sz w:val="24"/>
          <w:highlight w:val="white"/>
        </w:rPr>
        <w:t xml:space="preserve">: Ông Ngô Hữu Biên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highlight w:val="white"/>
        </w:rPr>
        <w:t xml:space="preserve">Căn cứ Hợp đồng dịch vụ thẩm định giá số: </w:t>
      </w:r>
      <w:r>
        <w:rPr>
          <w:rFonts w:ascii="Times New Roman" w:hAnsi="Times New Roman" w:eastAsia="Times New Roman" w:cs="Times New Roman"/>
          <w:color w:val="000000"/>
          <w:spacing w:val="-4"/>
          <w:sz w:val="24"/>
          <w:highlight w:val="white"/>
        </w:rPr>
        <w:t xml:space="preserve">275/2026/1329/VFI-HĐTĐ.44.A</w:t>
      </w:r>
      <w:r>
        <w:rPr>
          <w:rFonts w:ascii="Times New Roman" w:hAnsi="Times New Roman" w:eastAsia="Times New Roman" w:cs="Times New Roman"/>
          <w:color w:val="000000"/>
          <w:spacing w:val="-2"/>
          <w:sz w:val="24"/>
          <w:highlight w:val="white"/>
        </w:rPr>
        <w:t xml:space="preserve"> ký </w:t>
      </w:r>
      <w:r>
        <w:rPr>
          <w:rFonts w:ascii="Times New Roman" w:hAnsi="Times New Roman" w:eastAsia="Times New Roman" w:cs="Times New Roman"/>
          <w:color w:val="000000"/>
          <w:spacing w:val="-4"/>
          <w:sz w:val="24"/>
          <w:highlight w:val="white"/>
        </w:rPr>
        <w:t xml:space="preserve">18 tháng 8 năm 2026 </w:t>
      </w:r>
      <w:r>
        <w:rPr>
          <w:rFonts w:ascii="Times New Roman" w:hAnsi="Times New Roman" w:eastAsia="Times New Roman" w:cs="Times New Roman"/>
          <w:color w:val="000000"/>
          <w:spacing w:val="-2"/>
          <w:sz w:val="24"/>
          <w:highlight w:val="white"/>
        </w:rPr>
        <w:t xml:space="preserve">giữa </w:t>
      </w:r>
      <w:r>
        <w:rPr>
          <w:rFonts w:ascii="Times New Roman" w:hAnsi="Times New Roman" w:eastAsia="Times New Roman" w:cs="Times New Roman"/>
          <w:color w:val="000000"/>
          <w:spacing w:val="-4"/>
          <w:sz w:val="24"/>
          <w:highlight w:val="white"/>
        </w:rPr>
        <w:t xml:space="preserve">Ông Ngô Hữu Biên</w:t>
      </w:r>
      <w:r>
        <w:rPr>
          <w:rFonts w:ascii="Times New Roman" w:hAnsi="Times New Roman" w:eastAsia="Times New Roman" w:cs="Times New Roman"/>
          <w:color w:val="000000"/>
          <w:spacing w:val="-2"/>
          <w:sz w:val="24"/>
          <w:highlight w:val="white"/>
        </w:rPr>
        <w:t xml:space="preserve"> với </w:t>
      </w:r>
      <w:r>
        <w:rPr>
          <w:rFonts w:ascii="Times New Roman" w:hAnsi="Times New Roman" w:eastAsia="Times New Roman" w:cs="Times New Roman"/>
          <w:color w:val="000000"/>
          <w:spacing w:val="-4"/>
          <w:sz w:val="24"/>
          <w:highlight w:val="white"/>
        </w:rPr>
        <w:t xml:space="preserve">Công ty Cổ phần Thẩm định và Đầu tư Tài chính Hoa Sen</w:t>
      </w:r>
      <w:r>
        <w:rPr>
          <w:rFonts w:ascii="Times New Roman" w:hAnsi="Times New Roman" w:eastAsia="Times New Roman" w:cs="Times New Roman"/>
          <w:color w:val="000000"/>
          <w:spacing w:val="-2"/>
          <w:sz w:val="24"/>
          <w:highlight w:val="white"/>
        </w:rPr>
        <w:t xml:space="preserve">;</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rPr/>
      </w:pPr>
      <w:r>
        <w:rPr>
          <w:rFonts w:ascii="Times New Roman" w:hAnsi="Times New Roman" w:eastAsia="Times New Roman" w:cs="Times New Roman"/>
          <w:color w:val="000000"/>
          <w:spacing w:val="-2"/>
          <w:sz w:val="24"/>
          <w:highlight w:val="white"/>
        </w:rPr>
        <w:t xml:space="preserve">Căn cứ Báo cáo thẩm định giá số 275/2026/1329/VFI-BC.44.A ngày</w:t>
      </w:r>
      <w:r>
        <w:rPr>
          <w:rFonts w:ascii="Times New Roman" w:hAnsi="Times New Roman" w:eastAsia="Times New Roman" w:cs="Times New Roman"/>
          <w:color w:val="00b050"/>
          <w:spacing w:val="-2"/>
          <w:sz w:val="24"/>
          <w:highlight w:val="white"/>
        </w:rPr>
        <w:t xml:space="preserve"> </w:t>
      </w:r>
      <w:r>
        <w:rPr>
          <w:rFonts w:ascii="Times New Roman" w:hAnsi="Times New Roman" w:eastAsia="Times New Roman" w:cs="Times New Roman"/>
          <w:color w:val="000000"/>
          <w:spacing w:val="-2"/>
          <w:sz w:val="24"/>
          <w:highlight w:val="white"/>
        </w:rPr>
        <w:t xml:space="preserve">24 tháng 8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rPr/>
      </w:pPr>
      <w:r>
        <w:rPr>
          <w:rFonts w:ascii="Times New Roman" w:hAnsi="Times New Roman" w:eastAsia="Times New Roman" w:cs="Times New Roman"/>
          <w:color w:val="000000"/>
          <w:sz w:val="24"/>
          <w:highlight w:val="white"/>
        </w:rPr>
        <w:t xml:space="preserve">Công ty Cổ phần Thẩm định và Đầu tư Tài chính Hoa Sen cung cấp Chứng thư thẩm định giá tài sản với nội dung sau:</w:t>
      </w:r>
      <w:r/>
    </w:p>
    <w:p>
      <w:pPr>
        <w:pBdr>
          <w:top w:val="none" w:color="000000" w:sz="4" w:space="0"/>
          <w:left w:val="none" w:color="000000" w:sz="4" w:space="0"/>
          <w:bottom w:val="none" w:color="000000" w:sz="4" w:space="0"/>
          <w:right w:val="none" w:color="000000" w:sz="4" w:space="0"/>
        </w:pBdr>
        <w:tabs>
          <w:tab w:val="left" w:leader="none" w:pos="851"/>
        </w:tabs>
        <w:spacing w:after="120" w:before="120" w:line="288" w:lineRule="auto"/>
        <w:ind w:right="0" w:firstLine="0" w:left="0"/>
        <w:jc w:val="both"/>
        <w:rPr/>
      </w:pPr>
      <w:r>
        <w:rPr>
          <w:rFonts w:ascii="Times New Roman" w:hAnsi="Times New Roman" w:eastAsia="Times New Roman" w:cs="Times New Roman"/>
          <w:b/>
          <w:color w:val="000000"/>
          <w:sz w:val="24"/>
          <w:highlight w:val="white"/>
        </w:rPr>
        <w:t xml:space="preserve">1.Khách hàng yêu cầu thẩm định giá:</w:t>
      </w:r>
      <w:r/>
    </w:p>
    <w:tbl>
      <w:tblPr>
        <w:tblStyle w:val="1148"/>
        <w:tblInd w:w="0" w:type="dxa"/>
        <w:tblW w:w="475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254"/>
        <w:gridCol w:w="250"/>
        <w:gridCol w:w="6632"/>
      </w:tblGrid>
      <w:tr>
        <w:trPr>
          <w:trHeight w:val="20"/>
        </w:trPr>
        <w:tc>
          <w:tcPr>
            <w:tcBorders/>
            <w:tcMar>
              <w:left w:w="108" w:type="dxa"/>
              <w:top w:w="0" w:type="dxa"/>
              <w:right w:w="108" w:type="dxa"/>
              <w:bottom w:w="0" w:type="dxa"/>
            </w:tcMar>
            <w:tcW w:w="22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Tên khách hàng</w:t>
            </w:r>
            <w:r/>
          </w:p>
        </w:tc>
        <w:tc>
          <w:tcPr>
            <w:tcBorders/>
            <w:tcMar>
              <w:left w:w="108" w:type="dxa"/>
              <w:top w:w="0" w:type="dxa"/>
              <w:right w:w="108" w:type="dxa"/>
              <w:bottom w:w="0" w:type="dxa"/>
            </w:tcMar>
            <w:tcW w:w="2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Ông Ngô Hữu Biên</w:t>
            </w:r>
            <w:r/>
          </w:p>
        </w:tc>
      </w:tr>
      <w:tr>
        <w:trPr>
          <w:trHeight w:val="20"/>
        </w:trPr>
        <w:tc>
          <w:tcPr>
            <w:tcBorders/>
            <w:tcMar>
              <w:left w:w="108" w:type="dxa"/>
              <w:top w:w="0" w:type="dxa"/>
              <w:right w:w="108" w:type="dxa"/>
              <w:bottom w:w="0" w:type="dxa"/>
            </w:tcMar>
            <w:tcW w:w="22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CCCD:</w:t>
            </w:r>
            <w:r/>
          </w:p>
        </w:tc>
        <w:tc>
          <w:tcPr>
            <w:tcBorders/>
            <w:tcMar>
              <w:left w:w="108" w:type="dxa"/>
              <w:top w:w="0" w:type="dxa"/>
              <w:right w:w="108" w:type="dxa"/>
              <w:bottom w:w="0" w:type="dxa"/>
            </w:tcMar>
            <w:tcW w:w="2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027082003212</w:t>
            </w:r>
            <w:r/>
          </w:p>
        </w:tc>
      </w:tr>
      <w:tr>
        <w:trPr>
          <w:trHeight w:val="584"/>
        </w:trPr>
        <w:tc>
          <w:tcPr>
            <w:tcBorders/>
            <w:tcMar>
              <w:left w:w="108" w:type="dxa"/>
              <w:top w:w="0" w:type="dxa"/>
              <w:right w:w="108" w:type="dxa"/>
              <w:bottom w:w="0" w:type="dxa"/>
            </w:tcMar>
            <w:tcW w:w="22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Địa chỉ</w:t>
            </w:r>
            <w:r/>
          </w:p>
        </w:tc>
        <w:tc>
          <w:tcPr>
            <w:tcBorders/>
            <w:tcMar>
              <w:left w:w="108" w:type="dxa"/>
              <w:top w:w="0" w:type="dxa"/>
              <w:right w:w="108" w:type="dxa"/>
              <w:bottom w:w="0" w:type="dxa"/>
            </w:tcMar>
            <w:tcW w:w="2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highlight w:val="white"/>
              </w:rPr>
              <w:t xml:space="preserve">Khu phố Trang Liệt, Phường Đồng Nguyên, thị xã Từ Sơn, Tỉnh Bắc Ninh</w:t>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i/>
                <w:color w:val="ff0000"/>
                <w:sz w:val="24"/>
                <w:highlight w:val="white"/>
              </w:rPr>
              <w:t xml:space="preserve">Nay là Phường Đồng Nguyên, tỉnh Bắc Ninh</w:t>
            </w:r>
            <w:r>
              <w:rPr>
                <w:rFonts w:ascii="Times New Roman" w:hAnsi="Times New Roman" w:eastAsia="Times New Roman" w:cs="Times New Roman"/>
                <w:color w:val="ff0000"/>
                <w:sz w:val="24"/>
                <w:highlight w:val="white"/>
              </w:rPr>
              <w:t xml:space="preserve">).</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highlight w:val="white"/>
        </w:rPr>
        <w:t xml:space="preserve">2. Thông tin về doanh nghiệp thẩm định giá:</w:t>
      </w:r>
      <w:r/>
    </w:p>
    <w:tbl>
      <w:tblPr>
        <w:tblStyle w:val="1148"/>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gridCol w:w="1134"/>
      </w:tblGrid>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b/>
                <w:color w:val="000000"/>
                <w:spacing w:val="-4"/>
                <w:sz w:val="24"/>
                <w:highlight w:val="white"/>
              </w:rPr>
              <w:t xml:space="preserve">CÔNG TY CP THẨM ĐỊNH VÀ ĐẦU TƯ TÀI CHÍNH HOA SEN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pacing w:val="-2"/>
                <w:sz w:val="24"/>
                <w:highlight w:val="white"/>
              </w:rPr>
              <w:t xml:space="preserve">BT5 - 23, Khu đô thị mới Văn Phú, Phường Kiến Hưng, TP Hà Nội</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 </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40" w:before="40" w:line="288" w:lineRule="auto"/>
              <w:ind w:right="0" w:firstLine="0" w:left="0"/>
              <w:rPr/>
            </w:pPr>
            <w:r>
              <w:rPr>
                <w:rFonts w:ascii="Times New Roman" w:hAnsi="Times New Roman" w:eastAsia="Times New Roman" w:cs="Times New Roman"/>
                <w:color w:val="000000"/>
                <w:sz w:val="24"/>
                <w:highlight w:val="white"/>
              </w:rPr>
              <w:t xml:space="preserve">024 2264 4333</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0102708994</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highlight w:val="white"/>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275/TĐG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highlight w:val="white"/>
              </w:rPr>
              <w:t xml:space="preserve">Thông báo</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highlight w:val="white"/>
              </w:rPr>
              <w:t xml:space="preserve">Số 1294/TB-BTC ngày 25/12/2025</w:t>
            </w:r>
            <w:r>
              <w:rPr>
                <w:rFonts w:ascii="Segoe UI" w:hAnsi="Segoe UI" w:eastAsia="Segoe UI" w:cs="Segoe UI"/>
                <w:color w:val="000000"/>
                <w:sz w:val="21"/>
                <w:highlight w:val="white"/>
              </w:rPr>
              <w:t xml:space="preserve"> </w:t>
            </w:r>
            <w:r>
              <w:rPr>
                <w:rFonts w:ascii="Times New Roman" w:hAnsi="Times New Roman" w:eastAsia="Times New Roman" w:cs="Times New Roman"/>
                <w:color w:val="000000"/>
                <w:sz w:val="24"/>
                <w:highlight w:val="white"/>
              </w:rPr>
              <w:t xml:space="preserve">về việc doanh nghiệp đủ điều kiện kinh doanh Dịch vụ thẩm định giá.</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pacing w:val="-4"/>
                <w:sz w:val="24"/>
                <w:highlight w:val="white"/>
              </w:rPr>
              <w:t xml:space="preserve">1505112366666 tại Agribank Chi nhánh Hà Nội II</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b/>
                <w:color w:val="000000"/>
                <w:sz w:val="24"/>
                <w:highlight w:val="white"/>
              </w:rPr>
              <w:t xml:space="preserve">Ông  Vũ Văn Quân</w:t>
              <w:tab/>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71"/>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Chức vụ</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b/>
                <w:color w:val="000000"/>
                <w:sz w:val="24"/>
                <w:highlight w:val="white"/>
              </w:rPr>
              <w:t xml:space="preserve">Chủ tịch HĐQT kiêm Tổng Giám đốc</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highlight w:val="white"/>
        </w:rPr>
        <w:t xml:space="preserve">3. Tài sản thẩm định:</w:t>
      </w:r>
      <w:r>
        <w:rPr>
          <w:rFonts w:ascii="Times New Roman" w:hAnsi="Times New Roman" w:eastAsia="Times New Roman" w:cs="Times New Roman"/>
          <w:color w:val="000000"/>
          <w:sz w:val="24"/>
          <w:highlight w:val="white"/>
        </w:rPr>
        <w:t xml:space="preserve"> Quyền sở hữu Căn hộ chung cư số 1902, địa chỉ: Tòa Park 9, Khu đô thị Vinhomes Times City Park Hill, số 25, ngõ 13, đường Lĩnh Nam, Phường Mai Động, Quận Hoàng Mai (</w:t>
      </w:r>
      <w:r>
        <w:rPr>
          <w:rFonts w:ascii="Times New Roman" w:hAnsi="Times New Roman" w:eastAsia="Times New Roman" w:cs="Times New Roman"/>
          <w:i/>
          <w:color w:val="000000"/>
          <w:sz w:val="24"/>
          <w:highlight w:val="white"/>
        </w:rPr>
        <w:t xml:space="preserve">nay là Phường Vĩnh Tuy</w:t>
      </w:r>
      <w:r>
        <w:rPr>
          <w:rFonts w:ascii="Times New Roman" w:hAnsi="Times New Roman" w:eastAsia="Times New Roman" w:cs="Times New Roman"/>
          <w:color w:val="000000"/>
          <w:sz w:val="24"/>
          <w:highlight w:val="white"/>
        </w:rPr>
        <w:t xml:space="preserve">), Thành phố Hà Nội theo Giấy chứng nhận Quyền sử dụng đất, quyền sở hữu nhà ở và tài sản khác gắn liền với đất số: CM 288331; Số vào sổ cấp GCN: CS 20828 d</w:t>
      </w:r>
      <w:r>
        <w:rPr>
          <w:rFonts w:ascii="Times New Roman" w:hAnsi="Times New Roman" w:eastAsia="Times New Roman" w:cs="Times New Roman"/>
          <w:color w:val="ff0000"/>
          <w:sz w:val="24"/>
          <w:highlight w:val="white"/>
        </w:rPr>
        <w:t xml:space="preserve">o Sở Tài nguyên và Môi trường thành phố Hà Nội cấp ngày 14/5/201</w:t>
      </w:r>
      <w:r>
        <w:rPr>
          <w:rFonts w:ascii="Times New Roman" w:hAnsi="Times New Roman" w:eastAsia="Times New Roman" w:cs="Times New Roman"/>
          <w:color w:val="000000"/>
          <w:sz w:val="24"/>
          <w:highlight w:val="white"/>
        </w:rPr>
        <w:t xml:space="preserve">8; Chủ sở hữu căn hộ chung cư là Ông Ngô Hữu Biên.</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highlight w:val="white"/>
        </w:rPr>
        <w:t xml:space="preserve">4. Thời điểm thẩm định giá:</w:t>
      </w:r>
      <w:r>
        <w:rPr>
          <w:rFonts w:ascii="Times New Roman" w:hAnsi="Times New Roman" w:eastAsia="Times New Roman" w:cs="Times New Roman"/>
          <w:color w:val="000000"/>
          <w:sz w:val="24"/>
          <w:highlight w:val="white"/>
        </w:rPr>
        <w:t xml:space="preserve"> Tháng 8/2026.</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pPr>
      <w:r>
        <w:rPr>
          <w:rFonts w:ascii="Times New Roman" w:hAnsi="Times New Roman" w:eastAsia="Times New Roman" w:cs="Times New Roman"/>
          <w:b/>
          <w:color w:val="000000"/>
          <w:sz w:val="24"/>
          <w:highlight w:val="white"/>
        </w:rPr>
        <w:t xml:space="preserve">5. Mục đích thẩm định giá:</w:t>
      </w:r>
      <w:r>
        <w:rPr>
          <w:rFonts w:ascii="Times New Roman" w:hAnsi="Times New Roman" w:eastAsia="Times New Roman" w:cs="Times New Roman"/>
          <w:color w:val="000000"/>
          <w:spacing w:val="-4"/>
          <w:sz w:val="24"/>
          <w:highlight w:val="white"/>
        </w:rPr>
        <w:t xml:space="preserve"> Kết quả thẩm định giá để khách hàng tham khảo giá trị tài sản phục vụ công tác vay vốn tại tổ chức tín dụng</w:t>
      </w:r>
      <w:r>
        <w:rPr>
          <w:rFonts w:ascii="Times New Roman" w:hAnsi="Times New Roman" w:eastAsia="Times New Roman" w:cs="Times New Roman"/>
          <w:color w:val="000000"/>
          <w:sz w:val="24"/>
          <w:highlight w:val="white"/>
        </w:rPr>
        <w:t xml:space="preserve">.</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pPr>
      <w:r>
        <w:rPr>
          <w:rFonts w:ascii="Times New Roman" w:hAnsi="Times New Roman" w:eastAsia="Times New Roman" w:cs="Times New Roman"/>
          <w:b/>
          <w:color w:val="000000"/>
          <w:sz w:val="24"/>
          <w:highlight w:val="white"/>
        </w:rPr>
        <w:t xml:space="preserve">6. Cơ sở giá trị của tài sản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highlight w:val="white"/>
        </w:rPr>
        <w:t xml:space="preserve">Chi tiết như Báo cáo kèm theo </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highlight w:val="white"/>
        </w:rPr>
        <w:t xml:space="preserve">7. Giả thiết và giả thiết đặc biệt:</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highlight w:val="white"/>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highlight w:val="white"/>
        </w:rPr>
        <w:t xml:space="preserve">8. Cách tiếp cận và phương pháp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highlight w:val="white"/>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highlight w:val="white"/>
        </w:rPr>
        <w:t xml:space="preserve">9. Giá trị tài sản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color w:val="000000"/>
          <w:sz w:val="24"/>
          <w:highlight w:val="white"/>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tài sản c</w:t>
      </w:r>
      <w:r>
        <w:rPr>
          <w:rFonts w:ascii="Times New Roman" w:hAnsi="Times New Roman" w:eastAsia="Times New Roman" w:cs="Times New Roman"/>
          <w:color w:val="000000"/>
          <w:sz w:val="24"/>
          <w:highlight w:val="white"/>
        </w:rPr>
        <w:t xml:space="preserve">hưa bao gồm các loại thuế, phí và lệ phí liên quan đến việc chuyển nhượng tài sản của Quý khách hàng tại thời điểm Tháng 8/2026 ước tính như sau:</w:t>
      </w:r>
      <w:r/>
    </w:p>
    <w:tbl>
      <w:tblPr>
        <w:tblStyle w:val="1148"/>
        <w:tblInd w:w="0" w:type="dxa"/>
        <w:tblW w:w="495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75"/>
        <w:gridCol w:w="2268"/>
        <w:gridCol w:w="1802"/>
        <w:gridCol w:w="2582"/>
        <w:gridCol w:w="2164"/>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58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6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b/>
                <w:color w:val="000000"/>
                <w:sz w:val="24"/>
                <w:highlight w:val="white"/>
              </w:rPr>
              <w:t xml:space="preserve">Quyền sở hữu Căn hộ chung cư số 1902, địa chỉ: Tòa Park 9, Khu đô thị Vinhomes Times City Park Hill, số 25, ngõ 13, đường Lĩnh Nam, Phường Mai Động, Quận Hoàng Mai (</w:t>
            </w:r>
            <w:r>
              <w:rPr>
                <w:rFonts w:ascii="Times New Roman" w:hAnsi="Times New Roman" w:eastAsia="Times New Roman" w:cs="Times New Roman"/>
                <w:b/>
                <w:i/>
                <w:color w:val="000000"/>
                <w:sz w:val="24"/>
                <w:highlight w:val="white"/>
              </w:rPr>
              <w:t xml:space="preserve">nay là Phường Vĩnh Tuy</w:t>
            </w:r>
            <w:r>
              <w:rPr>
                <w:rFonts w:ascii="Times New Roman" w:hAnsi="Times New Roman" w:eastAsia="Times New Roman" w:cs="Times New Roman"/>
                <w:b/>
                <w:color w:val="000000"/>
                <w:sz w:val="24"/>
                <w:highlight w:val="white"/>
              </w:rPr>
              <w:t xml:space="preserve">), Thành phố Hà Nội theo Giấy chứng nhận Quyền sử dụng đất, quyền sở hữu nhà ở và tài sản khác gắn liền với đất số: CM 288331; Số vào sổ cấp GCN: CS 20828 d</w:t>
            </w:r>
            <w:r>
              <w:rPr>
                <w:rFonts w:ascii="Times New Roman" w:hAnsi="Times New Roman" w:eastAsia="Times New Roman" w:cs="Times New Roman"/>
                <w:b/>
                <w:color w:val="ff0000"/>
                <w:sz w:val="24"/>
                <w:highlight w:val="white"/>
              </w:rPr>
              <w:t xml:space="preserve">o Sở Tài nguyên và Môi trường thành phố Hà Nội cấp ngày 14/5/201</w:t>
            </w:r>
            <w:r>
              <w:rPr>
                <w:rFonts w:ascii="Times New Roman" w:hAnsi="Times New Roman" w:eastAsia="Times New Roman" w:cs="Times New Roman"/>
                <w:b/>
                <w:color w:val="000000"/>
                <w:sz w:val="24"/>
                <w:highlight w:val="white"/>
              </w:rPr>
              <w:t xml:space="preserve">8; Chủ sở hữu căn hộ chung cư là Ông Ngô Hữu Biên.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highlight w:val="white"/>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highlight w:val="white"/>
              </w:rPr>
              <w:t xml:space="preserve">Căn hộ chung cư</w:t>
            </w:r>
            <w:r/>
          </w:p>
        </w:tc>
        <w:tc>
          <w:tcPr>
            <w:tcBorders>
              <w:bottom w:val="single" w:color="000000" w:sz="8" w:space="0"/>
              <w:right w:val="single" w:color="000000" w:sz="8" w:space="0"/>
            </w:tcBorders>
            <w:tcMar>
              <w:left w:w="108" w:type="dxa"/>
              <w:top w:w="0" w:type="dxa"/>
              <w:right w:w="108"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highlight w:val="white"/>
              </w:rPr>
              <w:t xml:space="preserve">68,5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8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highlight w:val="white"/>
              </w:rPr>
              <w:t xml:space="preserve">93.000.000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highlight w:val="white"/>
              </w:rPr>
              <w:t xml:space="preserve">6.370.500.000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32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TỔNG CỘNG:</w:t>
            </w:r>
            <w:r/>
          </w:p>
        </w:tc>
        <w:tc>
          <w:tcPr>
            <w:tcBorders>
              <w:bottom w:val="single" w:color="000000" w:sz="8" w:space="0"/>
              <w:right w:val="single" w:color="000000" w:sz="8" w:space="0"/>
            </w:tcBorders>
            <w:tcMar>
              <w:left w:w="108" w:type="dxa"/>
              <w:top w:w="0" w:type="dxa"/>
              <w:right w:w="108" w:type="dxa"/>
              <w:bottom w:w="0" w:type="dxa"/>
            </w:tcMar>
            <w:tcW w:w="2164"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6.370.500.000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49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highlight w:val="white"/>
              </w:rPr>
              <w:t xml:space="preserve">(Bằng chữ: Sáu tỷ, ba trăm bảy mươi triệu, năm trăm nghìn đồng./.)</w:t>
            </w:r>
            <w:r/>
          </w:p>
        </w:tc>
      </w:tr>
    </w:tbl>
    <w:p>
      <w:pPr>
        <w:pBdr>
          <w:top w:val="none" w:color="000000" w:sz="4" w:space="0"/>
          <w:left w:val="none" w:color="000000" w:sz="4" w:space="0"/>
          <w:bottom w:val="none" w:color="000000" w:sz="4" w:space="0"/>
          <w:right w:val="none" w:color="000000" w:sz="4" w:space="0"/>
        </w:pBdr>
        <w:spacing w:after="120" w:before="120" w:line="324" w:lineRule="auto"/>
        <w:ind w:right="0" w:firstLine="0" w:left="0"/>
        <w:jc w:val="both"/>
        <w:rPr/>
      </w:pPr>
      <w:r>
        <w:rPr>
          <w:rFonts w:ascii="Times New Roman" w:hAnsi="Times New Roman" w:eastAsia="Times New Roman" w:cs="Times New Roman"/>
          <w:b/>
          <w:color w:val="000000"/>
          <w:sz w:val="24"/>
          <w:highlight w:val="white"/>
        </w:rPr>
        <w:t xml:space="preserve">10. Thời hạn hiệu lực của kết quả thẩm định giá:</w:t>
      </w:r>
      <w:r/>
    </w:p>
    <w:p>
      <w:pPr>
        <w:pBdr>
          <w:top w:val="none" w:color="000000" w:sz="4" w:space="0"/>
          <w:left w:val="none" w:color="000000" w:sz="4" w:space="0"/>
          <w:bottom w:val="none" w:color="000000" w:sz="4" w:space="0"/>
          <w:right w:val="none" w:color="000000" w:sz="4" w:space="0"/>
        </w:pBdr>
        <w:spacing w:after="120" w:before="120" w:line="324" w:lineRule="auto"/>
        <w:ind w:right="0" w:firstLine="360" w:left="0"/>
        <w:jc w:val="both"/>
        <w:rPr/>
      </w:pPr>
      <w:r>
        <w:rPr>
          <w:rFonts w:ascii="Times New Roman" w:hAnsi="Times New Roman" w:eastAsia="Times New Roman" w:cs="Times New Roman"/>
          <w:color w:val="000000"/>
          <w:sz w:val="24"/>
          <w:highlight w:val="white"/>
        </w:rPr>
        <w:t xml:space="preserve">- 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spacing w:after="120" w:before="120" w:line="324" w:lineRule="auto"/>
        <w:ind w:right="0" w:firstLine="0" w:left="0"/>
        <w:rPr/>
      </w:pPr>
      <w:r>
        <w:rPr>
          <w:rFonts w:ascii="Times New Roman" w:hAnsi="Times New Roman" w:eastAsia="Times New Roman" w:cs="Times New Roman"/>
          <w:b/>
          <w:color w:val="000000"/>
          <w:sz w:val="24"/>
          <w:highlight w:val="white"/>
        </w:rPr>
        <w:t xml:space="preserve">11. Những điều khoản loại trừ và hạn chế của kết quả thẩm định giá:</w:t>
      </w:r>
      <w:r/>
    </w:p>
    <w:p>
      <w:pPr>
        <w:pBdr>
          <w:top w:val="none" w:color="000000" w:sz="4" w:space="0"/>
          <w:left w:val="none" w:color="000000" w:sz="4" w:space="0"/>
          <w:bottom w:val="none" w:color="000000" w:sz="4" w:space="0"/>
          <w:right w:val="none" w:color="000000" w:sz="4" w:space="0"/>
        </w:pBdr>
        <w:spacing w:after="120" w:before="120" w:line="324" w:lineRule="auto"/>
        <w:ind w:right="0" w:firstLine="360" w:left="0"/>
        <w:rPr/>
      </w:pPr>
      <w:r>
        <w:rPr>
          <w:rFonts w:ascii="Times New Roman" w:hAnsi="Times New Roman" w:eastAsia="Times New Roman" w:cs="Times New Roman"/>
          <w:color w:val="000000"/>
          <w:sz w:val="24"/>
          <w:highlight w:val="white"/>
        </w:rPr>
        <w:t xml:space="preserve">- Chi tiết như Báo cáo kèm theo.</w:t>
      </w:r>
      <w:r/>
    </w:p>
    <w:p>
      <w:pPr>
        <w:pBdr>
          <w:top w:val="none" w:color="000000" w:sz="4" w:space="0"/>
          <w:left w:val="none" w:color="000000" w:sz="4" w:space="0"/>
          <w:bottom w:val="none" w:color="000000" w:sz="4" w:space="0"/>
          <w:right w:val="none" w:color="000000" w:sz="4" w:space="0"/>
        </w:pBdr>
        <w:spacing w:after="120" w:before="120" w:line="324" w:lineRule="auto"/>
        <w:ind w:right="0" w:firstLine="360" w:left="0"/>
        <w:rPr/>
      </w:pPr>
      <w:r>
        <w:rPr>
          <w:rFonts w:ascii="Times New Roman" w:hAnsi="Times New Roman" w:eastAsia="Times New Roman" w:cs="Times New Roman"/>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rPr/>
      </w:pPr>
      <w:r>
        <w:rPr>
          <w:rFonts w:ascii="Times New Roman" w:hAnsi="Times New Roman" w:eastAsia="Times New Roman" w:cs="Times New Roman"/>
          <w:b/>
          <w:color w:val="000000"/>
          <w:spacing w:val="-4"/>
          <w:sz w:val="24"/>
          <w:highlight w:val="white"/>
        </w:rPr>
        <w:t xml:space="preserve">12. Các tài liệu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highlight w:val="white"/>
        </w:rPr>
        <w:t xml:space="preserve">- Báo cáo kết quả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highlight w:val="white"/>
        </w:rPr>
        <w:t xml:space="preserve">- Các phụ lục chi tiết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highlight w:val="white"/>
        </w:rPr>
        <w:t xml:space="preserve">- Chứng thư thẩm định giá được phát hành 03 (ba) bản chính bằng tiếng Việt, cấp cho quý khách hàng 02 (hai) bản, lưu lại Công ty Cổ phần Thẩm định và Đầu tư Tài chính Hoa Sen 01 (một) bản có giá trị pháp lý như nhau.</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highlight w:val="white"/>
        </w:rPr>
        <w:t xml:space="preserve"> - Mọi hình thức sao chép báo cáo và chứng thư thẩm định giá không có sự đồng ý bằng văn bản của Công ty Cổ phần Thẩm định và Đầu tư Tài chính Hoa Sen đều là hành vi vi phạm pháp luật.</w:t>
      </w:r>
      <w:r/>
    </w:p>
    <w:tbl>
      <w:tblPr>
        <w:tblStyle w:val="1148"/>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highlight w:val="white"/>
              </w:rPr>
              <w:t xml:space="preserve">THẨM ĐỊNH VIÊN VỀ GIÁ</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highlight w:val="white"/>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highlight w:val="white"/>
              </w:rPr>
              <w:t xml:space="preserve">CHỦ TỊCH HĐQT KIÊM TỔNG GIÁM ĐỐC</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highlight w:val="white"/>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highlight w:val="white"/>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highlight w:val="white"/>
              </w:rPr>
              <w:t xml:space="preserve">Lê Thị Thịnh</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highlight w:val="white"/>
              </w:rPr>
              <w:t xml:space="preserve">Số thẻ thẩm định viên về giá: VIII13.990</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highlight w:val="white"/>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highlight w:val="white"/>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highlight w:val="white"/>
        </w:rPr>
        <w:t xml:space="preserve"> </w:t>
      </w:r>
      <w:r/>
    </w:p>
    <w:tbl>
      <w:tblPr>
        <w:tblStyle w:val="1148"/>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89"/>
        <w:gridCol w:w="1708"/>
        <w:gridCol w:w="6302"/>
      </w:tblGrid>
      <w:tr>
        <w:trPr>
          <w:trHeight w:val="2268"/>
        </w:trPr>
        <w:tc>
          <w:tcPr>
            <w:tcBorders/>
            <w:tcMar>
              <w:left w:w="108" w:type="dxa"/>
              <w:top w:w="0" w:type="dxa"/>
              <w:right w:w="108" w:type="dxa"/>
              <w:bottom w:w="0" w:type="dxa"/>
            </w:tcMar>
            <w:tcW w:w="1989"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pPr>
            <w:r>
              <mc:AlternateContent>
                <mc:Choice Requires="wpg">
                  <w:drawing>
                    <wp:inline xmlns:wp="http://schemas.openxmlformats.org/drawingml/2006/wordprocessingDrawing" distT="0" distB="0" distL="0" distR="0">
                      <wp:extent cx="1019175" cy="923925"/>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249598" name=""/>
                              <pic:cNvPicPr>
                                <a:picLocks noChangeAspect="1"/>
                              </pic:cNvPicPr>
                              <pic:nvPr/>
                            </pic:nvPicPr>
                            <pic:blipFill rotWithShape="1">
                              <a:blip r:embed="rId16"/>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25pt;height:72.75pt;mso-wrap-distance-left:0.00pt;mso-wrap-distance-top:0.00pt;mso-wrap-distance-right:0.00pt;mso-wrap-distance-bottom:0.00pt;z-index:1;" stroked="false">
                      <v:imagedata r:id="rId16" o:title=""/>
                      <o:lock v:ext="edit" rotation="t"/>
                    </v:shape>
                  </w:pict>
                </mc:Fallback>
              </mc:AlternateContent>
            </w:r>
            <w:r/>
          </w:p>
        </w:tc>
        <w:tc>
          <w:tcPr>
            <w:gridSpan w:val="2"/>
            <w:tcBorders/>
            <w:tcMar>
              <w:left w:w="108" w:type="dxa"/>
              <w:top w:w="0" w:type="dxa"/>
              <w:right w:w="108" w:type="dxa"/>
              <w:bottom w:w="0" w:type="dxa"/>
            </w:tcMar>
            <w:tcW w:w="8010"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highlight w:val="white"/>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28" w:firstLine="0" w:left="0"/>
              <w:jc w:val="both"/>
              <w:rPr/>
            </w:pPr>
            <w:r>
              <w:rPr>
                <w:rFonts w:ascii="Times New Roman" w:hAnsi="Times New Roman" w:eastAsia="Times New Roman" w:cs="Times New Roman"/>
                <w:color w:val="000000"/>
                <w:sz w:val="24"/>
                <w:highlight w:val="white"/>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highlight w:val="white"/>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highlight w:val="white"/>
              </w:rPr>
              <w:t xml:space="preserve">Email: </w:t>
              <w:tab/>
            </w:r>
            <w:hyperlink r:id="rId17" w:tooltip="mailto:ilotus.contact@gmail.com" w:history="1">
              <w:r>
                <w:rPr>
                  <w:rStyle w:val="1134"/>
                  <w:rFonts w:ascii="Times New Roman" w:hAnsi="Times New Roman" w:eastAsia="Times New Roman" w:cs="Times New Roman"/>
                  <w:color w:val="000000"/>
                  <w:sz w:val="24"/>
                  <w:highlight w:val="white"/>
                  <w:u w:val="none"/>
                </w:rPr>
                <w:t xml:space="preserve">ilotus.contact@gmail.com</w:t>
              </w:r>
            </w:hyperlink>
            <w:r>
              <w:rPr>
                <w:rFonts w:ascii="Times New Roman" w:hAnsi="Times New Roman" w:eastAsia="Times New Roman" w:cs="Times New Roman"/>
                <w:color w:val="000000"/>
                <w:sz w:val="24"/>
                <w:highlight w:val="white"/>
              </w:rPr>
              <w:t xml:space="preserve">         Website: ilotus.com.vn</w:t>
            </w:r>
            <w:r/>
          </w:p>
        </w:tc>
      </w:tr>
      <w:tr>
        <w:trPr>
          <w:trHeight w:val="84"/>
        </w:trPr>
        <w:tc>
          <w:tcPr>
            <w:gridSpan w:val="2"/>
            <w:tcBorders/>
            <w:tcMar>
              <w:left w:w="108" w:type="dxa"/>
              <w:top w:w="0" w:type="dxa"/>
              <w:right w:w="108" w:type="dxa"/>
              <w:bottom w:w="0" w:type="dxa"/>
            </w:tcMar>
            <w:tcW w:w="3697"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highlight w:val="white"/>
              </w:rPr>
              <w:t xml:space="preserve">Số: 275/2026/1329/VFI-BC.44.A</w:t>
            </w:r>
            <w:r/>
          </w:p>
        </w:tc>
        <w:tc>
          <w:tcPr>
            <w:tcBorders/>
            <w:tcMar>
              <w:left w:w="108" w:type="dxa"/>
              <w:top w:w="0" w:type="dxa"/>
              <w:right w:w="108" w:type="dxa"/>
              <w:bottom w:w="0" w:type="dxa"/>
            </w:tcMar>
            <w:tcW w:w="6302"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center"/>
              <w:rPr/>
            </w:pPr>
            <w:r>
              <w:rPr>
                <w:rFonts w:ascii="Times New Roman" w:hAnsi="Times New Roman" w:eastAsia="Times New Roman" w:cs="Times New Roman"/>
                <w:i/>
                <w:color w:val="000000"/>
                <w:sz w:val="24"/>
                <w:highlight w:val="white"/>
              </w:rPr>
              <w:t xml:space="preserve">TP. Hà Nội, ngày 24 tháng 8 năm 2026</w:t>
            </w:r>
            <w:r/>
          </w:p>
        </w:tc>
      </w:tr>
      <w:tr>
        <w:trPr/>
        <w:tc>
          <w:tcPr>
            <w:tcBorders/>
            <w:tcMar>
              <w:left w:w="0" w:type="dxa"/>
              <w:top w:w="0" w:type="dxa"/>
              <w:right w:w="0" w:type="dxa"/>
              <w:bottom w:w="0" w:type="dxa"/>
            </w:tcMar>
            <w:tcW w:w="1989"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708"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6302"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tabs>
          <w:tab w:val="left" w:leader="none" w:pos="5103"/>
        </w:tabs>
        <w:spacing w:before="200" w:line="340" w:lineRule="atLeast"/>
        <w:ind w:right="0" w:firstLine="0" w:left="0"/>
        <w:jc w:val="center"/>
        <w:rPr/>
      </w:pPr>
      <w:r>
        <w:rPr>
          <w:rFonts w:ascii="Times New Roman" w:hAnsi="Times New Roman" w:eastAsia="Times New Roman" w:cs="Times New Roman"/>
          <w:b/>
          <w:color w:val="000000"/>
          <w:sz w:val="30"/>
          <w:highlight w:val="white"/>
        </w:rPr>
        <w:t xml:space="preserve">BÁO CÁO KẾT QUẢ THẨM ĐỊNH GIÁ</w:t>
      </w:r>
      <w:r/>
    </w:p>
    <w:p>
      <w:pPr>
        <w:pStyle w:val="957"/>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center"/>
        <w:rPr>
          <w:b w:val="0"/>
          <w:bCs w:val="0"/>
        </w:rPr>
      </w:pPr>
      <w:r>
        <w:rPr>
          <w:rFonts w:ascii="Times New Roman" w:hAnsi="Times New Roman" w:eastAsia="Times New Roman" w:cs="Times New Roman"/>
          <w:b w:val="0"/>
          <w:bCs w:val="0"/>
          <w:i/>
          <w:color w:val="000000"/>
          <w:spacing w:val="-6"/>
          <w:sz w:val="24"/>
          <w:highlight w:val="white"/>
        </w:rPr>
        <w:t xml:space="preserve">(Kèm theo Chứng thư thẩm định giá số: 275/2026/1329/VFI-CT.44.A ngày 24 tháng 8 năm 2026)</w:t>
      </w:r>
      <w:r>
        <w:rPr>
          <w:b w:val="0"/>
          <w:bCs w:val="0"/>
        </w:rPr>
      </w:r>
      <w:r>
        <w:rPr>
          <w:b w:val="0"/>
          <w:bCs w:val="0"/>
        </w:rPr>
      </w:r>
    </w:p>
    <w:p>
      <w:pPr>
        <w:pStyle w:val="957"/>
        <w:pBdr>
          <w:top w:val="none" w:color="000000" w:sz="4" w:space="0"/>
          <w:left w:val="none" w:color="000000" w:sz="4" w:space="0"/>
          <w:bottom w:val="none" w:color="000000" w:sz="4" w:space="0"/>
          <w:right w:val="none" w:color="000000" w:sz="4" w:space="0"/>
        </w:pBdr>
        <w:tabs>
          <w:tab w:val="left" w:leader="none" w:pos="4820"/>
        </w:tabs>
        <w:spacing w:after="200" w:before="0" w:line="340" w:lineRule="atLeast"/>
        <w:ind w:right="0" w:firstLine="0" w:left="0"/>
        <w:jc w:val="both"/>
        <w:rPr/>
      </w:pPr>
      <w:r>
        <w:rPr>
          <w:rFonts w:ascii="Times New Roman" w:hAnsi="Times New Roman" w:eastAsia="Times New Roman" w:cs="Times New Roman"/>
          <w:b/>
          <w:color w:val="000000"/>
          <w:sz w:val="24"/>
          <w:highlight w:val="white"/>
        </w:rPr>
        <w:t xml:space="preserve">I. THÔNG TIN VỀ DOANH NGHIỆP THẨM ĐỊNH GIÁ </w:t>
      </w:r>
      <w:r/>
    </w:p>
    <w:tbl>
      <w:tblPr>
        <w:tblStyle w:val="1148"/>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234"/>
        <w:gridCol w:w="289"/>
        <w:gridCol w:w="6940"/>
        <w:gridCol w:w="6"/>
      </w:tblGrid>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color w:val="000000"/>
                <w:spacing w:val="-4"/>
                <w:sz w:val="24"/>
                <w:highlight w:val="white"/>
              </w:rPr>
              <w:t xml:space="preserve">CÔNG TY CP THẨM ĐỊNH VÀ ĐẦU TƯ TÀI CHÍNH HOA SEN</w:t>
            </w:r>
            <w:r/>
          </w:p>
        </w:tc>
        <w:tc>
          <w:tcPr>
            <w:tcBorders/>
            <w:tcMar>
              <w:left w:w="0" w:type="dxa"/>
              <w:top w:w="0" w:type="dxa"/>
              <w:right w:w="0" w:type="dxa"/>
              <w:bottom w:w="0" w:type="dxa"/>
            </w:tcMar>
            <w:tcW w:w="6"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pacing w:val="-2"/>
                <w:sz w:val="24"/>
                <w:highlight w:val="white"/>
              </w:rPr>
              <w:t xml:space="preserve">BT5 - 23, Khu đô thị mới Văn Phú, Phường Kiến Hưng, TP Hà Nội</w:t>
            </w:r>
            <w:r/>
          </w:p>
        </w:tc>
        <w:tc>
          <w:tcPr>
            <w:tcBorders/>
            <w:tcMar>
              <w:left w:w="0" w:type="dxa"/>
              <w:top w:w="0" w:type="dxa"/>
              <w:right w:w="0" w:type="dxa"/>
              <w:bottom w:w="0" w:type="dxa"/>
            </w:tcMar>
            <w:tcW w:w="6"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 </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60" w:before="60" w:line="276" w:lineRule="auto"/>
              <w:ind w:right="0" w:firstLine="0" w:left="0"/>
              <w:rPr/>
            </w:pPr>
            <w:r>
              <w:rPr>
                <w:rFonts w:ascii="Times New Roman" w:hAnsi="Times New Roman" w:eastAsia="Times New Roman" w:cs="Times New Roman"/>
                <w:color w:val="000000"/>
                <w:sz w:val="24"/>
                <w:highlight w:val="white"/>
              </w:rPr>
              <w:t xml:space="preserve">024 2264 4333</w:t>
            </w:r>
            <w:r/>
          </w:p>
        </w:tc>
        <w:tc>
          <w:tcPr>
            <w:tcBorders/>
            <w:tcMar>
              <w:left w:w="0" w:type="dxa"/>
              <w:top w:w="0" w:type="dxa"/>
              <w:right w:w="0" w:type="dxa"/>
              <w:bottom w:w="0" w:type="dxa"/>
            </w:tcMar>
            <w:tcW w:w="6"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0102708994</w:t>
            </w:r>
            <w:r/>
          </w:p>
        </w:tc>
        <w:tc>
          <w:tcPr>
            <w:tcBorders/>
            <w:tcMar>
              <w:left w:w="0" w:type="dxa"/>
              <w:top w:w="0" w:type="dxa"/>
              <w:right w:w="0" w:type="dxa"/>
              <w:bottom w:w="0" w:type="dxa"/>
            </w:tcMar>
            <w:tcW w:w="6"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275/TĐG</w:t>
            </w:r>
            <w:r/>
          </w:p>
        </w:tc>
        <w:tc>
          <w:tcPr>
            <w:tcBorders/>
            <w:tcMar>
              <w:left w:w="0" w:type="dxa"/>
              <w:top w:w="0" w:type="dxa"/>
              <w:right w:w="0" w:type="dxa"/>
              <w:bottom w:w="0" w:type="dxa"/>
            </w:tcMar>
            <w:tcW w:w="6"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4"/>
                <w:sz w:val="24"/>
                <w:highlight w:val="white"/>
              </w:rPr>
              <w:t xml:space="preserve">1505112366666 tại Agribank Chi nhánh Hà Nội II</w:t>
            </w:r>
            <w:r/>
          </w:p>
        </w:tc>
        <w:tc>
          <w:tcPr>
            <w:tcBorders/>
            <w:tcMar>
              <w:left w:w="0" w:type="dxa"/>
              <w:top w:w="0" w:type="dxa"/>
              <w:right w:w="0" w:type="dxa"/>
              <w:bottom w:w="0" w:type="dxa"/>
            </w:tcMar>
            <w:tcW w:w="6"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highlight w:val="white"/>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highlight w:val="white"/>
              </w:rPr>
              <w:t xml:space="preserve">Ông Vũ Văn Quân</w:t>
            </w:r>
            <w:r/>
          </w:p>
        </w:tc>
        <w:tc>
          <w:tcPr>
            <w:tcBorders/>
            <w:tcMar>
              <w:left w:w="0" w:type="dxa"/>
              <w:top w:w="0" w:type="dxa"/>
              <w:right w:w="0" w:type="dxa"/>
              <w:bottom w:w="0" w:type="dxa"/>
            </w:tcMar>
            <w:tcW w:w="6" w:type="dxa"/>
            <w:vAlign w:val="center"/>
            <w:textDirection w:val="lrTb"/>
            <w:noWrap w:val="false"/>
          </w:tcPr>
          <w:p>
            <w:pPr>
              <w:pBdr/>
              <w:spacing w:after="0" w:before="0" w:line="240" w:lineRule="auto"/>
              <w:ind/>
              <w:rPr/>
            </w:pPr>
            <w:r/>
            <w:r/>
          </w:p>
        </w:tc>
      </w:tr>
      <w:tr>
        <w:trPr>
          <w:trHeight w:val="357"/>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highlight w:val="white"/>
              </w:rPr>
              <w:t xml:space="preserve">Chức vụ</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highlight w:val="white"/>
              </w:rPr>
              <w:t xml:space="preserve">Chủ tịch HĐQT kiêm Tổng Giám đốc</w:t>
            </w:r>
            <w:r/>
          </w:p>
        </w:tc>
        <w:tc>
          <w:tcPr>
            <w:tcBorders/>
            <w:tcMar>
              <w:left w:w="0" w:type="dxa"/>
              <w:top w:w="0" w:type="dxa"/>
              <w:right w:w="0" w:type="dxa"/>
              <w:bottom w:w="0" w:type="dxa"/>
            </w:tcMar>
            <w:tcW w:w="6"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0"/>
        <w:jc w:val="both"/>
        <w:rPr/>
      </w:pPr>
      <w:r>
        <w:rPr>
          <w:rFonts w:ascii="Times New Roman" w:hAnsi="Times New Roman" w:eastAsia="Times New Roman" w:cs="Times New Roman"/>
          <w:b/>
          <w:color w:val="000000"/>
          <w:sz w:val="24"/>
          <w:highlight w:val="white"/>
        </w:rPr>
        <w:t xml:space="preserve">II. THÔNG TIN CƠ BẢN VỀ CUỘC THẨM ĐỊNH GIÁ</w:t>
      </w:r>
      <w:r/>
    </w:p>
    <w:p>
      <w:pPr>
        <w:pBdr>
          <w:top w:val="none" w:color="000000" w:sz="4" w:space="0"/>
          <w:left w:val="none" w:color="000000" w:sz="4" w:space="0"/>
          <w:bottom w:val="none" w:color="000000" w:sz="4" w:space="0"/>
          <w:right w:val="none" w:color="000000" w:sz="4" w:space="0"/>
        </w:pBdr>
        <w:tabs>
          <w:tab w:val="left" w:leader="none" w:pos="284"/>
        </w:tabs>
        <w:spacing w:after="120" w:before="120" w:line="320" w:lineRule="atLeast"/>
        <w:ind w:right="0" w:firstLine="0" w:left="0"/>
        <w:jc w:val="both"/>
        <w:rPr/>
      </w:pPr>
      <w:r>
        <w:rPr>
          <w:rFonts w:ascii="Times New Roman" w:hAnsi="Times New Roman" w:eastAsia="Times New Roman" w:cs="Times New Roman"/>
          <w:b/>
          <w:color w:val="000000"/>
          <w:sz w:val="24"/>
          <w:highlight w:val="white"/>
        </w:rPr>
        <w:t xml:space="preserve">1. Thông tin cơ bản về cuộc thẩm định giá:</w:t>
      </w:r>
      <w:r/>
    </w:p>
    <w:tbl>
      <w:tblPr>
        <w:tblStyle w:val="114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18"/>
        <w:gridCol w:w="284"/>
        <w:gridCol w:w="6945"/>
      </w:tblGrid>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Tên khách hàng</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Ông Ngô Hữu Biên</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CCCD:</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yellow"/>
              </w:rPr>
              <w:t xml:space="preserve">027082003212</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Địa chỉ</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Khu phố Trang Liệt, Phường Đồng Nguyên, thị xã Từ Sơn, Tỉnh Bắc Ninh</w:t>
            </w:r>
            <w:r>
              <w:rPr>
                <w:rFonts w:ascii="Times New Roman" w:hAnsi="Times New Roman" w:eastAsia="Times New Roman" w:cs="Times New Roman"/>
                <w:color w:val="ff0000"/>
                <w:sz w:val="24"/>
                <w:highlight w:val="white"/>
              </w:rPr>
              <w:t xml:space="preserve"> (</w:t>
            </w:r>
            <w:r>
              <w:rPr>
                <w:rFonts w:ascii="Times New Roman" w:hAnsi="Times New Roman" w:eastAsia="Times New Roman" w:cs="Times New Roman"/>
                <w:i/>
                <w:color w:val="ff0000"/>
                <w:sz w:val="24"/>
                <w:highlight w:val="white"/>
              </w:rPr>
              <w:t xml:space="preserve">Nay là Phường Đồng Nguyên, tỉnh Bắc Ninh</w:t>
            </w:r>
            <w:r>
              <w:rPr>
                <w:rFonts w:ascii="Times New Roman" w:hAnsi="Times New Roman" w:eastAsia="Times New Roman" w:cs="Times New Roman"/>
                <w:color w:val="ff0000"/>
                <w:sz w:val="24"/>
                <w:highlight w:val="white"/>
              </w:rPr>
              <w:t xml:space="preserve">).</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Tài sản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highlight w:val="white"/>
              </w:rPr>
              <w:t xml:space="preserve">Quyền sở hữu Căn hộ chung cư số 1902, địa chỉ: Tòa Park 9, Khu đô thị Vinhomes Times City Park Hill, số 25, ngõ 13, đường Lĩnh Nam, Phường Mai Động, Quận Hoàng Mai (</w:t>
            </w:r>
            <w:r>
              <w:rPr>
                <w:rFonts w:ascii="Times New Roman" w:hAnsi="Times New Roman" w:eastAsia="Times New Roman" w:cs="Times New Roman"/>
                <w:i/>
                <w:color w:val="000000"/>
                <w:sz w:val="24"/>
                <w:highlight w:val="white"/>
              </w:rPr>
              <w:t xml:space="preserve">nay là Phường Vĩnh Tuy</w:t>
            </w:r>
            <w:r>
              <w:rPr>
                <w:rFonts w:ascii="Times New Roman" w:hAnsi="Times New Roman" w:eastAsia="Times New Roman" w:cs="Times New Roman"/>
                <w:color w:val="000000"/>
                <w:sz w:val="24"/>
                <w:highlight w:val="white"/>
              </w:rPr>
              <w:t xml:space="preserve">), Thành phố Hà Nội theo Giấy chứng nhận Quyền sử dụng đất, quyền sở hữu nhà ở và tài sản khác gắn liền với đất số: CM 288331; Số vào sổ cấp GCN: CS 20828 d</w:t>
            </w:r>
            <w:r>
              <w:rPr>
                <w:rFonts w:ascii="Times New Roman" w:hAnsi="Times New Roman" w:eastAsia="Times New Roman" w:cs="Times New Roman"/>
                <w:color w:val="ff0000"/>
                <w:sz w:val="24"/>
                <w:highlight w:val="white"/>
              </w:rPr>
              <w:t xml:space="preserve">o Sở Tài nguyên và Môi trường thành phố Hà Nội cấp ngày 14/5/201</w:t>
            </w:r>
            <w:r>
              <w:rPr>
                <w:rFonts w:ascii="Times New Roman" w:hAnsi="Times New Roman" w:eastAsia="Times New Roman" w:cs="Times New Roman"/>
                <w:color w:val="000000"/>
                <w:sz w:val="24"/>
                <w:highlight w:val="white"/>
              </w:rPr>
              <w:t xml:space="preserve">8; Chủ sở hữu căn hộ chung cư là Ông Ngô Hữu Biên.</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Mục đích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highlight w:val="white"/>
              </w:rPr>
              <w:t xml:space="preserve">Kết quả thẩm định giá để khách hàng tham khảo giá trị tài sản phục vụ công tác vay vốn tại tổ chức tín dụng.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12"/>
                <w:sz w:val="24"/>
                <w:highlight w:val="white"/>
              </w:rPr>
              <w:t xml:space="preserve">Cơ sở giá trị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highlight w:val="white"/>
              </w:rPr>
              <w:t xml:space="preserve">Giá trị thị trường.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highlight w:val="white"/>
              </w:rPr>
              <w:t xml:space="preserve">Thời điểm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highlight w:val="white"/>
              </w:rPr>
              <w:t xml:space="preserve">Tháng 8/2026.</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highlight w:val="white"/>
              </w:rPr>
              <w:t xml:space="preserve">Địa điểm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highlight w:val="white"/>
              </w:rPr>
              <w:t xml:space="preserve">Tòa Park 9, Khu đô thị Vinhomes Times City Park Hill, 25 ngõ 13 đường Lĩnh Nam, phường Vĩnh Tuy, Hà Nội  </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highlight w:val="white"/>
              </w:rPr>
              <w:t xml:space="preserve">Thời điểm khảo sát</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highlight w:val="white"/>
              </w:rPr>
              <w:t xml:space="preserve">Tháng 8/2026.</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pacing w:val="-6"/>
          <w:sz w:val="24"/>
          <w:highlight w:val="white"/>
        </w:rPr>
        <w:t xml:space="preserve">2. Các nguồn thông tin được sử dụng trong quá trình thẩm định giá và xem xét đánh giá các thông tin thu thập</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6"/>
          <w:sz w:val="24"/>
          <w:highlight w:val="white"/>
        </w:rPr>
        <w:t xml:space="preserve">Tham khảo nguồn thông tin từ các trang giao bán bất động sản qua mạng Internet, gọi điện trực tiếp</w:t>
      </w:r>
      <w:r>
        <w:rPr>
          <w:rFonts w:ascii="Times New Roman" w:hAnsi="Times New Roman" w:eastAsia="Times New Roman" w:cs="Times New Roman"/>
          <w:color w:val="000000"/>
          <w:sz w:val="24"/>
          <w:highlight w:val="white"/>
        </w:rPr>
        <w:t xml:space="preserve">.</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Tham khảo nguồn thông tin trực tiếp từ những người dân sinh sống xung quanh trên địa bàn.</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Đánh giá nguồn thông tin thu thập: Nguồn thông tin thu thập khách quan và phổ biến trên thị trường.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highlight w:val="white"/>
        </w:rPr>
        <w:t xml:space="preserve">3. Căn cứ pháp lý</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highlight w:val="white"/>
        </w:rPr>
        <w:t xml:space="preserve">3.1. Văn bản quy phạm pháp luật:</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    Luật Giá số 16/2023/QH15 ngày 19/6/2023;</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Luật Đất đai số 31/2024/QH15 đã được Quốc hội nước Cộng hòa xã hội chủ nghĩa Việt Nam khóa XV, kỳ họp bất thường lần thứ 5 thông qua ngày 18 tháng 01 năm 2024;</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Luật Xây dựng số 50/2014/QH13 đã được Quốc hội nước Cộng hòa xã hội chủ nghĩa Việt Nam khóa XIII, kỳ họp thứ 7 thông qua ngày 18 tháng 6 năm 2014;</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Luật Nhà ở số 27/2023/QH15 đã được Quốc hội nước Cộng hòa xã hội chủ nghĩa Việt Nam khóa XV, kỳ họp thứ 6 thông qua ngày 27 tháng 11 năm 2023;</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rPr/>
      </w:pPr>
      <w:r>
        <w:rPr>
          <w:rFonts w:ascii="Times New Roman" w:hAnsi="Times New Roman" w:eastAsia="Times New Roman" w:cs="Times New Roman"/>
          <w:color w:val="000000"/>
          <w:sz w:val="24"/>
          <w:highlight w:val="white"/>
        </w:rPr>
        <w:t xml:space="preserve">Nghị định số 71/2024/NĐ-CP ngày 27/6/2024 của Chính phủ Quy định về giá đất;</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Nghị định số 103/2024/NĐ-CP ngày 30/7/2024 của Chính phủ quy định về thu tiền sử dụng đất, tiền thuê đất;</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Thông tư số 28/2024/TT-BTC ngày 16/5/2024 của Bộ Tài chính Quy định về trình tự, thủ tục kiểm tra việc chấp hành pháp luật về giá, thẩm định giá do Bộ trưởng Bộ Tài chính ban hành;</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Thông tư số 31/2024/TT-BTC ngày 16/5/2024 của Bộ Tài chính ban hành chuẩn mực thẩm định giá Việt Nam về thu thập và phân tích thông tin về tài sản thẩm định giá;</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Thông tư số 32/2024/TT-BTC ngày 16/5/2024 của Bộ Tài chính ban hành các chuẩn mực thẩm định giá Việt Nam về cách tiếp cận từ thị trường, cách tiếp cận từ chi phí, cách tiếp cận từ thu nhập;</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Thông tư số 36/2024/TT-BTC ngày 16/5/2024 của Bộ Tài chính ban hành chuẩn mực thẩm định giá Việt Nam về thẩm định giá doanh nghiệp;</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Thông tư số 37/2024/TT-BTC ngày 16/5/2024 của Bộ Tài chính ban hành chuẩn mực thẩm định giá Việt Nam về thẩm định giá tài sản vô hình;</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Thông tư số 42/2024/TT-BTC ngày 20/6/2024 của Bộ Tài chính ban hành chuẩn mực thẩm định giá Việt Nam về thẩm định giá bất động sản;</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Và các văn bản pháp luật có liên quan khác.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highlight w:val="white"/>
        </w:rPr>
        <w:t xml:space="preserve">3.2. Các văn bản liên quan khác: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highlight w:val="white"/>
        </w:rPr>
        <w:t xml:space="preserve">a. Hồ sơ pháp lý của tài sản: </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Giấy chứng nhận Quyền sử dụng đất, quyền sở hữu nhà ở và tài sản khác gắn liền với đất số: CM 288331; Số vào sổ cấp GCN: CS 20828 d</w:t>
      </w:r>
      <w:r>
        <w:rPr>
          <w:rFonts w:ascii="Times New Roman" w:hAnsi="Times New Roman" w:eastAsia="Times New Roman" w:cs="Times New Roman"/>
          <w:color w:val="ff0000"/>
          <w:sz w:val="24"/>
          <w:highlight w:val="white"/>
        </w:rPr>
        <w:t xml:space="preserve">o Sở Tài nguyên và Môi trường thành phố Hà Nội cấp ngày 14/5/201</w:t>
      </w:r>
      <w:r>
        <w:rPr>
          <w:rFonts w:ascii="Times New Roman" w:hAnsi="Times New Roman" w:eastAsia="Times New Roman" w:cs="Times New Roman"/>
          <w:color w:val="000000"/>
          <w:sz w:val="24"/>
          <w:highlight w:val="white"/>
        </w:rPr>
        <w:t xml:space="preserve">8; Chủ sở hữu căn hộ chung cư là Ông Ngô Hữu Biên.</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highlight w:val="white"/>
        </w:rPr>
        <w:t xml:space="preserve">b. Hồ sơ khác:</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Hợp đồng dịch vụ thẩm định giá số </w:t>
      </w:r>
      <w:r>
        <w:rPr>
          <w:rFonts w:ascii="Times New Roman" w:hAnsi="Times New Roman" w:eastAsia="Times New Roman" w:cs="Times New Roman"/>
          <w:color w:val="000000"/>
          <w:spacing w:val="-4"/>
          <w:sz w:val="24"/>
          <w:highlight w:val="white"/>
        </w:rPr>
        <w:t xml:space="preserve">275/2026/1329/VFI-HĐTĐ.44.A</w:t>
      </w:r>
      <w:r>
        <w:rPr>
          <w:rFonts w:ascii="Times New Roman" w:hAnsi="Times New Roman" w:eastAsia="Times New Roman" w:cs="Times New Roman"/>
          <w:color w:val="000000"/>
          <w:sz w:val="24"/>
          <w:highlight w:val="white"/>
        </w:rPr>
        <w:t xml:space="preserve"> ký ngày 18/8/2026 giữa Ông Ngô Hữu Biên với Công ty Cổ phần Thẩm định và Đầu tư Tài chính Hoa Sen;</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Hồ sơ, tài liệu, chứng từ liên quan đến tài sản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80" w:lineRule="atLeast"/>
        <w:ind w:right="0" w:firstLine="0" w:left="0"/>
        <w:jc w:val="both"/>
        <w:rPr/>
      </w:pPr>
      <w:r>
        <w:rPr>
          <w:rFonts w:ascii="Times New Roman" w:hAnsi="Times New Roman" w:eastAsia="Times New Roman" w:cs="Times New Roman"/>
          <w:b/>
          <w:color w:val="000000"/>
          <w:sz w:val="24"/>
          <w:highlight w:val="white"/>
        </w:rPr>
        <w:t xml:space="preserve">III. TỔNG QUAN VỀ THỊ TRƯỜNG CỦA TÀI SẢN THẨM ĐỊNH GIÁ</w:t>
      </w:r>
      <w:r/>
    </w:p>
    <w:p>
      <w:pPr>
        <w:numPr>
          <w:ilvl w:val="0"/>
          <w:numId w:val="44"/>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pPr>
      <w:r>
        <w:rPr>
          <w:rFonts w:ascii="Times New Roman" w:hAnsi="Times New Roman" w:eastAsia="Times New Roman" w:cs="Times New Roman"/>
          <w:b/>
          <w:color w:val="000000"/>
          <w:sz w:val="24"/>
          <w:highlight w:val="white"/>
        </w:rPr>
        <w:t xml:space="preserve">Tổng quan thị trường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Thị trường căn hộ Hà Nội đang bước vào chu kỳ tăng trưởng nguồn cung mới sau nhiều năm khan hiếm dự án. Tuy nhiên, khác với giai đoạn trước khi có sự tham gia của nhiều doanh nghiệp quy mô vừa và nhỏ, nguồn hàng hiện nay chủ yếu được dẫn dắt bởi một nhóm “</w:t>
      </w:r>
      <w:r>
        <w:rPr>
          <w:rFonts w:ascii="Times New Roman" w:hAnsi="Times New Roman" w:eastAsia="Times New Roman" w:cs="Times New Roman"/>
          <w:color w:val="000000"/>
          <w:sz w:val="24"/>
          <w:highlight w:val="white"/>
        </w:rPr>
        <w:t xml:space="preserve">ông lớn” như Masterise Homes, MIK Group hay Sunshine Group,...</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Từ khu vực trung tâm đến phía tây, phía đông và phía bắc Thủ đô, hàng loạt đại dự án đang đồng loạt triển khai với quy mô lên tới hàng chục nghìn căn hộ.</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center"/>
        <w:rPr/>
      </w:pPr>
      <w:r>
        <mc:AlternateContent>
          <mc:Choice Requires="wpg">
            <w:drawing>
              <wp:inline xmlns:wp="http://schemas.openxmlformats.org/drawingml/2006/wordprocessingDrawing" distT="0" distB="0" distL="0" distR="0">
                <wp:extent cx="4229100" cy="240928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63647" name=""/>
                        <pic:cNvPicPr>
                          <a:picLocks noChangeAspect="1"/>
                        </pic:cNvPicPr>
                        <pic:nvPr/>
                      </pic:nvPicPr>
                      <pic:blipFill rotWithShape="1">
                        <a:blip r:embed="rId18"/>
                        <a:stretch/>
                      </pic:blipFill>
                      <pic:spPr bwMode="auto">
                        <a:xfrm flipH="0" flipV="0">
                          <a:off x="0" y="0"/>
                          <a:ext cx="4229100" cy="24092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33.00pt;height:189.71pt;mso-wrap-distance-left:0.00pt;mso-wrap-distance-top:0.00pt;mso-wrap-distance-right:0.00pt;mso-wrap-distance-bottom:0.00pt;z-index:1;" stroked="false">
                <v:imagedata r:id="rId18" o:title=""/>
                <o:lock v:ext="edit" rotation="t"/>
              </v:shape>
            </w:pict>
          </mc:Fallback>
        </mc:AlternateConten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p>
    <w:p>
      <w:pPr>
        <w:numPr>
          <w:ilvl w:val="0"/>
          <w:numId w:val="44"/>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pPr>
      <w:r>
        <w:rPr>
          <w:rFonts w:ascii="Times New Roman" w:hAnsi="Times New Roman" w:eastAsia="Times New Roman" w:cs="Times New Roman"/>
          <w:color w:val="000000"/>
          <w:sz w:val="24"/>
          <w:highlight w:val="white"/>
        </w:rPr>
        <w:t xml:space="preserve">Tại khu đất công nghiệp cũ Cao - Xà - Lá trên đường Nguyễn Trãi, Masterise Homes đang phát triển tổ hợp Hanoi Seasons Garden trên quỹ đất khoảng 11 ha, gồm 8 tòa căn hộ và 2 tòa văn phòng cao từ 35 - 46 tầng. Theo ước tính được môi giới tại đây giới thiệu,</w:t>
      </w:r>
      <w:r>
        <w:rPr>
          <w:rFonts w:ascii="Times New Roman" w:hAnsi="Times New Roman" w:eastAsia="Times New Roman" w:cs="Times New Roman"/>
          <w:color w:val="000000"/>
          <w:sz w:val="24"/>
          <w:highlight w:val="white"/>
        </w:rPr>
        <w:t xml:space="preserve"> mỗi sàn sẽ dự có 23 căn hộ, trung bình là 40 tầng, dự án sẽ tung ra thị trường khoảng 8.000 căn hộ.</w:t>
      </w:r>
      <w:r/>
    </w:p>
    <w:p>
      <w:pPr>
        <w:numPr>
          <w:ilvl w:val="0"/>
          <w:numId w:val="44"/>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pPr>
      <w:r>
        <w:rPr>
          <w:rFonts w:ascii="Times New Roman" w:hAnsi="Times New Roman" w:eastAsia="Times New Roman" w:cs="Times New Roman"/>
          <w:color w:val="000000"/>
          <w:sz w:val="24"/>
          <w:highlight w:val="white"/>
        </w:rPr>
        <w:t xml:space="preserve">Ngoài dự án trung tâm này, Masterise Homes còn mở rộng mạnh tại các đại đô thị vùng ven. Tại Vinhomes Đan Phượng, doanh nghiệp phát triển dự án Masteri Sky Quarter gồm 2 tòa tháp cao 16 và 22 tầng. Ở phía đông, doanh nghiệp dự kiến triển khai tổng cộng 34 </w:t>
      </w:r>
      <w:r>
        <w:rPr>
          <w:rFonts w:ascii="Times New Roman" w:hAnsi="Times New Roman" w:eastAsia="Times New Roman" w:cs="Times New Roman"/>
          <w:color w:val="000000"/>
          <w:sz w:val="24"/>
          <w:highlight w:val="white"/>
        </w:rPr>
        <w:t xml:space="preserve">tòa căn hộ tại Vinhomes Ocean Park 2 và 3.</w:t>
      </w:r>
      <w:r/>
    </w:p>
    <w:p>
      <w:pPr>
        <w:numPr>
          <w:ilvl w:val="0"/>
          <w:numId w:val="44"/>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pPr>
      <w:r>
        <w:rPr>
          <w:rFonts w:ascii="Times New Roman" w:hAnsi="Times New Roman" w:eastAsia="Times New Roman" w:cs="Times New Roman"/>
          <w:color w:val="000000"/>
          <w:sz w:val="24"/>
          <w:highlight w:val="white"/>
        </w:rPr>
        <w:t xml:space="preserve">Trong khi đó, MIK Group liên tục gia tăng hiện diện tại Hà Nội trong khoảng 3 năm gần đây. Sau loạt dự án tại Vinhomes Smart City và The Matrix One giai đoạn 2, doanh nghiệp tiếp tục tung ra Imperia Sky Park tại Nam An Khánh với 6 tòa nhà cao từ 31 - 40 tầ</w:t>
      </w:r>
      <w:r>
        <w:rPr>
          <w:rFonts w:ascii="Times New Roman" w:hAnsi="Times New Roman" w:eastAsia="Times New Roman" w:cs="Times New Roman"/>
          <w:color w:val="000000"/>
          <w:sz w:val="24"/>
          <w:highlight w:val="white"/>
        </w:rPr>
        <w:t xml:space="preserve">ng, cung cấp khoảng 3.000 căn hộ.</w:t>
      </w:r>
      <w:r/>
    </w:p>
    <w:p>
      <w:pPr>
        <w:numPr>
          <w:ilvl w:val="0"/>
          <w:numId w:val="44"/>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pPr>
      <w:r>
        <w:rPr>
          <w:rFonts w:ascii="Times New Roman" w:hAnsi="Times New Roman" w:eastAsia="Times New Roman" w:cs="Times New Roman"/>
          <w:color w:val="000000"/>
          <w:sz w:val="24"/>
          <w:highlight w:val="white"/>
        </w:rPr>
        <w:t xml:space="preserve">Tại Long Biên, MIK Group cũng triển khai dự án The Magnolia gồm 3 tòa cao 33 tầng với hơn 500 căn hộ, nối tiếp chuỗi dự án Imperia Signature Cổ Loa và Imperia Ocean City.</w:t>
      </w:r>
      <w:r/>
    </w:p>
    <w:p>
      <w:pPr>
        <w:numPr>
          <w:ilvl w:val="0"/>
          <w:numId w:val="44"/>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pPr>
      <w:r>
        <w:rPr>
          <w:rFonts w:ascii="Times New Roman" w:hAnsi="Times New Roman" w:eastAsia="Times New Roman" w:cs="Times New Roman"/>
          <w:color w:val="000000"/>
          <w:sz w:val="24"/>
          <w:highlight w:val="white"/>
        </w:rPr>
        <w:t xml:space="preserve">Sunshine Group cũng cho thấy tham vọng lớn khi đồng loạt khởi công 3 dự án gồm Noble West Lake Hanoi, Sunshine River Park và Sunshine Continental.</w:t>
      </w:r>
      <w:r/>
    </w:p>
    <w:p>
      <w:pPr>
        <w:numPr>
          <w:ilvl w:val="0"/>
          <w:numId w:val="44"/>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pPr>
      <w:r>
        <w:rPr>
          <w:rFonts w:ascii="Times New Roman" w:hAnsi="Times New Roman" w:eastAsia="Times New Roman" w:cs="Times New Roman"/>
          <w:color w:val="000000"/>
          <w:sz w:val="24"/>
          <w:highlight w:val="white"/>
        </w:rPr>
        <w:t xml:space="preserve">Trong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w:t>
      </w:r>
      <w:r>
        <w:rPr>
          <w:rFonts w:ascii="Times New Roman" w:hAnsi="Times New Roman" w:eastAsia="Times New Roman" w:cs="Times New Roman"/>
          <w:color w:val="000000"/>
          <w:sz w:val="24"/>
          <w:highlight w:val="white"/>
        </w:rPr>
        <w:t xml:space="preserve">m.</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b/>
          <w:i/>
          <w:color w:val="000000"/>
          <w:sz w:val="24"/>
          <w:highlight w:val="white"/>
        </w:rPr>
        <w:t xml:space="preserve">Điểm đáng chú ý là phần lớn nguồn cung mới đều thuộc phân khúc cao cấp và hạng sang.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Các dự án của Masterise Homes hiện chủ yếu được bán với mức giá trên 100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 Riêng Hanoi Seasons Garden đã xuất hiện mức giá vượt 200 triệu đồng/m2. Nhiều dự án của MIK Group và Sunshine Group cũng hướng tới nhóm khách hàng có khả năng tài chính cao.</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Dữ liệu của CBRE Hà Nội cho thấy quý 1 vừa qua là quý thứ 3 liên tiếp giá căn hộ sơ cấp tại Hà Nội duy trì trên ngưỡng 100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Giá bán bình quân đạt 102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 tăng 29% so với cùng kỳ năm trước và thậm chí vượt TP.HCM trước thời điểm sáp nhập.</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w:t>
      </w:r>
      <w:r>
        <w:rPr>
          <w:rFonts w:ascii="Times New Roman" w:hAnsi="Times New Roman" w:eastAsia="Times New Roman" w:cs="Times New Roman"/>
          <w:i/>
          <w:color w:val="000000"/>
          <w:sz w:val="24"/>
          <w:highlight w:val="white"/>
        </w:rPr>
        <w:t xml:space="preserve">Các doanh nghiệp lớn sở hữu quỹ đất tốt,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w:t>
      </w:r>
      <w:r>
        <w:rPr>
          <w:rFonts w:ascii="Times New Roman" w:hAnsi="Times New Roman" w:eastAsia="Times New Roman" w:cs="Times New Roman"/>
          <w:i/>
          <w:color w:val="000000"/>
          <w:sz w:val="24"/>
          <w:highlight w:val="white"/>
        </w:rPr>
        <w:t xml:space="preserve">bằng giá khó có cơ hội điều chỉnh giảm</w:t>
      </w:r>
      <w:r>
        <w:rPr>
          <w:rFonts w:ascii="Times New Roman" w:hAnsi="Times New Roman" w:eastAsia="Times New Roman" w:cs="Times New Roman"/>
          <w:color w:val="000000"/>
          <w:sz w:val="24"/>
          <w:highlight w:val="white"/>
        </w:rPr>
        <w:t xml:space="preserve">”, ông Đính nhận định.</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center"/>
        <w:rPr/>
      </w:pPr>
      <w:r>
        <w:rPr>
          <w:rFonts w:ascii="Times New Roman" w:hAnsi="Times New Roman" w:eastAsia="Times New Roman" w:cs="Times New Roman"/>
          <w:i/>
          <w:color w:val="000000"/>
          <w:sz w:val="24"/>
          <w:highlight w:val="white"/>
        </w:rPr>
        <w:t xml:space="preserve">(Nguồn tham khảo: https://24hmoney.vn/news/dien-bien-thi-truong-chung-cu-ha-noi-c3a2791802.html)</w:t>
      </w:r>
      <w:r/>
    </w:p>
    <w:p>
      <w:pPr>
        <w:numPr>
          <w:ilvl w:val="0"/>
          <w:numId w:val="44"/>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pPr>
      <w:r>
        <w:rPr>
          <w:rFonts w:ascii="Times New Roman" w:hAnsi="Times New Roman" w:eastAsia="Times New Roman" w:cs="Times New Roman"/>
          <w:b/>
          <w:color w:val="000000"/>
          <w:sz w:val="24"/>
          <w:highlight w:val="white"/>
        </w:rPr>
        <w:t xml:space="preserve">Tổng quan dự 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b/>
          <w:color w:val="000000"/>
          <w:sz w:val="24"/>
          <w:highlight w:val="white"/>
        </w:rPr>
        <w:t xml:space="preserve">Giới thiệu dự án:</w:t>
      </w:r>
      <w:r>
        <w:rPr>
          <w:rFonts w:ascii="Times New Roman" w:hAnsi="Times New Roman" w:eastAsia="Times New Roman" w:cs="Times New Roman"/>
          <w:color w:val="000000"/>
          <w:sz w:val="24"/>
          <w:highlight w:val="white"/>
        </w:rPr>
        <w:t xml:space="preserve"> </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Địa chỉ: Số 458 Minh Khai, phường Vĩnh Tuy, quận Hai Bà Trưng, Hà Nội. Quy mô diện tích: Khoảng 36 ha. Mật độ xây dựng: Khoảng 30%. Thời gian khởi công: Năm 2011. Thời gian bàn giao: Bắt đầu bàn giao từ cuối năm 2013 và hoàn thiện toàn bộ dự án vào năm 201</w:t>
      </w:r>
      <w:r>
        <w:rPr>
          <w:rFonts w:ascii="Times New Roman" w:hAnsi="Times New Roman" w:eastAsia="Times New Roman" w:cs="Times New Roman"/>
          <w:color w:val="000000"/>
          <w:sz w:val="24"/>
          <w:highlight w:val="white"/>
        </w:rPr>
        <w:t xml:space="preserve">7. Loại hình sản phẩm: Căn hộ chung cư cao cấp, căn hộ thương mại (Shophouse chân đế), văn phòng cho thuê, trường học, bệnh viện.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b/>
          <w:color w:val="000000"/>
          <w:sz w:val="24"/>
          <w:highlight w:val="white"/>
        </w:rPr>
        <w:t xml:space="preserve">Hình ảnh tổng quan dự 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center"/>
        <w:rPr/>
      </w:pPr>
      <w:r>
        <mc:AlternateContent>
          <mc:Choice Requires="wpg">
            <w:drawing>
              <wp:inline xmlns:wp="http://schemas.openxmlformats.org/drawingml/2006/wordprocessingDrawing" distT="0" distB="0" distL="0" distR="0">
                <wp:extent cx="5334000" cy="2693399"/>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187525" name=""/>
                        <pic:cNvPicPr>
                          <a:picLocks noChangeAspect="1"/>
                        </pic:cNvPicPr>
                        <pic:nvPr/>
                      </pic:nvPicPr>
                      <pic:blipFill rotWithShape="1">
                        <a:blip r:embed="rId19"/>
                        <a:stretch/>
                      </pic:blipFill>
                      <pic:spPr bwMode="auto">
                        <a:xfrm flipH="0" flipV="0">
                          <a:off x="0" y="0"/>
                          <a:ext cx="5333999" cy="2693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0.00pt;height:212.08pt;mso-wrap-distance-left:0.00pt;mso-wrap-distance-top:0.00pt;mso-wrap-distance-right:0.00pt;mso-wrap-distance-bottom:0.00pt;z-index:1;" stroked="false">
                <v:imagedata r:id="rId19" o:title=""/>
                <o:lock v:ext="edit" rotation="t"/>
              </v:shape>
            </w:pict>
          </mc:Fallback>
        </mc:AlternateConten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Mô tả vị trí dự án: Vinhomes Times City nằm tại đoạn đầu của đường Minh Khai, sở hữu khả năng kết nối cực kỳ thuận tiện: Kết nối nội đô: Nằm ngay chân đường Vành đai 2 trên cao, cư dân chỉ mất 10 phút lái xe để vào trung tâm phố cổ (Hồ Hoàn Kiếm) qua đường</w:t>
      </w:r>
      <w:r>
        <w:rPr>
          <w:rFonts w:ascii="Times New Roman" w:hAnsi="Times New Roman" w:eastAsia="Times New Roman" w:cs="Times New Roman"/>
          <w:color w:val="000000"/>
          <w:sz w:val="24"/>
          <w:highlight w:val="white"/>
        </w:rPr>
        <w:t xml:space="preserve"> Kim Ngưu, Trần Khát Chân hoặc Phố Huế.Kết nối ngoại tỉnh: Dễ dàng di chuyển ra cầu Vĩnh Tuy để đi các tỉnh phía Đông như Hưng Yên, Hải Dương, Hải Phòng, Quảng Ninh. Tiếp giáp hạ tầng: Gần các bệnh viện lớn (Bạch Mai, Thanh Nhàn) và các trường đại học hàng</w:t>
      </w:r>
      <w:r>
        <w:rPr>
          <w:rFonts w:ascii="Times New Roman" w:hAnsi="Times New Roman" w:eastAsia="Times New Roman" w:cs="Times New Roman"/>
          <w:color w:val="000000"/>
          <w:sz w:val="24"/>
          <w:highlight w:val="white"/>
        </w:rPr>
        <w:t xml:space="preserve"> đầu (Bách Khoa, Kinh tế Quốc dân, Xây dựng). Times City có lợi thế nằm trên trục Minh Khai – Vĩnh Tuy, một trong những hướng giao thông quan trọng kết nối khu vực trung tâm Hà Nội với phía Đông và Đông Nam thành phố. Vị trí này có thể xem xét theo 4 hướng</w:t>
      </w:r>
      <w:r>
        <w:rPr>
          <w:rFonts w:ascii="Times New Roman" w:hAnsi="Times New Roman" w:eastAsia="Times New Roman" w:cs="Times New Roman"/>
          <w:color w:val="000000"/>
          <w:sz w:val="24"/>
          <w:highlight w:val="white"/>
        </w:rPr>
        <w:t xml:space="preserve"> kết nối chính: Phía Tây/Tây Bắc: kết nối vào khu vực trung tâm Hà Nội thông qua Minh Khai – Đại La – Trường Chinh và các tuyến đường nội đô. </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Phía Bắc: kết nối với khu vực Long Biên và các khu vực phía Bắc sông Hồng thông qua cầu Vĩnh Tuy. Phía Đông/Đông Nam: kết nối về Lĩnh Nam, Tam Trinh, Yên Duyên và các khu vực phía Đông Nam Hà Nội. Phía Nam/Tây Nam: kết nối với Giải Phóng, Đại học Bách Khoa</w:t>
      </w:r>
      <w:r>
        <w:rPr>
          <w:rFonts w:ascii="Times New Roman" w:hAnsi="Times New Roman" w:eastAsia="Times New Roman" w:cs="Times New Roman"/>
          <w:color w:val="000000"/>
          <w:sz w:val="24"/>
          <w:highlight w:val="white"/>
        </w:rPr>
        <w:t xml:space="preserve">, Bạch Mai và khu vực phía Nam trung tâm thành phố. Vinhomes cũng xác định Times City nằm tại cửa ngõ phía Đông Nam Hà Nội, có khả năng kết nối qua các trục Minh Khai, Nguyễn Khoái, Kim Ngưu và cầu Vĩnh Tuy.</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center"/>
        <w:rPr/>
      </w:pPr>
      <w:r>
        <w:rPr>
          <w:rFonts w:ascii="Times New Roman" w:hAnsi="Times New Roman" w:eastAsia="Times New Roman" w:cs="Times New Roman"/>
          <w:b/>
          <w:i/>
          <w:color w:val="000000"/>
          <w:sz w:val="24"/>
          <w:highlight w:val="white"/>
        </w:rPr>
        <w:t xml:space="preserve">Hình ảnh tổng quan liên kết dự án:</w:t>
      </w:r>
      <w:r>
        <mc:AlternateContent>
          <mc:Choice Requires="wpg">
            <w:drawing>
              <wp:inline xmlns:wp="http://schemas.openxmlformats.org/drawingml/2006/wordprocessingDrawing" distT="0" distB="0" distL="0" distR="0">
                <wp:extent cx="5695950" cy="276751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832401" name=""/>
                        <pic:cNvPicPr>
                          <a:picLocks noChangeAspect="1"/>
                        </pic:cNvPicPr>
                        <pic:nvPr/>
                      </pic:nvPicPr>
                      <pic:blipFill rotWithShape="1">
                        <a:blip r:embed="rId20"/>
                        <a:stretch/>
                      </pic:blipFill>
                      <pic:spPr bwMode="auto">
                        <a:xfrm flipH="0" flipV="0">
                          <a:off x="0" y="0"/>
                          <a:ext cx="5695949" cy="27675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48.50pt;height:217.91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eastAsia="Times New Roman" w:cs="Times New Roman"/>
          <w:b/>
          <w:i/>
          <w:color w:val="000000"/>
          <w:sz w:val="24"/>
          <w:highlight w:val="white"/>
        </w:rPr>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b/>
          <w:bCs/>
        </w:rPr>
      </w:pPr>
      <w:r>
        <w:rPr>
          <w:rFonts w:ascii="Times New Roman" w:hAnsi="Times New Roman" w:eastAsia="Times New Roman" w:cs="Times New Roman"/>
          <w:b/>
          <w:bCs/>
          <w:color w:val="000000"/>
          <w:sz w:val="24"/>
          <w:highlight w:val="white"/>
        </w:rPr>
        <w:t xml:space="preserve">Giới thiệu các phân khu chức năng:  </w:t>
      </w:r>
      <w:r>
        <w:rPr>
          <w:b/>
          <w:bCs/>
        </w:rPr>
      </w:r>
      <w:r>
        <w:rPr>
          <w:b/>
          <w:bCs/>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Giai đoạn 1 (Times City cơ bản - 11 tòa). Gồm các tòa: Từ T1 đến T11 (bao gồm cả tòa T10 VIP mà bạn từng tìm hiểu). Đặc điểm: Bố trí căn hộ diện tích lớn (từ 1PN đến 4PN), thiết kế theo phong cách truyền thống, bàn giao kèm gói nội thất cơ bản của chủ đầu </w:t>
      </w:r>
      <w:r>
        <w:rPr>
          <w:rFonts w:ascii="Times New Roman" w:hAnsi="Times New Roman" w:eastAsia="Times New Roman" w:cs="Times New Roman"/>
          <w:color w:val="000000"/>
          <w:sz w:val="24"/>
          <w:highlight w:val="white"/>
        </w:rPr>
        <w:t xml:space="preserve">tư.</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Giai đoạn 2 (Park Hill - 8 tòa). Gồm các tòa: Từ Park 1 đến Park 8. Đặc điểm: Thiết kế theo phong cách "Resort trong lòng đô thị". Tối ưu hóa diện tích khi 100% các phòng ngủ đều có mặt thoáng đón ánh sáng tự nhiên (không còn phòng ngủ âm). Cảnh quan nội k</w:t>
      </w:r>
      <w:r>
        <w:rPr>
          <w:rFonts w:ascii="Times New Roman" w:hAnsi="Times New Roman" w:eastAsia="Times New Roman" w:cs="Times New Roman"/>
          <w:color w:val="000000"/>
          <w:sz w:val="24"/>
          <w:highlight w:val="white"/>
        </w:rPr>
        <w:t xml:space="preserve">hu được đầu tư mạnh với cây xanh, đồi vọng cảnh.</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Giai đoạn 3 (Park Hill Premium - 4 tòa).Gồm các tòa: Park 9, Park 10, Park 11 và Park 12. </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Đặc điểm: Là phân khu cao cấp nhất dự án. Toàn bộ các căn hộ tại đây đều được tích hợp công nghệ Smart Home (nhà thông minh) điều khiển tự động bằng điện thoại hoặc máy tính bảng. Hình ảnh phân khu chức năng. Các phân khu Phân Khu T (các tòa từ T1-T10, cả </w:t>
      </w:r>
      <w:r>
        <w:rPr>
          <w:rFonts w:ascii="Times New Roman" w:hAnsi="Times New Roman" w:eastAsia="Times New Roman" w:cs="Times New Roman"/>
          <w:color w:val="000000"/>
          <w:sz w:val="24"/>
          <w:highlight w:val="white"/>
        </w:rPr>
        <w:t xml:space="preserve">T10 Vib): Phân khu Park Hill (Park 1-8): Phân khu Park Hill Premium (Park 9 -12)</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highlight w:val="white"/>
        </w:rPr>
        <w:t xml:space="preserve">IV. THÔNG TIN VỀ TÀI SẢN THẨM ĐỊNH GIÁ</w:t>
      </w:r>
      <w:r/>
    </w:p>
    <w:tbl>
      <w:tblPr>
        <w:tblStyle w:val="114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134"/>
        <w:gridCol w:w="1134"/>
        <w:gridCol w:w="1134"/>
        <w:gridCol w:w="1134"/>
        <w:gridCol w:w="1134"/>
        <w:gridCol w:w="1134"/>
      </w:tblGrid>
      <w:tr>
        <w:trPr>
          <w:trHeight w:val="1377"/>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b/>
                <w:color w:val="000000"/>
                <w:sz w:val="24"/>
                <w:highlight w:val="white"/>
              </w:rPr>
              <w:t xml:space="preserve">Tên tài sản</w:t>
            </w:r>
            <w:r/>
          </w:p>
        </w:tc>
        <w:tc>
          <w:tcPr>
            <w:gridSpan w:val="4"/>
            <w:tcBorders>
              <w:top w:val="single" w:color="000000" w:sz="8" w:space="0"/>
              <w:bottom w:val="single" w:color="000000" w:sz="8" w:space="0"/>
              <w:right w:val="single" w:color="000000" w:sz="8" w:space="0"/>
            </w:tcBorders>
            <w:tcMar>
              <w:left w:w="0" w:type="dxa"/>
              <w:top w:w="0" w:type="dxa"/>
              <w:right w:w="0" w:type="dxa"/>
              <w:bottom w:w="0" w:type="dxa"/>
            </w:tcMar>
            <w:tcW w:w="87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jc w:val="both"/>
              <w:rPr/>
            </w:pPr>
            <w:r>
              <w:rPr>
                <w:rFonts w:ascii="Times New Roman" w:hAnsi="Times New Roman" w:eastAsia="Times New Roman" w:cs="Times New Roman"/>
                <w:b/>
                <w:color w:val="000000"/>
                <w:sz w:val="24"/>
                <w:highlight w:val="white"/>
              </w:rPr>
              <w:t xml:space="preserve">Quyền sở hữu Căn hộ chung cư số 1902, địa chỉ: Tòa Park 9, Khu đô thị Vinhomes Times City Park Hill, số 25, ngõ 13, đường Lĩnh Nam, Phường Mai Động, Quận Hoàng Mai (</w:t>
            </w:r>
            <w:r>
              <w:rPr>
                <w:rFonts w:ascii="Times New Roman" w:hAnsi="Times New Roman" w:eastAsia="Times New Roman" w:cs="Times New Roman"/>
                <w:b/>
                <w:i/>
                <w:color w:val="000000"/>
                <w:sz w:val="24"/>
                <w:highlight w:val="white"/>
              </w:rPr>
              <w:t xml:space="preserve">nay là Phường Vĩnh Tuy</w:t>
            </w:r>
            <w:r>
              <w:rPr>
                <w:rFonts w:ascii="Times New Roman" w:hAnsi="Times New Roman" w:eastAsia="Times New Roman" w:cs="Times New Roman"/>
                <w:b/>
                <w:color w:val="000000"/>
                <w:sz w:val="24"/>
                <w:highlight w:val="white"/>
              </w:rPr>
              <w:t xml:space="preserve">), Thành phố Hà Nội theo Giấy chứng nhận Quyền sử dụng đất, quyền sở hữu nhà ở và tài sản khác gắn liền với đất số: CM 288331; Số vào sổ cấp GCN: CS 20828 d</w:t>
            </w:r>
            <w:r>
              <w:rPr>
                <w:rFonts w:ascii="Times New Roman" w:hAnsi="Times New Roman" w:eastAsia="Times New Roman" w:cs="Times New Roman"/>
                <w:b/>
                <w:color w:val="ff0000"/>
                <w:sz w:val="24"/>
                <w:highlight w:val="white"/>
              </w:rPr>
              <w:t xml:space="preserve">o Sở Tài nguyên và Môi trường thành phố Hà Nội cấp ngày 14/5/201</w:t>
            </w:r>
            <w:r>
              <w:rPr>
                <w:rFonts w:ascii="Times New Roman" w:hAnsi="Times New Roman" w:eastAsia="Times New Roman" w:cs="Times New Roman"/>
                <w:b/>
                <w:color w:val="000000"/>
                <w:sz w:val="24"/>
                <w:highlight w:val="white"/>
              </w:rPr>
              <w:t xml:space="preserve">8; Chủ sở hữu căn hộ chung cư là Ông Ngô Hữu Biên.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420"/>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b/>
                <w:color w:val="000000"/>
                <w:sz w:val="24"/>
                <w:highlight w:val="white"/>
              </w:rPr>
              <w:t xml:space="preserve">1.</w:t>
            </w:r>
            <w:r/>
          </w:p>
        </w:tc>
        <w:tc>
          <w:tcPr>
            <w:gridSpan w:val="4"/>
            <w:tcBorders>
              <w:bottom w:val="single" w:color="000000" w:sz="8" w:space="0"/>
              <w:right w:val="single" w:color="000000" w:sz="8" w:space="0"/>
            </w:tcBorders>
            <w:tcMar>
              <w:left w:w="0" w:type="dxa"/>
              <w:top w:w="0" w:type="dxa"/>
              <w:right w:w="0" w:type="dxa"/>
              <w:bottom w:w="0" w:type="dxa"/>
            </w:tcMar>
            <w:tcW w:w="87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rPr/>
            </w:pPr>
            <w:r>
              <w:rPr>
                <w:rFonts w:ascii="Times New Roman" w:hAnsi="Times New Roman" w:eastAsia="Times New Roman" w:cs="Times New Roman"/>
                <w:b/>
                <w:color w:val="000000"/>
                <w:sz w:val="24"/>
                <w:highlight w:val="white"/>
              </w:rPr>
              <w:t xml:space="preserve">Nội dung Thửa đất theo Hồ sơ pháp lý</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36"/>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bottom w:val="single" w:color="000000" w:sz="8" w:space="0"/>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rPr/>
            </w:pPr>
            <w:r>
              <w:rPr>
                <w:rFonts w:ascii="Times New Roman" w:hAnsi="Times New Roman" w:eastAsia="Times New Roman" w:cs="Times New Roman"/>
                <w:color w:val="000000"/>
                <w:sz w:val="24"/>
                <w:highlight w:val="white"/>
              </w:rPr>
              <w:t xml:space="preserve">Địa chỉ:</w:t>
            </w:r>
            <w:r/>
          </w:p>
        </w:tc>
        <w:tc>
          <w:tcPr>
            <w:gridSpan w:val="3"/>
            <w:tcBorders>
              <w:bottom w:val="single" w:color="000000" w:sz="8" w:space="0"/>
              <w:right w:val="single" w:color="000000" w:sz="8" w:space="0"/>
            </w:tcBorders>
            <w:tcMar>
              <w:left w:w="0" w:type="dxa"/>
              <w:top w:w="0" w:type="dxa"/>
              <w:right w:w="0" w:type="dxa"/>
              <w:bottom w:w="0" w:type="dxa"/>
            </w:tcMar>
            <w:tcW w:w="623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144" w:firstLine="0" w:left="142"/>
              <w:jc w:val="both"/>
              <w:rPr/>
            </w:pPr>
            <w:r>
              <w:rPr>
                <w:rFonts w:ascii="Times New Roman" w:hAnsi="Times New Roman" w:eastAsia="Times New Roman" w:cs="Times New Roman"/>
                <w:color w:val="000000"/>
                <w:sz w:val="24"/>
                <w:highlight w:val="white"/>
              </w:rPr>
              <w:t xml:space="preserve">Tòa Park 9, Khu đô thị Vinhomes Times City Park Hill, số 25, ngõ 13, đường Lĩnh Nam, Phường Mai Động, Quận Hoàng Mai (</w:t>
            </w:r>
            <w:r>
              <w:rPr>
                <w:rFonts w:ascii="Times New Roman" w:hAnsi="Times New Roman" w:eastAsia="Times New Roman" w:cs="Times New Roman"/>
                <w:i/>
                <w:color w:val="000000"/>
                <w:sz w:val="24"/>
                <w:highlight w:val="white"/>
              </w:rPr>
              <w:t xml:space="preserve">nay là Phường Vĩnh Tuy</w:t>
            </w:r>
            <w:r>
              <w:rPr>
                <w:rFonts w:ascii="Times New Roman" w:hAnsi="Times New Roman" w:eastAsia="Times New Roman" w:cs="Times New Roman"/>
                <w:color w:val="000000"/>
                <w:sz w:val="24"/>
                <w:highlight w:val="white"/>
              </w:rPr>
              <w:t xml:space="preserve">), Thành phố Hà Nội</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highlight w:val="white"/>
              </w:rPr>
              <w:t xml:space="preserve">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17"/>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bottom w:val="single" w:color="000000" w:sz="8" w:space="0"/>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rPr/>
            </w:pPr>
            <w:r>
              <w:rPr>
                <w:rFonts w:ascii="Times New Roman" w:hAnsi="Times New Roman" w:eastAsia="Times New Roman" w:cs="Times New Roman"/>
                <w:color w:val="000000"/>
                <w:sz w:val="24"/>
                <w:highlight w:val="white"/>
              </w:rPr>
              <w:t xml:space="preserve">Diện tích (m²):</w:t>
            </w:r>
            <w:r/>
          </w:p>
        </w:tc>
        <w:tc>
          <w:tcPr>
            <w:tcBorders>
              <w:bottom w:val="single" w:color="000000" w:sz="8" w:space="0"/>
              <w:right w:val="single" w:color="000000" w:sz="8" w:space="0"/>
            </w:tcBorders>
            <w:tcMar>
              <w:left w:w="0" w:type="dxa"/>
              <w:top w:w="0" w:type="dxa"/>
              <w:right w:w="0"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jc w:val="center"/>
              <w:rPr/>
            </w:pPr>
            <w:r>
              <w:rPr>
                <w:rFonts w:ascii="Times New Roman" w:hAnsi="Times New Roman" w:eastAsia="Times New Roman" w:cs="Times New Roman"/>
                <w:color w:val="000000"/>
                <w:sz w:val="24"/>
                <w:highlight w:val="white"/>
              </w:rPr>
              <w:t xml:space="preserve">1.899,0</w:t>
            </w:r>
            <w:r/>
          </w:p>
        </w:tc>
        <w:tc>
          <w:tcPr>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rPr/>
            </w:pPr>
            <w:r>
              <w:rPr>
                <w:rFonts w:ascii="Times New Roman" w:hAnsi="Times New Roman" w:eastAsia="Times New Roman" w:cs="Times New Roman"/>
                <w:color w:val="000000"/>
                <w:sz w:val="24"/>
                <w:highlight w:val="white"/>
              </w:rPr>
              <w:t xml:space="preserve">Hình thức sử dụng</w:t>
            </w:r>
            <w:r/>
          </w:p>
        </w:tc>
        <w:tc>
          <w:tcPr>
            <w:tcBorders>
              <w:bottom w:val="single" w:color="000000" w:sz="8" w:space="0"/>
              <w:right w:val="single" w:color="000000" w:sz="8" w:space="0"/>
            </w:tcBorders>
            <w:tcMar>
              <w:left w:w="0" w:type="dxa"/>
              <w:top w:w="0" w:type="dxa"/>
              <w:right w:w="0"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jc w:val="center"/>
              <w:rPr/>
            </w:pPr>
            <w:r>
              <w:rPr>
                <w:rFonts w:ascii="Times New Roman" w:hAnsi="Times New Roman" w:eastAsia="Times New Roman" w:cs="Times New Roman"/>
                <w:color w:val="000000"/>
                <w:sz w:val="24"/>
                <w:highlight w:val="white"/>
              </w:rPr>
              <w:t xml:space="preserve">Sử dụng chung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bottom w:val="single" w:color="000000" w:sz="8" w:space="0"/>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rPr/>
            </w:pPr>
            <w:r>
              <w:rPr>
                <w:rFonts w:ascii="Times New Roman" w:hAnsi="Times New Roman" w:eastAsia="Times New Roman" w:cs="Times New Roman"/>
                <w:color w:val="000000"/>
                <w:sz w:val="24"/>
                <w:highlight w:val="white"/>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jc w:val="center"/>
              <w:rPr/>
            </w:pPr>
            <w:r>
              <w:rPr>
                <w:rFonts w:ascii="Times New Roman" w:hAnsi="Times New Roman" w:eastAsia="Times New Roman" w:cs="Times New Roman"/>
                <w:color w:val="000000"/>
                <w:sz w:val="24"/>
                <w:highlight w:val="white"/>
              </w:rPr>
              <w:t xml:space="preserve">Đất ở tại đô thị</w:t>
            </w:r>
            <w:r/>
          </w:p>
        </w:tc>
        <w:tc>
          <w:tcPr>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rPr/>
            </w:pPr>
            <w:r>
              <w:rPr>
                <w:rFonts w:ascii="Times New Roman" w:hAnsi="Times New Roman" w:eastAsia="Times New Roman" w:cs="Times New Roman"/>
                <w:color w:val="000000"/>
                <w:sz w:val="24"/>
                <w:highlight w:val="white"/>
              </w:rPr>
              <w:t xml:space="preserve">Thời hạn sử dụng:</w:t>
            </w:r>
            <w:r/>
          </w:p>
        </w:tc>
        <w:tc>
          <w:tcPr>
            <w:tcBorders>
              <w:bottom w:val="single" w:color="000000" w:sz="8" w:space="0"/>
              <w:right w:val="single" w:color="000000" w:sz="8" w:space="0"/>
            </w:tcBorders>
            <w:tcMar>
              <w:left w:w="0" w:type="dxa"/>
              <w:top w:w="0" w:type="dxa"/>
              <w:right w:w="0"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jc w:val="center"/>
              <w:rPr/>
            </w:pPr>
            <w:r>
              <w:rPr>
                <w:rFonts w:ascii="Times New Roman" w:hAnsi="Times New Roman" w:eastAsia="Times New Roman" w:cs="Times New Roman"/>
                <w:color w:val="000000"/>
                <w:sz w:val="24"/>
                <w:highlight w:val="white"/>
              </w:rPr>
              <w:t xml:space="preserve">Lâu dài</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31"/>
        </w:trPr>
        <w:tc>
          <w:tcPr>
            <w:tcBorders>
              <w:left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rPr/>
            </w:pPr>
            <w:r>
              <w:rPr>
                <w:rFonts w:ascii="Times New Roman" w:hAnsi="Times New Roman" w:eastAsia="Times New Roman" w:cs="Times New Roman"/>
                <w:color w:val="000000"/>
                <w:sz w:val="24"/>
                <w:highlight w:val="white"/>
              </w:rPr>
              <w:t xml:space="preserve">Nguồn gốc sử dụng đất:</w:t>
            </w:r>
            <w:r/>
          </w:p>
        </w:tc>
        <w:tc>
          <w:tcPr>
            <w:gridSpan w:val="3"/>
            <w:tcBorders>
              <w:right w:val="single" w:color="000000" w:sz="8" w:space="0"/>
            </w:tcBorders>
            <w:tcMar>
              <w:left w:w="0" w:type="dxa"/>
              <w:top w:w="0" w:type="dxa"/>
              <w:right w:w="0" w:type="dxa"/>
              <w:bottom w:w="0" w:type="dxa"/>
            </w:tcMar>
            <w:tcW w:w="623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88" w:lineRule="auto"/>
              <w:ind w:right="73" w:firstLine="0" w:left="142"/>
              <w:rPr/>
            </w:pPr>
            <w:r>
              <w:rPr>
                <w:rFonts w:ascii="Times New Roman" w:hAnsi="Times New Roman" w:eastAsia="Times New Roman" w:cs="Times New Roman"/>
                <w:color w:val="000000"/>
                <w:sz w:val="24"/>
                <w:highlight w:val="white"/>
              </w:rPr>
              <w:t xml:space="preserve">Nhà nước giao đất có thu tiền sử dụng đất.</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31"/>
        </w:trPr>
        <w:tc>
          <w:tcPr>
            <w:shd w:val="clear" w:color="ffffff" w:fill="ffffff"/>
            <w:tcBorders>
              <w:left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0"/>
              <w:jc w:val="center"/>
              <w:rPr/>
            </w:pPr>
            <w:r>
              <w:rPr>
                <w:rFonts w:ascii="Times New Roman" w:hAnsi="Times New Roman" w:eastAsia="Times New Roman" w:cs="Times New Roman"/>
                <w:b/>
                <w:color w:val="000000"/>
                <w:sz w:val="24"/>
                <w:highlight w:val="white"/>
              </w:rPr>
              <w:t xml:space="preserve">2.</w:t>
            </w:r>
            <w:r/>
          </w:p>
        </w:tc>
        <w:tc>
          <w:tcPr>
            <w:gridSpan w:val="4"/>
            <w:shd w:val="clear" w:color="ffffff" w:fill="ffffff"/>
            <w:tcBorders>
              <w:right w:val="single" w:color="000000" w:sz="8" w:space="0"/>
            </w:tcBorders>
            <w:tcMar>
              <w:left w:w="0" w:type="dxa"/>
              <w:top w:w="0" w:type="dxa"/>
              <w:right w:w="0" w:type="dxa"/>
              <w:bottom w:w="0" w:type="dxa"/>
            </w:tcMar>
            <w:tcW w:w="87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b/>
                <w:color w:val="000000"/>
                <w:sz w:val="24"/>
                <w:highlight w:val="white"/>
              </w:rPr>
              <w:t xml:space="preserve">Về đất:</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31"/>
        </w:trPr>
        <w:tc>
          <w:tcPr>
            <w:shd w:val="clear" w:color="ffffff" w:fill="ffffff"/>
            <w:tcBorders>
              <w:left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0"/>
              <w:jc w:val="center"/>
              <w:rPr/>
            </w:pPr>
            <w:r>
              <w:rPr>
                <w:rFonts w:ascii="Times New Roman" w:hAnsi="Times New Roman" w:eastAsia="Times New Roman" w:cs="Times New Roman"/>
                <w:b/>
                <w:color w:val="000000"/>
                <w:sz w:val="24"/>
                <w:highlight w:val="white"/>
              </w:rPr>
              <w:t xml:space="preserve">2.1</w:t>
            </w:r>
            <w:r/>
          </w:p>
        </w:tc>
        <w:tc>
          <w:tcPr>
            <w:shd w:val="clear" w:color="ffffff" w:fill="ffffff"/>
            <w:tcBorders>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b/>
                <w:color w:val="000000"/>
                <w:sz w:val="24"/>
                <w:highlight w:val="white"/>
              </w:rPr>
              <w:t xml:space="preserve">Vị trí; Giao thông:</w:t>
            </w:r>
            <w:r/>
          </w:p>
        </w:tc>
        <w:tc>
          <w:tcPr>
            <w:gridSpan w:val="3"/>
            <w:shd w:val="clear" w:color="ffffff" w:fill="ffffff"/>
            <w:tcBorders>
              <w:right w:val="single" w:color="000000" w:sz="8" w:space="0"/>
            </w:tcBorders>
            <w:tcMar>
              <w:left w:w="0" w:type="dxa"/>
              <w:top w:w="0" w:type="dxa"/>
              <w:right w:w="0" w:type="dxa"/>
              <w:bottom w:w="0" w:type="dxa"/>
            </w:tcMar>
            <w:tcW w:w="62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b/>
                <w:color w:val="000000"/>
                <w:sz w:val="24"/>
                <w:highlight w:val="white"/>
              </w:rPr>
              <w:t xml:space="preserve">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31"/>
        </w:trPr>
        <w:tc>
          <w:tcPr>
            <w:shd w:val="clear" w:color="ffffff" w:fill="ffffff"/>
            <w:tcBorders>
              <w:left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shd w:val="clear" w:color="ffffff" w:fill="ffffff"/>
            <w:tcBorders>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highlight w:val="white"/>
              </w:rPr>
              <w:t xml:space="preserve">Đường tiếp giáp chính:</w:t>
            </w:r>
            <w:r/>
          </w:p>
        </w:tc>
        <w:tc>
          <w:tcPr>
            <w:gridSpan w:val="3"/>
            <w:shd w:val="clear" w:color="ffffff" w:fill="ffffff"/>
            <w:tcBorders>
              <w:right w:val="single" w:color="000000" w:sz="8" w:space="0"/>
            </w:tcBorders>
            <w:tcMar>
              <w:left w:w="0" w:type="dxa"/>
              <w:top w:w="0" w:type="dxa"/>
              <w:right w:w="0" w:type="dxa"/>
              <w:bottom w:w="0" w:type="dxa"/>
            </w:tcMar>
            <w:tcW w:w="62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highlight w:val="white"/>
              </w:rPr>
              <w:t xml:space="preserve">Đường Minh Khai.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38"/>
        </w:trPr>
        <w:tc>
          <w:tcPr>
            <w:shd w:val="clear" w:color="ffffff" w:fill="ffffff"/>
            <w:tcBorders>
              <w:left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shd w:val="clear" w:color="ffffff" w:fill="ffffff"/>
            <w:tcBorders>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highlight w:val="white"/>
              </w:rPr>
              <w:t xml:space="preserve"> Khoảng cách đến trục đường chính (m): </w:t>
            </w:r>
            <w:r/>
          </w:p>
        </w:tc>
        <w:tc>
          <w:tcPr>
            <w:gridSpan w:val="3"/>
            <w:shd w:val="clear" w:color="ffffff" w:fill="ffffff"/>
            <w:tcBorders>
              <w:right w:val="single" w:color="000000" w:sz="8" w:space="0"/>
            </w:tcBorders>
            <w:tcMar>
              <w:left w:w="0" w:type="dxa"/>
              <w:top w:w="0" w:type="dxa"/>
              <w:right w:w="0" w:type="dxa"/>
              <w:bottom w:w="0" w:type="dxa"/>
            </w:tcMar>
            <w:tcW w:w="62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line="288" w:lineRule="auto"/>
              <w:ind w:right="73" w:firstLine="0" w:left="142"/>
              <w:jc w:val="both"/>
              <w:rPr/>
            </w:pPr>
            <w:r>
              <w:rPr>
                <w:rFonts w:ascii="Times New Roman" w:hAnsi="Times New Roman" w:eastAsia="Times New Roman" w:cs="Times New Roman"/>
                <w:color w:val="000000"/>
                <w:sz w:val="24"/>
                <w:highlight w:val="white"/>
              </w:rPr>
              <w:t xml:space="preserve">Cách trục đường chính Minh Khai khoảng 500m</w:t>
            </w:r>
            <w:r>
              <w:rPr>
                <w:rFonts w:ascii="Times New Roman" w:hAnsi="Times New Roman" w:eastAsia="Times New Roman" w:cs="Times New Roman"/>
                <w:color w:val="000000"/>
                <w:sz w:val="24"/>
              </w:rPr>
              <w:t xml:space="preserve">. Cách UBND phường Vĩnh Tuy ~1,7km.</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42"/>
        </w:trPr>
        <w:tc>
          <w:tcPr>
            <w:shd w:val="clear" w:color="ffffff" w:fill="ffffff"/>
            <w:tcBorders>
              <w:left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highlight w:val="white"/>
              </w:rPr>
              <w:t xml:space="preserve">-</w:t>
            </w:r>
            <w:r/>
          </w:p>
        </w:tc>
        <w:tc>
          <w:tcPr>
            <w:gridSpan w:val="4"/>
            <w:shd w:val="clear" w:color="ffffff" w:fill="ffffff"/>
            <w:tcBorders>
              <w:right w:val="single" w:color="000000" w:sz="8" w:space="0"/>
            </w:tcBorders>
            <w:tcMar>
              <w:left w:w="0" w:type="dxa"/>
              <w:top w:w="0" w:type="dxa"/>
              <w:right w:w="0" w:type="dxa"/>
              <w:bottom w:w="0" w:type="dxa"/>
            </w:tcMar>
            <w:tcW w:w="87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before="60" w:line="298" w:lineRule="atLeast"/>
              <w:ind w:right="0" w:firstLine="0" w:left="0"/>
              <w:rPr/>
            </w:pPr>
            <w:r>
              <w:rPr>
                <w:rFonts w:ascii="Times New Roman" w:hAnsi="Times New Roman" w:eastAsia="Times New Roman" w:cs="Times New Roman"/>
                <w:color w:val="000000"/>
                <w:sz w:val="24"/>
                <w:highlight w:val="white"/>
              </w:rPr>
              <w:t xml:space="preserve">Vị trí trên bản đồ vệ tinh: (20.992606, 105.866083)</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4190"/>
        </w:trPr>
        <w:tc>
          <w:tcPr>
            <w:shd w:val="clear" w:color="ffffff" w:fill="ffffff"/>
            <w:tcBorders>
              <w:left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0"/>
              <w:jc w:val="center"/>
              <w:rPr/>
            </w:pPr>
            <w:r>
              <w:rPr>
                <w:rFonts w:ascii="Times New Roman" w:hAnsi="Times New Roman" w:eastAsia="Times New Roman" w:cs="Times New Roman"/>
                <w:color w:val="000000"/>
                <w:sz w:val="24"/>
                <w:highlight w:val="white"/>
              </w:rPr>
              <w:t xml:space="preserve"> </w:t>
            </w:r>
            <w:r/>
          </w:p>
        </w:tc>
        <w:tc>
          <w:tcPr>
            <w:gridSpan w:val="4"/>
            <w:shd w:val="clear" w:color="ffffff" w:fill="ffffff"/>
            <w:tcBorders>
              <w:right w:val="single" w:color="000000" w:sz="8" w:space="0"/>
            </w:tcBorders>
            <w:tcMar>
              <w:left w:w="0" w:type="dxa"/>
              <w:top w:w="0" w:type="dxa"/>
              <w:right w:w="0" w:type="dxa"/>
              <w:bottom w:w="0" w:type="dxa"/>
            </w:tcMar>
            <w:tcW w:w="87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tabs>
                <w:tab w:val="left" w:leader="none" w:pos="1269"/>
              </w:tabs>
              <w:spacing w:line="288" w:lineRule="auto"/>
              <w:ind w:right="0" w:firstLine="0" w:left="0"/>
              <w:jc w:val="center"/>
              <w:rPr/>
            </w:pPr>
            <w:r>
              <mc:AlternateContent>
                <mc:Choice Requires="wpg">
                  <w:drawing>
                    <wp:inline xmlns:wp="http://schemas.openxmlformats.org/drawingml/2006/wordprocessingDrawing" distT="0" distB="0" distL="0" distR="0">
                      <wp:extent cx="5381625" cy="258127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64252" name=""/>
                              <pic:cNvPicPr>
                                <a:picLocks noChangeAspect="1"/>
                              </pic:cNvPicPr>
                              <pic:nvPr/>
                            </pic:nvPicPr>
                            <pic:blipFill rotWithShape="1">
                              <a:blip r:embed="rId21"/>
                              <a:stretch/>
                            </pic:blipFill>
                            <pic:spPr bwMode="auto">
                              <a:xfrm>
                                <a:off x="0" y="0"/>
                                <a:ext cx="5381624" cy="25812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23.75pt;height:203.25pt;mso-wrap-distance-left:0.00pt;mso-wrap-distance-top:0.00pt;mso-wrap-distance-right:0.00pt;mso-wrap-distance-bottom:0.00pt;z-index:1;" stroked="false">
                      <v:imagedata r:id="rId21"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b/>
                <w:color w:val="000000"/>
                <w:sz w:val="24"/>
                <w:highlight w:val="white"/>
              </w:rPr>
              <w:t xml:space="preserve">2.2.</w:t>
            </w:r>
            <w:r/>
          </w:p>
        </w:tc>
        <w:tc>
          <w:tcPr>
            <w:gridSpan w:val="3"/>
            <w:tcBorders>
              <w:bottom w:val="single" w:color="000000" w:sz="8" w:space="0"/>
              <w:right w:val="single" w:color="000000" w:sz="8" w:space="0"/>
            </w:tcBorders>
            <w:tcMar>
              <w:left w:w="0" w:type="dxa"/>
              <w:top w:w="0" w:type="dxa"/>
              <w:right w:w="0" w:type="dxa"/>
              <w:bottom w:w="0" w:type="dxa"/>
            </w:tcMar>
            <w:tcW w:w="70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b/>
                <w:color w:val="000000"/>
                <w:sz w:val="24"/>
                <w:highlight w:val="white"/>
              </w:rPr>
              <w:t xml:space="preserve">Thông tin về căn hộ:</w:t>
            </w:r>
            <w:r/>
          </w:p>
        </w:tc>
        <w:tc>
          <w:tcPr>
            <w:tcBorders>
              <w:bottom w:val="single" w:color="000000" w:sz="8" w:space="0"/>
              <w:right w:val="single" w:color="000000" w:sz="8" w:space="0"/>
            </w:tcBorders>
            <w:tcMar>
              <w:left w:w="0" w:type="dxa"/>
              <w:top w:w="0" w:type="dxa"/>
              <w:right w:w="0"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b/>
                <w:color w:val="000000"/>
                <w:sz w:val="24"/>
                <w:highlight w:val="white"/>
              </w:rPr>
              <w:t xml:space="preserve">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31"/>
        </w:trPr>
        <w:tc>
          <w:tcPr>
            <w:tcBorders>
              <w:left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highlight w:val="white"/>
              </w:rPr>
              <w:t xml:space="preserve">   Loại nhà ở:</w:t>
            </w:r>
            <w:r/>
          </w:p>
        </w:tc>
        <w:tc>
          <w:tcPr>
            <w:tcBorders>
              <w:right w:val="single" w:color="000000" w:sz="8" w:space="0"/>
            </w:tcBorders>
            <w:tcMar>
              <w:left w:w="0" w:type="dxa"/>
              <w:top w:w="0" w:type="dxa"/>
              <w:right w:w="0"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highlight w:val="white"/>
              </w:rPr>
              <w:t xml:space="preserve">Căn hộ số 1902, Tòa Park 9, Khu đô thị Vinhomes Times City Park Hill. </w:t>
            </w:r>
            <w:r/>
          </w:p>
        </w:tc>
        <w:tc>
          <w:tcPr>
            <w:tcBorders>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 Hình thức sở hữu:</w:t>
            </w:r>
            <w:r/>
          </w:p>
        </w:tc>
        <w:tc>
          <w:tcPr>
            <w:tcBorders>
              <w:right w:val="single" w:color="000000" w:sz="8" w:space="0"/>
            </w:tcBorders>
            <w:tcMar>
              <w:left w:w="0" w:type="dxa"/>
              <w:top w:w="0" w:type="dxa"/>
              <w:right w:w="0"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Sở hữu riêng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425"/>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bottom w:val="single" w:color="000000" w:sz="8" w:space="0"/>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color w:val="000000"/>
                <w:sz w:val="24"/>
                <w:highlight w:val="white"/>
              </w:rPr>
              <w:t xml:space="preserve">Thời hạn sở hữu:</w:t>
            </w:r>
            <w:r/>
          </w:p>
        </w:tc>
        <w:tc>
          <w:tcPr>
            <w:tcBorders>
              <w:bottom w:val="single" w:color="000000" w:sz="8" w:space="0"/>
              <w:right w:val="single" w:color="000000" w:sz="8" w:space="0"/>
            </w:tcBorders>
            <w:tcMar>
              <w:left w:w="0" w:type="dxa"/>
              <w:top w:w="0" w:type="dxa"/>
              <w:right w:w="0"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color w:val="000000"/>
                <w:sz w:val="24"/>
                <w:highlight w:val="white"/>
              </w:rPr>
              <w:t xml:space="preserve">             -/-</w:t>
            </w:r>
            <w:r/>
          </w:p>
        </w:tc>
        <w:tc>
          <w:tcPr>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color w:val="000000"/>
                <w:sz w:val="24"/>
                <w:highlight w:val="white"/>
              </w:rPr>
              <w:t xml:space="preserve">Diện tích sàn (m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w:t>
            </w:r>
            <w:r/>
          </w:p>
        </w:tc>
        <w:tc>
          <w:tcPr>
            <w:tcBorders>
              <w:bottom w:val="single" w:color="000000" w:sz="8" w:space="0"/>
              <w:right w:val="single" w:color="000000" w:sz="8" w:space="0"/>
            </w:tcBorders>
            <w:tcMar>
              <w:left w:w="0" w:type="dxa"/>
              <w:top w:w="0" w:type="dxa"/>
              <w:right w:w="0"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68,5</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highlight w:val="white"/>
              </w:rPr>
              <w:t xml:space="preserve">Vị trí tầng:</w:t>
            </w:r>
            <w:r/>
          </w:p>
        </w:tc>
        <w:tc>
          <w:tcPr>
            <w:shd w:val="clear" w:color="ffffff" w:fill="ffffff"/>
            <w:tcBorders>
              <w:bottom w:val="single" w:color="000000" w:sz="8" w:space="0"/>
              <w:right w:val="single" w:color="000000" w:sz="8" w:space="0"/>
            </w:tcBorders>
            <w:tcMar>
              <w:left w:w="0" w:type="dxa"/>
              <w:top w:w="0" w:type="dxa"/>
              <w:right w:w="0"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highlight w:val="white"/>
              </w:rPr>
              <w:t xml:space="preserve">Tầng 19/32</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highlight w:val="white"/>
              </w:rPr>
              <w:t xml:space="preserve">Loại căn:</w:t>
            </w:r>
            <w:r/>
          </w:p>
        </w:tc>
        <w:tc>
          <w:tcPr>
            <w:shd w:val="clear" w:color="ffffff" w:fill="ffffff"/>
            <w:tcBorders>
              <w:bottom w:val="single" w:color="000000" w:sz="8" w:space="0"/>
              <w:right w:val="single" w:color="000000" w:sz="8" w:space="0"/>
            </w:tcBorders>
            <w:tcMar>
              <w:left w:w="0" w:type="dxa"/>
              <w:top w:w="0" w:type="dxa"/>
              <w:right w:w="0"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highlight w:val="white"/>
              </w:rPr>
              <w:t xml:space="preserve">2 mặt thoáng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highlight w:val="white"/>
              </w:rPr>
              <w:t xml:space="preserve">Hướng cửa:</w:t>
            </w:r>
            <w:r/>
          </w:p>
        </w:tc>
        <w:tc>
          <w:tcPr>
            <w:shd w:val="clear" w:color="ffffff" w:fill="ffffff"/>
            <w:tcBorders>
              <w:bottom w:val="single" w:color="000000" w:sz="8" w:space="0"/>
              <w:right w:val="single" w:color="000000" w:sz="8" w:space="0"/>
            </w:tcBorders>
            <w:tcMar>
              <w:left w:w="0" w:type="dxa"/>
              <w:top w:w="0" w:type="dxa"/>
              <w:right w:w="0"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highlight w:val="white"/>
              </w:rPr>
              <w:t xml:space="preserve">Đông Nam</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highlight w:val="white"/>
              </w:rPr>
              <w:t xml:space="preserve">Hướng ban công:</w:t>
            </w:r>
            <w:r/>
          </w:p>
        </w:tc>
        <w:tc>
          <w:tcPr>
            <w:shd w:val="clear" w:color="ffffff" w:fill="ffffff"/>
            <w:tcBorders>
              <w:bottom w:val="single" w:color="000000" w:sz="8" w:space="0"/>
              <w:right w:val="single" w:color="000000" w:sz="8" w:space="0"/>
            </w:tcBorders>
            <w:tcMar>
              <w:left w:w="0" w:type="dxa"/>
              <w:top w:w="0" w:type="dxa"/>
              <w:right w:w="0"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highlight w:val="white"/>
              </w:rPr>
              <w:t xml:space="preserve">Đông Bắc</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44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highlight w:val="white"/>
              </w:rPr>
              <w:t xml:space="preserve">Cấu trúc:</w:t>
            </w:r>
            <w:r/>
          </w:p>
        </w:tc>
        <w:tc>
          <w:tcPr>
            <w:shd w:val="clear" w:color="ffffff" w:fill="ffffff"/>
            <w:tcBorders>
              <w:bottom w:val="single" w:color="000000" w:sz="8" w:space="0"/>
              <w:right w:val="single" w:color="000000" w:sz="8" w:space="0"/>
            </w:tcBorders>
            <w:tcMar>
              <w:left w:w="0" w:type="dxa"/>
              <w:top w:w="0" w:type="dxa"/>
              <w:right w:w="0"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highlight w:val="white"/>
              </w:rPr>
              <w:t xml:space="preserve">2 phòng ngủ, 2 nhà vệ sinh</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highlight w:val="white"/>
              </w:rPr>
              <w:t xml:space="preserve">Nội thất:</w:t>
            </w:r>
            <w:r/>
          </w:p>
        </w:tc>
        <w:tc>
          <w:tcPr>
            <w:shd w:val="clear" w:color="ffffff" w:fill="ffffff"/>
            <w:tcBorders>
              <w:bottom w:val="single" w:color="000000" w:sz="8" w:space="0"/>
              <w:right w:val="single" w:color="000000" w:sz="8" w:space="0"/>
            </w:tcBorders>
            <w:tcMar>
              <w:left w:w="0" w:type="dxa"/>
              <w:top w:w="0" w:type="dxa"/>
              <w:right w:w="0"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center"/>
              <w:rPr/>
            </w:pPr>
            <w:r>
              <w:rPr>
                <w:rFonts w:ascii="Times New Roman" w:hAnsi="Times New Roman" w:eastAsia="Times New Roman" w:cs="Times New Roman"/>
                <w:color w:val="000000"/>
                <w:sz w:val="24"/>
                <w:highlight w:val="white"/>
              </w:rPr>
              <w:t xml:space="preserve">Cơ bản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67"/>
        </w:trPr>
        <w:tc>
          <w:tcPr>
            <w:tcBorders>
              <w:left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shd w:val="clear" w:color="ffffff" w:fill="ffffff"/>
            <w:tcBorders>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rPr>
              <w:t xml:space="preserve">Ghi chú:  </w:t>
            </w:r>
            <w:r/>
          </w:p>
        </w:tc>
        <w:tc>
          <w:tcPr>
            <w:gridSpan w:val="3"/>
            <w:shd w:val="clear" w:color="ffffff" w:fill="ffffff"/>
            <w:tcBorders>
              <w:right w:val="single" w:color="000000" w:sz="8" w:space="0"/>
            </w:tcBorders>
            <w:tcMar>
              <w:left w:w="0" w:type="dxa"/>
              <w:top w:w="0" w:type="dxa"/>
              <w:right w:w="0" w:type="dxa"/>
              <w:bottom w:w="0" w:type="dxa"/>
            </w:tcMar>
            <w:tcW w:w="62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i/>
                <w:color w:val="000000"/>
                <w:sz w:val="24"/>
              </w:rPr>
              <w:t xml:space="preserve">Số tờ, số thửa và sơ đồ sẽ điều chỉnh khi có bản đồ địa chinh chính quy.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93"/>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b/>
                <w:color w:val="000000"/>
                <w:sz w:val="24"/>
                <w:highlight w:val="white"/>
              </w:rPr>
              <w:t xml:space="preserve">2.3.</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87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b/>
                <w:color w:val="000000"/>
                <w:sz w:val="24"/>
                <w:highlight w:val="white"/>
              </w:rPr>
              <w:t xml:space="preserve">Điều kiện kinh doanh; Hạ tầng nội bộ; Hạ tầng xung quanh</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highlight w:val="white"/>
              </w:rPr>
              <w:t xml:space="preserve">Hạ tầng nội bộ:</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62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jc w:val="both"/>
              <w:rPr/>
            </w:pPr>
            <w:r>
              <w:rPr>
                <w:rFonts w:ascii="Times New Roman" w:hAnsi="Times New Roman" w:eastAsia="Times New Roman" w:cs="Times New Roman"/>
                <w:color w:val="000000"/>
                <w:sz w:val="24"/>
                <w:highlight w:val="white"/>
              </w:rPr>
              <w:t xml:space="preserve">Hạ tầng cấp nước: Nước máy, Hạ tầng thoát nước: Rãnh có nắp, Hạ tầng cấp điện: Điện lưới, Hạ tầng thông tin liên lạc: Điện thoại, Mạng internet, Truyền hình cáp.</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highlight w:val="white"/>
              </w:rPr>
              <w:t xml:space="preserve">Hạ tầng xung quanh:</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62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142"/>
              <w:rPr/>
            </w:pPr>
            <w:r>
              <w:rPr>
                <w:rFonts w:ascii="Times New Roman" w:hAnsi="Times New Roman" w:eastAsia="Times New Roman" w:cs="Times New Roman"/>
                <w:color w:val="000000"/>
                <w:sz w:val="24"/>
                <w:highlight w:val="white"/>
              </w:rPr>
              <w:t xml:space="preserve">Hạ tầng khu dân cư thông thường.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bottom w:val="single" w:color="000000" w:sz="8" w:space="0"/>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color w:val="000000"/>
                <w:sz w:val="24"/>
                <w:highlight w:val="white"/>
              </w:rPr>
              <w:t xml:space="preserve">Mật độ dân cư:</w:t>
            </w:r>
            <w:r/>
          </w:p>
        </w:tc>
        <w:tc>
          <w:tcPr>
            <w:tcBorders>
              <w:bottom w:val="single" w:color="000000" w:sz="8" w:space="0"/>
              <w:right w:val="single" w:color="000000" w:sz="8" w:space="0"/>
            </w:tcBorders>
            <w:tcMar>
              <w:left w:w="0" w:type="dxa"/>
              <w:top w:w="0" w:type="dxa"/>
              <w:right w:w="0"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highlight w:val="white"/>
              </w:rPr>
              <w:t xml:space="preserve">Cao/đông đúc</w:t>
            </w:r>
            <w:r/>
          </w:p>
        </w:tc>
        <w:tc>
          <w:tcPr>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color w:val="000000"/>
                <w:sz w:val="24"/>
                <w:highlight w:val="white"/>
              </w:rPr>
              <w:t xml:space="preserve">Đời sống dân cư:</w:t>
            </w:r>
            <w:r/>
          </w:p>
        </w:tc>
        <w:tc>
          <w:tcPr>
            <w:tcBorders>
              <w:bottom w:val="single" w:color="000000" w:sz="8" w:space="0"/>
              <w:right w:val="single" w:color="000000" w:sz="8" w:space="0"/>
            </w:tcBorders>
            <w:tcMar>
              <w:left w:w="0" w:type="dxa"/>
              <w:top w:w="0" w:type="dxa"/>
              <w:right w:w="0"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highlight w:val="white"/>
              </w:rPr>
              <w:t xml:space="preserve">Cao</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624"/>
        </w:trPr>
        <w:tc>
          <w:tcPr>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bottom w:val="single" w:color="000000" w:sz="8" w:space="0"/>
              <w:right w:val="single" w:color="000000" w:sz="8" w:space="0"/>
            </w:tcBorders>
            <w:tcMar>
              <w:left w:w="0" w:type="dxa"/>
              <w:top w:w="0" w:type="dxa"/>
              <w:right w:w="0" w:type="dxa"/>
              <w:bottom w:w="0" w:type="dxa"/>
            </w:tcMar>
            <w:tcW w:w="25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color w:val="000000"/>
                <w:sz w:val="24"/>
                <w:highlight w:val="white"/>
              </w:rPr>
              <w:t xml:space="preserve">Lợi thế kinh doanh:</w:t>
            </w:r>
            <w:r/>
          </w:p>
        </w:tc>
        <w:tc>
          <w:tcPr>
            <w:tcBorders>
              <w:bottom w:val="single" w:color="000000" w:sz="8" w:space="0"/>
              <w:right w:val="single" w:color="000000" w:sz="8" w:space="0"/>
            </w:tcBorders>
            <w:tcMar>
              <w:left w:w="0" w:type="dxa"/>
              <w:top w:w="0" w:type="dxa"/>
              <w:right w:w="0"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highlight w:val="white"/>
              </w:rPr>
              <w:t xml:space="preserve">Tốt</w:t>
            </w:r>
            <w:r/>
          </w:p>
        </w:tc>
        <w:tc>
          <w:tcPr>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color w:val="000000"/>
                <w:sz w:val="24"/>
                <w:highlight w:val="white"/>
              </w:rPr>
              <w:t xml:space="preserve">Khả năng chuyển nhượng:</w:t>
            </w:r>
            <w:r/>
          </w:p>
        </w:tc>
        <w:tc>
          <w:tcPr>
            <w:tcBorders>
              <w:bottom w:val="single" w:color="000000" w:sz="8" w:space="0"/>
              <w:right w:val="single" w:color="000000" w:sz="8" w:space="0"/>
            </w:tcBorders>
            <w:tcMar>
              <w:left w:w="0" w:type="dxa"/>
              <w:top w:w="0" w:type="dxa"/>
              <w:right w:w="0"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highlight w:val="white"/>
              </w:rPr>
              <w:t xml:space="preserve">Tốt</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line="276" w:lineRule="auto"/>
        <w:ind w:right="0" w:firstLine="0" w:left="646"/>
        <w:jc w:val="both"/>
        <w:rPr/>
      </w:pPr>
      <w:r>
        <w:rPr>
          <w:rFonts w:ascii="Times New Roman" w:hAnsi="Times New Roman" w:eastAsia="Times New Roman" w:cs="Times New Roman"/>
          <w:color w:val="000000"/>
          <w:sz w:val="20"/>
          <w:highlight w:val="white"/>
          <w:u w:val="none"/>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highlight w:val="white"/>
        </w:rPr>
        <w:t xml:space="preserve">Bảng ghi chú thay đổi giữa khảo sát thực trạng và pháp lý tài sản:</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16"/>
          <w:highlight w:val="white"/>
        </w:rPr>
        <w:t xml:space="preserve"> </w:t>
      </w:r>
      <w:r/>
    </w:p>
    <w:tbl>
      <w:tblPr>
        <w:tblStyle w:val="114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67"/>
        <w:gridCol w:w="1663"/>
        <w:gridCol w:w="1560"/>
        <w:gridCol w:w="1605"/>
        <w:gridCol w:w="1371"/>
        <w:gridCol w:w="2149"/>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Pháp lý</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Giấy chứng nhận quyền sử dụng đất, quyền sở hữu nhà ở và tài sản gắn liền với đất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Địa chỉ theo pháp lý</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Tòa Park 9, Khu đô thị Vinhomes Times City Park Hill, số 25, ngõ 13, đường Lĩnh Nam, phường Mai Động, quận Hoàng Mai, Thành phố Hà Nội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Tòa Park 9, Khu đô thị Vinhomes Times City Park Hill, số 25, ngõ 13, đường Lĩnh Nam, phường Mai Động, quận Hoàng Mai, Thành phố Hà Nội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3</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Loại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Đất ở tại đô thị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4</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Lâu dài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Lâu dài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5</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Dự án</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Khu đô thị Vinhome Times City</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Khu đô thị Vinhome Times City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6</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Tòa chung cư</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Park 9</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Park 9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7</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Địa chỉ</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Khu đô thị Vinhomes Times City Park Hill, Quận Hoàng Mai, Thành phố Hà Nội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Khu đô thị Vinhomes Times City Park Hill, Quận Hoàng Mai, Thành phố Hà Nội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8</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Tọa độ</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105.86608246994, 20.992605939195</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105.86608246994, 20.992605939195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9</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Loại căn hộ</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Phổ thông</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Phổ thông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10</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Vị trí</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Tài sản là căn hộ chung cư tại Park 9, Dự án Khu đô thị Vinhomes Times City Park Hill</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Khu đô thị Vinhomes Times City Park Hill, Quận Hoàng Mai, Thành phố Hà Nội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Năm hoàn thành dự án</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2017</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2017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12</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Tuổi đời</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9</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9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13</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Tổng số lượng căn hộ</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512</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512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14</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Số lượng thang máy</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10</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10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15</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Số căn hộ trên thang máy</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51</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51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16</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Số tầng tòa chung cư</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32</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32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17</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Số căn hộ trên sàn</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16</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16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18</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Diện tích sàn</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68,5</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68,5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19</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Số lượng mặt thoáng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 mặt thoáng</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 mặt thoáng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20</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Tầng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19</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19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Nhóm tầng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Trung </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Trung</w:t>
            </w:r>
            <w:r>
              <w:rPr>
                <w:rFonts w:ascii="Times New Roman" w:hAnsi="Times New Roman" w:eastAsia="Times New Roman" w:cs="Times New Roman"/>
                <w:color w:val="000000"/>
                <w:sz w:val="24"/>
                <w:highlight w:val="white"/>
              </w:rPr>
              <w:t xml:space="preserve">✔</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22</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Bắc</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Bắc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23</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Số phòng ngủ</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24</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Số phòng vệ sinh</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25</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Nội thất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Cơ bản</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Cơ bản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26</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 gian chung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 gian, diện tích Khép kín (Không gian khép kín toàn khu: có bảo vệ toàn khu, trung tâm thương mại, siêu thị, sân chơi, sân vườn, bể bơi riêng)</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 gian, diện tích Khép kín (Không gian khép kín toàn khu: có bảo vệ toàn khu, trung tâm thương mại, siêu thị, sân chơi, sân vườn, bể bơi riêng)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27</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Lợi thế thương mại</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 có lợi thế thương mại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 có lợi thế thương mại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28</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Bất lợi thương mại</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 có bất lợi thương mại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 có bất lợi thương mại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 </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240" w:line="276" w:lineRule="auto"/>
        <w:ind w:right="0" w:firstLine="0" w:left="0"/>
        <w:jc w:val="both"/>
        <w:rPr/>
      </w:pPr>
      <w:r>
        <w:rPr>
          <w:rFonts w:ascii="Times New Roman" w:hAnsi="Times New Roman" w:eastAsia="Times New Roman" w:cs="Times New Roman"/>
          <w:b/>
          <w:color w:val="000000"/>
          <w:sz w:val="24"/>
          <w:highlight w:val="white"/>
        </w:rPr>
        <w:t xml:space="preserve">V. CÁC GIẢ THIẾT VÀ GIẢ THIẾT ĐẶC BIỆT</w:t>
      </w:r>
      <w:r/>
    </w:p>
    <w:p>
      <w:pPr>
        <w:pStyle w:val="1144"/>
        <w:numPr>
          <w:ilvl w:val="0"/>
          <w:numId w:val="53"/>
        </w:numPr>
        <w:pBdr>
          <w:top w:val="none" w:color="000000" w:sz="4" w:space="0"/>
          <w:left w:val="none" w:color="000000" w:sz="4" w:space="0"/>
          <w:bottom w:val="none" w:color="000000" w:sz="4" w:space="0"/>
          <w:right w:val="none" w:color="000000" w:sz="4" w:space="0"/>
        </w:pBdr>
        <w:tabs>
          <w:tab w:val="left" w:leader="none" w:pos="850"/>
        </w:tabs>
        <w:spacing w:after="120" w:before="120" w:line="312" w:lineRule="auto"/>
        <w:ind w:right="0" w:hanging="283" w:left="283"/>
        <w:jc w:val="both"/>
        <w:rPr/>
      </w:pPr>
      <w:r>
        <w:rPr>
          <w:rFonts w:ascii="Times New Roman" w:hAnsi="Times New Roman" w:eastAsia="Times New Roman" w:cs="Times New Roman"/>
          <w:color w:val="000000"/>
          <w:spacing w:val="-2"/>
          <w:sz w:val="24"/>
          <w:highlight w:val="white"/>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pacing w:val="-2"/>
          <w:sz w:val="24"/>
          <w:highlight w:val="white"/>
        </w:rPr>
        <w:t xml:space="preserve"> trừ mọi trách nhiệm phát sinh, liên đới (nếu có) trong trường hợp này.</w:t>
      </w:r>
      <w:r/>
    </w:p>
    <w:p>
      <w:pPr>
        <w:pStyle w:val="1144"/>
        <w:numPr>
          <w:ilvl w:val="0"/>
          <w:numId w:val="53"/>
        </w:numPr>
        <w:pBdr>
          <w:top w:val="none" w:color="000000" w:sz="4" w:space="0"/>
          <w:left w:val="none" w:color="000000" w:sz="4" w:space="0"/>
          <w:bottom w:val="none" w:color="000000" w:sz="4" w:space="0"/>
          <w:right w:val="none" w:color="000000" w:sz="4" w:space="0"/>
        </w:pBdr>
        <w:tabs>
          <w:tab w:val="left" w:leader="none" w:pos="850"/>
        </w:tabs>
        <w:spacing w:after="120" w:before="120" w:line="312" w:lineRule="auto"/>
        <w:ind w:right="0" w:hanging="283" w:left="283"/>
        <w:jc w:val="both"/>
        <w:rPr/>
      </w:pPr>
      <w:r>
        <w:rPr>
          <w:rFonts w:ascii="Times New Roman" w:hAnsi="Times New Roman" w:eastAsia="Times New Roman" w:cs="Times New Roman"/>
          <w:color w:val="000000"/>
          <w:sz w:val="24"/>
          <w:highlight w:val="white"/>
        </w:rPr>
        <w:t xml:space="preserve">Giá trị tài sản thẩm định giá được ước tính dựa trên giả định không có bất kỳ yếu tố nào làm cản trở ảnh hưởng đến việc giao dịch bình thường của tài sản trên thị trường.</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rPr/>
      </w:pPr>
      <w:r>
        <w:rPr>
          <w:rFonts w:ascii="Times New Roman" w:hAnsi="Times New Roman" w:eastAsia="Times New Roman" w:cs="Times New Roman"/>
          <w:b/>
          <w:color w:val="000000"/>
          <w:sz w:val="24"/>
          <w:highlight w:val="white"/>
        </w:rPr>
        <w:t xml:space="preserve">VI. CƠ SỞ GIÁ TRỊ THẨM ĐỊNH GIÁ</w:t>
      </w:r>
      <w:r/>
    </w:p>
    <w:p>
      <w:pPr>
        <w:pStyle w:val="1144"/>
        <w:numPr>
          <w:ilvl w:val="0"/>
          <w:numId w:val="54"/>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hanging="283" w:left="283"/>
        <w:jc w:val="both"/>
        <w:rPr/>
      </w:pPr>
      <w:r>
        <w:rPr>
          <w:rFonts w:ascii="Times New Roman" w:hAnsi="Times New Roman" w:eastAsia="Times New Roman" w:cs="Times New Roman"/>
          <w:b/>
          <w:color w:val="000000"/>
          <w:sz w:val="24"/>
          <w:highlight w:val="white"/>
        </w:rPr>
        <w:t xml:space="preserve">Giá trị thị trường:</w:t>
      </w:r>
      <w:r>
        <w:rPr>
          <w:rFonts w:ascii="Times New Roman" w:hAnsi="Times New Roman" w:eastAsia="Times New Roman" w:cs="Times New Roman"/>
          <w:color w:val="000000"/>
          <w:sz w:val="24"/>
          <w:highlight w:val="white"/>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sz w:val="24"/>
          <w:highlight w:val="white"/>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sz w:val="24"/>
          <w:highlight w:val="white"/>
        </w:rPr>
        <w:t xml:space="preserve">u biết, thận trọng và không bị ép buộc”</w:t>
      </w:r>
      <w:r>
        <w:rPr>
          <w:rFonts w:ascii="Times New Roman" w:hAnsi="Times New Roman" w:eastAsia="Times New Roman" w:cs="Times New Roman"/>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highlight w:val="white"/>
        </w:rPr>
        <w:t xml:space="preserve">VII. CÁCH TIẾP CẬN, PHƯƠNG PHÁP THẨM ĐỊNH GIÁ</w:t>
      </w:r>
      <w:r/>
    </w:p>
    <w:p>
      <w:pPr>
        <w:pBdr>
          <w:top w:val="none" w:color="000000" w:sz="4" w:space="0"/>
          <w:left w:val="none" w:color="000000" w:sz="4" w:space="0"/>
          <w:bottom w:val="none" w:color="000000" w:sz="4" w:space="0"/>
          <w:right w:val="none" w:color="000000" w:sz="4" w:space="0"/>
        </w:pBdr>
        <w:spacing w:after="120" w:before="120" w:line="312" w:lineRule="auto"/>
        <w:ind w:firstLine="0" w:left="0"/>
        <w:jc w:val="both"/>
        <w:rPr/>
      </w:pPr>
      <w:r>
        <w:rPr>
          <w:rFonts w:ascii="Times New Roman" w:hAnsi="Times New Roman" w:eastAsia="Times New Roman" w:cs="Times New Roman"/>
          <w:b/>
          <w:color w:val="000000"/>
          <w:sz w:val="24"/>
          <w:highlight w:val="none"/>
        </w:rPr>
        <w:t xml:space="preserve">1. </w:t>
      </w:r>
      <w:r>
        <w:rPr>
          <w:rFonts w:ascii="Times New Roman" w:hAnsi="Times New Roman" w:eastAsia="Times New Roman" w:cs="Times New Roman"/>
          <w:b/>
          <w:color w:val="000000"/>
          <w:sz w:val="24"/>
          <w:highlight w:val="white"/>
        </w:rPr>
        <w:t xml:space="preserve">Cách tiếp cận và phương pháp thẩm định:</w:t>
      </w:r>
      <w:r/>
    </w:p>
    <w:p>
      <w:pPr>
        <w:pStyle w:val="1144"/>
        <w:numPr>
          <w:ilvl w:val="0"/>
          <w:numId w:val="55"/>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hanging="283" w:left="283"/>
        <w:jc w:val="both"/>
        <w:rPr/>
      </w:pPr>
      <w:r>
        <w:rPr>
          <w:rFonts w:ascii="Times New Roman" w:hAnsi="Times New Roman" w:eastAsia="Times New Roman" w:cs="Times New Roman"/>
          <w:i/>
          <w:color w:val="000000"/>
          <w:sz w:val="24"/>
          <w:highlight w:val="white"/>
        </w:rPr>
        <w:t xml:space="preserve">Cách tiếp cận từ thị trường: </w:t>
      </w:r>
      <w:r>
        <w:rPr>
          <w:rFonts w:ascii="Times New Roman" w:hAnsi="Times New Roman" w:eastAsia="Times New Roman" w:cs="Times New Roman"/>
          <w:color w:val="000000"/>
          <w:sz w:val="24"/>
          <w:highlight w:val="white"/>
        </w:rPr>
        <w:t xml:space="preserve">Xác định giá trị của tài sản thẩm định giá thông qua việc so sánh tài sản thẩm định giá với các tài sản so sánh đã có các thông tin về giá trên thị trường.</w:t>
      </w:r>
      <w:r/>
    </w:p>
    <w:p>
      <w:pPr>
        <w:pStyle w:val="1144"/>
        <w:numPr>
          <w:ilvl w:val="0"/>
          <w:numId w:val="55"/>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hanging="283" w:left="283"/>
        <w:jc w:val="both"/>
        <w:rPr/>
      </w:pPr>
      <w:r>
        <w:rPr>
          <w:rFonts w:ascii="Times New Roman" w:hAnsi="Times New Roman" w:eastAsia="Times New Roman" w:cs="Times New Roman"/>
          <w:i/>
          <w:color w:val="000000"/>
          <w:sz w:val="24"/>
          <w:highlight w:val="white"/>
        </w:rPr>
        <w:t xml:space="preserve">Phương pháp so sánh:</w:t>
      </w:r>
      <w:r>
        <w:rPr>
          <w:rFonts w:ascii="Times New Roman" w:hAnsi="Times New Roman" w:eastAsia="Times New Roman" w:cs="Times New Roman"/>
          <w:color w:val="000000"/>
          <w:sz w:val="24"/>
          <w:highlight w:val="white"/>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w:t>
      </w:r>
      <w:r>
        <w:rPr>
          <w:rFonts w:ascii="Times New Roman" w:hAnsi="Times New Roman" w:eastAsia="Times New Roman" w:cs="Times New Roman"/>
          <w:color w:val="000000"/>
          <w:sz w:val="24"/>
          <w:highlight w:val="white"/>
        </w:rPr>
        <w:t xml:space="preserve">nh giá.</w:t>
      </w:r>
      <w:r/>
    </w:p>
    <w:p>
      <w:pPr>
        <w:pBdr>
          <w:top w:val="none" w:color="000000" w:sz="4" w:space="0"/>
          <w:left w:val="none" w:color="000000" w:sz="4" w:space="0"/>
          <w:bottom w:val="none" w:color="000000" w:sz="4" w:space="0"/>
          <w:right w:val="none" w:color="000000" w:sz="4" w:space="0"/>
        </w:pBdr>
        <w:spacing w:after="120" w:before="120" w:line="312" w:lineRule="auto"/>
        <w:ind w:firstLine="0" w:left="0"/>
        <w:jc w:val="both"/>
        <w:rPr/>
      </w:pPr>
      <w:r>
        <w:rPr>
          <w:rFonts w:ascii="Times New Roman" w:hAnsi="Times New Roman" w:eastAsia="Times New Roman" w:cs="Times New Roman"/>
          <w:b/>
          <w:color w:val="000000"/>
          <w:sz w:val="24"/>
          <w:highlight w:val="none"/>
        </w:rPr>
        <w:t xml:space="preserve">2. </w:t>
      </w:r>
      <w:r>
        <w:rPr>
          <w:rFonts w:ascii="Times New Roman" w:hAnsi="Times New Roman" w:eastAsia="Times New Roman" w:cs="Times New Roman"/>
          <w:b/>
          <w:color w:val="000000"/>
          <w:sz w:val="24"/>
          <w:highlight w:val="white"/>
        </w:rPr>
        <w:t xml:space="preserve">Xác định cách tiếp cận và phương pháp đối với tài sản thẩm định giá:</w:t>
      </w:r>
      <w:r/>
    </w:p>
    <w:p>
      <w:pPr>
        <w:pStyle w:val="1144"/>
        <w:numPr>
          <w:ilvl w:val="0"/>
          <w:numId w:val="56"/>
        </w:numPr>
        <w:pBdr>
          <w:top w:val="none" w:color="000000" w:sz="4" w:space="0"/>
          <w:left w:val="none" w:color="000000" w:sz="4" w:space="0"/>
          <w:bottom w:val="none" w:color="000000" w:sz="4" w:space="0"/>
          <w:right w:val="none" w:color="000000" w:sz="4" w:space="0"/>
        </w:pBdr>
        <w:spacing w:after="120" w:before="120" w:line="312" w:lineRule="auto"/>
        <w:ind w:right="0" w:hanging="283" w:left="283"/>
        <w:jc w:val="both"/>
        <w:rPr/>
      </w:pPr>
      <w:r>
        <w:rPr>
          <w:rFonts w:ascii="Times New Roman" w:hAnsi="Times New Roman" w:eastAsia="Times New Roman" w:cs="Times New Roman"/>
          <w:color w:val="000000"/>
          <w:spacing w:val="-4"/>
          <w:sz w:val="24"/>
          <w:highlight w:val="white"/>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w:t>
      </w:r>
      <w:r>
        <w:rPr>
          <w:rFonts w:ascii="Times New Roman" w:hAnsi="Times New Roman" w:eastAsia="Times New Roman" w:cs="Times New Roman"/>
          <w:color w:val="000000"/>
          <w:spacing w:val="-4"/>
          <w:sz w:val="24"/>
          <w:highlight w:val="white"/>
        </w:rPr>
        <w:t xml:space="preserve">định.</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highlight w:val="white"/>
        </w:rPr>
        <w:t xml:space="preserve">VIII. GIÁ TRỊ TÀI SẢN THẨM ĐỊNH</w:t>
      </w:r>
      <w:r/>
    </w:p>
    <w:p>
      <w:pPr>
        <w:pBdr>
          <w:top w:val="none" w:color="000000" w:sz="4" w:space="0"/>
          <w:left w:val="none" w:color="000000" w:sz="4" w:space="0"/>
          <w:bottom w:val="none" w:color="000000" w:sz="4" w:space="0"/>
          <w:right w:val="none" w:color="000000" w:sz="4" w:space="0"/>
        </w:pBdr>
        <w:spacing w:after="120" w:before="120" w:line="312" w:lineRule="auto"/>
        <w:ind w:firstLine="0" w:left="0"/>
        <w:jc w:val="both"/>
        <w:rPr/>
      </w:pPr>
      <w:r>
        <w:rPr>
          <w:rFonts w:ascii="Times New Roman" w:hAnsi="Times New Roman" w:eastAsia="Times New Roman" w:cs="Times New Roman"/>
          <w:b/>
          <w:color w:val="000000"/>
          <w:sz w:val="24"/>
          <w:highlight w:val="none"/>
        </w:rPr>
        <w:t xml:space="preserve">1. </w:t>
      </w:r>
      <w:r>
        <w:rPr>
          <w:rFonts w:ascii="Times New Roman" w:hAnsi="Times New Roman" w:eastAsia="Times New Roman" w:cs="Times New Roman"/>
          <w:b/>
          <w:color w:val="000000"/>
          <w:sz w:val="24"/>
          <w:highlight w:val="white"/>
        </w:rPr>
        <w:t xml:space="preserve">Xác định đơn giá quyền sử dụng đất:</w:t>
      </w:r>
      <w:r/>
    </w:p>
    <w:p>
      <w:pPr>
        <w:pBdr>
          <w:top w:val="none" w:color="000000" w:sz="4" w:space="0"/>
          <w:left w:val="none" w:color="000000" w:sz="4" w:space="0"/>
          <w:bottom w:val="none" w:color="000000" w:sz="4" w:space="0"/>
          <w:right w:val="none" w:color="000000" w:sz="4" w:space="0"/>
        </w:pBdr>
        <w:spacing w:after="120" w:before="120" w:line="312" w:lineRule="auto"/>
        <w:ind w:right="0" w:firstLine="357" w:left="0"/>
        <w:jc w:val="both"/>
        <w:rPr/>
      </w:pPr>
      <w:r>
        <w:rPr>
          <w:rFonts w:ascii="Times New Roman" w:hAnsi="Times New Roman" w:eastAsia="Times New Roman" w:cs="Times New Roman"/>
          <w:color w:val="000000"/>
          <w:sz w:val="24"/>
          <w:highlight w:val="white"/>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pPr>
        <w:numPr>
          <w:ilvl w:val="0"/>
          <w:numId w:val="45"/>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highlight w:val="white"/>
        </w:rPr>
        <w:t xml:space="preserve">Thông tin tài sản so sánh:</w:t>
      </w:r>
      <w:r/>
    </w:p>
    <w:tbl>
      <w:tblPr>
        <w:tblStyle w:val="114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04"/>
        <w:gridCol w:w="1843"/>
        <w:gridCol w:w="1742"/>
        <w:gridCol w:w="1742"/>
        <w:gridCol w:w="1742"/>
        <w:gridCol w:w="1742"/>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highlight w:val="white"/>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highlight w:val="white"/>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highlight w:val="white"/>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highlight w:val="white"/>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highlight w:val="white"/>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highlight w:val="white"/>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highlight w:val="white"/>
              </w:rPr>
              <w:t xml:space="preserve">A</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highlight w:val="white"/>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highlight w:val="white"/>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Địa chỉ</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Tòa Park 9, Khu đô thị Vinhomes Times City Park Hill, 25 ngõ 13 đường Lĩnh Nam, phường Vĩnh Tuy, Hà Nội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Tòa Park 9, Khu đô thị Vinhomes Times City Park Hill, 25 ngõ 13 đường Lĩnh Nam, phường Vĩnh Tuy, Hà Nội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Tòa Park 11, Khu đô thị Vinhomes Times City Park Hill, 25 ngõ 13 đường Lĩnh Nam, phường Vĩnh Tuy, Hà Nội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òa Park 9, Khu đô thị Vinhomes Times City Park Hill, 25 ngõ 13 đường Lĩnh Nam, phường Vĩnh Tuy, Hà Nội  </w:t>
            </w:r>
            <w:r/>
          </w:p>
        </w:tc>
      </w:tr>
      <w:tr>
        <w:trPr>
          <w:trHeight w:val="43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Liên hệ trực tiếp</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0942.081939 </w:t>
              <w:br/>
              <w:t xml:space="preserve"> (C.Hường)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0867.560692</w:t>
              <w:br/>
              <w:t xml:space="preserve"> (C.Thảo)</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0942.081939</w:t>
              <w:br/>
              <w:t xml:space="preserve"> (C. Hường)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Đang giao dịch</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Tháng 8/2026</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Tháng 8/2026</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Tháng 8/2026</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Pháp lý</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Giấy chứng nhận quyền sử dụng đất</w:t>
            </w:r>
            <w:r/>
          </w:p>
        </w:tc>
      </w:tr>
      <w:tr>
        <w:trPr>
          <w:trHeight w:val="41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Phổ thông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Phổ thông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Phổ thông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Phổ thông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Vị trí</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Tòa Park 9, Khu đô thị Vinhomes Times City Park Hill, 25 ngõ 13 đường Lĩnh Nam, phường Vĩnh Tuy, Hà Nội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Tòa Park 9, Khu đô thị Vinhomes Times City Park Hill, 25 ngõ 13 đường Lĩnh Nam, phường Vĩnh Tuy, Hà Nội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Tòa Park 11, Khu đô thị Vinhomes Times City Park Hill, 25 ngõ 13 đường Lĩnh Nam, phường Vĩnh Tuy, Hà Nội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Tòa Park 9, Khu đô thị Vinhomes Times City Park Hill, 25 ngõ 13 đường Lĩnh Nam, phường Vĩnh Tuy, Hà Nội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Tuổi đời – hiện trạng sử dụng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9</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9</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10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9</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Diện tích thông thủy (m²)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68,5</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68,0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74,0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70,0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Số lượng mặt thoáng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2 mặt thoáng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1 mặt thoáng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2 mặt thoáng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1 mặt thoáng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Tầng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Tầng 19, Thuộc nhóm tầng: Trung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Thuộc nhóm tầng: Trung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Thuộc nhóm tầng: Trung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Thuộc nhóm tầng: Trung</w:t>
            </w:r>
            <w:r/>
          </w:p>
        </w:tc>
      </w:tr>
      <w:tr>
        <w:trPr>
          <w:trHeight w:val="473"/>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Đông Bắc</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Đông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Bắc</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Nam</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13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Cấu trúc tài sản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2 phòng ngủ, 2 nhà vệ sinh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2 phòng ngủ, 2 nhà vệ sinh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2 phòng ngủ, 2 nhà vệ sinh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2 phòng ngủ, 2 nhà vệ sinh</w:t>
            </w:r>
            <w:r/>
          </w:p>
        </w:tc>
      </w:tr>
      <w:tr>
        <w:trPr>
          <w:trHeight w:val="409"/>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14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Nội thất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Cơ bản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Cơ bản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Cơ bản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Cao cấp</w:t>
            </w:r>
            <w:r/>
          </w:p>
        </w:tc>
      </w:tr>
      <w:tr>
        <w:trPr>
          <w:trHeight w:val="415"/>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15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7.400.000.000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8.500.000.000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9.000.000.000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16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Giá thương lượng/bán (đồng) (đã giảm trừ giá trị nội thất nếu có)</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color w:val="000000"/>
                <w:sz w:val="22"/>
                <w:szCs w:val="22"/>
                <w:highlight w:val="white"/>
                <w14:ligatures w14:val="none"/>
              </w:rPr>
            </w:pPr>
            <w:r>
              <w:rPr>
                <w:rFonts w:ascii="Times New Roman" w:hAnsi="Times New Roman" w:eastAsia="Times New Roman" w:cs="Times New Roman"/>
                <w:b/>
                <w:bCs/>
                <w:color w:val="000000"/>
                <w:sz w:val="22"/>
                <w:szCs w:val="22"/>
                <w:highlight w:val="white"/>
              </w:rPr>
            </w:r>
            <w:r>
              <w:rPr>
                <w:rFonts w:ascii="Times New Roman" w:hAnsi="Times New Roman" w:eastAsia="Times New Roman" w:cs="Times New Roman"/>
                <w:b/>
                <w:bCs/>
                <w:color w:val="000000"/>
                <w:sz w:val="22"/>
                <w:szCs w:val="22"/>
                <w:highlight w:val="white"/>
              </w:rPr>
              <w:t xml:space="preserve">5.920.000.000</w:t>
            </w:r>
            <w:r>
              <w:rPr>
                <w:rFonts w:ascii="Times New Roman" w:hAnsi="Times New Roman" w:eastAsia="Times New Roman" w:cs="Times New Roman"/>
                <w:b/>
                <w:bCs/>
                <w:color w:val="000000"/>
                <w:sz w:val="22"/>
                <w:szCs w:val="22"/>
                <w:highlight w:val="white"/>
              </w:rPr>
            </w:r>
            <w:r>
              <w:rPr>
                <w:rFonts w:ascii="Times New Roman" w:hAnsi="Times New Roman" w:eastAsia="Times New Roman" w:cs="Times New Roman"/>
                <w:b/>
                <w:bCs/>
                <w:color w:val="000000"/>
                <w:sz w:val="22"/>
                <w:szCs w:val="22"/>
                <w:highlight w:val="white"/>
                <w14:ligatures w14:val="none"/>
              </w:rP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color w:val="000000"/>
                <w:sz w:val="22"/>
                <w:szCs w:val="22"/>
                <w:highlight w:val="white"/>
                <w14:ligatures w14:val="none"/>
              </w:rPr>
            </w:pPr>
            <w:r>
              <w:rPr>
                <w:rFonts w:ascii="Times New Roman" w:hAnsi="Times New Roman" w:eastAsia="Times New Roman" w:cs="Times New Roman"/>
                <w:b/>
                <w:bCs/>
                <w:color w:val="000000"/>
                <w:sz w:val="22"/>
                <w:szCs w:val="22"/>
                <w:highlight w:val="white"/>
              </w:rPr>
            </w:r>
            <w:r>
              <w:rPr>
                <w:rFonts w:ascii="Times New Roman" w:hAnsi="Times New Roman" w:eastAsia="Times New Roman" w:cs="Times New Roman"/>
                <w:b/>
                <w:bCs/>
                <w:color w:val="000000"/>
                <w:sz w:val="22"/>
                <w:szCs w:val="22"/>
                <w:highlight w:val="white"/>
              </w:rPr>
              <w:t xml:space="preserve">6.800.000.000</w:t>
            </w:r>
            <w:r>
              <w:rPr>
                <w:rFonts w:ascii="Times New Roman" w:hAnsi="Times New Roman" w:eastAsia="Times New Roman" w:cs="Times New Roman"/>
                <w:b/>
                <w:bCs/>
                <w:color w:val="000000"/>
                <w:sz w:val="22"/>
                <w:szCs w:val="22"/>
                <w:highlight w:val="white"/>
              </w:rPr>
            </w:r>
            <w:r>
              <w:rPr>
                <w:rFonts w:ascii="Times New Roman" w:hAnsi="Times New Roman" w:eastAsia="Times New Roman" w:cs="Times New Roman"/>
                <w:b/>
                <w:bCs/>
                <w:color w:val="000000"/>
                <w:sz w:val="22"/>
                <w:szCs w:val="22"/>
                <w:highlight w:val="white"/>
                <w14:ligatures w14:val="none"/>
              </w:rP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color w:val="000000"/>
                <w:sz w:val="22"/>
                <w:szCs w:val="22"/>
                <w:highlight w:val="white"/>
                <w14:ligatures w14:val="none"/>
              </w:rPr>
            </w:pPr>
            <w:r>
              <w:rPr>
                <w:rFonts w:ascii="Times New Roman" w:hAnsi="Times New Roman" w:eastAsia="Times New Roman" w:cs="Times New Roman"/>
                <w:b/>
                <w:bCs/>
                <w:color w:val="000000"/>
                <w:sz w:val="22"/>
                <w:szCs w:val="22"/>
                <w:highlight w:val="white"/>
              </w:rPr>
            </w:r>
            <w:r>
              <w:rPr>
                <w:rFonts w:ascii="Times New Roman" w:hAnsi="Times New Roman" w:eastAsia="Times New Roman" w:cs="Times New Roman"/>
                <w:b/>
                <w:bCs/>
                <w:color w:val="000000"/>
                <w:sz w:val="22"/>
                <w:szCs w:val="22"/>
                <w:highlight w:val="white"/>
              </w:rPr>
              <w:t xml:space="preserve">7.200.000.000</w:t>
            </w:r>
            <w:r>
              <w:rPr>
                <w:rFonts w:ascii="Times New Roman" w:hAnsi="Times New Roman" w:eastAsia="Times New Roman" w:cs="Times New Roman"/>
                <w:b/>
                <w:bCs/>
                <w:color w:val="000000"/>
                <w:sz w:val="22"/>
                <w:szCs w:val="22"/>
                <w:highlight w:val="white"/>
              </w:rPr>
            </w:r>
            <w:r>
              <w:rPr>
                <w:rFonts w:ascii="Times New Roman" w:hAnsi="Times New Roman" w:eastAsia="Times New Roman" w:cs="Times New Roman"/>
                <w:b/>
                <w:bCs/>
                <w:color w:val="000000"/>
                <w:sz w:val="22"/>
                <w:szCs w:val="22"/>
                <w:highlight w:val="white"/>
                <w14:ligatures w14:val="none"/>
              </w:r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17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Đơn giá QSD căn hộ (đồng/m2)</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87.058.824</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91.891.892</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102.857.143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highlight w:val="white"/>
              </w:rPr>
              <w:t xml:space="preserve">B</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highlight w:val="white"/>
              </w:rPr>
              <w:t xml:space="preserve">NHẬN XÉT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388"/>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Pháp lý</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Vị trí</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Diện tích thông thủy (m²)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Số lượng mặt thoáng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Nội thất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Lợi thế hơn</w:t>
            </w: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highlight w:val="white"/>
        </w:rPr>
        <w:t xml:space="preserve">Các yếu tố như vị trí, giao thông, diện tích, hình dáng, hạ tầng kỹ thuật và hạ tầng xã hội… làm ảnh hưởng đến giá trị củathửa đất. Mỗi yếu tố đóng góp một tỷ lệ nhất định vào giá trị của thửa đất. Vì vậy, dựa trên ba tài sản so sánh tương đồng với tài sản</w:t>
      </w:r>
      <w:r>
        <w:rPr>
          <w:rFonts w:ascii="Times New Roman" w:hAnsi="Times New Roman" w:eastAsia="Times New Roman" w:cs="Times New Roman"/>
          <w:color w:val="000000"/>
          <w:sz w:val="24"/>
          <w:highlight w:val="white"/>
        </w:rPr>
        <w:t xml:space="preserve">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highlight w:val="white"/>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highlight w:val="white"/>
        </w:rPr>
        <w:t xml:space="preserve"> Các điểm ở TSSS kém lợi thế hơn so với TSTĐ thì điều chỉnh tăng mức giá tính theo đơn vị chuẩn của tài sản so sánh (cộng); Những yếu tố ở tài sản so sánh giống (tương tự) với tài sản cầnthẩm định giá thì giữ nguyên mức giá của tài sản so sánh (không điều </w:t>
      </w:r>
      <w:r>
        <w:rPr>
          <w:rFonts w:ascii="Times New Roman" w:hAnsi="Times New Roman" w:eastAsia="Times New Roman" w:cs="Times New Roman"/>
          <w:color w:val="000000"/>
          <w:sz w:val="24"/>
          <w:highlight w:val="white"/>
        </w:rPr>
        <w:t xml:space="preserve">chỉnh).</w:t>
      </w:r>
      <w:r/>
    </w:p>
    <w:p>
      <w:pPr>
        <w:numPr>
          <w:ilvl w:val="0"/>
          <w:numId w:val="45"/>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highlight w:val="white"/>
        </w:rPr>
        <w:t xml:space="preserve">Bảng điều chỉnh:</w:t>
      </w:r>
      <w:r/>
    </w:p>
    <w:tbl>
      <w:tblPr>
        <w:tblStyle w:val="114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1765"/>
        <w:gridCol w:w="1030"/>
        <w:gridCol w:w="1522"/>
        <w:gridCol w:w="1522"/>
        <w:gridCol w:w="1522"/>
        <w:gridCol w:w="152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highlight w:val="white"/>
              </w:rPr>
              <w:t xml:space="preserve">Giá trị BĐS thị trường (Ước tính trước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color w:val="000000"/>
                <w:sz w:val="22"/>
                <w:szCs w:val="22"/>
                <w14:ligatures w14:val="none"/>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14:ligatures w14:val="non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color w:val="000000" w:themeColor="text1"/>
                <w:sz w:val="22"/>
                <w:szCs w:val="22"/>
                <w14:ligatures w14:val="none"/>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5.920.000.000</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14:ligatures w14:val="non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color w:val="000000" w:themeColor="text1"/>
                <w:sz w:val="22"/>
                <w:szCs w:val="22"/>
                <w14:ligatures w14:val="none"/>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6.800.000.000</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14:ligatures w14:val="non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color w:val="000000" w:themeColor="text1"/>
                <w:sz w:val="22"/>
                <w:szCs w:val="22"/>
                <w14:ligatures w14:val="none"/>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7.200.000.000</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14:ligatures w14:val="none"/>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highlight w:val="white"/>
              </w:rPr>
              <w:t xml:space="preserve">Đơn giá QSD căn hộ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87.058.824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91.891.892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102.857.143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highlight w:val="white"/>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highlight w:val="white"/>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Giấy chứng nhận quyền sử dụng đất</w:t>
            </w:r>
            <w:r>
              <w:rPr>
                <w:rFonts w:ascii="Times New Roman" w:hAnsi="Times New Roman" w:eastAsia="Times New Roman" w:cs="Times New Roman"/>
                <w:b/>
                <w:color w:val="ff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87.058.824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91.891.892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102.857.143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highlight w:val="white"/>
              </w:rPr>
              <w:t xml:space="preserve">Loại hình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Phổ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Phổ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Phổ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Phổ thông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r>
      <w:tr>
        <w:trPr>
          <w:trHeight w:val="522"/>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87.058.824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91.891.892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102.857.143</w:t>
            </w:r>
            <w:r/>
          </w:p>
        </w:tc>
      </w:tr>
      <w:tr>
        <w:trPr>
          <w:trHeight w:val="337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highlight w:val="white"/>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T</w:t>
            </w:r>
            <w:r>
              <w:rPr>
                <w:rFonts w:ascii="Times New Roman" w:hAnsi="Times New Roman" w:eastAsia="Times New Roman" w:cs="Times New Roman"/>
                <w:b/>
                <w:color w:val="000000"/>
                <w:sz w:val="24"/>
                <w:highlight w:val="white"/>
              </w:rPr>
              <w:t xml:space="preserve">òa Park 9, Khu đô thị Vinhomes Times City Park Hill, 25 ngõ 13 đường Lĩnh Nam, phường Vĩnh Tuy, Hà Nội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T</w:t>
            </w:r>
            <w:r>
              <w:rPr>
                <w:rFonts w:ascii="Times New Roman" w:hAnsi="Times New Roman" w:eastAsia="Times New Roman" w:cs="Times New Roman"/>
                <w:b/>
                <w:color w:val="000000"/>
                <w:sz w:val="24"/>
                <w:highlight w:val="white"/>
              </w:rPr>
              <w:t xml:space="preserve">òa Park 9, Khu đô thị Vinhomes Times City Park Hill, 25 ngõ 13 đường Lĩnh Nam, phường Vĩnh Tuy, Hà Nội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T</w:t>
            </w:r>
            <w:r>
              <w:rPr>
                <w:rFonts w:ascii="Times New Roman" w:hAnsi="Times New Roman" w:eastAsia="Times New Roman" w:cs="Times New Roman"/>
                <w:b/>
                <w:color w:val="000000"/>
                <w:sz w:val="24"/>
                <w:highlight w:val="white"/>
              </w:rPr>
              <w:t xml:space="preserve">òa Park 11, Khu đô thị Vinhomes Times City Park Hill, 25 ngõ 13 đường Lĩnh Nam, phường Vĩnh Tuy, Hà Nội  </w:t>
            </w:r>
            <w:r>
              <w:rPr>
                <w:rFonts w:ascii="Times New Roman" w:hAnsi="Times New Roman" w:eastAsia="Times New Roman" w:cs="Times New Roman"/>
                <w:b/>
                <w:color w:val="000000"/>
                <w:sz w:val="22"/>
                <w:highlight w:val="white"/>
              </w:r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T</w:t>
            </w:r>
            <w:r>
              <w:rPr>
                <w:rFonts w:ascii="Times New Roman" w:hAnsi="Times New Roman" w:eastAsia="Times New Roman" w:cs="Times New Roman"/>
                <w:b/>
                <w:color w:val="000000"/>
                <w:sz w:val="24"/>
                <w:highlight w:val="white"/>
              </w:rPr>
              <w:t xml:space="preserve">òa Park 9, Khu đô thị Vinhomes Times City Park Hill, 25 ngõ 13 đường Lĩnh Nam, phường Vĩnh Tuy, Hà Nội  </w:t>
            </w:r>
            <w:r>
              <w:rPr>
                <w:rFonts w:ascii="Times New Roman" w:hAnsi="Times New Roman" w:eastAsia="Times New Roman" w:cs="Times New Roman"/>
                <w:b/>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87.058.824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91.891.892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102.857.143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highlight w:val="white"/>
              </w:rPr>
              <w:t xml:space="preserve">Diện tích thông thủy</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68,5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68,0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74,0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70,0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1.837.838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87.058.824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93.729.730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102.857.143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highlight w:val="white"/>
              </w:rPr>
              <w:t xml:space="preserve">Số lượng mặt thoáng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2 mặt thoáng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1 mặt thoáng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2 mặt thoáng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1 mặt thoáng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4.352.941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5.142.857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91.411.765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93.729.730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118.575.000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highlight w:val="white"/>
              </w:rPr>
              <w:t xml:space="preserve">Hướng ban công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Đông Bắc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Đông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Bắc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none"/>
              </w:rPr>
              <w:t xml:space="preserve">Nam </w:t>
            </w:r>
            <w:r>
              <w:rPr>
                <w:rFonts w:ascii="Times New Roman" w:hAnsi="Times New Roman" w:eastAsia="Times New Roman" w:cs="Times New Roman"/>
                <w:b/>
                <w:color w:val="000000"/>
                <w:sz w:val="22"/>
                <w:highlight w:val="white"/>
              </w:r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-3.085.714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91.411.765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93.729.730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117.889.286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highlight w:val="white"/>
              </w:rPr>
              <w:t xml:space="preserve">Nội thất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Cơ bản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Cơ bản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Cơ bản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Cao cấp</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-10.285.714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91.411.765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93.729.730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94.628.572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highlight w:val="white"/>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91.411.765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93.729.730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94.628.572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5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93.256.689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1,47%</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highlight w:val="white"/>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highlight w:val="white"/>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4.352.941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1.837.838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18.514.285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 - 5%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 - 2%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0% - 10%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highlight w:val="white"/>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4.352.941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1.837.838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8.228.571</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i/>
          <w:color w:val="000000"/>
          <w:sz w:val="24"/>
          <w:highlight w:val="white"/>
          <w:u w:val="single"/>
        </w:rPr>
        <w:t xml:space="preserve"> </w:t>
      </w:r>
      <w:r>
        <w:rPr>
          <w:rFonts w:ascii="Times New Roman" w:hAnsi="Times New Roman" w:eastAsia="Times New Roman" w:cs="Times New Roman"/>
          <w:b/>
          <w:i/>
          <w:color w:val="000000"/>
          <w:sz w:val="24"/>
          <w:highlight w:val="white"/>
          <w:u w:val="single"/>
        </w:rPr>
        <w:t xml:space="preserve">Về nguyên tắc khống chế</w:t>
      </w:r>
      <w:r>
        <w:rPr>
          <w:rFonts w:ascii="Times New Roman" w:hAnsi="Times New Roman" w:eastAsia="Times New Roman" w:cs="Times New Roman"/>
          <w:b/>
          <w:i/>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số liệu tại mục D2, chênh lệch giữa mức giá trung bình của các mức giá chỉ dẫn nằm trong khoảng từ -0,51% đến 1,98%,</w:t>
      </w:r>
      <w:r>
        <w:rPr>
          <w:rFonts w:ascii="Times New Roman" w:hAnsi="Times New Roman" w:eastAsia="Times New Roman" w:cs="Times New Roman"/>
          <w:color w:val="00b050"/>
          <w:sz w:val="24"/>
          <w:highlight w:val="white"/>
        </w:rPr>
        <w:t xml:space="preserve"> </w:t>
      </w:r>
      <w:r>
        <w:rPr>
          <w:rFonts w:ascii="Times New Roman" w:hAnsi="Times New Roman" w:eastAsia="Times New Roman" w:cs="Times New Roman"/>
          <w:color w:val="000000"/>
          <w:sz w:val="24"/>
          <w:highlight w:val="white"/>
        </w:rPr>
        <w:t xml:space="preserve">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highlight w:val="white"/>
          <w:u w:val="single"/>
        </w:rPr>
        <w:t xml:space="preserve">Về thống nhất mức giá chỉ dẫn:</w:t>
      </w:r>
      <w:r/>
    </w:p>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highlight w:val="white"/>
        </w:rPr>
        <w:t xml:space="preserve">Đơn vị tính: Đồng/m²</w:t>
      </w:r>
      <w:r/>
    </w:p>
    <w:tbl>
      <w:tblPr>
        <w:tblStyle w:val="1148"/>
        <w:tblInd w:w="0" w:type="dxa"/>
        <w:tblW w:w="5042"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958"/>
        <w:gridCol w:w="1905"/>
        <w:gridCol w:w="1905"/>
        <w:gridCol w:w="1905"/>
        <w:gridCol w:w="2931"/>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9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9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highlight w:val="white"/>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91.411.765</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33,34%</w:t>
            </w:r>
            <w:r/>
          </w:p>
        </w:tc>
        <w:tc>
          <w:tcPr>
            <w:tcBorders>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30.476.682</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9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highlight w:val="white"/>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93.729.730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33,33%</w:t>
            </w:r>
            <w:r/>
          </w:p>
        </w:tc>
        <w:tc>
          <w:tcPr>
            <w:tcBorders>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31.240.119</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9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highlight w:val="white"/>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94.628.572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33,33%</w:t>
            </w:r>
            <w:r/>
          </w:p>
        </w:tc>
        <w:tc>
          <w:tcPr>
            <w:tcBorders>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31.539.703</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93.257.000</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6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Làm tròn:</w:t>
            </w:r>
            <w:r/>
          </w:p>
        </w:tc>
        <w:tc>
          <w:tcPr>
            <w:tcBorders>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93.000.000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highlight w:val="white"/>
        </w:rPr>
        <w:t xml:space="preserve">93.000.000 đồng/m².</w:t>
      </w: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pPr>
      <w:r>
        <w:rPr>
          <w:rFonts w:ascii="Times New Roman" w:hAnsi="Times New Roman" w:eastAsia="Times New Roman" w:cs="Times New Roman"/>
          <w:b/>
          <w:color w:val="000000"/>
          <w:sz w:val="24"/>
          <w:highlight w:val="none"/>
        </w:rPr>
        <w:t xml:space="preserve">2. </w:t>
      </w:r>
      <w:r>
        <w:rPr>
          <w:rFonts w:ascii="Times New Roman" w:hAnsi="Times New Roman" w:eastAsia="Times New Roman" w:cs="Times New Roman"/>
          <w:b/>
          <w:color w:val="000000"/>
          <w:sz w:val="24"/>
          <w:highlight w:val="white"/>
        </w:rPr>
        <w:t xml:space="preserve">Kết quả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Dựa trên các lập luận trên, Tổ thẩm định ước tính giá trị tài sản thẩm định giá chưa bao gồm các loại thuế, phí và lệ phí liên quan đến việc chuyển nhượng tài sản tại thời điểm thẩm định giá Tháng 8/2026ước tính như sau:</w:t>
      </w:r>
      <w:r/>
    </w:p>
    <w:tbl>
      <w:tblPr>
        <w:tblStyle w:val="1148"/>
        <w:tblInd w:w="0" w:type="dxa"/>
        <w:tblW w:w="495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75"/>
        <w:gridCol w:w="2268"/>
        <w:gridCol w:w="1802"/>
        <w:gridCol w:w="2582"/>
        <w:gridCol w:w="2164"/>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58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6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b/>
                <w:color w:val="000000"/>
                <w:sz w:val="24"/>
                <w:highlight w:val="white"/>
              </w:rPr>
              <w:t xml:space="preserve">Quyền sở hữu Căn hộ chung cư số 1902, địa chỉ: Tòa Park 9, Khu đô thị Vinhomes Times City Park Hill, số 25, ngõ 13, đường Lĩnh Nam, Phường Mai Động, Quận Hoàng Mai (</w:t>
            </w:r>
            <w:r>
              <w:rPr>
                <w:rFonts w:ascii="Times New Roman" w:hAnsi="Times New Roman" w:eastAsia="Times New Roman" w:cs="Times New Roman"/>
                <w:b/>
                <w:i/>
                <w:color w:val="000000"/>
                <w:sz w:val="24"/>
                <w:highlight w:val="white"/>
              </w:rPr>
              <w:t xml:space="preserve">nay là Phường Vĩnh Tuy</w:t>
            </w:r>
            <w:r>
              <w:rPr>
                <w:rFonts w:ascii="Times New Roman" w:hAnsi="Times New Roman" w:eastAsia="Times New Roman" w:cs="Times New Roman"/>
                <w:b/>
                <w:color w:val="000000"/>
                <w:sz w:val="24"/>
                <w:highlight w:val="white"/>
              </w:rPr>
              <w:t xml:space="preserve">), Thành phố Hà Nội theo Giấy chứng nhận Quyền sử dụng đất, quyền sở hữu nhà ở và tài sản khác gắn liền với đất số: CM 288331; Số vào sổ cấp GCN: CS 20828 d</w:t>
            </w:r>
            <w:r>
              <w:rPr>
                <w:rFonts w:ascii="Times New Roman" w:hAnsi="Times New Roman" w:eastAsia="Times New Roman" w:cs="Times New Roman"/>
                <w:b/>
                <w:color w:val="ff0000"/>
                <w:sz w:val="24"/>
                <w:highlight w:val="white"/>
              </w:rPr>
              <w:t xml:space="preserve">o Sở Tài nguyên và Môi trường thành phố Hà Nội cấp ngày 14/5/201</w:t>
            </w:r>
            <w:r>
              <w:rPr>
                <w:rFonts w:ascii="Times New Roman" w:hAnsi="Times New Roman" w:eastAsia="Times New Roman" w:cs="Times New Roman"/>
                <w:b/>
                <w:color w:val="000000"/>
                <w:sz w:val="24"/>
                <w:highlight w:val="white"/>
              </w:rPr>
              <w:t xml:space="preserve">8; Chủ sở hữu căn hộ chung cư là Ông Ngô Hữu Biên.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highlight w:val="white"/>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highlight w:val="white"/>
              </w:rPr>
              <w:t xml:space="preserve">Căn hộ chung cư</w:t>
            </w:r>
            <w:r/>
          </w:p>
        </w:tc>
        <w:tc>
          <w:tcPr>
            <w:tcBorders>
              <w:bottom w:val="single" w:color="000000" w:sz="8" w:space="0"/>
              <w:right w:val="single" w:color="000000" w:sz="8" w:space="0"/>
            </w:tcBorders>
            <w:tcMar>
              <w:left w:w="108" w:type="dxa"/>
              <w:top w:w="0" w:type="dxa"/>
              <w:right w:w="108"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highlight w:val="white"/>
              </w:rPr>
              <w:t xml:space="preserve">68,5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8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highlight w:val="white"/>
              </w:rPr>
              <w:t xml:space="preserve">93.000.000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highlight w:val="white"/>
              </w:rPr>
              <w:t xml:space="preserve">6.370.500.000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32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TỔNG CỘNG:</w:t>
            </w:r>
            <w:r/>
          </w:p>
        </w:tc>
        <w:tc>
          <w:tcPr>
            <w:tcBorders>
              <w:bottom w:val="single" w:color="000000" w:sz="8" w:space="0"/>
              <w:right w:val="single" w:color="000000" w:sz="8" w:space="0"/>
            </w:tcBorders>
            <w:tcMar>
              <w:left w:w="108" w:type="dxa"/>
              <w:top w:w="0" w:type="dxa"/>
              <w:right w:w="108" w:type="dxa"/>
              <w:bottom w:w="0" w:type="dxa"/>
            </w:tcMar>
            <w:tcW w:w="2164"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highlight w:val="white"/>
              </w:rPr>
              <w:t xml:space="preserve">6.370.500.000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49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highlight w:val="white"/>
              </w:rPr>
              <w:t xml:space="preserve">(Bằng chữ: Sáu tỷ, ba trăm bảy mươi triệu, năm trăm nghìn đồng./.)</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right="0" w:firstLine="0" w:left="0"/>
        <w:jc w:val="both"/>
        <w:rPr/>
      </w:pPr>
      <w:r>
        <w:rPr>
          <w:rFonts w:ascii="Times New Roman" w:hAnsi="Times New Roman" w:eastAsia="Times New Roman" w:cs="Times New Roman"/>
          <w:b/>
          <w:color w:val="000000"/>
          <w:sz w:val="24"/>
          <w:highlight w:val="white"/>
        </w:rPr>
        <w:t xml:space="preserve">IX. THỜI HẠN HIỆU LỰC CỦA KẾT QUẢ THẨM ĐỊNH GIÁ</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z w:val="24"/>
          <w:highlight w:val="white"/>
        </w:rPr>
        <w:t xml:space="preserve">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right="0" w:firstLine="0" w:left="0"/>
        <w:jc w:val="both"/>
        <w:rPr/>
      </w:pPr>
      <w:r>
        <w:rPr>
          <w:rFonts w:ascii="Times New Roman" w:hAnsi="Times New Roman" w:eastAsia="Times New Roman" w:cs="Times New Roman"/>
          <w:b/>
          <w:color w:val="000000"/>
          <w:spacing w:val="-4"/>
          <w:sz w:val="24"/>
          <w:highlight w:val="white"/>
        </w:rPr>
        <w:t xml:space="preserve">X. TUYÊN BỐ CHUNG VÀ MIỄN TRỪ TRÁCH NHIỆM</w:t>
      </w: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z w:val="24"/>
          <w:highlight w:val="white"/>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z w:val="24"/>
          <w:highlight w:val="white"/>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sz w:val="24"/>
          <w:highlight w:val="white"/>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z w:val="24"/>
          <w:highlight w:val="white"/>
        </w:rPr>
        <w:t xml:space="preserve">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w:t>
      </w:r>
      <w:r>
        <w:rPr>
          <w:rFonts w:ascii="Times New Roman" w:hAnsi="Times New Roman" w:eastAsia="Times New Roman" w:cs="Times New Roman"/>
          <w:color w:val="000000"/>
          <w:sz w:val="24"/>
          <w:highlight w:val="white"/>
        </w:rPr>
        <w:t xml:space="preserve">không được đề cập đến trong Hợp đồng (gọi tắt là “các bên liên quan”).</w:t>
      </w: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z w:val="24"/>
          <w:highlight w:val="white"/>
        </w:rPr>
        <w:t xml:space="preserve">Các bên liên quan khi đọc và thực hiện sử dụng sản phẩm tư vấn này, tức là đã chấp nhận và đồng ý với những điều khoản sau:</w:t>
      </w:r>
      <w:r/>
    </w:p>
    <w:p>
      <w:pPr>
        <w:numPr>
          <w:ilvl w:val="0"/>
          <w:numId w:val="41"/>
        </w:numPr>
        <w:pBdr>
          <w:top w:val="none" w:color="000000" w:sz="4" w:space="0"/>
          <w:left w:val="none" w:color="000000" w:sz="4" w:space="0"/>
          <w:bottom w:val="none" w:color="000000" w:sz="4" w:space="0"/>
          <w:right w:val="none" w:color="000000" w:sz="4" w:space="0"/>
        </w:pBdr>
        <w:spacing w:after="120" w:before="120" w:line="283" w:lineRule="auto"/>
        <w:ind/>
        <w:jc w:val="both"/>
        <w:rPr/>
      </w:pPr>
      <w:r>
        <w:rPr>
          <w:rFonts w:ascii="Times New Roman" w:hAnsi="Times New Roman" w:eastAsia="Times New Roman" w:cs="Times New Roman"/>
          <w:color w:val="000000"/>
          <w:sz w:val="24"/>
          <w:highlight w:val="white"/>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sz w:val="24"/>
          <w:highlight w:val="white"/>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sz w:val="24"/>
          <w:highlight w:val="white"/>
        </w:rPr>
        <w:t xml:space="preserve">kỳ mục đích nào thì mọi trách nhiệm có liên quan đều thuộc Quý Khách hàng và các bên liên quan đó tham gia vào các giao dịch có liên quan.</w:t>
      </w:r>
      <w:r/>
    </w:p>
    <w:p>
      <w:pPr>
        <w:numPr>
          <w:ilvl w:val="0"/>
          <w:numId w:val="41"/>
        </w:numPr>
        <w:pBdr>
          <w:top w:val="none" w:color="000000" w:sz="4" w:space="0"/>
          <w:left w:val="none" w:color="000000" w:sz="4" w:space="0"/>
          <w:bottom w:val="none" w:color="000000" w:sz="4" w:space="0"/>
          <w:right w:val="none" w:color="000000" w:sz="4" w:space="0"/>
        </w:pBdr>
        <w:spacing w:after="120" w:before="120" w:line="283" w:lineRule="auto"/>
        <w:ind/>
        <w:jc w:val="both"/>
        <w:rPr/>
      </w:pPr>
      <w:r>
        <w:rPr>
          <w:rFonts w:ascii="Times New Roman" w:hAnsi="Times New Roman" w:eastAsia="Times New Roman" w:cs="Times New Roman"/>
          <w:color w:val="000000"/>
          <w:sz w:val="24"/>
          <w:highlight w:val="white"/>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sz w:val="24"/>
          <w:highlight w:val="white"/>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sz w:val="24"/>
          <w:highlight w:val="white"/>
        </w:rPr>
        <w:t xml:space="preserve">n của các bên liên quan, hoặc do hậu quả của việc cung cấp Chứng thư, Báo cáo cho các bên liên quan.</w:t>
      </w:r>
      <w:r/>
    </w:p>
    <w:p>
      <w:pPr>
        <w:numPr>
          <w:ilvl w:val="0"/>
          <w:numId w:val="41"/>
        </w:numPr>
        <w:pBdr>
          <w:top w:val="none" w:color="000000" w:sz="4" w:space="0"/>
          <w:left w:val="none" w:color="000000" w:sz="4" w:space="0"/>
          <w:bottom w:val="none" w:color="000000" w:sz="4" w:space="0"/>
          <w:right w:val="none" w:color="000000" w:sz="4" w:space="0"/>
        </w:pBdr>
        <w:spacing w:after="120" w:before="120" w:line="283" w:lineRule="auto"/>
        <w:ind/>
        <w:jc w:val="both"/>
        <w:rPr/>
      </w:pPr>
      <w:r>
        <w:rPr>
          <w:rFonts w:ascii="Times New Roman" w:hAnsi="Times New Roman" w:eastAsia="Times New Roman" w:cs="Times New Roman"/>
          <w:color w:val="000000"/>
          <w:sz w:val="24"/>
          <w:highlight w:val="white"/>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sz w:val="24"/>
          <w:highlight w:val="white"/>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sz w:val="24"/>
          <w:highlight w:val="white"/>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sz w:val="24"/>
          <w:highlight w:val="white"/>
        </w:rPr>
        <w:t xml:space="preserve">gây tổn hại đến danh dự, trách nhiệm pháp lý, nghĩa vụ kinh tế… của các cá nhân và tập thể Lotus VFI.</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right="0" w:firstLine="0" w:left="0"/>
        <w:jc w:val="both"/>
        <w:rPr/>
      </w:pPr>
      <w:r>
        <w:rPr>
          <w:rFonts w:ascii="Times New Roman" w:hAnsi="Times New Roman" w:eastAsia="Times New Roman" w:cs="Times New Roman"/>
          <w:b/>
          <w:color w:val="000000"/>
          <w:spacing w:val="-4"/>
          <w:sz w:val="24"/>
          <w:highlight w:val="white"/>
        </w:rPr>
        <w:t xml:space="preserve">XI. NHỮNG ĐIỀU KHOẢN LOẠI TRỪ VÀ HẠN CHẾ CỦA KẾT QUẢ THẨM ĐỊNH GIÁ</w:t>
      </w: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z w:val="24"/>
          <w:highlight w:val="white"/>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z w:val="24"/>
          <w:highlight w:val="white"/>
        </w:rPr>
        <w:t xml:space="preserve">à không có xác nhận của Công ty Cổ phần Thẩm định và Đầu tư Tài chính Hoa Sen đều vi phạm pháp luật và không có giá trị.</w:t>
      </w: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z w:val="24"/>
          <w:highlight w:val="white"/>
        </w:rPr>
        <w:t xml:space="preserve">Kết quả thẩm định giá trên chỉ xác nhận khi khách hàng hoàn tất các thủ tục pháp lý và nghĩa vụ tài chính liên quan đến tài sản thẩm định theo quy định của pháp luật hiện hành.</w:t>
      </w: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z w:val="24"/>
          <w:highlight w:val="white"/>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z w:val="24"/>
          <w:highlight w:val="white"/>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sz w:val="24"/>
          <w:highlight w:val="white"/>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sz w:val="24"/>
          <w:highlight w:val="white"/>
        </w:rPr>
        <w:t xml:space="preserve"> định giá này, tổ thẩm định không đảm bảo là các giả định làm cơ sở thẩm định giá là chính xác hoàn toàn.</w:t>
      </w: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pacing w:val="2"/>
          <w:sz w:val="24"/>
          <w:highlight w:val="white"/>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pacing w:val="2"/>
          <w:sz w:val="24"/>
          <w:highlight w:val="white"/>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pacing w:val="2"/>
          <w:sz w:val="24"/>
          <w:highlight w:val="white"/>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z w:val="24"/>
          <w:highlight w:val="white"/>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highlight w:val="white"/>
        </w:rPr>
        <w:t xml:space="preserve">cho Công ty Cổ phần Thẩm định và Đầu tư Tài chính Hoa Sen tại thời điểm và địa điểm thẩm định giá.</w:t>
      </w:r>
      <w:r/>
    </w:p>
    <w:p>
      <w:pPr>
        <w:numPr>
          <w:ilvl w:val="0"/>
          <w:numId w:val="47"/>
        </w:numPr>
        <w:pBdr>
          <w:top w:val="none" w:color="000000" w:sz="4" w:space="0"/>
          <w:left w:val="none" w:color="000000" w:sz="4" w:space="0"/>
          <w:bottom w:val="none" w:color="000000" w:sz="4" w:space="0"/>
          <w:right w:val="none" w:color="000000" w:sz="4" w:space="0"/>
        </w:pBdr>
        <w:spacing w:after="120" w:before="120" w:line="283" w:lineRule="auto"/>
        <w:ind/>
        <w:jc w:val="both"/>
        <w:rPr/>
      </w:pPr>
      <w:r>
        <w:rPr>
          <w:rFonts w:ascii="Times New Roman" w:hAnsi="Times New Roman" w:eastAsia="Times New Roman" w:cs="Times New Roman"/>
          <w:color w:val="000000"/>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highlight w:val="white"/>
        </w:rPr>
        <w:t xml:space="preserve">Giá trị ước tính này không nhất thiết phải trùng khớp với giá trị dùng để giao dịch.</w:t>
      </w: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highlight w:val="white"/>
        </w:rPr>
        <w:t xml:space="preserve">ch, số ô, số thửa, tờ bản đồ theo Giấy chứng nhận quyền sử dụng đất  đã cung cấp cho chúng tôi.</w:t>
      </w:r>
      <w:r/>
    </w:p>
    <w:p>
      <w:pPr>
        <w:numPr>
          <w:ilvl w:val="0"/>
          <w:numId w:val="47"/>
        </w:numPr>
        <w:pBdr>
          <w:top w:val="none" w:color="000000" w:sz="4" w:space="0"/>
          <w:left w:val="none" w:color="000000" w:sz="4" w:space="0"/>
          <w:bottom w:val="none" w:color="000000" w:sz="4" w:space="0"/>
          <w:right w:val="none" w:color="000000" w:sz="4" w:space="0"/>
        </w:pBdr>
        <w:spacing w:after="120" w:before="120" w:line="283" w:lineRule="auto"/>
        <w:ind/>
        <w:jc w:val="both"/>
        <w:rPr/>
      </w:pPr>
      <w:r>
        <w:rPr>
          <w:rFonts w:ascii="Times New Roman" w:hAnsi="Times New Roman" w:eastAsia="Times New Roman" w:cs="Times New Roman"/>
          <w:color w:val="000000"/>
          <w:sz w:val="24"/>
          <w:highlight w:val="white"/>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highlight w:val="white"/>
        </w:rPr>
        <w:t xml:space="preserve"> trừ mọi trách nhiệm phát sinh, liên đới (nếu có) trong trường hợp này.</w:t>
      </w:r>
      <w:r/>
    </w:p>
    <w:p>
      <w:pPr>
        <w:pStyle w:val="1144"/>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z w:val="24"/>
          <w:highlight w:val="white"/>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w:t>
      </w:r>
      <w:r>
        <w:rPr>
          <w:rFonts w:ascii="Times New Roman" w:hAnsi="Times New Roman" w:eastAsia="Times New Roman" w:cs="Times New Roman"/>
          <w:color w:val="000000"/>
          <w:sz w:val="24"/>
          <w:highlight w:val="white"/>
        </w:rPr>
        <w:t xml:space="preserve"> trường. Kết quả thẩm định giá có thể thay đổi khi các TSSS được giao dịch thành công. Khách hàng và các bên thứ ba khi sử dụng kết quả thẩm định giá cần lưu ý khi sử dụng Chứng thư thẩm định giá.</w:t>
      </w: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z w:val="24"/>
          <w:highlight w:val="white"/>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highlight w:val="white"/>
        </w:rPr>
        <w:t xml:space="preserve">định giá.</w:t>
      </w: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jc w:val="both"/>
        <w:rPr/>
      </w:pPr>
      <w:r>
        <w:rPr>
          <w:rFonts w:ascii="Times New Roman" w:hAnsi="Times New Roman" w:eastAsia="Times New Roman" w:cs="Times New Roman"/>
          <w:color w:val="000000"/>
          <w:sz w:val="24"/>
          <w:highlight w:val="white"/>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highlight w:val="white"/>
          <w:u w:val="none"/>
        </w:rPr>
        <w:t xml:space="preserve">kết quả…. và chấp nhận sử dụng tất cả nội dung được trình bày trong chứng thư này.</w:t>
      </w:r>
      <w:r/>
    </w:p>
    <w:p>
      <w:pPr>
        <w:pBdr>
          <w:top w:val="none" w:color="000000" w:sz="4" w:space="0"/>
          <w:left w:val="none" w:color="000000" w:sz="4" w:space="0"/>
          <w:bottom w:val="none" w:color="000000" w:sz="4" w:space="0"/>
          <w:right w:val="none" w:color="000000" w:sz="4" w:space="0"/>
        </w:pBdr>
        <w:spacing w:after="120" w:before="120" w:line="283" w:lineRule="auto"/>
        <w:ind w:right="0" w:firstLine="0" w:left="0"/>
        <w:rPr/>
      </w:pPr>
      <w:r>
        <w:rPr>
          <w:rFonts w:ascii="Times New Roman" w:hAnsi="Times New Roman" w:eastAsia="Times New Roman" w:cs="Times New Roman"/>
          <w:b/>
          <w:color w:val="000000"/>
          <w:sz w:val="24"/>
          <w:highlight w:val="white"/>
        </w:rPr>
        <w:t xml:space="preserve">XII. CÁC PHỤ LỤC KÈM THEO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right="0" w:firstLine="0" w:left="0"/>
        <w:jc w:val="both"/>
        <w:rPr/>
      </w:pPr>
      <w:r>
        <w:rPr>
          <w:rFonts w:ascii="Times New Roman" w:hAnsi="Times New Roman" w:eastAsia="Times New Roman" w:cs="Times New Roman"/>
          <w:color w:val="000000"/>
          <w:sz w:val="24"/>
          <w:highlight w:val="white"/>
        </w:rPr>
        <w:t xml:space="preserve">Phụ lục 1: Hình ảnh hiện trạng của tài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3" w:lineRule="auto"/>
        <w:ind w:right="0" w:firstLine="0" w:left="0"/>
        <w:jc w:val="both"/>
        <w:rPr/>
      </w:pPr>
      <w:r>
        <w:rPr>
          <w:rFonts w:ascii="Times New Roman" w:hAnsi="Times New Roman" w:eastAsia="Times New Roman" w:cs="Times New Roman"/>
          <w:color w:val="000000"/>
          <w:sz w:val="24"/>
          <w:highlight w:val="white"/>
        </w:rPr>
        <w:t xml:space="preserve">Phụ lục 2: Thông tin thu thập thị trường.</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highlight w:val="white"/>
        </w:rPr>
        <w:t xml:space="preserve">Báo cáo kết quả thẩm định giá được phát hành 03 (ba) bản chính bằng tiếng Việt kèm theo Chứng thư thẩm định giá số 275/2026/1329/VFI-CT.44.A ngày 24 tháng 8 năm 2026 tại Công ty Cổ phần Thẩm định và Đầu tư Tài chính Hoa Sen.</w:t>
      </w:r>
      <w:r/>
    </w:p>
    <w:tbl>
      <w:tblPr>
        <w:tblStyle w:val="1148"/>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highlight w:val="white"/>
              </w:rPr>
              <w:t xml:space="preserve">THẨM ĐỊNH VIÊN VỀ GIÁ</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highlight w:val="white"/>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highlight w:val="white"/>
              </w:rPr>
              <w:t xml:space="preserve">CHỦ TỊCH HĐQT KIÊM TỔNG GIÁM ĐỐC</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highlight w:val="white"/>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highlight w:val="white"/>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highlight w:val="white"/>
              </w:rPr>
              <w:t xml:space="preserve">Lê Thị Thịnh</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highlight w:val="white"/>
              </w:rPr>
              <w:t xml:space="preserve">Số thẻ thẩm định viên về giá: VIII13.990</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highlight w:val="white"/>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highlight w:val="white"/>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highlight w:val="white"/>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highlight w:val="white"/>
          <w:u w:val="none"/>
        </w:rPr>
        <w:t xml:space="preserve"> </w:t>
      </w:r>
      <w:r/>
    </w:p>
    <w:tbl>
      <w:tblPr>
        <w:tblStyle w:val="1148"/>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highlight w:val="white"/>
              </w:rPr>
              <w:t xml:space="preserve">TRỢ LÝ THẨM ĐỊNH VIÊN</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highlight w:val="white"/>
              </w:rPr>
              <w:t xml:space="preserve">KIỂM SOÁT VIÊN</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highlight w:val="white"/>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highlight w:val="white"/>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highlight w:val="white"/>
              </w:rPr>
              <w:t xml:space="preserve">Lê Đình Duy </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highlight w:val="white"/>
              </w:rPr>
              <w:t xml:space="preserve"> </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highlight w:val="white"/>
              </w:rPr>
              <w:t xml:space="preserve">Nguyễn Thị Thùy</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highlight w:val="white"/>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highlight w:val="white"/>
          <w:u w:val="none"/>
        </w:rPr>
        <w:t xml:space="preserve">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highlight w:val="white"/>
          <w:u w:val="single"/>
        </w:rPr>
        <w:t xml:space="preserve">PHỤ LỤC 01</w:t>
      </w:r>
      <w:r>
        <w:rPr>
          <w:rFonts w:ascii="Times New Roman" w:hAnsi="Times New Roman" w:eastAsia="Times New Roman" w:cs="Times New Roman"/>
          <w:b/>
          <w:color w:val="000000"/>
          <w:sz w:val="24"/>
          <w:highlight w:val="white"/>
        </w:rPr>
        <w:t xml:space="preserve">: THÔNG TIN HIỆN TRẠNG VÀ PHÁP LÝ CỦA TÀI SẢN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highlight w:val="white"/>
        </w:rPr>
        <w:t xml:space="preserve">(Kèm theo Báo cáo thẩm định số 275/2026/1329/VFI-BC.44.A ngày 24 tháng 8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highlight w:val="white"/>
        </w:rPr>
        <w:t xml:space="preserve">Công ty Cổ phần Thẩm định và Đầu tư Tài chính Hoa Sen)</w:t>
      </w:r>
      <w:r/>
    </w:p>
    <w:tbl>
      <w:tblPr>
        <w:tblStyle w:val="114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highlight w:val="white"/>
              </w:rPr>
              <w:t xml:space="preserve">Người hướng dẫn khảo sát</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highlight w:val="white"/>
              </w:rPr>
              <w:t xml:space="preserve">Người khảo sát</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mc:AlternateContent>
                <mc:Choice Requires="wpg">
                  <w:drawing>
                    <wp:inline xmlns:wp="http://schemas.openxmlformats.org/drawingml/2006/wordprocessingDrawing" distT="0" distB="0" distL="0" distR="0">
                      <wp:extent cx="2543175" cy="19050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917370" name=""/>
                              <pic:cNvPicPr>
                                <a:picLocks noChangeAspect="1"/>
                              </pic:cNvPicPr>
                              <pic:nvPr/>
                            </pic:nvPicPr>
                            <pic:blipFill rotWithShape="1">
                              <a:blip r:embed="rId22"/>
                              <a:stretch/>
                            </pic:blipFill>
                            <pic:spPr bwMode="auto">
                              <a:xfrm>
                                <a:off x="0" y="0"/>
                                <a:ext cx="2543175" cy="190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25pt;height:150.00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43175" cy="19050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07070" name=""/>
                              <pic:cNvPicPr>
                                <a:picLocks noChangeAspect="1"/>
                              </pic:cNvPicPr>
                              <pic:nvPr/>
                            </pic:nvPicPr>
                            <pic:blipFill rotWithShape="1">
                              <a:blip r:embed="rId23"/>
                              <a:stretch/>
                            </pic:blipFill>
                            <pic:spPr bwMode="auto">
                              <a:xfrm>
                                <a:off x="0" y="0"/>
                                <a:ext cx="2543175" cy="190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25pt;height:150.00pt;mso-wrap-distance-left:0.00pt;mso-wrap-distance-top:0.00pt;mso-wrap-distance-right:0.00pt;mso-wrap-distance-bottom:0.00pt;z-index:1;" stroked="false">
                      <v:imagedata r:id="rId23"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highlight w:val="white"/>
              </w:rPr>
              <w:t xml:space="preserve">Tổng quan toà nhà</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highlight w:val="white"/>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43175" cy="19050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405734" name=""/>
                              <pic:cNvPicPr>
                                <a:picLocks noChangeAspect="1"/>
                              </pic:cNvPicPr>
                              <pic:nvPr/>
                            </pic:nvPicPr>
                            <pic:blipFill rotWithShape="1">
                              <a:blip r:embed="rId24"/>
                              <a:stretch/>
                            </pic:blipFill>
                            <pic:spPr bwMode="auto">
                              <a:xfrm>
                                <a:off x="0" y="0"/>
                                <a:ext cx="2543175" cy="190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25pt;height:150.00pt;mso-wrap-distance-left:0.00pt;mso-wrap-distance-top:0.00pt;mso-wrap-distance-right:0.00pt;mso-wrap-distance-bottom:0.00pt;z-index:1;" stroked="false">
                      <v:imagedata r:id="rId24"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43175" cy="19050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16952" name=""/>
                              <pic:cNvPicPr>
                                <a:picLocks noChangeAspect="1"/>
                              </pic:cNvPicPr>
                              <pic:nvPr/>
                            </pic:nvPicPr>
                            <pic:blipFill rotWithShape="1">
                              <a:blip r:embed="rId25"/>
                              <a:stretch/>
                            </pic:blipFill>
                            <pic:spPr bwMode="auto">
                              <a:xfrm>
                                <a:off x="0" y="0"/>
                                <a:ext cx="2543175" cy="190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0.25pt;height:150.00pt;mso-wrap-distance-left:0.00pt;mso-wrap-distance-top:0.00pt;mso-wrap-distance-right:0.00pt;mso-wrap-distance-bottom:0.00pt;z-index:1;" stroked="false">
                      <v:imagedata r:id="rId25"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highlight w:val="white"/>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highlight w:val="white"/>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766608" cy="229921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009397" name=""/>
                              <pic:cNvPicPr>
                                <a:picLocks noChangeAspect="1"/>
                              </pic:cNvPicPr>
                              <pic:nvPr/>
                            </pic:nvPicPr>
                            <pic:blipFill rotWithShape="1">
                              <a:blip r:embed="rId26"/>
                              <a:stretch/>
                            </pic:blipFill>
                            <pic:spPr bwMode="auto">
                              <a:xfrm flipH="0" flipV="0">
                                <a:off x="0" y="0"/>
                                <a:ext cx="2766607" cy="22992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7.84pt;height:181.04pt;mso-wrap-distance-left:0.00pt;mso-wrap-distance-top:0.00pt;mso-wrap-distance-right:0.00pt;mso-wrap-distance-bottom:0.00pt;z-index:1;" stroked="false">
                      <v:imagedata r:id="rId26"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3125418" cy="234406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67932" name=""/>
                              <pic:cNvPicPr>
                                <a:picLocks noChangeAspect="1"/>
                              </pic:cNvPicPr>
                              <pic:nvPr/>
                            </pic:nvPicPr>
                            <pic:blipFill rotWithShape="1">
                              <a:blip r:embed="rId27"/>
                              <a:stretch/>
                            </pic:blipFill>
                            <pic:spPr bwMode="auto">
                              <a:xfrm flipH="0" flipV="0">
                                <a:off x="0" y="0"/>
                                <a:ext cx="3125417" cy="23440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46.10pt;height:184.57pt;mso-wrap-distance-left:0.00pt;mso-wrap-distance-top:0.00pt;mso-wrap-distance-right:0.00pt;mso-wrap-distance-bottom:0.00pt;z-index:1;" stroked="false">
                      <v:imagedata r:id="rId27"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highlight w:val="white"/>
        </w:rPr>
        <w:t xml:space="preserve"> </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br w:type="page" w:clear="all"/>
      </w:r>
      <w:r/>
    </w:p>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highlight w:val="white"/>
          <w:u w:val="single"/>
        </w:rPr>
        <w:t xml:space="preserve">PHỤ LỤC 02</w:t>
      </w:r>
      <w:r>
        <w:rPr>
          <w:rFonts w:ascii="Times New Roman" w:hAnsi="Times New Roman" w:eastAsia="Times New Roman" w:cs="Times New Roman"/>
          <w:b/>
          <w:color w:val="000000"/>
          <w:sz w:val="24"/>
          <w:highlight w:val="white"/>
        </w:rPr>
        <w:t xml:space="preserve">: THÔNG TIN THU THẬP THỊ TRƯỜNG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highlight w:val="white"/>
        </w:rPr>
        <w:t xml:space="preserve">(Kèm theo Báo cáo thẩm định số 275/2026/1329/VFI-BC.44.A ngày 24 tháng 8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highlight w:val="white"/>
        </w:rPr>
        <w:t xml:space="preserve">Công ty Cổ phần Thẩm định và Đầu tư Tài chính Hoa Sen)</w:t>
      </w:r>
      <w:r/>
    </w:p>
    <w:tbl>
      <w:tblPr>
        <w:tblStyle w:val="114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highlight w:val="white"/>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Trực tiếp</w:t>
              <w:br/>
              <w:t xml:space="preserve"> 0942.081939 </w:t>
              <w:br/>
              <w:t xml:space="preserve"> (C.Hường)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7.400.000.000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ff0000"/>
              </w:rPr>
            </w:pPr>
            <w:r>
              <w:rPr>
                <w:rFonts w:ascii="Times New Roman" w:hAnsi="Times New Roman" w:eastAsia="Times New Roman" w:cs="Times New Roman"/>
                <w:color w:val="ff0000"/>
                <w:sz w:val="22"/>
                <w:highlight w:val="none"/>
              </w:rPr>
              <w:t xml:space="preserve">5.920.000.000</w:t>
            </w:r>
            <w:r>
              <w:rPr>
                <w:color w:val="ff0000"/>
              </w:rPr>
            </w:r>
            <w:r>
              <w:rPr>
                <w:color w:val="ff0000"/>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Tháng 8/2026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highlight w:val="white"/>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highlight w:val="white"/>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Căn hộ chung cư</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Tài sản là căn hộ chung cư tại Park 9 Dự án Khu đô thị Vinhome Times City chủ đầu tư Tập đoàn Vingroup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68,0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 mặt thoáng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Tầng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Nhóm tầng: Trung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Đông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Cấu trúc</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2 phòng ngủ, 2 nhà vệ sinh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Nội thất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Cơ bản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Các lợi thế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Các bất lợi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mc:AlternateContent>
                <mc:Choice Requires="wpg">
                  <w:drawing>
                    <wp:inline xmlns:wp="http://schemas.openxmlformats.org/drawingml/2006/wordprocessingDrawing" distT="0" distB="0" distL="0" distR="0">
                      <wp:extent cx="6048375" cy="5301662"/>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46206" name=""/>
                              <pic:cNvPicPr>
                                <a:picLocks noChangeAspect="1"/>
                              </pic:cNvPicPr>
                              <pic:nvPr/>
                            </pic:nvPicPr>
                            <pic:blipFill rotWithShape="1">
                              <a:blip r:embed="rId28"/>
                              <a:stretch/>
                            </pic:blipFill>
                            <pic:spPr bwMode="auto">
                              <a:xfrm>
                                <a:off x="0" y="0"/>
                                <a:ext cx="6048374" cy="53016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417.45pt;mso-wrap-distance-left:0.00pt;mso-wrap-distance-top:0.00pt;mso-wrap-distance-right:0.00pt;mso-wrap-distance-bottom:0.00pt;z-index:1;" stroked="false">
                      <v:imagedata r:id="rId28" o:title=""/>
                      <o:lock v:ext="edit" rotation="t"/>
                    </v:shape>
                  </w:pict>
                </mc:Fallback>
              </mc:AlternateContent>
            </w:r>
            <w:r>
              <mc:AlternateContent>
                <mc:Choice Requires="wpg">
                  <w:drawing>
                    <wp:inline xmlns:wp="http://schemas.openxmlformats.org/drawingml/2006/wordprocessingDrawing" distT="0" distB="0" distL="0" distR="0">
                      <wp:extent cx="6048375" cy="535119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308652" name=""/>
                              <pic:cNvPicPr>
                                <a:picLocks noChangeAspect="1"/>
                              </pic:cNvPicPr>
                              <pic:nvPr/>
                            </pic:nvPicPr>
                            <pic:blipFill rotWithShape="1">
                              <a:blip r:embed="rId29"/>
                              <a:stretch/>
                            </pic:blipFill>
                            <pic:spPr bwMode="auto">
                              <a:xfrm>
                                <a:off x="0" y="0"/>
                                <a:ext cx="6048374" cy="53511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421.35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color w:val="000000"/>
                <w:sz w:val="22"/>
                <w:highlight w:val="white"/>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highlight w:val="white"/>
        </w:rPr>
        <w:t xml:space="preserve"> </w:t>
      </w:r>
      <w:r/>
    </w:p>
    <w:tbl>
      <w:tblPr>
        <w:tblStyle w:val="114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highlight w:val="white"/>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Liên hệ trực tiếp</w:t>
              <w:br/>
              <w:t xml:space="preserve"> 0867.560692 </w:t>
              <w:br/>
              <w:t xml:space="preserve"> (C.Thảo)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8.500.000.000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ff0000"/>
              </w:rPr>
            </w:pPr>
            <w:r>
              <w:rPr>
                <w:rFonts w:ascii="Times New Roman" w:hAnsi="Times New Roman" w:eastAsia="Times New Roman" w:cs="Times New Roman"/>
                <w:color w:val="ff0000"/>
                <w:sz w:val="22"/>
                <w:highlight w:val="none"/>
              </w:rPr>
              <w:t xml:space="preserve">6.80</w:t>
            </w:r>
            <w:r>
              <w:rPr>
                <w:rFonts w:ascii="Times New Roman" w:hAnsi="Times New Roman" w:eastAsia="Times New Roman" w:cs="Times New Roman"/>
                <w:color w:val="ff0000"/>
                <w:sz w:val="22"/>
                <w:highlight w:val="white"/>
              </w:rPr>
              <w:t xml:space="preserve">0.000.000</w:t>
            </w:r>
            <w:r>
              <w:rPr>
                <w:color w:val="ff0000"/>
              </w:rPr>
            </w:r>
            <w:r>
              <w:rPr>
                <w:color w:val="ff0000"/>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Tháng 08/2026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highlight w:val="white"/>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highlight w:val="white"/>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Căn hộ chung cư</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Tài sản là căn hộ chung cư tại Park 11 Dự án Khu đô thị Vinhome Times City chủ đầu tư Tập đoàn Vingroup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74,0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2 mặt thoáng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Tầng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Nhóm tầng: Trung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Bắc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Cấu trúc</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2 phòng ngủ, 2 nhà vệ sinh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Nội thất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Cơ bản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Các lợi thế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Các bất lợi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mc:AlternateContent>
                <mc:Choice Requires="wpg">
                  <w:drawing>
                    <wp:inline xmlns:wp="http://schemas.openxmlformats.org/drawingml/2006/wordprocessingDrawing" distT="0" distB="0" distL="0" distR="0">
                      <wp:extent cx="5213419" cy="676421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42192" name=""/>
                              <pic:cNvPicPr>
                                <a:picLocks noChangeAspect="1"/>
                              </pic:cNvPicPr>
                              <pic:nvPr/>
                            </pic:nvPicPr>
                            <pic:blipFill rotWithShape="1">
                              <a:blip r:embed="rId30"/>
                              <a:stretch/>
                            </pic:blipFill>
                            <pic:spPr bwMode="auto">
                              <a:xfrm flipH="0" flipV="0">
                                <a:off x="0" y="0"/>
                                <a:ext cx="5213419" cy="6764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10.51pt;height:532.61pt;mso-wrap-distance-left:0.00pt;mso-wrap-distance-top:0.00pt;mso-wrap-distance-right:0.00pt;mso-wrap-distance-bottom:0.00pt;z-index:1;" stroked="false">
                      <v:imagedata r:id="rId30" o:title=""/>
                      <o:lock v:ext="edit" rotation="t"/>
                    </v:shape>
                  </w:pict>
                </mc:Fallback>
              </mc:AlternateContent>
            </w:r>
            <w:r>
              <w:rPr>
                <w:rFonts w:ascii="Times New Roman" w:hAnsi="Times New Roman" w:eastAsia="Times New Roman" w:cs="Times New Roman"/>
                <w:color w:val="000000"/>
                <w:sz w:val="22"/>
                <w:highlight w:val="white"/>
              </w:rPr>
              <w:t xml:space="preserve">     </w:t>
            </w:r>
            <w:r/>
          </w:p>
        </w:tc>
      </w:tr>
    </w:tbl>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 </w:t>
      </w:r>
      <w:r/>
    </w:p>
    <w:tbl>
      <w:tblPr>
        <w:tblStyle w:val="114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highlight w:val="white"/>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Liên hệ trực tiếp</w:t>
              <w:br/>
              <w:t xml:space="preserve"> 0942.081939 </w:t>
              <w:br/>
              <w:t xml:space="preserve"> (C. Hường)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9.000.000.000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ff0000"/>
              </w:rPr>
            </w:pPr>
            <w:r>
              <w:rPr>
                <w:rFonts w:ascii="Times New Roman" w:hAnsi="Times New Roman" w:eastAsia="Times New Roman" w:cs="Times New Roman"/>
                <w:color w:val="ff0000"/>
                <w:sz w:val="22"/>
                <w:highlight w:val="none"/>
              </w:rPr>
              <w:t xml:space="preserve">7.2</w:t>
            </w:r>
            <w:r>
              <w:rPr>
                <w:rFonts w:ascii="Times New Roman" w:hAnsi="Times New Roman" w:eastAsia="Times New Roman" w:cs="Times New Roman"/>
                <w:color w:val="ff0000"/>
                <w:sz w:val="22"/>
                <w:highlight w:val="white"/>
              </w:rPr>
              <w:t xml:space="preserve">00.000.000</w:t>
            </w:r>
            <w:r>
              <w:rPr>
                <w:color w:val="ff0000"/>
              </w:rPr>
            </w:r>
            <w:r>
              <w:rPr>
                <w:color w:val="ff0000"/>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Tháng 8/2026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highlight w:val="white"/>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highlight w:val="white"/>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Căn hộ chung cư</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Tài sản là căn hộ chung cư tại Park 9 Dự án Khu đô thị Vinhome Times City chủ đầu tư Tập đoàn Vingroup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70,0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 mặt thoáng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Tầng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Nhóm tầng: Trung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Cấu trúc</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2 phòng ngủ, 2 nhà vệ sinh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Nội thất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Cao cấp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Các lợi thế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Các bất lợi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18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white"/>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highlight w:val="white"/>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 </w:t>
            </w:r>
            <w:r>
              <mc:AlternateContent>
                <mc:Choice Requires="wpg">
                  <w:drawing>
                    <wp:inline xmlns:wp="http://schemas.openxmlformats.org/drawingml/2006/wordprocessingDrawing" distT="0" distB="0" distL="0" distR="0">
                      <wp:extent cx="6048375" cy="568498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35461" name=""/>
                              <pic:cNvPicPr>
                                <a:picLocks noChangeAspect="1"/>
                              </pic:cNvPicPr>
                              <pic:nvPr/>
                            </pic:nvPicPr>
                            <pic:blipFill rotWithShape="1">
                              <a:blip r:embed="rId31"/>
                              <a:stretch/>
                            </pic:blipFill>
                            <pic:spPr bwMode="auto">
                              <a:xfrm>
                                <a:off x="0" y="0"/>
                                <a:ext cx="6048374" cy="56849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447.64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color w:val="000000"/>
                <w:sz w:val="22"/>
                <w:highlight w:val="white"/>
              </w:rPr>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highlight w:val="white"/>
        </w:rPr>
        <w:t xml:space="preserve"> </w:t>
      </w:r>
      <w:r/>
    </w:p>
    <w:tbl>
      <w:tblPr>
        <w:tblStyle w:val="1148"/>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358"/>
        <w:gridCol w:w="4701"/>
      </w:tblGrid>
      <w:tr>
        <w:trPr>
          <w:trHeight w:val="29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 </w:t>
            </w: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 </w:t>
            </w:r>
            <w:r/>
          </w:p>
        </w:tc>
      </w:tr>
      <w:tr>
        <w:trPr>
          <w:trHeight w:val="30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 </w:t>
            </w: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Lê Đình Duy</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HỒ SƠ PHÁP LÝ</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r>
      <w: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15810" name=""/>
                        <pic:cNvPicPr>
                          <a:picLocks noChangeAspect="1"/>
                        </pic:cNvPicPr>
                        <pic:nvPr/>
                      </pic:nvPicPr>
                      <pic:blipFill rotWithShape="1">
                        <a:blip r:embed="rId3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b/>
          <w:color w:val="000000"/>
          <w:sz w:val="24"/>
          <w:highlight w:val="white"/>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highlight w:val="none"/>
        </w:rPr>
      </w:pPr>
      <w: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41005" name=""/>
                        <pic:cNvPicPr>
                          <a:picLocks noChangeAspect="1"/>
                        </pic:cNvPicPr>
                        <pic:nvPr/>
                      </pic:nvPicPr>
                      <pic:blipFill rotWithShape="1">
                        <a:blip r:embed="rId3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3" o:title=""/>
                <o:lock v:ext="edit" rotation="t"/>
              </v:shape>
            </w:pict>
          </mc:Fallback>
        </mc:AlternateContent>
      </w:r>
      <w:r>
        <w:rPr>
          <w:highlight w:val="none"/>
        </w:rPr>
      </w:r>
    </w:p>
    <w:p>
      <w:pPr>
        <w:pBdr>
          <w:top w:val="none" w:color="000000" w:sz="4" w:space="0"/>
          <w:left w:val="none" w:color="000000" w:sz="4" w:space="0"/>
          <w:bottom w:val="none" w:color="000000" w:sz="4" w:space="0"/>
          <w:right w:val="none" w:color="000000" w:sz="4" w:space="0"/>
        </w:pBdr>
        <w:spacing/>
        <w:ind w:right="0" w:firstLine="0" w:left="0"/>
        <w:jc w:val="center"/>
        <w:rPr/>
      </w:pPr>
      <w:r/>
      <w:r/>
    </w:p>
    <w:p>
      <w:pPr>
        <w:pBdr/>
        <w:shd w:val="nil" w:color="auto"/>
        <w:spacing/>
        <w:ind/>
        <w:rPr/>
      </w:pPr>
      <w:r>
        <w:br w:type="page" w:clear="all"/>
      </w:r>
      <w:r/>
    </w:p>
    <w:p>
      <w:pPr>
        <w:pBdr>
          <w:top w:val="none" w:color="000000" w:sz="4" w:space="0"/>
          <w:left w:val="none" w:color="000000" w:sz="4" w:space="0"/>
          <w:bottom w:val="none" w:color="000000" w:sz="4" w:space="0"/>
          <w:right w:val="none" w:color="000000" w:sz="4" w:space="0"/>
        </w:pBdr>
        <w:spacing/>
        <w:ind w:right="0" w:firstLine="0" w:left="0"/>
        <w:jc w:val="center"/>
        <w:rPr/>
      </w:pPr>
      <w:r>
        <w:rPr>
          <w:highlight w:val="none"/>
        </w:rPr>
      </w:r>
      <w:r/>
      <w:r>
        <w:rPr>
          <w:highlight w:val="none"/>
        </w:rPr>
      </w:r>
      <w: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002"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z-index:1;" stroked="false">
                <v:imagedata r:id="rId34" o:title=""/>
                <o:lock v:ext="edit" rotation="t"/>
              </v:shape>
            </w:pict>
          </mc:Fallback>
        </mc:AlternateContent>
      </w:r>
      <w:r>
        <w:rPr>
          <w:highlight w:val="none"/>
        </w:rPr>
      </w: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40"/>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4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40"/>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4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9">
    <w:nsid w:val="1AE381C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11FD716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55784E4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6BBA35E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3">
    <w:nsid w:val="2CDC98B5"/>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4">
    <w:nsid w:val="18765A3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5">
    <w:nsid w:val="5E9362F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6">
    <w:nsid w:val="5166A77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7">
    <w:nsid w:val="0D5A7881"/>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8">
    <w:nsid w:val="7A00E50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9">
    <w:nsid w:val="17B1CF5B"/>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0">
    <w:nsid w:val="2C6BD0F8"/>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1">
    <w:nsid w:val="46464B76"/>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2">
    <w:nsid w:val="54144D28"/>
    <w:lvl w:ilvl="0">
      <w:isLgl w:val="false"/>
      <w:lvlJc w:val="left"/>
      <w:lvlText w:val="-"/>
      <w:numFmt w:val="bullet"/>
      <w:pPr>
        <w:pBdr/>
        <w:spacing/>
        <w:ind w:hanging="360" w:left="709"/>
      </w:pPr>
      <w:rPr>
        <w:rFonts w:ascii="Times New Roman" w:hAnsi="Times New Roman" w:eastAsia="Times New Roman" w:cs="Times New Roman"/>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3">
    <w:nsid w:val="44FDA7CB"/>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4">
    <w:nsid w:val="04B1B035"/>
    <w:lvl w:ilvl="0">
      <w:isLgl w:val="false"/>
      <w:lvlJc w:val="left"/>
      <w:lvlText w:val="-"/>
      <w:numFmt w:val="bullet"/>
      <w:pPr>
        <w:pBdr/>
        <w:spacing/>
        <w:ind w:hanging="360" w:left="709"/>
      </w:pPr>
      <w:rPr>
        <w:rFonts w:ascii="Times New Roman" w:hAnsi="Times New Roman" w:eastAsia="Times New Roman" w:cs="Times New Roman"/>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73">
    <w:name w:val="Table Grid Light"/>
    <w:basedOn w:val="96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1 Light - Accent 1"/>
    <w:basedOn w:val="96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1 Light - Accent 2"/>
    <w:basedOn w:val="96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1 Light - Accent 3"/>
    <w:basedOn w:val="96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1 Light - Accent 4"/>
    <w:basedOn w:val="96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1 Light - Accent 5"/>
    <w:basedOn w:val="96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1 Light - Accent 6"/>
    <w:basedOn w:val="96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2 - Accent 1"/>
    <w:basedOn w:val="96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2 - Accent 2"/>
    <w:basedOn w:val="96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2 - Accent 3"/>
    <w:basedOn w:val="96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2 - Accent 4"/>
    <w:basedOn w:val="96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2 - Accent 5"/>
    <w:basedOn w:val="96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2 - Accent 6"/>
    <w:basedOn w:val="96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3 - Accent 1"/>
    <w:basedOn w:val="96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3 - Accent 2"/>
    <w:basedOn w:val="96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3 - Accent 3"/>
    <w:basedOn w:val="96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3 - Accent 4"/>
    <w:basedOn w:val="96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3 - Accent 5"/>
    <w:basedOn w:val="96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3 - Accent 6"/>
    <w:basedOn w:val="96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4 - Accent 1"/>
    <w:basedOn w:val="96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4 - Accent 2"/>
    <w:basedOn w:val="96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4 - Accent 3"/>
    <w:basedOn w:val="96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4 - Accent 4"/>
    <w:basedOn w:val="96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4 - Accent 5"/>
    <w:basedOn w:val="96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4 - Accent 6"/>
    <w:basedOn w:val="96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5 Dark - Accent 2"/>
    <w:basedOn w:val="96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5 Dark - Accent 3"/>
    <w:basedOn w:val="96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5 Dark - Accent 5"/>
    <w:basedOn w:val="96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5 Dark - Accent 6"/>
    <w:basedOn w:val="96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6 Colorful - Accent 1"/>
    <w:basedOn w:val="96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3">
    <w:name w:val="Grid Table 6 Colorful - Accent 2"/>
    <w:basedOn w:val="96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04">
    <w:name w:val="Grid Table 6 Colorful - Accent 3"/>
    <w:basedOn w:val="96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5">
    <w:name w:val="Grid Table 6 Colorful - Accent 4"/>
    <w:basedOn w:val="96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6">
    <w:name w:val="Grid Table 6 Colorful - Accent 5"/>
    <w:basedOn w:val="96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7">
    <w:name w:val="Grid Table 6 Colorful - Accent 6"/>
    <w:basedOn w:val="96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8">
    <w:name w:val="Grid Table 7 Colorful - Accent 1"/>
    <w:basedOn w:val="96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2"/>
    <w:basedOn w:val="96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7 Colorful - Accent 3"/>
    <w:basedOn w:val="96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7 Colorful - Accent 4"/>
    <w:basedOn w:val="96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7 Colorful - Accent 5"/>
    <w:basedOn w:val="96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7 Colorful - Accent 6"/>
    <w:basedOn w:val="96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1"/>
    <w:basedOn w:val="96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 Accent 2"/>
    <w:basedOn w:val="96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3"/>
    <w:basedOn w:val="96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1 Light - Accent 4"/>
    <w:basedOn w:val="96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1 Light - Accent 5"/>
    <w:basedOn w:val="96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1 Light - Accent 6"/>
    <w:basedOn w:val="96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1"/>
    <w:basedOn w:val="96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2"/>
    <w:basedOn w:val="96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 Accent 3"/>
    <w:basedOn w:val="96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4"/>
    <w:basedOn w:val="96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2 - Accent 5"/>
    <w:basedOn w:val="96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2 - Accent 6"/>
    <w:basedOn w:val="96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1"/>
    <w:basedOn w:val="96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2"/>
    <w:basedOn w:val="96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3"/>
    <w:basedOn w:val="96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4"/>
    <w:basedOn w:val="96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5"/>
    <w:basedOn w:val="96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3 - Accent 6"/>
    <w:basedOn w:val="96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1"/>
    <w:basedOn w:val="96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2"/>
    <w:basedOn w:val="96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3"/>
    <w:basedOn w:val="96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4"/>
    <w:basedOn w:val="96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5"/>
    <w:basedOn w:val="96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6"/>
    <w:basedOn w:val="96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5 Dark - Accent 1"/>
    <w:basedOn w:val="96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2"/>
    <w:basedOn w:val="96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3"/>
    <w:basedOn w:val="96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4"/>
    <w:basedOn w:val="96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5"/>
    <w:basedOn w:val="96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6"/>
    <w:basedOn w:val="96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6 Colorful - Accent 1"/>
    <w:basedOn w:val="96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2"/>
    <w:basedOn w:val="96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3"/>
    <w:basedOn w:val="96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4"/>
    <w:basedOn w:val="96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5"/>
    <w:basedOn w:val="96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6"/>
    <w:basedOn w:val="96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7 Colorful - Accent 1"/>
    <w:basedOn w:val="96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1">
    <w:name w:val="List Table 7 Colorful - Accent 2"/>
    <w:basedOn w:val="96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2">
    <w:name w:val="List Table 7 Colorful - Accent 3"/>
    <w:basedOn w:val="96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3">
    <w:name w:val="List Table 7 Colorful - Accent 4"/>
    <w:basedOn w:val="96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4">
    <w:name w:val="List Table 7 Colorful - Accent 5"/>
    <w:basedOn w:val="96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5">
    <w:name w:val="List Table 7 Colorful - Accent 6"/>
    <w:basedOn w:val="96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56" w:default="1">
    <w:name w:val="Normal"/>
    <w:qFormat/>
    <w:pPr>
      <w:pBdr/>
      <w:spacing w:after="0" w:line="240" w:lineRule="auto"/>
      <w:ind/>
    </w:pPr>
    <w:rPr>
      <w:rFonts w:ascii="Times New Roman" w:hAnsi="Times New Roman" w:eastAsia="Times New Roman" w:cs="Times New Roman"/>
      <w:sz w:val="24"/>
      <w:szCs w:val="24"/>
    </w:rPr>
  </w:style>
  <w:style w:type="paragraph" w:styleId="957">
    <w:name w:val="Heading 1"/>
    <w:basedOn w:val="956"/>
    <w:next w:val="956"/>
    <w:link w:val="1130"/>
    <w:qFormat/>
    <w:pPr>
      <w:keepNext w:val="true"/>
      <w:pBdr/>
      <w:spacing w:after="120" w:before="120"/>
      <w:ind/>
      <w:jc w:val="center"/>
      <w:outlineLvl w:val="0"/>
    </w:pPr>
    <w:rPr>
      <w:b/>
      <w:bCs/>
      <w:sz w:val="27"/>
      <w:szCs w:val="27"/>
    </w:rPr>
  </w:style>
  <w:style w:type="paragraph" w:styleId="958">
    <w:name w:val="Heading 2"/>
    <w:basedOn w:val="956"/>
    <w:next w:val="956"/>
    <w:link w:val="113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59">
    <w:name w:val="Heading 3"/>
    <w:basedOn w:val="956"/>
    <w:next w:val="956"/>
    <w:link w:val="1132"/>
    <w:qFormat/>
    <w:pPr>
      <w:keepNext w:val="true"/>
      <w:pBdr/>
      <w:spacing w:before="60"/>
      <w:ind/>
      <w:outlineLvl w:val="2"/>
    </w:pPr>
    <w:rPr>
      <w:sz w:val="28"/>
      <w:szCs w:val="28"/>
    </w:rPr>
  </w:style>
  <w:style w:type="paragraph" w:styleId="960">
    <w:name w:val="Heading 4"/>
    <w:basedOn w:val="956"/>
    <w:next w:val="956"/>
    <w:link w:val="1133"/>
    <w:qFormat/>
    <w:pPr>
      <w:keepNext w:val="true"/>
      <w:pBdr/>
      <w:spacing/>
      <w:ind/>
      <w:jc w:val="center"/>
      <w:outlineLvl w:val="3"/>
    </w:pPr>
    <w:rPr>
      <w:b/>
      <w:bCs/>
    </w:rPr>
  </w:style>
  <w:style w:type="paragraph" w:styleId="961">
    <w:name w:val="Heading 5"/>
    <w:basedOn w:val="956"/>
    <w:next w:val="956"/>
    <w:link w:val="1094"/>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62">
    <w:name w:val="Heading 6"/>
    <w:basedOn w:val="956"/>
    <w:next w:val="956"/>
    <w:link w:val="1095"/>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63">
    <w:name w:val="Heading 7"/>
    <w:basedOn w:val="956"/>
    <w:next w:val="956"/>
    <w:link w:val="1096"/>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64">
    <w:name w:val="Heading 8"/>
    <w:basedOn w:val="956"/>
    <w:next w:val="956"/>
    <w:link w:val="1097"/>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65">
    <w:name w:val="Heading 9"/>
    <w:basedOn w:val="956"/>
    <w:next w:val="956"/>
    <w:link w:val="1098"/>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66" w:default="1">
    <w:name w:val="Default Paragraph Font"/>
    <w:uiPriority w:val="1"/>
    <w:semiHidden/>
    <w:unhideWhenUsed/>
    <w:pPr>
      <w:pBdr/>
      <w:spacing/>
      <w:ind/>
    </w:pPr>
  </w:style>
  <w:style w:type="table" w:styleId="96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68" w:default="1">
    <w:name w:val="No List"/>
    <w:uiPriority w:val="99"/>
    <w:semiHidden/>
    <w:unhideWhenUsed/>
    <w:pPr>
      <w:pBdr/>
      <w:spacing/>
      <w:ind/>
    </w:pPr>
  </w:style>
  <w:style w:type="table" w:styleId="969">
    <w:name w:val="Grid Table Light"/>
    <w:basedOn w:val="967"/>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Plain Table 1"/>
    <w:basedOn w:val="967"/>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Plain Table 2"/>
    <w:basedOn w:val="967"/>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Plain Table 3"/>
    <w:basedOn w:val="967"/>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Plain Table 4"/>
    <w:basedOn w:val="967"/>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Plain Table 5"/>
    <w:basedOn w:val="967"/>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1 Light"/>
    <w:basedOn w:val="967"/>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1 Light Accent 1"/>
    <w:basedOn w:val="967"/>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1 Light Accent 2"/>
    <w:basedOn w:val="967"/>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1 Light Accent 3"/>
    <w:basedOn w:val="967"/>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1 Light Accent 4"/>
    <w:basedOn w:val="967"/>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1 Light Accent 5"/>
    <w:basedOn w:val="967"/>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1 Light Accent 6"/>
    <w:basedOn w:val="967"/>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2"/>
    <w:basedOn w:val="967"/>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2 Accent 1"/>
    <w:basedOn w:val="967"/>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2 Accent 2"/>
    <w:basedOn w:val="967"/>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2 Accent 3"/>
    <w:basedOn w:val="967"/>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2 Accent 4"/>
    <w:basedOn w:val="967"/>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2 Accent 5"/>
    <w:basedOn w:val="967"/>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2 Accent 6"/>
    <w:basedOn w:val="967"/>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3"/>
    <w:basedOn w:val="967"/>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3 Accent 1"/>
    <w:basedOn w:val="967"/>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3 Accent 2"/>
    <w:basedOn w:val="967"/>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Grid Table 3 Accent 3"/>
    <w:basedOn w:val="967"/>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Grid Table 3 Accent 4"/>
    <w:basedOn w:val="967"/>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Grid Table 3 Accent 5"/>
    <w:basedOn w:val="967"/>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Grid Table 3 Accent 6"/>
    <w:basedOn w:val="967"/>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Grid Table 4"/>
    <w:basedOn w:val="967"/>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Grid Table 4 Accent 1"/>
    <w:basedOn w:val="967"/>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Grid Table 4 Accent 2"/>
    <w:basedOn w:val="967"/>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Grid Table 4 Accent 3"/>
    <w:basedOn w:val="967"/>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Grid Table 4 Accent 4"/>
    <w:basedOn w:val="967"/>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Grid Table 4 Accent 5"/>
    <w:basedOn w:val="967"/>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Grid Table 4 Accent 6"/>
    <w:basedOn w:val="967"/>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Grid Table 5 Dark"/>
    <w:basedOn w:val="967"/>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customStyle="1">
    <w:name w:val="Grid Table 5 Dark- Accent 1"/>
    <w:basedOn w:val="967"/>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Grid Table 5 Dark Accent 2"/>
    <w:basedOn w:val="967"/>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Grid Table 5 Dark Accent 3"/>
    <w:basedOn w:val="967"/>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customStyle="1">
    <w:name w:val="Grid Table 5 Dark- Accent 4"/>
    <w:basedOn w:val="967"/>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Grid Table 5 Dark Accent 5"/>
    <w:basedOn w:val="967"/>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Grid Table 5 Dark Accent 6"/>
    <w:basedOn w:val="967"/>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Grid Table 6 Colorful"/>
    <w:basedOn w:val="967"/>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Grid Table 6 Colorful Accent 1"/>
    <w:basedOn w:val="967"/>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Grid Table 6 Colorful Accent 2"/>
    <w:basedOn w:val="967"/>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Grid Table 6 Colorful Accent 3"/>
    <w:basedOn w:val="967"/>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Grid Table 6 Colorful Accent 4"/>
    <w:basedOn w:val="967"/>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Grid Table 6 Colorful Accent 5"/>
    <w:basedOn w:val="967"/>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Grid Table 6 Colorful Accent 6"/>
    <w:basedOn w:val="967"/>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Grid Table 7 Colorful"/>
    <w:basedOn w:val="967"/>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Grid Table 7 Colorful Accent 1"/>
    <w:basedOn w:val="967"/>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Grid Table 7 Colorful Accent 2"/>
    <w:basedOn w:val="967"/>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Grid Table 7 Colorful Accent 3"/>
    <w:basedOn w:val="967"/>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Grid Table 7 Colorful Accent 4"/>
    <w:basedOn w:val="967"/>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Grid Table 7 Colorful Accent 5"/>
    <w:basedOn w:val="967"/>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Grid Table 7 Colorful Accent 6"/>
    <w:basedOn w:val="967"/>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1 Light"/>
    <w:basedOn w:val="967"/>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1 Light Accent 1"/>
    <w:basedOn w:val="967"/>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1 Light Accent 2"/>
    <w:basedOn w:val="967"/>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1 Light Accent 3"/>
    <w:basedOn w:val="967"/>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1 Light Accent 4"/>
    <w:basedOn w:val="967"/>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1 Light Accent 5"/>
    <w:basedOn w:val="967"/>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1 Light Accent 6"/>
    <w:basedOn w:val="967"/>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2"/>
    <w:basedOn w:val="967"/>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2 Accent 1"/>
    <w:basedOn w:val="967"/>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2 Accent 2"/>
    <w:basedOn w:val="967"/>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2 Accent 3"/>
    <w:basedOn w:val="967"/>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2 Accent 4"/>
    <w:basedOn w:val="967"/>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2 Accent 5"/>
    <w:basedOn w:val="967"/>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2 Accent 6"/>
    <w:basedOn w:val="967"/>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3"/>
    <w:basedOn w:val="967"/>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3 Accent 1"/>
    <w:basedOn w:val="967"/>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3 Accent 2"/>
    <w:basedOn w:val="967"/>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st Table 3 Accent 3"/>
    <w:basedOn w:val="967"/>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st Table 3 Accent 4"/>
    <w:basedOn w:val="967"/>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st Table 3 Accent 5"/>
    <w:basedOn w:val="967"/>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st Table 3 Accent 6"/>
    <w:basedOn w:val="967"/>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st Table 4"/>
    <w:basedOn w:val="967"/>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st Table 4 Accent 1"/>
    <w:basedOn w:val="967"/>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st Table 4 Accent 2"/>
    <w:basedOn w:val="967"/>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st Table 4 Accent 3"/>
    <w:basedOn w:val="967"/>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st Table 4 Accent 4"/>
    <w:basedOn w:val="967"/>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st Table 4 Accent 5"/>
    <w:basedOn w:val="967"/>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st Table 4 Accent 6"/>
    <w:basedOn w:val="967"/>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st Table 5 Dark"/>
    <w:basedOn w:val="967"/>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st Table 5 Dark Accent 1"/>
    <w:basedOn w:val="967"/>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st Table 5 Dark Accent 2"/>
    <w:basedOn w:val="967"/>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List Table 5 Dark Accent 3"/>
    <w:basedOn w:val="967"/>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List Table 5 Dark Accent 4"/>
    <w:basedOn w:val="967"/>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List Table 5 Dark Accent 5"/>
    <w:basedOn w:val="967"/>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List Table 5 Dark Accent 6"/>
    <w:basedOn w:val="967"/>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List Table 6 Colorful"/>
    <w:basedOn w:val="967"/>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List Table 6 Colorful Accent 1"/>
    <w:basedOn w:val="967"/>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List Table 6 Colorful Accent 2"/>
    <w:basedOn w:val="967"/>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List Table 6 Colorful Accent 3"/>
    <w:basedOn w:val="967"/>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List Table 6 Colorful Accent 4"/>
    <w:basedOn w:val="967"/>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List Table 6 Colorful Accent 5"/>
    <w:basedOn w:val="967"/>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List Table 6 Colorful Accent 6"/>
    <w:basedOn w:val="967"/>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List Table 7 Colorful"/>
    <w:basedOn w:val="967"/>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List Table 7 Colorful Accent 1"/>
    <w:basedOn w:val="967"/>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List Table 7 Colorful Accent 2"/>
    <w:basedOn w:val="967"/>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List Table 7 Colorful Accent 3"/>
    <w:basedOn w:val="967"/>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List Table 7 Colorful Accent 4"/>
    <w:basedOn w:val="967"/>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List Table 7 Colorful Accent 5"/>
    <w:basedOn w:val="967"/>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List Table 7 Colorful Accent 6"/>
    <w:basedOn w:val="967"/>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customStyle="1">
    <w:name w:val="Lined - Accent"/>
    <w:basedOn w:val="967"/>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customStyle="1">
    <w:name w:val="Lined - Accent 1"/>
    <w:basedOn w:val="967"/>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customStyle="1">
    <w:name w:val="Lined - Accent 2"/>
    <w:basedOn w:val="967"/>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customStyle="1">
    <w:name w:val="Lined - Accent 3"/>
    <w:basedOn w:val="967"/>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customStyle="1">
    <w:name w:val="Lined - Accent 4"/>
    <w:basedOn w:val="967"/>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customStyle="1">
    <w:name w:val="Lined - Accent 5"/>
    <w:basedOn w:val="967"/>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customStyle="1">
    <w:name w:val="Lined - Accent 6"/>
    <w:basedOn w:val="967"/>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customStyle="1">
    <w:name w:val="Bordered &amp; Lined - Accent"/>
    <w:basedOn w:val="967"/>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customStyle="1">
    <w:name w:val="Bordered &amp; Lined - Accent 1"/>
    <w:basedOn w:val="967"/>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customStyle="1">
    <w:name w:val="Bordered &amp; Lined - Accent 2"/>
    <w:basedOn w:val="967"/>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customStyle="1">
    <w:name w:val="Bordered &amp; Lined - Accent 3"/>
    <w:basedOn w:val="967"/>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customStyle="1">
    <w:name w:val="Bordered &amp; Lined - Accent 4"/>
    <w:basedOn w:val="967"/>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customStyle="1">
    <w:name w:val="Bordered &amp; Lined - Accent 5"/>
    <w:basedOn w:val="967"/>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customStyle="1">
    <w:name w:val="Bordered &amp; Lined - Accent 6"/>
    <w:basedOn w:val="967"/>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customStyle="1">
    <w:name w:val="Bordered"/>
    <w:basedOn w:val="967"/>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customStyle="1">
    <w:name w:val="Bordered - Accent 1"/>
    <w:basedOn w:val="967"/>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customStyle="1">
    <w:name w:val="Bordered - Accent 2"/>
    <w:basedOn w:val="967"/>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customStyle="1">
    <w:name w:val="Bordered - Accent 3"/>
    <w:basedOn w:val="967"/>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customStyle="1">
    <w:name w:val="Bordered - Accent 4"/>
    <w:basedOn w:val="967"/>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customStyle="1">
    <w:name w:val="Bordered - Accent 5"/>
    <w:basedOn w:val="967"/>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customStyle="1">
    <w:name w:val="Bordered - Accent 6"/>
    <w:basedOn w:val="967"/>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94" w:customStyle="1">
    <w:name w:val="Heading 5 Char"/>
    <w:basedOn w:val="966"/>
    <w:link w:val="961"/>
    <w:uiPriority w:val="9"/>
    <w:pPr>
      <w:pBdr/>
      <w:spacing/>
      <w:ind/>
    </w:pPr>
    <w:rPr>
      <w:rFonts w:ascii="Arial" w:hAnsi="Arial" w:eastAsia="Arial" w:cs="Arial"/>
      <w:color w:val="365f91" w:themeColor="accent1" w:themeShade="BF"/>
    </w:rPr>
  </w:style>
  <w:style w:type="character" w:styleId="1095" w:customStyle="1">
    <w:name w:val="Heading 6 Char"/>
    <w:basedOn w:val="966"/>
    <w:link w:val="962"/>
    <w:uiPriority w:val="9"/>
    <w:pPr>
      <w:pBdr/>
      <w:spacing/>
      <w:ind/>
    </w:pPr>
    <w:rPr>
      <w:rFonts w:ascii="Arial" w:hAnsi="Arial" w:eastAsia="Arial" w:cs="Arial"/>
      <w:i/>
      <w:iCs/>
      <w:color w:val="595959" w:themeColor="text1" w:themeTint="A6"/>
    </w:rPr>
  </w:style>
  <w:style w:type="character" w:styleId="1096" w:customStyle="1">
    <w:name w:val="Heading 7 Char"/>
    <w:basedOn w:val="966"/>
    <w:link w:val="963"/>
    <w:uiPriority w:val="9"/>
    <w:pPr>
      <w:pBdr/>
      <w:spacing/>
      <w:ind/>
    </w:pPr>
    <w:rPr>
      <w:rFonts w:ascii="Arial" w:hAnsi="Arial" w:eastAsia="Arial" w:cs="Arial"/>
      <w:color w:val="595959" w:themeColor="text1" w:themeTint="A6"/>
    </w:rPr>
  </w:style>
  <w:style w:type="character" w:styleId="1097" w:customStyle="1">
    <w:name w:val="Heading 8 Char"/>
    <w:basedOn w:val="966"/>
    <w:link w:val="964"/>
    <w:uiPriority w:val="9"/>
    <w:pPr>
      <w:pBdr/>
      <w:spacing/>
      <w:ind/>
    </w:pPr>
    <w:rPr>
      <w:rFonts w:ascii="Arial" w:hAnsi="Arial" w:eastAsia="Arial" w:cs="Arial"/>
      <w:i/>
      <w:iCs/>
      <w:color w:val="272727" w:themeColor="text1" w:themeTint="D8"/>
    </w:rPr>
  </w:style>
  <w:style w:type="character" w:styleId="1098" w:customStyle="1">
    <w:name w:val="Heading 9 Char"/>
    <w:basedOn w:val="966"/>
    <w:link w:val="965"/>
    <w:uiPriority w:val="9"/>
    <w:pPr>
      <w:pBdr/>
      <w:spacing/>
      <w:ind/>
    </w:pPr>
    <w:rPr>
      <w:rFonts w:ascii="Arial" w:hAnsi="Arial" w:eastAsia="Arial" w:cs="Arial"/>
      <w:i/>
      <w:iCs/>
      <w:color w:val="272727" w:themeColor="text1" w:themeTint="D8"/>
    </w:rPr>
  </w:style>
  <w:style w:type="paragraph" w:styleId="1099">
    <w:name w:val="Subtitle"/>
    <w:basedOn w:val="956"/>
    <w:next w:val="956"/>
    <w:link w:val="1100"/>
    <w:uiPriority w:val="11"/>
    <w:qFormat/>
    <w:pPr>
      <w:numPr>
        <w:ilvl w:val="1"/>
      </w:numPr>
      <w:pBdr/>
      <w:spacing/>
      <w:ind/>
    </w:pPr>
    <w:rPr>
      <w:color w:val="595959" w:themeColor="text1" w:themeTint="A6"/>
      <w:spacing w:val="15"/>
      <w:sz w:val="28"/>
      <w:szCs w:val="28"/>
    </w:rPr>
  </w:style>
  <w:style w:type="character" w:styleId="1100" w:customStyle="1">
    <w:name w:val="Subtitle Char"/>
    <w:basedOn w:val="966"/>
    <w:link w:val="1099"/>
    <w:uiPriority w:val="11"/>
    <w:pPr>
      <w:pBdr/>
      <w:spacing/>
      <w:ind/>
    </w:pPr>
    <w:rPr>
      <w:color w:val="595959" w:themeColor="text1" w:themeTint="A6"/>
      <w:spacing w:val="15"/>
      <w:sz w:val="28"/>
      <w:szCs w:val="28"/>
    </w:rPr>
  </w:style>
  <w:style w:type="paragraph" w:styleId="1101">
    <w:name w:val="Quote"/>
    <w:basedOn w:val="956"/>
    <w:next w:val="956"/>
    <w:link w:val="1102"/>
    <w:uiPriority w:val="29"/>
    <w:qFormat/>
    <w:pPr>
      <w:pBdr/>
      <w:spacing w:before="160"/>
      <w:ind/>
      <w:jc w:val="center"/>
    </w:pPr>
    <w:rPr>
      <w:i/>
      <w:iCs/>
      <w:color w:val="404040" w:themeColor="text1" w:themeTint="BF"/>
    </w:rPr>
  </w:style>
  <w:style w:type="character" w:styleId="1102" w:customStyle="1">
    <w:name w:val="Quote Char"/>
    <w:basedOn w:val="966"/>
    <w:link w:val="1101"/>
    <w:uiPriority w:val="29"/>
    <w:pPr>
      <w:pBdr/>
      <w:spacing/>
      <w:ind/>
    </w:pPr>
    <w:rPr>
      <w:i/>
      <w:iCs/>
      <w:color w:val="404040" w:themeColor="text1" w:themeTint="BF"/>
    </w:rPr>
  </w:style>
  <w:style w:type="character" w:styleId="1103">
    <w:name w:val="Intense Emphasis"/>
    <w:basedOn w:val="966"/>
    <w:uiPriority w:val="21"/>
    <w:qFormat/>
    <w:pPr>
      <w:pBdr/>
      <w:spacing/>
      <w:ind/>
    </w:pPr>
    <w:rPr>
      <w:i/>
      <w:iCs/>
      <w:color w:val="365f91" w:themeColor="accent1" w:themeShade="BF"/>
    </w:rPr>
  </w:style>
  <w:style w:type="paragraph" w:styleId="1104">
    <w:name w:val="Intense Quote"/>
    <w:basedOn w:val="956"/>
    <w:next w:val="956"/>
    <w:link w:val="1105"/>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105" w:customStyle="1">
    <w:name w:val="Intense Quote Char"/>
    <w:basedOn w:val="966"/>
    <w:link w:val="1104"/>
    <w:uiPriority w:val="30"/>
    <w:pPr>
      <w:pBdr/>
      <w:spacing/>
      <w:ind/>
    </w:pPr>
    <w:rPr>
      <w:i/>
      <w:iCs/>
      <w:color w:val="365f91" w:themeColor="accent1" w:themeShade="BF"/>
    </w:rPr>
  </w:style>
  <w:style w:type="character" w:styleId="1106">
    <w:name w:val="Intense Reference"/>
    <w:basedOn w:val="966"/>
    <w:uiPriority w:val="32"/>
    <w:qFormat/>
    <w:pPr>
      <w:pBdr/>
      <w:spacing/>
      <w:ind/>
    </w:pPr>
    <w:rPr>
      <w:b/>
      <w:bCs/>
      <w:smallCaps/>
      <w:color w:val="365f91" w:themeColor="accent1" w:themeShade="BF"/>
      <w:spacing w:val="5"/>
    </w:rPr>
  </w:style>
  <w:style w:type="paragraph" w:styleId="1107">
    <w:name w:val="No Spacing"/>
    <w:basedOn w:val="956"/>
    <w:uiPriority w:val="1"/>
    <w:qFormat/>
    <w:pPr>
      <w:pBdr/>
      <w:spacing/>
      <w:ind/>
    </w:pPr>
  </w:style>
  <w:style w:type="character" w:styleId="1108">
    <w:name w:val="Subtle Emphasis"/>
    <w:basedOn w:val="966"/>
    <w:uiPriority w:val="19"/>
    <w:qFormat/>
    <w:pPr>
      <w:pBdr/>
      <w:spacing/>
      <w:ind/>
    </w:pPr>
    <w:rPr>
      <w:i/>
      <w:iCs/>
      <w:color w:val="404040" w:themeColor="text1" w:themeTint="BF"/>
    </w:rPr>
  </w:style>
  <w:style w:type="character" w:styleId="1109">
    <w:name w:val="Subtle Reference"/>
    <w:basedOn w:val="966"/>
    <w:uiPriority w:val="31"/>
    <w:qFormat/>
    <w:pPr>
      <w:pBdr/>
      <w:spacing/>
      <w:ind/>
    </w:pPr>
    <w:rPr>
      <w:smallCaps/>
      <w:color w:val="5a5a5a" w:themeColor="text1" w:themeTint="A5"/>
    </w:rPr>
  </w:style>
  <w:style w:type="character" w:styleId="1110">
    <w:name w:val="Book Title"/>
    <w:basedOn w:val="966"/>
    <w:uiPriority w:val="33"/>
    <w:qFormat/>
    <w:pPr>
      <w:pBdr/>
      <w:spacing/>
      <w:ind/>
    </w:pPr>
    <w:rPr>
      <w:b/>
      <w:bCs/>
      <w:i/>
      <w:iCs/>
      <w:spacing w:val="5"/>
    </w:rPr>
  </w:style>
  <w:style w:type="paragraph" w:styleId="1111">
    <w:name w:val="Caption"/>
    <w:basedOn w:val="956"/>
    <w:next w:val="956"/>
    <w:uiPriority w:val="35"/>
    <w:unhideWhenUsed/>
    <w:qFormat/>
    <w:pPr>
      <w:pBdr/>
      <w:spacing w:after="200"/>
      <w:ind/>
    </w:pPr>
    <w:rPr>
      <w:i/>
      <w:iCs/>
      <w:color w:val="1f497d" w:themeColor="text2"/>
      <w:sz w:val="18"/>
      <w:szCs w:val="18"/>
    </w:rPr>
  </w:style>
  <w:style w:type="paragraph" w:styleId="1112">
    <w:name w:val="footnote text"/>
    <w:basedOn w:val="956"/>
    <w:link w:val="1113"/>
    <w:uiPriority w:val="99"/>
    <w:semiHidden/>
    <w:unhideWhenUsed/>
    <w:pPr>
      <w:pBdr/>
      <w:spacing/>
      <w:ind/>
    </w:pPr>
    <w:rPr>
      <w:sz w:val="20"/>
      <w:szCs w:val="20"/>
    </w:rPr>
  </w:style>
  <w:style w:type="character" w:styleId="1113" w:customStyle="1">
    <w:name w:val="Footnote Text Char"/>
    <w:basedOn w:val="966"/>
    <w:link w:val="1112"/>
    <w:uiPriority w:val="99"/>
    <w:semiHidden/>
    <w:pPr>
      <w:pBdr/>
      <w:spacing/>
      <w:ind/>
    </w:pPr>
    <w:rPr>
      <w:sz w:val="20"/>
      <w:szCs w:val="20"/>
    </w:rPr>
  </w:style>
  <w:style w:type="character" w:styleId="1114">
    <w:name w:val="footnote reference"/>
    <w:basedOn w:val="966"/>
    <w:uiPriority w:val="99"/>
    <w:semiHidden/>
    <w:unhideWhenUsed/>
    <w:pPr>
      <w:pBdr/>
      <w:spacing/>
      <w:ind/>
    </w:pPr>
    <w:rPr>
      <w:vertAlign w:val="superscript"/>
    </w:rPr>
  </w:style>
  <w:style w:type="paragraph" w:styleId="1115">
    <w:name w:val="endnote text"/>
    <w:basedOn w:val="956"/>
    <w:link w:val="1116"/>
    <w:uiPriority w:val="99"/>
    <w:semiHidden/>
    <w:unhideWhenUsed/>
    <w:pPr>
      <w:pBdr/>
      <w:spacing/>
      <w:ind/>
    </w:pPr>
    <w:rPr>
      <w:sz w:val="20"/>
      <w:szCs w:val="20"/>
    </w:rPr>
  </w:style>
  <w:style w:type="character" w:styleId="1116" w:customStyle="1">
    <w:name w:val="Endnote Text Char"/>
    <w:basedOn w:val="966"/>
    <w:link w:val="1115"/>
    <w:uiPriority w:val="99"/>
    <w:semiHidden/>
    <w:pPr>
      <w:pBdr/>
      <w:spacing/>
      <w:ind/>
    </w:pPr>
    <w:rPr>
      <w:sz w:val="20"/>
      <w:szCs w:val="20"/>
    </w:rPr>
  </w:style>
  <w:style w:type="character" w:styleId="1117">
    <w:name w:val="endnote reference"/>
    <w:basedOn w:val="966"/>
    <w:uiPriority w:val="99"/>
    <w:semiHidden/>
    <w:unhideWhenUsed/>
    <w:pPr>
      <w:pBdr/>
      <w:spacing/>
      <w:ind/>
    </w:pPr>
    <w:rPr>
      <w:vertAlign w:val="superscript"/>
    </w:rPr>
  </w:style>
  <w:style w:type="paragraph" w:styleId="1118">
    <w:name w:val="toc 1"/>
    <w:basedOn w:val="956"/>
    <w:next w:val="956"/>
    <w:uiPriority w:val="39"/>
    <w:unhideWhenUsed/>
    <w:pPr>
      <w:pBdr/>
      <w:spacing w:after="100"/>
      <w:ind/>
    </w:pPr>
  </w:style>
  <w:style w:type="paragraph" w:styleId="1119">
    <w:name w:val="toc 2"/>
    <w:basedOn w:val="956"/>
    <w:next w:val="956"/>
    <w:uiPriority w:val="39"/>
    <w:unhideWhenUsed/>
    <w:pPr>
      <w:pBdr/>
      <w:spacing w:after="100"/>
      <w:ind w:left="220"/>
    </w:pPr>
  </w:style>
  <w:style w:type="paragraph" w:styleId="1120">
    <w:name w:val="toc 3"/>
    <w:basedOn w:val="956"/>
    <w:next w:val="956"/>
    <w:uiPriority w:val="39"/>
    <w:unhideWhenUsed/>
    <w:pPr>
      <w:pBdr/>
      <w:spacing w:after="100"/>
      <w:ind w:left="440"/>
    </w:pPr>
  </w:style>
  <w:style w:type="paragraph" w:styleId="1121">
    <w:name w:val="toc 4"/>
    <w:basedOn w:val="956"/>
    <w:next w:val="956"/>
    <w:uiPriority w:val="39"/>
    <w:unhideWhenUsed/>
    <w:pPr>
      <w:pBdr/>
      <w:spacing w:after="100"/>
      <w:ind w:left="660"/>
    </w:pPr>
  </w:style>
  <w:style w:type="paragraph" w:styleId="1122">
    <w:name w:val="toc 5"/>
    <w:basedOn w:val="956"/>
    <w:next w:val="956"/>
    <w:uiPriority w:val="39"/>
    <w:unhideWhenUsed/>
    <w:pPr>
      <w:pBdr/>
      <w:spacing w:after="100"/>
      <w:ind w:left="880"/>
    </w:pPr>
  </w:style>
  <w:style w:type="paragraph" w:styleId="1123">
    <w:name w:val="toc 6"/>
    <w:basedOn w:val="956"/>
    <w:next w:val="956"/>
    <w:uiPriority w:val="39"/>
    <w:unhideWhenUsed/>
    <w:pPr>
      <w:pBdr/>
      <w:spacing w:after="100"/>
      <w:ind w:left="1100"/>
    </w:pPr>
  </w:style>
  <w:style w:type="paragraph" w:styleId="1124">
    <w:name w:val="toc 7"/>
    <w:basedOn w:val="956"/>
    <w:next w:val="956"/>
    <w:uiPriority w:val="39"/>
    <w:unhideWhenUsed/>
    <w:pPr>
      <w:pBdr/>
      <w:spacing w:after="100"/>
      <w:ind w:left="1320"/>
    </w:pPr>
  </w:style>
  <w:style w:type="paragraph" w:styleId="1125">
    <w:name w:val="toc 8"/>
    <w:basedOn w:val="956"/>
    <w:next w:val="956"/>
    <w:uiPriority w:val="39"/>
    <w:unhideWhenUsed/>
    <w:pPr>
      <w:pBdr/>
      <w:spacing w:after="100"/>
      <w:ind w:left="1540"/>
    </w:pPr>
  </w:style>
  <w:style w:type="paragraph" w:styleId="1126">
    <w:name w:val="toc 9"/>
    <w:basedOn w:val="956"/>
    <w:next w:val="956"/>
    <w:uiPriority w:val="39"/>
    <w:unhideWhenUsed/>
    <w:pPr>
      <w:pBdr/>
      <w:spacing w:after="100"/>
      <w:ind w:left="1760"/>
    </w:pPr>
  </w:style>
  <w:style w:type="character" w:styleId="1127">
    <w:name w:val="Placeholder Text"/>
    <w:basedOn w:val="966"/>
    <w:uiPriority w:val="99"/>
    <w:semiHidden/>
    <w:pPr>
      <w:pBdr/>
      <w:spacing/>
      <w:ind/>
    </w:pPr>
    <w:rPr>
      <w:color w:val="666666"/>
    </w:rPr>
  </w:style>
  <w:style w:type="paragraph" w:styleId="1128">
    <w:name w:val="TOC Heading"/>
    <w:uiPriority w:val="39"/>
    <w:unhideWhenUsed/>
    <w:pPr>
      <w:pBdr/>
      <w:spacing/>
      <w:ind/>
    </w:pPr>
  </w:style>
  <w:style w:type="paragraph" w:styleId="1129">
    <w:name w:val="table of figures"/>
    <w:basedOn w:val="956"/>
    <w:next w:val="956"/>
    <w:uiPriority w:val="99"/>
    <w:unhideWhenUsed/>
    <w:pPr>
      <w:pBdr/>
      <w:spacing/>
      <w:ind/>
    </w:pPr>
  </w:style>
  <w:style w:type="character" w:styleId="1130" w:customStyle="1">
    <w:name w:val="Heading 1 Char"/>
    <w:basedOn w:val="966"/>
    <w:link w:val="957"/>
    <w:pPr>
      <w:pBdr/>
      <w:spacing/>
      <w:ind/>
    </w:pPr>
    <w:rPr>
      <w:rFonts w:ascii="Times New Roman" w:hAnsi="Times New Roman" w:eastAsia="Times New Roman" w:cs="Times New Roman"/>
      <w:b/>
      <w:bCs/>
      <w:sz w:val="27"/>
      <w:szCs w:val="27"/>
    </w:rPr>
  </w:style>
  <w:style w:type="character" w:styleId="1131" w:customStyle="1">
    <w:name w:val="Heading 2 Char"/>
    <w:basedOn w:val="966"/>
    <w:link w:val="958"/>
    <w:uiPriority w:val="9"/>
    <w:pPr>
      <w:pBdr/>
      <w:spacing/>
      <w:ind/>
    </w:pPr>
    <w:rPr>
      <w:rFonts w:asciiTheme="majorHAnsi" w:hAnsiTheme="majorHAnsi" w:eastAsiaTheme="majorEastAsia" w:cstheme="majorBidi"/>
      <w:color w:val="365f91" w:themeColor="accent1" w:themeShade="BF"/>
      <w:sz w:val="26"/>
      <w:szCs w:val="26"/>
    </w:rPr>
  </w:style>
  <w:style w:type="character" w:styleId="1132" w:customStyle="1">
    <w:name w:val="Heading 3 Char"/>
    <w:basedOn w:val="966"/>
    <w:link w:val="959"/>
    <w:pPr>
      <w:pBdr/>
      <w:spacing/>
      <w:ind/>
    </w:pPr>
    <w:rPr>
      <w:rFonts w:ascii="Times New Roman" w:hAnsi="Times New Roman" w:eastAsia="Times New Roman" w:cs="Times New Roman"/>
      <w:sz w:val="28"/>
      <w:szCs w:val="28"/>
    </w:rPr>
  </w:style>
  <w:style w:type="character" w:styleId="1133" w:customStyle="1">
    <w:name w:val="Heading 4 Char"/>
    <w:basedOn w:val="966"/>
    <w:link w:val="960"/>
    <w:pPr>
      <w:pBdr/>
      <w:spacing/>
      <w:ind/>
    </w:pPr>
    <w:rPr>
      <w:rFonts w:ascii="Times New Roman" w:hAnsi="Times New Roman" w:eastAsia="Times New Roman" w:cs="Times New Roman"/>
      <w:b/>
      <w:bCs/>
      <w:sz w:val="24"/>
      <w:szCs w:val="24"/>
    </w:rPr>
  </w:style>
  <w:style w:type="character" w:styleId="1134">
    <w:name w:val="Hyperlink"/>
    <w:uiPriority w:val="99"/>
    <w:pPr>
      <w:pBdr/>
      <w:spacing/>
      <w:ind/>
    </w:pPr>
    <w:rPr>
      <w:color w:val="000000"/>
      <w:u w:val="single"/>
    </w:rPr>
  </w:style>
  <w:style w:type="character" w:styleId="1135">
    <w:name w:val="Strong"/>
    <w:uiPriority w:val="22"/>
    <w:qFormat/>
    <w:pPr>
      <w:pBdr/>
      <w:spacing/>
      <w:ind/>
    </w:pPr>
    <w:rPr>
      <w:b/>
      <w:bCs/>
    </w:rPr>
  </w:style>
  <w:style w:type="paragraph" w:styleId="1136">
    <w:name w:val="Balloon Text"/>
    <w:basedOn w:val="956"/>
    <w:link w:val="1137"/>
    <w:uiPriority w:val="99"/>
    <w:semiHidden/>
    <w:unhideWhenUsed/>
    <w:pPr>
      <w:pBdr/>
      <w:spacing/>
      <w:ind/>
    </w:pPr>
    <w:rPr>
      <w:rFonts w:ascii="Tahoma" w:hAnsi="Tahoma" w:cs="Tahoma"/>
      <w:sz w:val="16"/>
      <w:szCs w:val="16"/>
    </w:rPr>
  </w:style>
  <w:style w:type="character" w:styleId="1137" w:customStyle="1">
    <w:name w:val="Balloon Text Char"/>
    <w:basedOn w:val="966"/>
    <w:link w:val="1136"/>
    <w:uiPriority w:val="99"/>
    <w:semiHidden/>
    <w:pPr>
      <w:pBdr/>
      <w:spacing/>
      <w:ind/>
    </w:pPr>
    <w:rPr>
      <w:rFonts w:ascii="Tahoma" w:hAnsi="Tahoma" w:eastAsia="Times New Roman" w:cs="Tahoma"/>
      <w:sz w:val="16"/>
      <w:szCs w:val="16"/>
    </w:rPr>
  </w:style>
  <w:style w:type="paragraph" w:styleId="1138">
    <w:name w:val="Header"/>
    <w:basedOn w:val="956"/>
    <w:link w:val="1139"/>
    <w:unhideWhenUsed/>
    <w:pPr>
      <w:pBdr/>
      <w:tabs>
        <w:tab w:val="center" w:leader="none" w:pos="4680"/>
        <w:tab w:val="right" w:leader="none" w:pos="9360"/>
      </w:tabs>
      <w:spacing/>
      <w:ind/>
    </w:pPr>
  </w:style>
  <w:style w:type="character" w:styleId="1139" w:customStyle="1">
    <w:name w:val="Header Char"/>
    <w:basedOn w:val="966"/>
    <w:link w:val="1138"/>
    <w:pPr>
      <w:pBdr/>
      <w:spacing/>
      <w:ind/>
    </w:pPr>
    <w:rPr>
      <w:rFonts w:ascii="Times New Roman" w:hAnsi="Times New Roman" w:eastAsia="Times New Roman" w:cs="Times New Roman"/>
      <w:sz w:val="24"/>
      <w:szCs w:val="24"/>
    </w:rPr>
  </w:style>
  <w:style w:type="paragraph" w:styleId="1140">
    <w:name w:val="Footer"/>
    <w:basedOn w:val="956"/>
    <w:link w:val="1141"/>
    <w:uiPriority w:val="99"/>
    <w:unhideWhenUsed/>
    <w:pPr>
      <w:pBdr/>
      <w:tabs>
        <w:tab w:val="center" w:leader="none" w:pos="4680"/>
        <w:tab w:val="right" w:leader="none" w:pos="9360"/>
      </w:tabs>
      <w:spacing/>
      <w:ind/>
    </w:pPr>
  </w:style>
  <w:style w:type="character" w:styleId="1141" w:customStyle="1">
    <w:name w:val="Footer Char"/>
    <w:basedOn w:val="966"/>
    <w:link w:val="1140"/>
    <w:uiPriority w:val="99"/>
    <w:pPr>
      <w:pBdr/>
      <w:spacing/>
      <w:ind/>
    </w:pPr>
    <w:rPr>
      <w:rFonts w:ascii="Times New Roman" w:hAnsi="Times New Roman" w:eastAsia="Times New Roman" w:cs="Times New Roman"/>
      <w:sz w:val="24"/>
      <w:szCs w:val="24"/>
    </w:rPr>
  </w:style>
  <w:style w:type="character" w:styleId="1142" w:customStyle="1">
    <w:name w:val="normal-h1"/>
    <w:pPr>
      <w:pBdr/>
      <w:spacing/>
      <w:ind/>
    </w:pPr>
    <w:rPr>
      <w:rFonts w:hint="default" w:ascii=".VnTime" w:hAnsi=".VnTime"/>
      <w:color w:val="0000ff"/>
      <w:sz w:val="24"/>
      <w:szCs w:val="24"/>
    </w:rPr>
  </w:style>
  <w:style w:type="paragraph" w:styleId="1143" w:customStyle="1">
    <w:name w:val="normal-p"/>
    <w:basedOn w:val="956"/>
    <w:pPr>
      <w:pBdr/>
      <w:spacing/>
      <w:ind/>
      <w:jc w:val="both"/>
    </w:pPr>
    <w:rPr>
      <w:sz w:val="20"/>
      <w:szCs w:val="20"/>
    </w:rPr>
  </w:style>
  <w:style w:type="paragraph" w:styleId="1144">
    <w:name w:val="List Paragraph"/>
    <w:basedOn w:val="956"/>
    <w:link w:val="1231"/>
    <w:uiPriority w:val="34"/>
    <w:qFormat/>
    <w:pPr>
      <w:pBdr/>
      <w:spacing/>
      <w:ind w:left="720"/>
    </w:pPr>
  </w:style>
  <w:style w:type="paragraph" w:styleId="1145">
    <w:name w:val="Normal (Web)"/>
    <w:basedOn w:val="956"/>
    <w:uiPriority w:val="99"/>
    <w:pPr>
      <w:pBdr/>
      <w:spacing w:after="100" w:afterAutospacing="1" w:before="100" w:beforeAutospacing="1"/>
      <w:ind/>
    </w:pPr>
  </w:style>
  <w:style w:type="paragraph" w:styleId="1146">
    <w:name w:val="Body Text"/>
    <w:basedOn w:val="956"/>
    <w:link w:val="1147"/>
    <w:pPr>
      <w:pBdr/>
      <w:spacing w:after="120"/>
      <w:ind/>
      <w:jc w:val="both"/>
    </w:pPr>
  </w:style>
  <w:style w:type="character" w:styleId="1147" w:customStyle="1">
    <w:name w:val="Body Text Char"/>
    <w:basedOn w:val="966"/>
    <w:link w:val="1146"/>
    <w:pPr>
      <w:pBdr/>
      <w:spacing/>
      <w:ind/>
    </w:pPr>
    <w:rPr>
      <w:rFonts w:ascii="Times New Roman" w:hAnsi="Times New Roman" w:eastAsia="Times New Roman" w:cs="Times New Roman"/>
      <w:sz w:val="24"/>
      <w:szCs w:val="24"/>
    </w:rPr>
  </w:style>
  <w:style w:type="table" w:styleId="1148">
    <w:name w:val="Table Grid"/>
    <w:basedOn w:val="96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4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50">
    <w:name w:val="annotation reference"/>
    <w:basedOn w:val="966"/>
    <w:uiPriority w:val="99"/>
    <w:semiHidden/>
    <w:unhideWhenUsed/>
    <w:pPr>
      <w:pBdr/>
      <w:spacing/>
      <w:ind/>
    </w:pPr>
    <w:rPr>
      <w:sz w:val="16"/>
      <w:szCs w:val="16"/>
    </w:rPr>
  </w:style>
  <w:style w:type="paragraph" w:styleId="1151">
    <w:name w:val="annotation text"/>
    <w:basedOn w:val="956"/>
    <w:link w:val="1152"/>
    <w:uiPriority w:val="99"/>
    <w:unhideWhenUsed/>
    <w:pPr>
      <w:pBdr/>
      <w:spacing/>
      <w:ind/>
    </w:pPr>
    <w:rPr>
      <w:sz w:val="20"/>
      <w:szCs w:val="20"/>
    </w:rPr>
  </w:style>
  <w:style w:type="character" w:styleId="1152" w:customStyle="1">
    <w:name w:val="Comment Text Char"/>
    <w:basedOn w:val="966"/>
    <w:link w:val="1151"/>
    <w:uiPriority w:val="99"/>
    <w:pPr>
      <w:pBdr/>
      <w:spacing/>
      <w:ind/>
    </w:pPr>
    <w:rPr>
      <w:rFonts w:ascii="Times New Roman" w:hAnsi="Times New Roman" w:eastAsia="Times New Roman" w:cs="Times New Roman"/>
      <w:sz w:val="20"/>
      <w:szCs w:val="20"/>
    </w:rPr>
  </w:style>
  <w:style w:type="paragraph" w:styleId="1153">
    <w:name w:val="annotation subject"/>
    <w:basedOn w:val="1151"/>
    <w:next w:val="1151"/>
    <w:link w:val="1154"/>
    <w:uiPriority w:val="99"/>
    <w:semiHidden/>
    <w:unhideWhenUsed/>
    <w:pPr>
      <w:pBdr/>
      <w:spacing/>
      <w:ind/>
    </w:pPr>
    <w:rPr>
      <w:b/>
      <w:bCs/>
    </w:rPr>
  </w:style>
  <w:style w:type="character" w:styleId="1154" w:customStyle="1">
    <w:name w:val="Comment Subject Char"/>
    <w:basedOn w:val="1152"/>
    <w:link w:val="1153"/>
    <w:uiPriority w:val="99"/>
    <w:semiHidden/>
    <w:pPr>
      <w:pBdr/>
      <w:spacing/>
      <w:ind/>
    </w:pPr>
    <w:rPr>
      <w:rFonts w:ascii="Times New Roman" w:hAnsi="Times New Roman" w:eastAsia="Times New Roman" w:cs="Times New Roman"/>
      <w:b/>
      <w:bCs/>
      <w:sz w:val="20"/>
      <w:szCs w:val="20"/>
    </w:rPr>
  </w:style>
  <w:style w:type="paragraph" w:styleId="1155" w:customStyle="1">
    <w:name w:val="font5"/>
    <w:basedOn w:val="956"/>
    <w:pPr>
      <w:pBdr/>
      <w:spacing w:after="100" w:afterAutospacing="1" w:before="100" w:beforeAutospacing="1"/>
      <w:ind/>
    </w:pPr>
    <w:rPr>
      <w:rFonts w:ascii="Tahoma" w:hAnsi="Tahoma" w:cs="Tahoma"/>
      <w:color w:val="000000"/>
      <w:sz w:val="18"/>
      <w:szCs w:val="18"/>
    </w:rPr>
  </w:style>
  <w:style w:type="paragraph" w:styleId="1156" w:customStyle="1">
    <w:name w:val="font6"/>
    <w:basedOn w:val="956"/>
    <w:pPr>
      <w:pBdr/>
      <w:spacing w:after="100" w:afterAutospacing="1" w:before="100" w:beforeAutospacing="1"/>
      <w:ind/>
    </w:pPr>
    <w:rPr>
      <w:rFonts w:ascii="Tahoma" w:hAnsi="Tahoma" w:cs="Tahoma"/>
      <w:b/>
      <w:bCs/>
      <w:color w:val="000000"/>
      <w:sz w:val="18"/>
      <w:szCs w:val="18"/>
    </w:rPr>
  </w:style>
  <w:style w:type="paragraph" w:styleId="1157" w:customStyle="1">
    <w:name w:val="xl233"/>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8" w:customStyle="1">
    <w:name w:val="xl234"/>
    <w:basedOn w:val="956"/>
    <w:pPr>
      <w:pBdr/>
      <w:spacing w:after="100" w:afterAutospacing="1" w:before="100" w:beforeAutospacing="1"/>
      <w:ind/>
      <w:jc w:val="center"/>
    </w:pPr>
  </w:style>
  <w:style w:type="paragraph" w:styleId="1159" w:customStyle="1">
    <w:name w:val="xl235"/>
    <w:basedOn w:val="956"/>
    <w:pPr>
      <w:pBdr/>
      <w:spacing w:after="100" w:afterAutospacing="1" w:before="100" w:beforeAutospacing="1"/>
      <w:ind/>
      <w:jc w:val="center"/>
    </w:pPr>
    <w:rPr>
      <w:b/>
      <w:bCs/>
    </w:rPr>
  </w:style>
  <w:style w:type="paragraph" w:styleId="1160" w:customStyle="1">
    <w:name w:val="xl236"/>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61" w:customStyle="1">
    <w:name w:val="xl237"/>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2" w:customStyle="1">
    <w:name w:val="xl238"/>
    <w:basedOn w:val="95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3" w:customStyle="1">
    <w:name w:val="xl239"/>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64" w:customStyle="1">
    <w:name w:val="xl240"/>
    <w:basedOn w:val="956"/>
    <w:pPr>
      <w:pBdr/>
      <w:spacing w:after="100" w:afterAutospacing="1" w:before="100" w:beforeAutospacing="1"/>
      <w:ind/>
    </w:pPr>
  </w:style>
  <w:style w:type="paragraph" w:styleId="1165" w:customStyle="1">
    <w:name w:val="xl241"/>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6" w:customStyle="1">
    <w:name w:val="xl242"/>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7" w:customStyle="1">
    <w:name w:val="xl243"/>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8" w:customStyle="1">
    <w:name w:val="xl244"/>
    <w:basedOn w:val="956"/>
    <w:pPr>
      <w:pBdr/>
      <w:spacing w:after="100" w:afterAutospacing="1" w:before="100" w:beforeAutospacing="1"/>
      <w:ind/>
    </w:pPr>
    <w:rPr>
      <w:b/>
      <w:bCs/>
    </w:rPr>
  </w:style>
  <w:style w:type="paragraph" w:styleId="1169" w:customStyle="1">
    <w:name w:val="xl245"/>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70" w:customStyle="1">
    <w:name w:val="xl246"/>
    <w:basedOn w:val="95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71" w:customStyle="1">
    <w:name w:val="xl247"/>
    <w:basedOn w:val="95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72" w:customStyle="1">
    <w:name w:val="xl248"/>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73" w:customStyle="1">
    <w:name w:val="xl249"/>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4" w:customStyle="1">
    <w:name w:val="xl250"/>
    <w:basedOn w:val="95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75" w:customStyle="1">
    <w:name w:val="xl251"/>
    <w:basedOn w:val="95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6" w:customStyle="1">
    <w:name w:val="xl252"/>
    <w:basedOn w:val="95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7" w:customStyle="1">
    <w:name w:val="xl253"/>
    <w:basedOn w:val="95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8" w:customStyle="1">
    <w:name w:val="xl254"/>
    <w:basedOn w:val="956"/>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79" w:customStyle="1">
    <w:name w:val="xl255"/>
    <w:basedOn w:val="95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80" w:customStyle="1">
    <w:name w:val="xl256"/>
    <w:basedOn w:val="95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81" w:customStyle="1">
    <w:name w:val="xl257"/>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82" w:customStyle="1">
    <w:name w:val="xl258"/>
    <w:basedOn w:val="956"/>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83" w:customStyle="1">
    <w:name w:val="xl259"/>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4" w:customStyle="1">
    <w:name w:val="xl260"/>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5" w:customStyle="1">
    <w:name w:val="xl261"/>
    <w:basedOn w:val="95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86" w:customStyle="1">
    <w:name w:val="xl262"/>
    <w:basedOn w:val="956"/>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87" w:customStyle="1">
    <w:name w:val="xl263"/>
    <w:basedOn w:val="956"/>
    <w:pPr>
      <w:pBdr/>
      <w:shd w:val="clear" w:color="000000" w:fill="ffffff"/>
      <w:spacing w:after="100" w:afterAutospacing="1" w:before="100" w:beforeAutospacing="1"/>
      <w:ind/>
    </w:pPr>
  </w:style>
  <w:style w:type="paragraph" w:styleId="1188" w:customStyle="1">
    <w:name w:val="xl264"/>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89" w:customStyle="1">
    <w:name w:val="xl265"/>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0" w:customStyle="1">
    <w:name w:val="xl266"/>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91" w:customStyle="1">
    <w:name w:val="xl267"/>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92" w:customStyle="1">
    <w:name w:val="xl268"/>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93" w:customStyle="1">
    <w:name w:val="xl269"/>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94" w:customStyle="1">
    <w:name w:val="xl270"/>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95" w:customStyle="1">
    <w:name w:val="xl271"/>
    <w:basedOn w:val="956"/>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96" w:customStyle="1">
    <w:name w:val="xl272"/>
    <w:basedOn w:val="95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97" w:customStyle="1">
    <w:name w:val="xl273"/>
    <w:basedOn w:val="95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98" w:customStyle="1">
    <w:name w:val="xl274"/>
    <w:basedOn w:val="956"/>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99" w:customStyle="1">
    <w:name w:val="xl275"/>
    <w:basedOn w:val="956"/>
    <w:pPr>
      <w:pBdr/>
      <w:spacing w:after="100" w:afterAutospacing="1" w:before="100" w:beforeAutospacing="1"/>
      <w:ind/>
    </w:pPr>
  </w:style>
  <w:style w:type="paragraph" w:styleId="1200" w:customStyle="1">
    <w:name w:val="xl276"/>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201" w:customStyle="1">
    <w:name w:val="xl277"/>
    <w:basedOn w:val="95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202" w:customStyle="1">
    <w:name w:val="xl278"/>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203" w:customStyle="1">
    <w:name w:val="xl279"/>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204" w:customStyle="1">
    <w:name w:val="xl280"/>
    <w:basedOn w:val="95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205" w:customStyle="1">
    <w:name w:val="xl281"/>
    <w:basedOn w:val="95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206" w:customStyle="1">
    <w:name w:val="xl282"/>
    <w:basedOn w:val="95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207" w:customStyle="1">
    <w:name w:val="xl283"/>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208" w:customStyle="1">
    <w:name w:val="xl284"/>
    <w:basedOn w:val="956"/>
    <w:pPr>
      <w:pBdr>
        <w:left w:val="single" w:color="000000" w:sz="4" w:space="0"/>
        <w:bottom w:val="single" w:color="000000" w:sz="4" w:space="0"/>
        <w:right w:val="single" w:color="000000" w:sz="4" w:space="0"/>
      </w:pBdr>
      <w:spacing w:after="100" w:afterAutospacing="1" w:before="100" w:beforeAutospacing="1"/>
      <w:ind/>
    </w:pPr>
  </w:style>
  <w:style w:type="paragraph" w:styleId="1209" w:customStyle="1">
    <w:name w:val="xl285"/>
    <w:basedOn w:val="95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210" w:customStyle="1">
    <w:name w:val="xl286"/>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211" w:customStyle="1">
    <w:name w:val="xl287"/>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212" w:customStyle="1">
    <w:name w:val="xl288"/>
    <w:basedOn w:val="956"/>
    <w:pPr>
      <w:pBdr>
        <w:top w:val="single" w:color="000000" w:sz="4" w:space="0"/>
        <w:left w:val="single" w:color="000000" w:sz="4" w:space="0"/>
        <w:right w:val="single" w:color="000000" w:sz="4" w:space="0"/>
      </w:pBdr>
      <w:spacing w:after="100" w:afterAutospacing="1" w:before="100" w:beforeAutospacing="1"/>
      <w:ind/>
    </w:pPr>
  </w:style>
  <w:style w:type="paragraph" w:styleId="1213" w:customStyle="1">
    <w:name w:val="xl289"/>
    <w:basedOn w:val="956"/>
    <w:pPr>
      <w:pBdr>
        <w:left w:val="single" w:color="000000" w:sz="4" w:space="0"/>
        <w:right w:val="single" w:color="000000" w:sz="4" w:space="0"/>
      </w:pBdr>
      <w:spacing w:after="100" w:afterAutospacing="1" w:before="100" w:beforeAutospacing="1"/>
      <w:ind/>
    </w:pPr>
    <w:rPr>
      <w:b/>
      <w:bCs/>
    </w:rPr>
  </w:style>
  <w:style w:type="paragraph" w:styleId="1214" w:customStyle="1">
    <w:name w:val="xl290"/>
    <w:basedOn w:val="95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215" w:customStyle="1">
    <w:name w:val="xl291"/>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216" w:customStyle="1">
    <w:name w:val="xl292"/>
    <w:basedOn w:val="956"/>
    <w:pPr>
      <w:pBdr>
        <w:top w:val="single" w:color="000000" w:sz="4" w:space="0"/>
        <w:left w:val="single" w:color="000000" w:sz="4" w:space="0"/>
        <w:right w:val="single" w:color="000000" w:sz="4" w:space="0"/>
      </w:pBdr>
      <w:spacing w:after="100" w:afterAutospacing="1" w:before="100" w:beforeAutospacing="1"/>
      <w:ind/>
    </w:pPr>
  </w:style>
  <w:style w:type="paragraph" w:styleId="1217" w:customStyle="1">
    <w:name w:val="xl293"/>
    <w:basedOn w:val="956"/>
    <w:pPr>
      <w:pBdr>
        <w:left w:val="single" w:color="000000" w:sz="4" w:space="0"/>
        <w:bottom w:val="single" w:color="000000" w:sz="4" w:space="0"/>
        <w:right w:val="single" w:color="000000" w:sz="4" w:space="0"/>
      </w:pBdr>
      <w:spacing w:after="100" w:afterAutospacing="1" w:before="100" w:beforeAutospacing="1"/>
      <w:ind/>
    </w:pPr>
  </w:style>
  <w:style w:type="paragraph" w:styleId="1218" w:customStyle="1">
    <w:name w:val="xl294"/>
    <w:basedOn w:val="95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219">
    <w:name w:val="Title"/>
    <w:basedOn w:val="956"/>
    <w:link w:val="1220"/>
    <w:qFormat/>
    <w:pPr>
      <w:pBdr/>
      <w:spacing/>
      <w:ind/>
      <w:jc w:val="center"/>
    </w:pPr>
    <w:rPr>
      <w:b/>
      <w:bCs/>
      <w:sz w:val="32"/>
      <w:szCs w:val="26"/>
    </w:rPr>
  </w:style>
  <w:style w:type="character" w:styleId="1220" w:customStyle="1">
    <w:name w:val="Title Char"/>
    <w:basedOn w:val="966"/>
    <w:link w:val="1219"/>
    <w:pPr>
      <w:pBdr/>
      <w:spacing/>
      <w:ind/>
    </w:pPr>
    <w:rPr>
      <w:rFonts w:ascii="Times New Roman" w:hAnsi="Times New Roman" w:eastAsia="Times New Roman" w:cs="Times New Roman"/>
      <w:b/>
      <w:bCs/>
      <w:sz w:val="32"/>
      <w:szCs w:val="26"/>
    </w:rPr>
  </w:style>
  <w:style w:type="character" w:styleId="1221" w:customStyle="1">
    <w:name w:val="Unresolved Mention1"/>
    <w:basedOn w:val="966"/>
    <w:uiPriority w:val="99"/>
    <w:semiHidden/>
    <w:unhideWhenUsed/>
    <w:pPr>
      <w:pBdr/>
      <w:spacing/>
      <w:ind/>
    </w:pPr>
    <w:rPr>
      <w:color w:val="605e5c"/>
      <w:shd w:val="clear" w:color="auto" w:fill="e1dfdd"/>
    </w:rPr>
  </w:style>
  <w:style w:type="character" w:styleId="1222" w:customStyle="1">
    <w:name w:val="Body text (3)_"/>
    <w:link w:val="1223"/>
    <w:pPr>
      <w:pBdr/>
      <w:spacing/>
      <w:ind/>
    </w:pPr>
    <w:rPr>
      <w:rFonts w:ascii="Times New Roman" w:hAnsi="Times New Roman" w:cs="Times New Roman"/>
      <w:i/>
      <w:iCs/>
      <w:spacing w:val="4"/>
      <w:shd w:val="clear" w:color="auto" w:fill="ffffff"/>
    </w:rPr>
  </w:style>
  <w:style w:type="paragraph" w:styleId="1223" w:customStyle="1">
    <w:name w:val="Body text (3)1"/>
    <w:basedOn w:val="956"/>
    <w:link w:val="122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224" w:customStyle="1">
    <w:name w:val="t-j"/>
    <w:basedOn w:val="956"/>
    <w:pPr>
      <w:pBdr/>
      <w:spacing w:after="100" w:afterAutospacing="1" w:before="100" w:beforeAutospacing="1"/>
      <w:ind/>
    </w:pPr>
  </w:style>
  <w:style w:type="character" w:styleId="1225" w:customStyle="1">
    <w:name w:val="Unresolved Mention2"/>
    <w:basedOn w:val="966"/>
    <w:uiPriority w:val="99"/>
    <w:semiHidden/>
    <w:unhideWhenUsed/>
    <w:pPr>
      <w:pBdr/>
      <w:spacing/>
      <w:ind/>
    </w:pPr>
    <w:rPr>
      <w:color w:val="605e5c"/>
      <w:shd w:val="clear" w:color="auto" w:fill="e1dfdd"/>
    </w:rPr>
  </w:style>
  <w:style w:type="character" w:styleId="1226">
    <w:name w:val="FollowedHyperlink"/>
    <w:basedOn w:val="966"/>
    <w:uiPriority w:val="99"/>
    <w:semiHidden/>
    <w:unhideWhenUsed/>
    <w:pPr>
      <w:pBdr/>
      <w:spacing/>
      <w:ind/>
    </w:pPr>
    <w:rPr>
      <w:color w:val="800080" w:themeColor="followedHyperlink"/>
      <w:u w:val="single"/>
    </w:rPr>
  </w:style>
  <w:style w:type="character" w:styleId="1227" w:customStyle="1">
    <w:name w:val="text"/>
    <w:basedOn w:val="966"/>
    <w:pPr>
      <w:pBdr/>
      <w:spacing/>
      <w:ind/>
    </w:pPr>
  </w:style>
  <w:style w:type="character" w:styleId="1228" w:customStyle="1">
    <w:name w:val="card-send-time__sendtime"/>
    <w:basedOn w:val="966"/>
    <w:pPr>
      <w:pBdr/>
      <w:spacing/>
      <w:ind/>
    </w:pPr>
  </w:style>
  <w:style w:type="character" w:styleId="1229" w:customStyle="1">
    <w:name w:val="Đề cập Chưa giải quyết1"/>
    <w:basedOn w:val="966"/>
    <w:uiPriority w:val="99"/>
    <w:semiHidden/>
    <w:unhideWhenUsed/>
    <w:pPr>
      <w:pBdr/>
      <w:spacing/>
      <w:ind/>
    </w:pPr>
    <w:rPr>
      <w:color w:val="605e5c"/>
      <w:shd w:val="clear" w:color="auto" w:fill="e1dfdd"/>
    </w:rPr>
  </w:style>
  <w:style w:type="paragraph" w:styleId="1230" w:customStyle="1">
    <w:name w:val="nqtitle"/>
    <w:basedOn w:val="956"/>
    <w:pPr>
      <w:pBdr/>
      <w:spacing w:after="100" w:afterAutospacing="1" w:before="100" w:beforeAutospacing="1"/>
      <w:ind/>
    </w:pPr>
    <w:rPr>
      <w:lang w:val="vi-VN" w:eastAsia="vi-VN"/>
    </w:rPr>
  </w:style>
  <w:style w:type="character" w:styleId="1231" w:customStyle="1">
    <w:name w:val="List Paragraph Char"/>
    <w:link w:val="1144"/>
    <w:uiPriority w:val="34"/>
    <w:qFormat/>
    <w:pPr>
      <w:pBdr/>
      <w:spacing/>
      <w:ind/>
    </w:pPr>
    <w:rPr>
      <w:rFonts w:ascii="Times New Roman" w:hAnsi="Times New Roman" w:eastAsia="Times New Roman" w:cs="Times New Roman"/>
      <w:sz w:val="24"/>
      <w:szCs w:val="24"/>
    </w:rPr>
  </w:style>
  <w:style w:type="character" w:styleId="1232" w:customStyle="1">
    <w:name w:val="Đề cập Chưa giải quyết2"/>
    <w:basedOn w:val="966"/>
    <w:uiPriority w:val="99"/>
    <w:semiHidden/>
    <w:unhideWhenUsed/>
    <w:pPr>
      <w:pBdr/>
      <w:spacing/>
      <w:ind/>
    </w:pPr>
    <w:rPr>
      <w:color w:val="605e5c"/>
      <w:shd w:val="clear" w:color="auto" w:fill="e1dfdd"/>
    </w:rPr>
  </w:style>
  <w:style w:type="character" w:styleId="1233" w:customStyle="1">
    <w:name w:val="Unresolved Mention3"/>
    <w:basedOn w:val="966"/>
    <w:uiPriority w:val="99"/>
    <w:semiHidden/>
    <w:unhideWhenUsed/>
    <w:pPr>
      <w:pBdr/>
      <w:spacing/>
      <w:ind/>
    </w:pPr>
    <w:rPr>
      <w:color w:val="605e5c"/>
      <w:shd w:val="clear" w:color="auto" w:fill="e1dfdd"/>
    </w:rPr>
  </w:style>
  <w:style w:type="character" w:styleId="1234" w:customStyle="1">
    <w:name w:val="copy"/>
    <w:basedOn w:val="966"/>
    <w:pPr>
      <w:pBdr/>
      <w:spacing/>
      <w:ind/>
    </w:pPr>
  </w:style>
  <w:style w:type="paragraph" w:styleId="1235" w:customStyle="1">
    <w:name w:val="align-justify"/>
    <w:basedOn w:val="956"/>
    <w:pPr>
      <w:pBdr/>
      <w:spacing w:after="100" w:afterAutospacing="1" w:before="100" w:beforeAutospacing="1"/>
      <w:ind/>
    </w:pPr>
  </w:style>
  <w:style w:type="character" w:styleId="1236" w:customStyle="1">
    <w:name w:val="btn"/>
    <w:basedOn w:val="966"/>
    <w:pPr>
      <w:pBdr/>
      <w:spacing/>
      <w:ind/>
    </w:pPr>
  </w:style>
  <w:style w:type="character" w:styleId="1237" w:customStyle="1">
    <w:name w:val="hide_mobile"/>
    <w:basedOn w:val="966"/>
    <w:pPr>
      <w:pBdr/>
      <w:spacing/>
      <w:ind/>
    </w:pPr>
  </w:style>
  <w:style w:type="character" w:styleId="1238">
    <w:name w:val="Emphasis"/>
    <w:basedOn w:val="966"/>
    <w:uiPriority w:val="20"/>
    <w:qFormat/>
    <w:pPr>
      <w:pBdr/>
      <w:spacing/>
      <w:ind/>
    </w:pPr>
    <w:rPr>
      <w:i/>
      <w:iCs/>
    </w:rPr>
  </w:style>
  <w:style w:type="character" w:styleId="1239" w:customStyle="1">
    <w:name w:val="t1"/>
    <w:basedOn w:val="966"/>
    <w:pPr>
      <w:pBdr/>
      <w:spacing/>
      <w:ind/>
    </w:pPr>
  </w:style>
  <w:style w:type="character" w:styleId="1240" w:customStyle="1">
    <w:name w:val="Unresolved Mention4"/>
    <w:basedOn w:val="966"/>
    <w:uiPriority w:val="99"/>
    <w:semiHidden/>
    <w:unhideWhenUsed/>
    <w:pPr>
      <w:pBdr/>
      <w:spacing/>
      <w:ind/>
    </w:pPr>
    <w:rPr>
      <w:color w:val="605e5c"/>
      <w:shd w:val="clear" w:color="auto" w:fill="e1dfdd"/>
    </w:rPr>
  </w:style>
  <w:style w:type="character" w:styleId="1241">
    <w:name w:val="Unresolved Mention"/>
    <w:basedOn w:val="96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png"/><Relationship Id="rId15" Type="http://schemas.openxmlformats.org/officeDocument/2006/relationships/hyperlink" Target="mailto:ilotus.contact@gmail.com" TargetMode="External"/><Relationship Id="rId16" Type="http://schemas.openxmlformats.org/officeDocument/2006/relationships/image" Target="media/image3.png"/><Relationship Id="rId17" Type="http://schemas.openxmlformats.org/officeDocument/2006/relationships/hyperlink" Target="mailto:ilotus.contact@gmail.com" TargetMode="External"/><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jpg"/><Relationship Id="rId31" Type="http://schemas.openxmlformats.org/officeDocument/2006/relationships/image" Target="media/image17.pn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Mận</cp:lastModifiedBy>
  <cp:revision>32</cp:revision>
  <dcterms:created xsi:type="dcterms:W3CDTF">2026-06-19T03:43:00Z</dcterms:created>
  <dcterms:modified xsi:type="dcterms:W3CDTF">2026-09-03T07:27:30Z</dcterms:modified>
</cp:coreProperties>
</file>