
<file path=[Content_Types].xml><?xml version="1.0" encoding="utf-8"?>
<Types xmlns="http://schemas.openxmlformats.org/package/2006/content-types">
  <Default Extension="gif" ContentType="image/gif"/>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color w:val="000000" w:themeColor="text1"/>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0" locked="0" layoutInCell="1" allowOverlap="1">
                <wp:simplePos x="0" y="0"/>
                <wp:positionH relativeFrom="margin">
                  <wp:posOffset>85135</wp:posOffset>
                </wp:positionH>
                <wp:positionV relativeFrom="paragraph">
                  <wp:posOffset>116554</wp:posOffset>
                </wp:positionV>
                <wp:extent cx="5467350" cy="3182970"/>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a:off x="0" y="0"/>
                          <a:ext cx="5467349" cy="318296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color w:val="1f497d" w:themeColor="text2"/>
                              </w:rPr>
                            </w:pPr>
                            <w:r>
                              <w:rPr>
                                <w:rFonts w:ascii="Times New Roman" w:hAnsi="Times New Roman" w:eastAsia="Times New Roman" w:cs="Times New Roman"/>
                                <w:b/>
                                <w:color w:val="1f497d" w:themeColor="text2"/>
                                <w:sz w:val="30"/>
                              </w:rPr>
                              <w:t xml:space="preserve">CHỨNG THƯ, BÁO CÁO THẨM ĐỊNH GIÁ</w:t>
                            </w:r>
                            <w:r>
                              <w:rPr>
                                <w:color w:val="1f497d" w:themeColor="text2"/>
                              </w:rPr>
                            </w:r>
                            <w:r>
                              <w:rPr>
                                <w:color w:val="1f497d" w:themeColor="text2"/>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center"/>
                              <w:rPr/>
                            </w:pPr>
                            <w:r>
                              <w:rPr>
                                <w:rFonts w:ascii="Times New Roman" w:hAnsi="Times New Roman" w:eastAsia="Times New Roman" w:cs="Times New Roman"/>
                                <w:b/>
                                <w:color w:val="1d1b11"/>
                                <w:sz w:val="24"/>
                                <w:highlight w:val="white"/>
                              </w:rPr>
                              <w:t xml:space="preserve">Số: </w:t>
                            </w:r>
                            <w:r>
                              <w:rPr>
                                <w:rFonts w:ascii="Times New Roman" w:hAnsi="Times New Roman" w:eastAsia="Times New Roman" w:cs="Times New Roman"/>
                                <w:b/>
                                <w:color w:val="000000"/>
                                <w:sz w:val="24"/>
                                <w:highlight w:val="white"/>
                              </w:rPr>
                              <w:t xml:space="preserve">275/2026/1313/VFI-CT.T04.A</w:t>
                            </w:r>
                            <w:r/>
                          </w:p>
                          <w:p>
                            <w:pPr>
                              <w:pBdr>
                                <w:top w:val="none" w:color="000000" w:sz="4" w:space="0"/>
                                <w:left w:val="none" w:color="000000" w:sz="4" w:space="0"/>
                                <w:bottom w:val="none" w:color="000000" w:sz="4" w:space="0"/>
                                <w:right w:val="none" w:color="000000" w:sz="4" w:space="0"/>
                              </w:pBdr>
                              <w:tabs>
                                <w:tab w:val="left" w:leader="none" w:pos="3002"/>
                              </w:tabs>
                              <w:spacing w:after="120" w:before="120" w:line="276" w:lineRule="auto"/>
                              <w:ind w:right="0" w:firstLine="0" w:left="0"/>
                              <w:jc w:val="center"/>
                              <w:rPr/>
                            </w:pPr>
                            <w:r>
                              <w:rPr>
                                <w:rFonts w:ascii="Times New Roman" w:hAnsi="Times New Roman" w:eastAsia="Times New Roman" w:cs="Times New Roman"/>
                                <w:b/>
                                <w:color w:val="1d1b11"/>
                                <w:sz w:val="24"/>
                              </w:rPr>
                              <w:t xml:space="preserve">Khách hàng yêu cầu: </w:t>
                            </w:r>
                            <w:r>
                              <w:rPr>
                                <w:rFonts w:ascii="Times New Roman" w:hAnsi="Times New Roman" w:eastAsia="Times New Roman" w:cs="Times New Roman"/>
                                <w:b/>
                                <w:color w:val="000000"/>
                                <w:sz w:val="24"/>
                              </w:rPr>
                              <w:t xml:space="preserve">ÔNG NGUYỄN TRÍ CHUNG </w:t>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b/>
                                <w:color w:val="1d1b11"/>
                                <w:sz w:val="24"/>
                              </w:rPr>
                              <w:t xml:space="preserve">Tài sản thẩm định:</w:t>
                            </w:r>
                            <w:r>
                              <w:rPr>
                                <w:rFonts w:ascii="Times New Roman" w:hAnsi="Times New Roman" w:eastAsia="Times New Roman" w:cs="Times New Roman"/>
                                <w:color w:val="000000"/>
                                <w:sz w:val="24"/>
                              </w:rPr>
                              <w:t xml:space="preserve"> Tài sản hình thành trong tương lai là căn hộ 30-03, tại Toà căn hộ 45 tầng, dự án M Landmark Residences Đà Nẵng, có địa chỉ: tại số 58 Bạch Đằng, phường Hải Châu I, quận Hải Châu, Thành phố Đà Nẵng (Nay là phường Hải Châu, Thành phố Đà Nẵng)..</w:t>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center"/>
                              <w:rPr/>
                            </w:pPr>
                            <w:r>
                              <w:rPr>
                                <w:rFonts w:ascii="Times New Roman" w:hAnsi="Times New Roman" w:eastAsia="Times New Roman" w:cs="Times New Roman"/>
                                <w:b/>
                                <w:color w:val="000000"/>
                                <w:sz w:val="24"/>
                              </w:rPr>
                              <w:t xml:space="preserve">Thời điểm thẩm định: </w:t>
                            </w:r>
                            <w:r>
                              <w:rPr>
                                <w:rFonts w:ascii="Times New Roman" w:hAnsi="Times New Roman" w:eastAsia="Times New Roman" w:cs="Times New Roman"/>
                                <w:color w:val="000000"/>
                                <w:sz w:val="24"/>
                              </w:rPr>
                              <w:t xml:space="preserve">Tháng 08/2026.</w:t>
                            </w:r>
                            <w:r/>
                          </w:p>
                          <w:p>
                            <w:pPr>
                              <w:pBdr/>
                              <w:spacing w:after="120" w:before="120" w:line="360" w:lineRule="auto"/>
                              <w:ind/>
                              <w:jc w:val="center"/>
                              <w:rPr>
                                <w:bCs/>
                                <w:i/>
                                <w:iCs/>
                              </w:rPr>
                            </w:pPr>
                            <w:r>
                              <w:rPr>
                                <w:b/>
                                <w:bCs/>
                                <w:lang w:val="pt-BR"/>
                              </w:rPr>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9264;o:allowoverlap:true;o:allowincell:true;mso-position-horizontal-relative:margin;margin-left:6.70pt;mso-position-horizontal:absolute;mso-position-vertical-relative:text;margin-top:9.18pt;mso-position-vertical:absolute;width:430.50pt;height:250.63pt;mso-wrap-distance-left:9.00pt;mso-wrap-distance-top:0.00pt;mso-wrap-distance-right:9.00pt;mso-wrap-distance-bottom:0.00pt;v-text-anchor:top;visibility:visible;" fillcolor="#FFFFFF" strokecolor="#16355B" strokeweight="2.50pt">
                <v:textbox inset="0,0,0,0">
                  <w:txbxContent>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color w:val="1f497d" w:themeColor="text2"/>
                        </w:rPr>
                      </w:pPr>
                      <w:r>
                        <w:rPr>
                          <w:rFonts w:ascii="Times New Roman" w:hAnsi="Times New Roman" w:eastAsia="Times New Roman" w:cs="Times New Roman"/>
                          <w:b/>
                          <w:color w:val="1f497d" w:themeColor="text2"/>
                          <w:sz w:val="30"/>
                        </w:rPr>
                        <w:t xml:space="preserve">CHỨNG THƯ, BÁO CÁO THẨM ĐỊNH GIÁ</w:t>
                      </w:r>
                      <w:r>
                        <w:rPr>
                          <w:color w:val="1f497d" w:themeColor="text2"/>
                        </w:rPr>
                      </w:r>
                      <w:r>
                        <w:rPr>
                          <w:color w:val="1f497d" w:themeColor="text2"/>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center"/>
                        <w:rPr/>
                      </w:pPr>
                      <w:r>
                        <w:rPr>
                          <w:rFonts w:ascii="Times New Roman" w:hAnsi="Times New Roman" w:eastAsia="Times New Roman" w:cs="Times New Roman"/>
                          <w:b/>
                          <w:color w:val="1d1b11"/>
                          <w:sz w:val="24"/>
                          <w:highlight w:val="white"/>
                        </w:rPr>
                        <w:t xml:space="preserve">Số: </w:t>
                      </w:r>
                      <w:r>
                        <w:rPr>
                          <w:rFonts w:ascii="Times New Roman" w:hAnsi="Times New Roman" w:eastAsia="Times New Roman" w:cs="Times New Roman"/>
                          <w:b/>
                          <w:color w:val="000000"/>
                          <w:sz w:val="24"/>
                          <w:highlight w:val="white"/>
                        </w:rPr>
                        <w:t xml:space="preserve">275/2026/1313/VFI-CT.T04.A</w:t>
                      </w:r>
                      <w:r/>
                    </w:p>
                    <w:p>
                      <w:pPr>
                        <w:pBdr>
                          <w:top w:val="none" w:color="000000" w:sz="4" w:space="0"/>
                          <w:left w:val="none" w:color="000000" w:sz="4" w:space="0"/>
                          <w:bottom w:val="none" w:color="000000" w:sz="4" w:space="0"/>
                          <w:right w:val="none" w:color="000000" w:sz="4" w:space="0"/>
                        </w:pBdr>
                        <w:tabs>
                          <w:tab w:val="left" w:leader="none" w:pos="3002"/>
                        </w:tabs>
                        <w:spacing w:after="120" w:before="120" w:line="276" w:lineRule="auto"/>
                        <w:ind w:right="0" w:firstLine="0" w:left="0"/>
                        <w:jc w:val="center"/>
                        <w:rPr/>
                      </w:pPr>
                      <w:r>
                        <w:rPr>
                          <w:rFonts w:ascii="Times New Roman" w:hAnsi="Times New Roman" w:eastAsia="Times New Roman" w:cs="Times New Roman"/>
                          <w:b/>
                          <w:color w:val="1d1b11"/>
                          <w:sz w:val="24"/>
                        </w:rPr>
                        <w:t xml:space="preserve">Khách hàng yêu cầu: </w:t>
                      </w:r>
                      <w:r>
                        <w:rPr>
                          <w:rFonts w:ascii="Times New Roman" w:hAnsi="Times New Roman" w:eastAsia="Times New Roman" w:cs="Times New Roman"/>
                          <w:b/>
                          <w:color w:val="000000"/>
                          <w:sz w:val="24"/>
                        </w:rPr>
                        <w:t xml:space="preserve">ÔNG NGUYỄN TRÍ CHUNG </w:t>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b/>
                          <w:color w:val="1d1b11"/>
                          <w:sz w:val="24"/>
                        </w:rPr>
                        <w:t xml:space="preserve">Tài sản thẩm định:</w:t>
                      </w:r>
                      <w:r>
                        <w:rPr>
                          <w:rFonts w:ascii="Times New Roman" w:hAnsi="Times New Roman" w:eastAsia="Times New Roman" w:cs="Times New Roman"/>
                          <w:color w:val="000000"/>
                          <w:sz w:val="24"/>
                        </w:rPr>
                        <w:t xml:space="preserve"> Tài sản hình thành trong tương lai là căn hộ 30-03, tại Toà căn hộ 45 tầng, dự án M Landmark Residences Đà Nẵng, có địa chỉ: tại số 58 Bạch Đằng, phường Hải Châu I, quận Hải Châu, Thành phố Đà Nẵng (Nay là phường Hải Châu, Thành phố Đà Nẵng)..</w:t>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center"/>
                        <w:rPr/>
                      </w:pPr>
                      <w:r>
                        <w:rPr>
                          <w:rFonts w:ascii="Times New Roman" w:hAnsi="Times New Roman" w:eastAsia="Times New Roman" w:cs="Times New Roman"/>
                          <w:b/>
                          <w:color w:val="000000"/>
                          <w:sz w:val="24"/>
                        </w:rPr>
                        <w:t xml:space="preserve">Thời điểm thẩm định: </w:t>
                      </w:r>
                      <w:r>
                        <w:rPr>
                          <w:rFonts w:ascii="Times New Roman" w:hAnsi="Times New Roman" w:eastAsia="Times New Roman" w:cs="Times New Roman"/>
                          <w:color w:val="000000"/>
                          <w:sz w:val="24"/>
                        </w:rPr>
                        <w:t xml:space="preserve">Tháng 08/2026.</w:t>
                      </w:r>
                      <w:r/>
                    </w:p>
                    <w:p>
                      <w:pPr>
                        <w:pBdr/>
                        <w:spacing w:after="120" w:before="120" w:line="360" w:lineRule="auto"/>
                        <w:ind/>
                        <w:jc w:val="center"/>
                        <w:rPr>
                          <w:bCs/>
                          <w:i/>
                          <w:iCs/>
                        </w:rPr>
                      </w:pPr>
                      <w:r>
                        <w:rPr>
                          <w:b/>
                          <w:bCs/>
                          <w:lang w:val="pt-BR"/>
                        </w:rPr>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color w:val="000000" w:themeColor="text1"/>
          <w:sz w:val="28"/>
        </w:rPr>
      </w:r>
      <w:r>
        <w:rPr>
          <w:b/>
          <w:color w:val="000000" w:themeColor="text1"/>
          <w:sz w:val="28"/>
        </w:rPr>
      </w:r>
      <w:r>
        <w:rPr>
          <w:b/>
          <w:color w:val="000000" w:themeColor="text1"/>
          <w:sz w:val="28"/>
        </w:rPr>
      </w:r>
    </w:p>
    <w:p>
      <w:pPr>
        <w:pBdr/>
        <w:spacing/>
        <w:ind w:right="-1"/>
        <w:jc w:val="center"/>
        <w:rPr>
          <w:color w:val="000000" w:themeColor="text1"/>
          <w:sz w:val="28"/>
        </w:rPr>
      </w:pPr>
      <w:r>
        <w:rPr>
          <w:b/>
          <w:color w:val="000000" w:themeColor="text1"/>
          <w:sz w:val="28"/>
        </w:rPr>
        <w:t xml:space="preserve">MỤC LỤC</w:t>
      </w:r>
      <w:r>
        <w:rPr>
          <w:color w:val="000000" w:themeColor="text1"/>
          <w:sz w:val="28"/>
        </w:rPr>
      </w:r>
      <w:r>
        <w:rPr>
          <w:color w:val="000000" w:themeColor="text1"/>
          <w:sz w:val="28"/>
        </w:rPr>
      </w:r>
    </w:p>
    <w:p>
      <w:pPr>
        <w:pBdr/>
        <w:spacing/>
        <w:ind/>
        <w:rPr>
          <w:color w:val="000000" w:themeColor="text1"/>
        </w:rPr>
      </w:pPr>
      <w:r>
        <w:rPr>
          <w:color w:val="000000" w:themeColor="text1"/>
        </w:rPr>
      </w:r>
      <w:r>
        <w:rPr>
          <w:color w:val="000000" w:themeColor="text1"/>
        </w:rPr>
      </w:r>
      <w:r>
        <w:rPr>
          <w:color w:val="000000" w:themeColor="text1"/>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color w:val="000000" w:themeColor="text1"/>
                <w:u w:val="single"/>
              </w:rPr>
            </w:pPr>
            <w:r>
              <w:rPr>
                <w:rFonts w:eastAsia="Calibri"/>
                <w:b/>
                <w:color w:val="000000" w:themeColor="text1"/>
                <w:u w:val="single"/>
              </w:rPr>
              <w:t xml:space="preserve">NỘI DUNG</w:t>
            </w:r>
            <w:r>
              <w:rPr>
                <w:rFonts w:eastAsia="Calibri"/>
                <w:b/>
                <w:color w:val="000000" w:themeColor="text1"/>
                <w:u w:val="single"/>
              </w:rPr>
            </w:r>
            <w:r>
              <w:rPr>
                <w:rFonts w:eastAsia="Calibri"/>
                <w:b/>
                <w:color w:val="000000" w:themeColor="text1"/>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u w:val="single"/>
              </w:rPr>
            </w:pPr>
            <w:r>
              <w:rPr>
                <w:b/>
                <w:color w:val="000000" w:themeColor="text1"/>
                <w:u w:val="single"/>
              </w:rPr>
              <w:t xml:space="preserve">TRANG</w:t>
            </w:r>
            <w:r>
              <w:rPr>
                <w:b/>
                <w:color w:val="000000" w:themeColor="text1"/>
                <w:u w:val="single"/>
              </w:rPr>
            </w:r>
            <w:r>
              <w:rPr>
                <w:b/>
                <w:color w:val="000000" w:themeColor="text1"/>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Chứng thư thẩm định giá</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t xml:space="preserve">1-3</w:t>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Báo cáo thẩm định giá</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t xml:space="preserve">4-21</w:t>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Các phụ lục chi tiết kèm theo</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color w:val="000000" w:themeColor="text1"/>
              </w:rPr>
            </w:pPr>
            <w:r>
              <w:rPr>
                <w:b/>
                <w:bCs/>
                <w:color w:val="000000" w:themeColor="text1"/>
              </w:rPr>
            </w:r>
            <w:r>
              <w:rPr>
                <w:b/>
                <w:bCs/>
                <w:color w:val="000000" w:themeColor="text1"/>
              </w:rPr>
            </w:r>
            <w:r>
              <w:rPr>
                <w:b/>
                <w:bCs/>
                <w:color w:val="000000" w:themeColor="text1"/>
              </w:rPr>
            </w:r>
          </w:p>
        </w:tc>
      </w:tr>
      <w:tr>
        <w:trPr/>
        <w:tc>
          <w:tcPr>
            <w:tcBorders/>
            <w:tcMar>
              <w:left w:w="108" w:type="dxa"/>
              <w:right w:w="108" w:type="dxa"/>
            </w:tcMar>
            <w:tcW w:w="7280" w:type="dxa"/>
            <w:vAlign w:val="center"/>
            <w:textDirection w:val="lrTb"/>
            <w:noWrap w:val="false"/>
          </w:tcPr>
          <w:p>
            <w:pPr>
              <w:pStyle w:val="1132"/>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1: Thông tin hiện trạng</w:t>
            </w:r>
            <w:r>
              <w:rPr>
                <w:bCs/>
                <w:color w:val="000000" w:themeColor="text1"/>
              </w:rPr>
            </w:r>
            <w:r>
              <w:rPr>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rPr>
            </w:pPr>
            <w:r>
              <w:rPr>
                <w:b/>
                <w:bCs/>
              </w:rPr>
              <w:t xml:space="preserve">22-23</w:t>
            </w:r>
            <w:r>
              <w:rPr>
                <w:b/>
                <w:bCs/>
                <w:color w:val="000000" w:themeColor="text1"/>
              </w:rPr>
            </w:r>
            <w:r>
              <w:rPr>
                <w:b/>
                <w:bCs/>
                <w:color w:val="000000" w:themeColor="text1"/>
              </w:rPr>
            </w:r>
          </w:p>
        </w:tc>
      </w:tr>
      <w:tr>
        <w:trPr/>
        <w:tc>
          <w:tcPr>
            <w:tcBorders/>
            <w:tcMar>
              <w:left w:w="108" w:type="dxa"/>
              <w:right w:w="108" w:type="dxa"/>
            </w:tcMar>
            <w:tcW w:w="7280" w:type="dxa"/>
            <w:vAlign w:val="center"/>
            <w:textDirection w:val="lrTb"/>
            <w:noWrap w:val="false"/>
          </w:tcPr>
          <w:p>
            <w:pPr>
              <w:pStyle w:val="1132"/>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2: Thông tin thu thập thị trường + Hồ sơ pháp lý + BBKS</w:t>
            </w:r>
            <w:r>
              <w:rPr>
                <w:bCs/>
                <w:color w:val="000000" w:themeColor="text1"/>
              </w:rPr>
            </w:r>
            <w:r>
              <w:rPr>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rPr>
            </w:pPr>
            <w:r>
              <w:rPr>
                <w:b/>
                <w:bCs/>
              </w:rPr>
              <w:t xml:space="preserve">24-29</w:t>
            </w:r>
            <w:r>
              <w:rPr>
                <w:b/>
                <w:bCs/>
                <w:color w:val="000000" w:themeColor="text1"/>
              </w:rPr>
            </w:r>
            <w:r>
              <w:rPr>
                <w:b/>
                <w:bCs/>
                <w:color w:val="000000" w:themeColor="text1"/>
              </w:rPr>
            </w:r>
          </w:p>
        </w:tc>
      </w:tr>
    </w:tbl>
    <w:p>
      <w:pPr>
        <w:pStyle w:val="113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3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3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3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3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3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3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3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3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3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3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3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3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3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3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3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3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3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31"/>
        <w:pBdr/>
        <w:tabs>
          <w:tab w:val="left" w:leader="none" w:pos="5103"/>
        </w:tabs>
        <w:spacing w:line="360" w:lineRule="auto"/>
        <w:ind/>
        <w:rPr>
          <w:b/>
          <w:color w:val="000000" w:themeColor="text1"/>
          <w:sz w:val="22"/>
          <w:szCs w:val="22"/>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color w:val="000000" w:themeColor="text1"/>
          <w:sz w:val="22"/>
          <w:szCs w:val="22"/>
        </w:rPr>
      </w:r>
      <w:r>
        <w:rPr>
          <w:b/>
          <w:color w:val="000000" w:themeColor="text1"/>
          <w:sz w:val="22"/>
          <w:szCs w:val="22"/>
        </w:rPr>
      </w:r>
      <w:r>
        <w:rPr>
          <w:b/>
          <w:color w:val="000000" w:themeColor="text1"/>
          <w:sz w:val="22"/>
          <w:szCs w:val="22"/>
        </w:rPr>
      </w:r>
    </w:p>
    <w:tbl>
      <w:tblPr>
        <w:tblInd w:w="-284" w:type="dxa"/>
        <w:tblW w:w="10092" w:type="dxa"/>
        <w:tblBorders/>
        <w:tblLayout w:type="fixed"/>
        <w:tblLook w:val="04A0" w:firstRow="1" w:lastRow="0" w:firstColumn="1" w:lastColumn="0" w:noHBand="0" w:noVBand="1"/>
      </w:tblPr>
      <w:tblGrid>
        <w:gridCol w:w="29"/>
        <w:gridCol w:w="1692"/>
        <w:gridCol w:w="1968"/>
        <w:gridCol w:w="6403"/>
      </w:tblGrid>
      <w:tr>
        <w:trPr>
          <w:trHeight w:val="1842"/>
        </w:trPr>
        <w:tc>
          <w:tcPr>
            <w:gridSpan w:val="2"/>
            <w:tcBorders/>
            <w:tcW w:w="1721"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729361" name="Picture 3" descr="Logo, company name&#10;&#10;Description automatically generated"/>
                              <pic:cNvPicPr>
                                <a:picLocks noChangeAspect="1"/>
                              </pic:cNvPicPr>
                              <pic:nvPr/>
                            </pic:nvPicPr>
                            <pic:blipFill rotWithShape="1">
                              <a:blip r:embed="rId14"/>
                              <a:stretch/>
                            </pic:blipFill>
                            <pic:spPr bwMode="auto">
                              <a:xfrm>
                                <a:off x="0" y="0"/>
                                <a:ext cx="1017904" cy="922019"/>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837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122"/>
                  <w:rFonts w:eastAsiaTheme="majorEastAsia"/>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84"/>
        </w:trPr>
        <w:tc>
          <w:tcPr>
            <w:gridSpan w:val="2"/>
            <w:shd w:val="clear" w:color="ffffff" w:fill="ffffff"/>
            <w:tcBorders/>
            <w:tcMar>
              <w:left w:w="108" w:type="dxa"/>
              <w:top w:w="0" w:type="dxa"/>
              <w:right w:w="108" w:type="dxa"/>
              <w:bottom w:w="0" w:type="dxa"/>
            </w:tcMar>
            <w:tcW w:w="3660" w:type="dxa"/>
            <w:textDirection w:val="lrTb"/>
            <w:noWrap w:val="false"/>
          </w:tcPr>
          <w:p>
            <w:pPr>
              <w:pBdr>
                <w:top w:val="none" w:color="000000" w:sz="4" w:space="0"/>
                <w:left w:val="none" w:color="000000" w:sz="4" w:space="0"/>
                <w:bottom w:val="none" w:color="000000" w:sz="4" w:space="0"/>
                <w:right w:val="none" w:color="000000" w:sz="4" w:space="0"/>
              </w:pBdr>
              <w:spacing w:after="60"/>
              <w:ind w:right="0" w:firstLine="0" w:left="0"/>
              <w:jc w:val="both"/>
              <w:rPr/>
            </w:pPr>
            <w:r>
              <w:rPr>
                <w:rFonts w:ascii="Times New Roman" w:hAnsi="Times New Roman" w:eastAsia="Times New Roman" w:cs="Times New Roman"/>
                <w:color w:val="000000"/>
                <w:sz w:val="24"/>
              </w:rPr>
              <w:t xml:space="preserve">Số:</w:t>
            </w:r>
            <w:r>
              <w:rPr>
                <w:rFonts w:ascii="Times New Roman" w:hAnsi="Times New Roman" w:eastAsia="Times New Roman" w:cs="Times New Roman"/>
                <w:color w:val="000000"/>
                <w:sz w:val="22"/>
              </w:rPr>
              <w:t xml:space="preserve"> </w:t>
            </w:r>
            <w:r>
              <w:rPr>
                <w:rFonts w:ascii="Times New Roman" w:hAnsi="Times New Roman" w:eastAsia="Times New Roman" w:cs="Times New Roman"/>
                <w:color w:val="000000"/>
                <w:sz w:val="22"/>
                <w:highlight w:val="white"/>
              </w:rPr>
              <w:t xml:space="preserve">275/2026/1313/VFI-CT.T04.A </w:t>
            </w:r>
            <w:r>
              <w:rPr>
                <w:sz w:val="24"/>
                <w:szCs w:val="24"/>
              </w:rPr>
            </w:r>
            <w:r/>
          </w:p>
        </w:tc>
        <w:tc>
          <w:tcPr>
            <w:shd w:val="clear" w:color="ffffff" w:fill="ffffff"/>
            <w:tcBorders/>
            <w:tcMar>
              <w:left w:w="108" w:type="dxa"/>
              <w:top w:w="0" w:type="dxa"/>
              <w:right w:w="108" w:type="dxa"/>
              <w:bottom w:w="0" w:type="dxa"/>
            </w:tcMar>
            <w:tcW w:w="6403" w:type="dxa"/>
            <w:textDirection w:val="lrTb"/>
            <w:noWrap w:val="false"/>
          </w:tcPr>
          <w:p>
            <w:pPr>
              <w:pBdr>
                <w:top w:val="none" w:color="000000" w:sz="4" w:space="0"/>
                <w:left w:val="none" w:color="000000" w:sz="4" w:space="0"/>
                <w:bottom w:val="none" w:color="000000" w:sz="4" w:space="0"/>
                <w:right w:val="none" w:color="000000" w:sz="4" w:space="0"/>
              </w:pBdr>
              <w:spacing w:after="60" w:before="0"/>
              <w:ind w:right="-56" w:firstLine="0" w:left="0"/>
              <w:jc w:val="right"/>
              <w:rPr/>
            </w:pPr>
            <w:r>
              <w:rPr>
                <w:rFonts w:ascii="Times New Roman" w:hAnsi="Times New Roman" w:eastAsia="Times New Roman" w:cs="Times New Roman"/>
                <w:i/>
                <w:color w:val="000000"/>
                <w:sz w:val="24"/>
              </w:rPr>
              <w:t xml:space="preserve">TP. Hà Nội</w:t>
            </w:r>
            <w:r>
              <w:rPr>
                <w:rFonts w:ascii="Times New Roman" w:hAnsi="Times New Roman" w:eastAsia="Times New Roman" w:cs="Times New Roman"/>
                <w:i/>
                <w:color w:val="0000ff"/>
                <w:sz w:val="24"/>
              </w:rPr>
              <w:t xml:space="preserve">, </w:t>
            </w:r>
            <w:r>
              <w:rPr>
                <w:rFonts w:ascii="Times New Roman" w:hAnsi="Times New Roman" w:eastAsia="Times New Roman" w:cs="Times New Roman"/>
                <w:i/>
                <w:color w:val="000000"/>
                <w:sz w:val="24"/>
              </w:rPr>
              <w:t xml:space="preserve">ngày 20 tháng 8 năm 2026</w:t>
            </w:r>
            <w:r/>
          </w:p>
        </w:tc>
      </w:tr>
      <w:tr>
        <w:trPr>
          <w:gridBefore w:val="1"/>
          <w:trHeight w:val="89"/>
        </w:trPr>
        <w:tc>
          <w:tcPr>
            <w:gridSpan w:val="2"/>
            <w:shd w:val="clear" w:color="ffffff" w:fill="ffffff"/>
            <w:tcBorders/>
            <w:tcMar>
              <w:left w:w="108" w:type="dxa"/>
              <w:top w:w="0" w:type="dxa"/>
              <w:right w:w="108" w:type="dxa"/>
              <w:bottom w:w="0" w:type="dxa"/>
            </w:tcMar>
            <w:tcW w:w="3660" w:type="dxa"/>
            <w:textDirection w:val="lrTb"/>
            <w:noWrap w:val="false"/>
          </w:tcPr>
          <w:p>
            <w:pPr>
              <w:pStyle w:val="1131"/>
              <w:pBdr/>
              <w:spacing w:after="60"/>
              <w:ind/>
              <w:rPr>
                <w:rStyle w:val="1130"/>
                <w:color w:val="000000" w:themeColor="text1"/>
                <w:lang w:val="pt-BR"/>
              </w:rPr>
            </w:pPr>
            <w:r>
              <w:rPr>
                <w:rStyle w:val="1130"/>
                <w:color w:val="000000" w:themeColor="text1"/>
                <w:lang w:val="pt-BR"/>
              </w:rPr>
            </w:r>
            <w:r>
              <w:rPr>
                <w:rStyle w:val="1130"/>
                <w:color w:val="000000" w:themeColor="text1"/>
                <w:lang w:val="pt-BR"/>
              </w:rPr>
            </w:r>
            <w:r>
              <w:rPr>
                <w:rStyle w:val="1130"/>
                <w:color w:val="000000" w:themeColor="text1"/>
                <w:lang w:val="pt-BR"/>
              </w:rPr>
            </w:r>
          </w:p>
        </w:tc>
        <w:tc>
          <w:tcPr>
            <w:shd w:val="clear" w:color="ffffff" w:fill="ffffff"/>
            <w:tcBorders/>
            <w:tcMar>
              <w:left w:w="108" w:type="dxa"/>
              <w:top w:w="0" w:type="dxa"/>
              <w:right w:w="108" w:type="dxa"/>
              <w:bottom w:w="0" w:type="dxa"/>
            </w:tcMar>
            <w:tcW w:w="6403" w:type="dxa"/>
            <w:textDirection w:val="lrTb"/>
            <w:noWrap w:val="false"/>
          </w:tcPr>
          <w:p>
            <w:pPr>
              <w:pStyle w:val="1131"/>
              <w:pBdr/>
              <w:spacing w:after="60"/>
              <w:ind w:right="-56"/>
              <w:rPr>
                <w:rStyle w:val="1130"/>
                <w:i/>
              </w:rPr>
            </w:pPr>
            <w:r>
              <w:rPr>
                <w:i/>
              </w:rPr>
            </w:r>
            <w:r>
              <w:rPr>
                <w:rStyle w:val="1130"/>
                <w:i/>
              </w:rPr>
            </w:r>
            <w:r>
              <w:rPr>
                <w:rStyle w:val="1130"/>
                <w:i/>
              </w:rPr>
            </w:r>
          </w:p>
        </w:tc>
      </w:tr>
    </w:tbl>
    <w:p>
      <w:pPr>
        <w:pBdr>
          <w:top w:val="none" w:color="000000" w:sz="4" w:space="0"/>
          <w:left w:val="none" w:color="000000" w:sz="4" w:space="0"/>
          <w:bottom w:val="none" w:color="000000" w:sz="4" w:space="0"/>
          <w:right w:val="none" w:color="000000" w:sz="4" w:space="0"/>
        </w:pBdr>
        <w:spacing w:after="120" w:before="200" w:line="288" w:lineRule="auto"/>
        <w:ind w:right="0" w:firstLine="0" w:left="0"/>
        <w:jc w:val="center"/>
        <w:rPr>
          <w:rFonts w:ascii="Times New Roman" w:hAnsi="Times New Roman" w:eastAsia="Times New Roman" w:cs="Times New Roman"/>
          <w:b/>
          <w:bCs/>
          <w:color w:val="000000"/>
          <w:sz w:val="30"/>
          <w:szCs w:val="30"/>
          <w:highlight w:val="none"/>
        </w:rPr>
      </w:pPr>
      <w:r>
        <w:rPr>
          <w:rFonts w:ascii="Times New Roman" w:hAnsi="Times New Roman" w:eastAsia="Times New Roman" w:cs="Times New Roman"/>
          <w:b/>
          <w:color w:val="000000"/>
          <w:sz w:val="30"/>
        </w:rPr>
        <w:t xml:space="preserve">CHỨNG THƯ THẨM ĐỊNH GIÁ</w:t>
      </w:r>
      <w:r>
        <w:rPr>
          <w:rFonts w:ascii="Times New Roman" w:hAnsi="Times New Roman" w:eastAsia="Times New Roman" w:cs="Times New Roman"/>
          <w:b/>
          <w:bCs/>
          <w:color w:val="000000"/>
          <w:sz w:val="30"/>
          <w:szCs w:val="30"/>
          <w:highlight w:val="none"/>
        </w:rPr>
      </w:r>
      <w:r>
        <w:rPr>
          <w:rFonts w:ascii="Times New Roman" w:hAnsi="Times New Roman" w:eastAsia="Times New Roman" w:cs="Times New Roman"/>
          <w:b/>
          <w:bCs/>
          <w:color w:val="000000"/>
          <w:sz w:val="30"/>
          <w:szCs w:val="30"/>
          <w:highlight w:val="none"/>
        </w:rP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u w:val="single"/>
        </w:rPr>
        <w:t xml:space="preserve">Kính gửi</w:t>
      </w:r>
      <w:r>
        <w:rPr>
          <w:rFonts w:ascii="Times New Roman" w:hAnsi="Times New Roman" w:eastAsia="Times New Roman" w:cs="Times New Roman"/>
          <w:b/>
          <w:color w:val="000000"/>
          <w:sz w:val="24"/>
        </w:rPr>
        <w:t xml:space="preserve">: ÔNG NGUYỄN TRÍ CHUNG</w:t>
      </w:r>
      <w:r/>
    </w:p>
    <w:p>
      <w:pPr>
        <w:pBdr>
          <w:top w:val="none" w:color="000000" w:sz="4" w:space="0"/>
          <w:left w:val="none" w:color="000000" w:sz="4" w:space="0"/>
          <w:bottom w:val="none" w:color="000000" w:sz="4" w:space="0"/>
          <w:right w:val="none" w:color="000000" w:sz="4" w:space="0"/>
        </w:pBdr>
        <w:spacing w:after="120" w:before="120" w:line="288" w:lineRule="auto"/>
        <w:ind w:right="0" w:firstLine="432" w:left="0"/>
        <w:jc w:val="both"/>
        <w:rPr/>
      </w:pPr>
      <w:r>
        <w:rPr>
          <w:rFonts w:ascii="Times New Roman" w:hAnsi="Times New Roman" w:eastAsia="Times New Roman" w:cs="Times New Roman"/>
          <w:color w:val="000000"/>
          <w:spacing w:val="-2"/>
          <w:sz w:val="24"/>
        </w:rPr>
        <w:t xml:space="preserve">Căn cứ Hợp đồng dịch vụ thẩm định giá số: </w:t>
      </w:r>
      <w:r>
        <w:rPr>
          <w:rFonts w:ascii="Times New Roman" w:hAnsi="Times New Roman" w:eastAsia="Times New Roman" w:cs="Times New Roman"/>
          <w:color w:val="000000"/>
          <w:sz w:val="24"/>
          <w:highlight w:val="white"/>
        </w:rPr>
        <w:t xml:space="preserve">275/2026/1313/VFI-HĐTĐ.T04.A</w:t>
      </w:r>
      <w:r>
        <w:rPr>
          <w:rFonts w:ascii="Times New Roman" w:hAnsi="Times New Roman" w:eastAsia="Times New Roman" w:cs="Times New Roman"/>
          <w:color w:val="000000"/>
          <w:spacing w:val="-2"/>
          <w:sz w:val="24"/>
        </w:rPr>
        <w:t xml:space="preserve"> ký </w:t>
      </w:r>
      <w:r>
        <w:rPr>
          <w:rFonts w:ascii="Times New Roman" w:hAnsi="Times New Roman" w:eastAsia="Times New Roman" w:cs="Times New Roman"/>
          <w:color w:val="000000"/>
          <w:spacing w:val="-4"/>
          <w:sz w:val="24"/>
        </w:rPr>
        <w:t xml:space="preserve">18 tháng 8 năm 2026 </w:t>
      </w:r>
      <w:r>
        <w:rPr>
          <w:rFonts w:ascii="Times New Roman" w:hAnsi="Times New Roman" w:eastAsia="Times New Roman" w:cs="Times New Roman"/>
          <w:color w:val="000000"/>
          <w:spacing w:val="-2"/>
          <w:sz w:val="24"/>
        </w:rPr>
        <w:t xml:space="preserve">giữa </w:t>
      </w:r>
      <w:r>
        <w:rPr>
          <w:rFonts w:ascii="Times New Roman" w:hAnsi="Times New Roman" w:eastAsia="Times New Roman" w:cs="Times New Roman"/>
          <w:color w:val="000000"/>
          <w:spacing w:val="-2"/>
          <w:sz w:val="24"/>
        </w:rPr>
        <w:t xml:space="preserve">ông Nguyễn Trí Chung với </w:t>
      </w:r>
      <w:r>
        <w:rPr>
          <w:rFonts w:ascii="Times New Roman" w:hAnsi="Times New Roman" w:eastAsia="Times New Roman" w:cs="Times New Roman"/>
          <w:color w:val="000000"/>
          <w:spacing w:val="-4"/>
          <w:sz w:val="24"/>
        </w:rPr>
        <w:t xml:space="preserve">Công ty Cổ phần Thẩm định và Đầu tư Tài chính Hoa Sen</w:t>
      </w:r>
      <w:r>
        <w:rPr>
          <w:rFonts w:ascii="Times New Roman" w:hAnsi="Times New Roman" w:eastAsia="Times New Roman" w:cs="Times New Roman"/>
          <w:color w:val="000000"/>
          <w:spacing w:val="-2"/>
          <w:sz w:val="24"/>
        </w:rPr>
        <w:t xml:space="preserve">;</w:t>
      </w:r>
      <w:r/>
    </w:p>
    <w:p>
      <w:pPr>
        <w:pBdr>
          <w:top w:val="none" w:color="000000" w:sz="4" w:space="0"/>
          <w:left w:val="none" w:color="000000" w:sz="4" w:space="0"/>
          <w:bottom w:val="none" w:color="000000" w:sz="4" w:space="0"/>
          <w:right w:val="none" w:color="000000" w:sz="4" w:space="0"/>
        </w:pBdr>
        <w:spacing w:after="120" w:before="120" w:line="288" w:lineRule="auto"/>
        <w:ind w:right="0" w:firstLine="432" w:left="0"/>
        <w:rPr/>
      </w:pPr>
      <w:r>
        <w:rPr>
          <w:rFonts w:ascii="Times New Roman" w:hAnsi="Times New Roman" w:eastAsia="Times New Roman" w:cs="Times New Roman"/>
          <w:color w:val="000000"/>
          <w:spacing w:val="-2"/>
          <w:sz w:val="24"/>
        </w:rPr>
        <w:t xml:space="preserve">Căn cứ Báo cáo thẩm định giá số </w:t>
      </w:r>
      <w:r>
        <w:rPr>
          <w:rFonts w:ascii="Times New Roman" w:hAnsi="Times New Roman" w:eastAsia="Times New Roman" w:cs="Times New Roman"/>
          <w:color w:val="000000"/>
          <w:spacing w:val="-2"/>
          <w:sz w:val="24"/>
          <w:highlight w:val="white"/>
        </w:rPr>
        <w:t xml:space="preserve"> </w:t>
      </w:r>
      <w:r>
        <w:rPr>
          <w:rFonts w:ascii="Times New Roman" w:hAnsi="Times New Roman" w:eastAsia="Times New Roman" w:cs="Times New Roman"/>
          <w:color w:val="000000"/>
          <w:spacing w:val="-4"/>
          <w:sz w:val="24"/>
          <w:highlight w:val="white"/>
        </w:rPr>
        <w:t xml:space="preserve">275/2026/1313/VFI-BC.T04.A</w:t>
      </w:r>
      <w:r>
        <w:rPr>
          <w:rFonts w:ascii="Times New Roman" w:hAnsi="Times New Roman" w:eastAsia="Times New Roman" w:cs="Times New Roman"/>
          <w:color w:val="000000"/>
          <w:spacing w:val="-2"/>
          <w:sz w:val="24"/>
        </w:rPr>
        <w:t xml:space="preserve">  ngày</w:t>
      </w:r>
      <w:r>
        <w:rPr>
          <w:rFonts w:ascii="Times New Roman" w:hAnsi="Times New Roman" w:eastAsia="Times New Roman" w:cs="Times New Roman"/>
          <w:color w:val="00b050"/>
          <w:spacing w:val="-2"/>
          <w:sz w:val="24"/>
        </w:rPr>
        <w:t xml:space="preserve"> </w:t>
      </w:r>
      <w:r>
        <w:rPr>
          <w:rFonts w:ascii="Times New Roman" w:hAnsi="Times New Roman" w:eastAsia="Times New Roman" w:cs="Times New Roman"/>
          <w:color w:val="000000"/>
          <w:spacing w:val="-2"/>
          <w:sz w:val="24"/>
        </w:rPr>
        <w:t xml:space="preserve">20 tháng 8 năm 2026 của Công ty Cổ phần Thẩm định và Đầu tư Tài chính Hoa Sen;</w:t>
      </w:r>
      <w:r/>
    </w:p>
    <w:p>
      <w:pPr>
        <w:pBdr>
          <w:top w:val="none" w:color="000000" w:sz="4" w:space="0"/>
          <w:left w:val="none" w:color="000000" w:sz="4" w:space="0"/>
          <w:bottom w:val="none" w:color="000000" w:sz="4" w:space="0"/>
          <w:right w:val="none" w:color="000000" w:sz="4" w:space="0"/>
        </w:pBdr>
        <w:spacing w:after="120" w:before="120" w:line="288" w:lineRule="auto"/>
        <w:ind w:right="0" w:firstLine="432" w:left="0"/>
        <w:rPr/>
      </w:pPr>
      <w:r>
        <w:rPr>
          <w:rFonts w:ascii="Times New Roman" w:hAnsi="Times New Roman" w:eastAsia="Times New Roman" w:cs="Times New Roman"/>
          <w:color w:val="000000"/>
          <w:sz w:val="24"/>
        </w:rPr>
        <w:t xml:space="preserve">Công ty Cổ phần Thẩm định và Đầu tư Tài chính Hoa Sen cung cấp Chứng thư thẩm định giá tài sản với nội dung sau:</w:t>
      </w:r>
      <w:r/>
    </w:p>
    <w:p>
      <w:pPr>
        <w:pBdr>
          <w:top w:val="none" w:color="000000" w:sz="4" w:space="0"/>
          <w:left w:val="none" w:color="000000" w:sz="4" w:space="0"/>
          <w:bottom w:val="none" w:color="000000" w:sz="4" w:space="0"/>
          <w:right w:val="none" w:color="000000" w:sz="4" w:space="0"/>
        </w:pBdr>
        <w:tabs>
          <w:tab w:val="left" w:leader="none" w:pos="851"/>
        </w:tabs>
        <w:spacing w:after="120" w:before="120" w:line="288" w:lineRule="auto"/>
        <w:ind w:right="0" w:firstLine="0" w:left="0"/>
        <w:jc w:val="both"/>
        <w:rPr/>
      </w:pPr>
      <w:r>
        <w:rPr>
          <w:rFonts w:ascii="Times New Roman" w:hAnsi="Times New Roman" w:eastAsia="Times New Roman" w:cs="Times New Roman"/>
          <w:b/>
          <w:color w:val="000000"/>
          <w:sz w:val="24"/>
        </w:rPr>
        <w:t xml:space="preserve">1. Khách hàng yêu cầu thẩm định giá:</w:t>
      </w:r>
      <w:r/>
    </w:p>
    <w:tbl>
      <w:tblPr>
        <w:tblStyle w:val="1136"/>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2154"/>
        <w:gridCol w:w="283"/>
        <w:gridCol w:w="7372"/>
      </w:tblGrid>
      <w:tr>
        <w:trPr>
          <w:trHeight w:val="495"/>
        </w:trPr>
        <w:tc>
          <w:tcPr>
            <w:tcBorders/>
            <w:tcMar>
              <w:left w:w="108" w:type="dxa"/>
              <w:top w:w="0" w:type="dxa"/>
              <w:right w:w="108" w:type="dxa"/>
              <w:bottom w:w="0" w:type="dxa"/>
            </w:tcMar>
            <w:tcW w:w="215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Tên khách hàng</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3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ÔNG NGUYỄN TRÍ CHUNG </w:t>
            </w:r>
            <w:r/>
          </w:p>
        </w:tc>
      </w:tr>
      <w:tr>
        <w:trPr>
          <w:trHeight w:val="20"/>
        </w:trPr>
        <w:tc>
          <w:tcPr>
            <w:tcBorders/>
            <w:tcMar>
              <w:left w:w="108" w:type="dxa"/>
              <w:top w:w="0" w:type="dxa"/>
              <w:right w:w="108" w:type="dxa"/>
              <w:bottom w:w="0" w:type="dxa"/>
            </w:tcMar>
            <w:tcW w:w="215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CCCD</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37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027083000480</w:t>
            </w:r>
            <w:r/>
          </w:p>
        </w:tc>
      </w:tr>
      <w:tr>
        <w:trPr>
          <w:trHeight w:val="113"/>
        </w:trPr>
        <w:tc>
          <w:tcPr>
            <w:tcBorders/>
            <w:tcMar>
              <w:left w:w="108" w:type="dxa"/>
              <w:top w:w="0" w:type="dxa"/>
              <w:right w:w="108" w:type="dxa"/>
              <w:bottom w:w="0" w:type="dxa"/>
            </w:tcMar>
            <w:tcW w:w="215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Địa chỉ </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3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22 Phó Đức Chính, Trúc Bạch, Ba Đình, Hà Nội </w:t>
            </w: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2. Thông tin về doanh nghiệp thẩm định giá:</w:t>
      </w:r>
      <w:r/>
    </w:p>
    <w:tbl>
      <w:tblPr>
        <w:tblStyle w:val="1136"/>
        <w:tblInd w:w="-34"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2188"/>
        <w:gridCol w:w="283"/>
        <w:gridCol w:w="6567"/>
        <w:gridCol w:w="57"/>
      </w:tblGrid>
      <w:tr>
        <w:trPr>
          <w:trHeight w:val="20"/>
        </w:trPr>
        <w:tc>
          <w:tcPr>
            <w:tcBorders/>
            <w:tcMar>
              <w:left w:w="108" w:type="dxa"/>
              <w:top w:w="0" w:type="dxa"/>
              <w:right w:w="108" w:type="dxa"/>
              <w:bottom w:w="0" w:type="dxa"/>
            </w:tcMar>
            <w:tcW w:w="218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pPr>
            <w:r>
              <w:rPr>
                <w:rFonts w:ascii="Times New Roman" w:hAnsi="Times New Roman" w:eastAsia="Times New Roman" w:cs="Times New Roman"/>
                <w:color w:val="000000"/>
                <w:sz w:val="24"/>
              </w:rPr>
              <w:t xml:space="preserve">Đơn vị thẩm định</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567"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pPr>
            <w:r>
              <w:rPr>
                <w:rFonts w:ascii="Times New Roman" w:hAnsi="Times New Roman" w:eastAsia="Times New Roman" w:cs="Times New Roman"/>
                <w:b/>
                <w:color w:val="000000"/>
                <w:spacing w:val="-4"/>
                <w:sz w:val="24"/>
              </w:rPr>
              <w:t xml:space="preserve">CÔNG TY CỔ PHẦN THẨM ĐỊNH VÀ ĐẦU TƯ TÀI CHÍNH HOA SEN</w:t>
            </w:r>
            <w:r/>
          </w:p>
        </w:tc>
        <w:tc>
          <w:tcPr>
            <w:tcBorders/>
            <w:tcMar>
              <w:left w:w="0" w:type="dxa"/>
              <w:top w:w="0" w:type="dxa"/>
              <w:right w:w="0" w:type="dxa"/>
              <w:bottom w:w="0" w:type="dxa"/>
            </w:tcMar>
            <w:tcW w:w="57" w:type="dxa"/>
            <w:vAlign w:val="center"/>
            <w:textDirection w:val="lrTb"/>
            <w:noWrap w:val="false"/>
          </w:tcPr>
          <w:p>
            <w:pPr>
              <w:pBdr/>
              <w:spacing w:after="0" w:before="0" w:line="240" w:lineRule="auto"/>
              <w:ind/>
              <w:rPr/>
            </w:pPr>
            <w:r/>
            <w:r/>
          </w:p>
        </w:tc>
      </w:tr>
      <w:tr>
        <w:trPr>
          <w:trHeight w:val="20"/>
        </w:trPr>
        <w:tc>
          <w:tcPr>
            <w:tcBorders/>
            <w:tcMar>
              <w:left w:w="108" w:type="dxa"/>
              <w:top w:w="0" w:type="dxa"/>
              <w:right w:w="108" w:type="dxa"/>
              <w:bottom w:w="0" w:type="dxa"/>
            </w:tcMar>
            <w:tcW w:w="218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pPr>
            <w:r>
              <w:rPr>
                <w:rFonts w:ascii="Times New Roman" w:hAnsi="Times New Roman" w:eastAsia="Times New Roman" w:cs="Times New Roman"/>
                <w:color w:val="000000"/>
                <w:sz w:val="24"/>
              </w:rPr>
              <w:t xml:space="preserve">Địa chỉ trụ sở</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567"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pPr>
            <w:r>
              <w:rPr>
                <w:rFonts w:ascii="Times New Roman" w:hAnsi="Times New Roman" w:eastAsia="Times New Roman" w:cs="Times New Roman"/>
                <w:color w:val="000000"/>
                <w:spacing w:val="-2"/>
                <w:sz w:val="24"/>
              </w:rPr>
              <w:t xml:space="preserve">BT5 - 23, Khu đô thị mới Văn Phú, Phường Kiến Hưng, Thành phố Hà Nội</w:t>
            </w:r>
            <w:r/>
          </w:p>
        </w:tc>
        <w:tc>
          <w:tcPr>
            <w:tcBorders/>
            <w:tcMar>
              <w:left w:w="0" w:type="dxa"/>
              <w:top w:w="0" w:type="dxa"/>
              <w:right w:w="0" w:type="dxa"/>
              <w:bottom w:w="0" w:type="dxa"/>
            </w:tcMar>
            <w:tcW w:w="57" w:type="dxa"/>
            <w:vAlign w:val="center"/>
            <w:textDirection w:val="lrTb"/>
            <w:noWrap w:val="false"/>
          </w:tcPr>
          <w:p>
            <w:pPr>
              <w:pBdr/>
              <w:spacing w:after="0" w:before="0" w:line="240" w:lineRule="auto"/>
              <w:ind/>
              <w:rPr/>
            </w:pPr>
            <w:r/>
            <w:r/>
          </w:p>
        </w:tc>
      </w:tr>
      <w:tr>
        <w:trPr>
          <w:trHeight w:val="20"/>
        </w:trPr>
        <w:tc>
          <w:tcPr>
            <w:tcBorders/>
            <w:tcMar>
              <w:left w:w="108" w:type="dxa"/>
              <w:top w:w="0" w:type="dxa"/>
              <w:right w:w="108" w:type="dxa"/>
              <w:bottom w:w="0" w:type="dxa"/>
            </w:tcMar>
            <w:tcW w:w="218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pPr>
            <w:r>
              <w:rPr>
                <w:rFonts w:ascii="Times New Roman" w:hAnsi="Times New Roman" w:eastAsia="Times New Roman" w:cs="Times New Roman"/>
                <w:color w:val="000000"/>
                <w:sz w:val="24"/>
              </w:rPr>
              <w:t xml:space="preserve">Điện thoại</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6567"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3382"/>
              </w:tabs>
              <w:spacing w:after="40" w:before="40" w:line="288" w:lineRule="auto"/>
              <w:ind w:right="0" w:firstLine="0" w:left="0"/>
              <w:rPr/>
            </w:pPr>
            <w:r>
              <w:rPr>
                <w:rFonts w:ascii="Times New Roman" w:hAnsi="Times New Roman" w:eastAsia="Times New Roman" w:cs="Times New Roman"/>
                <w:color w:val="000000"/>
                <w:sz w:val="24"/>
              </w:rPr>
              <w:t xml:space="preserve">024 2264 4333</w:t>
            </w:r>
            <w:r/>
          </w:p>
        </w:tc>
        <w:tc>
          <w:tcPr>
            <w:tcBorders/>
            <w:tcMar>
              <w:left w:w="0" w:type="dxa"/>
              <w:top w:w="0" w:type="dxa"/>
              <w:right w:w="0" w:type="dxa"/>
              <w:bottom w:w="0" w:type="dxa"/>
            </w:tcMar>
            <w:tcW w:w="57" w:type="dxa"/>
            <w:vAlign w:val="center"/>
            <w:textDirection w:val="lrTb"/>
            <w:noWrap w:val="false"/>
          </w:tcPr>
          <w:p>
            <w:pPr>
              <w:pBdr/>
              <w:spacing w:after="0" w:before="0" w:line="240" w:lineRule="auto"/>
              <w:ind/>
              <w:rPr/>
            </w:pPr>
            <w:r/>
            <w:r/>
          </w:p>
        </w:tc>
      </w:tr>
      <w:tr>
        <w:trPr>
          <w:trHeight w:val="20"/>
        </w:trPr>
        <w:tc>
          <w:tcPr>
            <w:tcBorders/>
            <w:tcMar>
              <w:left w:w="108" w:type="dxa"/>
              <w:top w:w="0" w:type="dxa"/>
              <w:right w:w="108" w:type="dxa"/>
              <w:bottom w:w="0" w:type="dxa"/>
            </w:tcMar>
            <w:tcW w:w="218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pPr>
            <w:r>
              <w:rPr>
                <w:rFonts w:ascii="Times New Roman" w:hAnsi="Times New Roman" w:eastAsia="Times New Roman" w:cs="Times New Roman"/>
                <w:color w:val="000000"/>
                <w:sz w:val="24"/>
              </w:rPr>
              <w:t xml:space="preserve">Mã số thuế</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567"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pPr>
            <w:r>
              <w:rPr>
                <w:rFonts w:ascii="Times New Roman" w:hAnsi="Times New Roman" w:eastAsia="Times New Roman" w:cs="Times New Roman"/>
                <w:color w:val="000000"/>
                <w:sz w:val="24"/>
              </w:rPr>
              <w:t xml:space="preserve">0102708994</w:t>
            </w:r>
            <w:r/>
          </w:p>
        </w:tc>
        <w:tc>
          <w:tcPr>
            <w:tcBorders/>
            <w:tcMar>
              <w:left w:w="0" w:type="dxa"/>
              <w:top w:w="0" w:type="dxa"/>
              <w:right w:w="0" w:type="dxa"/>
              <w:bottom w:w="0" w:type="dxa"/>
            </w:tcMar>
            <w:tcW w:w="57" w:type="dxa"/>
            <w:vAlign w:val="center"/>
            <w:textDirection w:val="lrTb"/>
            <w:noWrap w:val="false"/>
          </w:tcPr>
          <w:p>
            <w:pPr>
              <w:pBdr/>
              <w:spacing w:after="0" w:before="0" w:line="240" w:lineRule="auto"/>
              <w:ind/>
              <w:rPr/>
            </w:pPr>
            <w:r/>
            <w:r/>
          </w:p>
        </w:tc>
      </w:tr>
      <w:tr>
        <w:trPr>
          <w:trHeight w:val="20"/>
        </w:trPr>
        <w:tc>
          <w:tcPr>
            <w:tcBorders/>
            <w:tcMar>
              <w:left w:w="108" w:type="dxa"/>
              <w:top w:w="0" w:type="dxa"/>
              <w:right w:w="108" w:type="dxa"/>
              <w:bottom w:w="0" w:type="dxa"/>
            </w:tcMar>
            <w:tcW w:w="218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pPr>
            <w:r>
              <w:rPr>
                <w:rFonts w:ascii="Times New Roman" w:hAnsi="Times New Roman" w:eastAsia="Times New Roman" w:cs="Times New Roman"/>
                <w:color w:val="000000"/>
                <w:sz w:val="24"/>
              </w:rPr>
              <w:t xml:space="preserve">GCN đủ điều kiện hành nghề</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567"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pPr>
            <w:r>
              <w:rPr>
                <w:rFonts w:ascii="Times New Roman" w:hAnsi="Times New Roman" w:eastAsia="Times New Roman" w:cs="Times New Roman"/>
                <w:color w:val="000000"/>
                <w:sz w:val="24"/>
              </w:rPr>
              <w:t xml:space="preserve">275/TĐG</w:t>
            </w:r>
            <w:r/>
          </w:p>
        </w:tc>
        <w:tc>
          <w:tcPr>
            <w:tcBorders/>
            <w:tcMar>
              <w:left w:w="0" w:type="dxa"/>
              <w:top w:w="0" w:type="dxa"/>
              <w:right w:w="0" w:type="dxa"/>
              <w:bottom w:w="0" w:type="dxa"/>
            </w:tcMar>
            <w:tcW w:w="57" w:type="dxa"/>
            <w:vAlign w:val="center"/>
            <w:textDirection w:val="lrTb"/>
            <w:noWrap w:val="false"/>
          </w:tcPr>
          <w:p>
            <w:pPr>
              <w:pBdr/>
              <w:spacing w:after="0" w:before="0" w:line="240" w:lineRule="auto"/>
              <w:ind/>
              <w:rPr/>
            </w:pPr>
            <w:r/>
            <w:r/>
          </w:p>
        </w:tc>
      </w:tr>
      <w:tr>
        <w:trPr>
          <w:trHeight w:val="20"/>
        </w:trPr>
        <w:tc>
          <w:tcPr>
            <w:tcBorders/>
            <w:tcMar>
              <w:left w:w="108" w:type="dxa"/>
              <w:top w:w="0" w:type="dxa"/>
              <w:right w:w="108" w:type="dxa"/>
              <w:bottom w:w="0" w:type="dxa"/>
            </w:tcMar>
            <w:tcW w:w="218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pPr>
            <w:r>
              <w:rPr>
                <w:rFonts w:ascii="Times New Roman" w:hAnsi="Times New Roman" w:eastAsia="Times New Roman" w:cs="Times New Roman"/>
                <w:color w:val="000000"/>
                <w:sz w:val="24"/>
              </w:rPr>
              <w:t xml:space="preserve">Thông báo</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567"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pPr>
            <w:r>
              <w:rPr>
                <w:rFonts w:ascii="Times New Roman" w:hAnsi="Times New Roman" w:eastAsia="Times New Roman" w:cs="Times New Roman"/>
                <w:color w:val="000000"/>
                <w:sz w:val="24"/>
              </w:rPr>
              <w:t xml:space="preserve">Số 1294/TB-BTC ngày 25/12/2025</w:t>
            </w:r>
            <w:r>
              <w:rPr>
                <w:rFonts w:ascii="Segoe UI" w:hAnsi="Segoe UI" w:eastAsia="Segoe UI" w:cs="Segoe UI"/>
                <w:color w:val="000000"/>
                <w:sz w:val="21"/>
              </w:rPr>
              <w:t xml:space="preserve"> </w:t>
            </w:r>
            <w:r>
              <w:rPr>
                <w:rFonts w:ascii="Times New Roman" w:hAnsi="Times New Roman" w:eastAsia="Times New Roman" w:cs="Times New Roman"/>
                <w:color w:val="000000"/>
                <w:sz w:val="24"/>
              </w:rPr>
              <w:t xml:space="preserve">về việc doanh nghiệp đủ điều kiện kinh doanh Dịch vụ thẩm định giá.</w:t>
            </w:r>
            <w:r/>
          </w:p>
        </w:tc>
        <w:tc>
          <w:tcPr>
            <w:tcBorders/>
            <w:tcMar>
              <w:left w:w="0" w:type="dxa"/>
              <w:top w:w="0" w:type="dxa"/>
              <w:right w:w="0" w:type="dxa"/>
              <w:bottom w:w="0" w:type="dxa"/>
            </w:tcMar>
            <w:tcW w:w="57" w:type="dxa"/>
            <w:vAlign w:val="center"/>
            <w:textDirection w:val="lrTb"/>
            <w:noWrap w:val="false"/>
          </w:tcPr>
          <w:p>
            <w:pPr>
              <w:pBdr/>
              <w:spacing w:after="0" w:before="0" w:line="240" w:lineRule="auto"/>
              <w:ind/>
              <w:rPr/>
            </w:pPr>
            <w:r/>
            <w:r/>
          </w:p>
        </w:tc>
      </w:tr>
      <w:tr>
        <w:trPr>
          <w:trHeight w:val="20"/>
        </w:trPr>
        <w:tc>
          <w:tcPr>
            <w:tcBorders/>
            <w:tcMar>
              <w:left w:w="108" w:type="dxa"/>
              <w:top w:w="0" w:type="dxa"/>
              <w:right w:w="108" w:type="dxa"/>
              <w:bottom w:w="0" w:type="dxa"/>
            </w:tcMar>
            <w:tcW w:w="218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pPr>
            <w:r>
              <w:rPr>
                <w:rFonts w:ascii="Times New Roman" w:hAnsi="Times New Roman" w:eastAsia="Times New Roman" w:cs="Times New Roman"/>
                <w:color w:val="000000"/>
                <w:sz w:val="24"/>
              </w:rPr>
              <w:t xml:space="preserve">Tài khoản số</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567"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pPr>
            <w:r>
              <w:rPr>
                <w:rFonts w:ascii="Times New Roman" w:hAnsi="Times New Roman" w:eastAsia="Times New Roman" w:cs="Times New Roman"/>
                <w:color w:val="000000"/>
                <w:spacing w:val="-4"/>
                <w:sz w:val="24"/>
              </w:rPr>
              <w:t xml:space="preserve">1505112366666 tại Agribank Chi nhánh Hà Nội II</w:t>
            </w:r>
            <w:r/>
          </w:p>
        </w:tc>
        <w:tc>
          <w:tcPr>
            <w:tcBorders/>
            <w:tcMar>
              <w:left w:w="0" w:type="dxa"/>
              <w:top w:w="0" w:type="dxa"/>
              <w:right w:w="0" w:type="dxa"/>
              <w:bottom w:w="0" w:type="dxa"/>
            </w:tcMar>
            <w:tcW w:w="57" w:type="dxa"/>
            <w:vAlign w:val="center"/>
            <w:textDirection w:val="lrTb"/>
            <w:noWrap w:val="false"/>
          </w:tcPr>
          <w:p>
            <w:pPr>
              <w:pBdr/>
              <w:spacing w:after="0" w:before="0" w:line="240" w:lineRule="auto"/>
              <w:ind/>
              <w:rPr/>
            </w:pPr>
            <w:r/>
            <w:r/>
          </w:p>
        </w:tc>
      </w:tr>
      <w:tr>
        <w:trPr>
          <w:trHeight w:val="20"/>
        </w:trPr>
        <w:tc>
          <w:tcPr>
            <w:tcBorders/>
            <w:tcMar>
              <w:left w:w="108" w:type="dxa"/>
              <w:top w:w="0" w:type="dxa"/>
              <w:right w:w="108" w:type="dxa"/>
              <w:bottom w:w="0" w:type="dxa"/>
            </w:tcMar>
            <w:tcW w:w="218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pPr>
            <w:r>
              <w:rPr>
                <w:rFonts w:ascii="Times New Roman" w:hAnsi="Times New Roman" w:eastAsia="Times New Roman" w:cs="Times New Roman"/>
                <w:color w:val="000000"/>
                <w:sz w:val="24"/>
              </w:rPr>
              <w:t xml:space="preserve">Đại diện</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567"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pPr>
            <w:r>
              <w:rPr>
                <w:rFonts w:ascii="Times New Roman" w:hAnsi="Times New Roman" w:eastAsia="Times New Roman" w:cs="Times New Roman"/>
                <w:b/>
                <w:color w:val="000000"/>
                <w:sz w:val="24"/>
              </w:rPr>
              <w:t xml:space="preserve">Ông  Vũ Văn Quân</w:t>
              <w:tab/>
            </w:r>
            <w:r/>
          </w:p>
        </w:tc>
        <w:tc>
          <w:tcPr>
            <w:tcBorders/>
            <w:tcMar>
              <w:left w:w="0" w:type="dxa"/>
              <w:top w:w="0" w:type="dxa"/>
              <w:right w:w="0" w:type="dxa"/>
              <w:bottom w:w="0" w:type="dxa"/>
            </w:tcMar>
            <w:tcW w:w="57" w:type="dxa"/>
            <w:vAlign w:val="center"/>
            <w:textDirection w:val="lrTb"/>
            <w:noWrap w:val="false"/>
          </w:tcPr>
          <w:p>
            <w:pPr>
              <w:pBdr/>
              <w:spacing w:after="0" w:before="0" w:line="240" w:lineRule="auto"/>
              <w:ind/>
              <w:rPr/>
            </w:pPr>
            <w:r/>
            <w:r/>
          </w:p>
        </w:tc>
      </w:tr>
      <w:tr>
        <w:trPr>
          <w:trHeight w:val="371"/>
        </w:trPr>
        <w:tc>
          <w:tcPr>
            <w:tcBorders/>
            <w:tcMar>
              <w:left w:w="108" w:type="dxa"/>
              <w:top w:w="0" w:type="dxa"/>
              <w:right w:w="108" w:type="dxa"/>
              <w:bottom w:w="0" w:type="dxa"/>
            </w:tcMar>
            <w:tcW w:w="218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pPr>
            <w:r>
              <w:rPr>
                <w:rFonts w:ascii="Times New Roman" w:hAnsi="Times New Roman" w:eastAsia="Times New Roman" w:cs="Times New Roman"/>
                <w:color w:val="000000"/>
                <w:sz w:val="24"/>
              </w:rPr>
              <w:t xml:space="preserve">Chức vụ</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567"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pPr>
            <w:r>
              <w:rPr>
                <w:rFonts w:ascii="Times New Roman" w:hAnsi="Times New Roman" w:eastAsia="Times New Roman" w:cs="Times New Roman"/>
                <w:b/>
                <w:color w:val="000000"/>
                <w:sz w:val="24"/>
              </w:rPr>
              <w:t xml:space="preserve">Chủ tịch HĐQT kiêm Tổng Giám Đốc</w:t>
            </w:r>
            <w:r/>
          </w:p>
        </w:tc>
        <w:tc>
          <w:tcPr>
            <w:tcBorders/>
            <w:tcMar>
              <w:left w:w="0" w:type="dxa"/>
              <w:top w:w="0" w:type="dxa"/>
              <w:right w:w="0" w:type="dxa"/>
              <w:bottom w:w="0" w:type="dxa"/>
            </w:tcMar>
            <w:tcW w:w="57" w:type="dxa"/>
            <w:vAlign w:val="center"/>
            <w:textDirection w:val="lrTb"/>
            <w:noWrap w:val="false"/>
          </w:tcPr>
          <w:p>
            <w:pPr>
              <w:pBdr/>
              <w:spacing w:after="0" w:before="0" w:line="240" w:lineRule="auto"/>
              <w:ind/>
              <w:rPr/>
            </w:pPr>
            <w:r/>
            <w:r/>
          </w:p>
        </w:tc>
      </w:tr>
    </w:tbl>
    <w:p>
      <w:pPr>
        <w:pBdr>
          <w:top w:val="none" w:color="000000" w:sz="4" w:space="0"/>
          <w:left w:val="none" w:color="000000" w:sz="4" w:space="0"/>
          <w:bottom w:val="none" w:color="000000" w:sz="4" w:space="0"/>
          <w:right w:val="none" w:color="000000" w:sz="4" w:space="0"/>
        </w:pBdr>
        <w:spacing w:after="120" w:before="120" w:line="312" w:lineRule="auto"/>
        <w:ind w:right="0" w:firstLine="0" w:left="0"/>
        <w:jc w:val="both"/>
        <w:rPr/>
      </w:pPr>
      <w:r>
        <w:rPr>
          <w:rFonts w:ascii="Times New Roman" w:hAnsi="Times New Roman" w:eastAsia="Times New Roman" w:cs="Times New Roman"/>
          <w:b/>
          <w:color w:val="000000"/>
          <w:sz w:val="24"/>
        </w:rPr>
        <w:t xml:space="preserve">3. Tài sản thẩm định:</w:t>
      </w:r>
      <w:r>
        <w:rPr>
          <w:rFonts w:ascii="Times New Roman" w:hAnsi="Times New Roman" w:eastAsia="Times New Roman" w:cs="Times New Roman"/>
          <w:color w:val="000000"/>
          <w:sz w:val="24"/>
        </w:rPr>
        <w:t xml:space="preserve"> Tài sản hình thành trong tương lai là căn hộ 30-03, tại Toà căn hộ 45 tầng, dự án M Landmark Residences Đà Nẵng, có địa chỉ: tại số 58 Bạch Đằng, phường Hải Châu I, quận Hải Châu, Thành phố Đà Nẵng (Nay là phường Hải Châu, Thành phố Đà Nẵng)..</w:t>
      </w:r>
      <w:r/>
    </w:p>
    <w:p>
      <w:pPr>
        <w:pBdr>
          <w:top w:val="none" w:color="000000" w:sz="4" w:space="0"/>
          <w:left w:val="none" w:color="000000" w:sz="4" w:space="0"/>
          <w:bottom w:val="none" w:color="000000" w:sz="4" w:space="0"/>
          <w:right w:val="none" w:color="000000" w:sz="4" w:space="0"/>
        </w:pBdr>
        <w:spacing w:after="120" w:before="120" w:line="312" w:lineRule="auto"/>
        <w:ind w:right="0" w:firstLine="0" w:left="0"/>
        <w:jc w:val="both"/>
        <w:rPr/>
      </w:pPr>
      <w:r>
        <w:rPr>
          <w:rFonts w:ascii="Times New Roman" w:hAnsi="Times New Roman" w:eastAsia="Times New Roman" w:cs="Times New Roman"/>
          <w:b/>
          <w:color w:val="000000"/>
          <w:sz w:val="24"/>
        </w:rPr>
        <w:t xml:space="preserve">4. Thời điểm thẩm định giá:</w:t>
      </w:r>
      <w:r>
        <w:rPr>
          <w:rFonts w:ascii="Times New Roman" w:hAnsi="Times New Roman" w:eastAsia="Times New Roman" w:cs="Times New Roman"/>
          <w:color w:val="000000"/>
          <w:sz w:val="24"/>
        </w:rPr>
        <w:t xml:space="preserve"> Tháng 08/2026.</w:t>
      </w:r>
      <w:r/>
    </w:p>
    <w:p>
      <w:pPr>
        <w:pBdr>
          <w:top w:val="none" w:color="000000" w:sz="4" w:space="0"/>
          <w:left w:val="none" w:color="000000" w:sz="4" w:space="0"/>
          <w:bottom w:val="none" w:color="000000" w:sz="4" w:space="0"/>
          <w:right w:val="none" w:color="000000" w:sz="4" w:space="0"/>
        </w:pBdr>
        <w:tabs>
          <w:tab w:val="left" w:leader="none" w:pos="851"/>
        </w:tabs>
        <w:spacing w:after="120" w:before="120" w:line="312" w:lineRule="auto"/>
        <w:ind w:right="0" w:firstLine="0" w:left="0"/>
        <w:jc w:val="both"/>
        <w:rPr/>
      </w:pPr>
      <w:r>
        <w:rPr>
          <w:rFonts w:ascii="Times New Roman" w:hAnsi="Times New Roman" w:eastAsia="Times New Roman" w:cs="Times New Roman"/>
          <w:b/>
          <w:color w:val="000000"/>
          <w:sz w:val="24"/>
        </w:rPr>
        <w:t xml:space="preserve">5. Mục đích thẩm định giá:</w:t>
      </w:r>
      <w:r>
        <w:rPr>
          <w:rFonts w:ascii="Times New Roman" w:hAnsi="Times New Roman" w:eastAsia="Times New Roman" w:cs="Times New Roman"/>
          <w:color w:val="000000"/>
          <w:spacing w:val="-4"/>
          <w:sz w:val="24"/>
        </w:rPr>
        <w:t xml:space="preserve"> Kết quả thẩm định giá để khách hàng tham khảo giá trị tài sản phục vụ công tác  vay vốn tại tổ chức tín dụng</w:t>
      </w:r>
      <w:r>
        <w:rPr>
          <w:rFonts w:ascii="Times New Roman" w:hAnsi="Times New Roman" w:eastAsia="Times New Roman" w:cs="Times New Roman"/>
          <w:color w:val="000000"/>
          <w:sz w:val="24"/>
        </w:rPr>
        <w:t xml:space="preserve">.</w:t>
      </w:r>
      <w:r/>
    </w:p>
    <w:p>
      <w:pPr>
        <w:pBdr>
          <w:top w:val="none" w:color="000000" w:sz="4" w:space="0"/>
          <w:left w:val="none" w:color="000000" w:sz="4" w:space="0"/>
          <w:bottom w:val="none" w:color="000000" w:sz="4" w:space="0"/>
          <w:right w:val="none" w:color="000000" w:sz="4" w:space="0"/>
        </w:pBdr>
        <w:tabs>
          <w:tab w:val="left" w:leader="none" w:pos="851"/>
        </w:tabs>
        <w:spacing w:after="120" w:before="120" w:line="312" w:lineRule="auto"/>
        <w:ind w:right="0" w:firstLine="0" w:left="0"/>
        <w:jc w:val="both"/>
        <w:rPr/>
      </w:pPr>
      <w:r>
        <w:rPr>
          <w:rFonts w:ascii="Times New Roman" w:hAnsi="Times New Roman" w:eastAsia="Times New Roman" w:cs="Times New Roman"/>
          <w:b/>
          <w:color w:val="000000"/>
          <w:sz w:val="24"/>
        </w:rPr>
        <w:t xml:space="preserve">6. Cơ sở giá trị của tài sản thẩm định giá:</w:t>
      </w:r>
      <w:r/>
    </w:p>
    <w:p>
      <w:pPr>
        <w:pBdr>
          <w:top w:val="none" w:color="000000" w:sz="4" w:space="0"/>
          <w:left w:val="none" w:color="000000" w:sz="4" w:space="0"/>
          <w:bottom w:val="none" w:color="000000" w:sz="4" w:space="0"/>
          <w:right w:val="none" w:color="000000" w:sz="4" w:space="0"/>
        </w:pBdr>
        <w:tabs>
          <w:tab w:val="left" w:leader="none" w:pos="5202"/>
        </w:tabs>
        <w:spacing w:after="120" w:before="120" w:line="312" w:lineRule="auto"/>
        <w:ind w:right="0" w:firstLine="432" w:left="0"/>
        <w:jc w:val="both"/>
        <w:rPr/>
      </w:pPr>
      <w:r>
        <w:rPr>
          <w:rFonts w:ascii="Times New Roman" w:hAnsi="Times New Roman" w:eastAsia="Times New Roman" w:cs="Times New Roman"/>
          <w:i/>
          <w:color w:val="000000"/>
          <w:sz w:val="24"/>
        </w:rPr>
        <w:t xml:space="preserve">Chi tiết như Báo cáo kèm theo </w:t>
      </w:r>
      <w:r/>
    </w:p>
    <w:p>
      <w:pPr>
        <w:pBdr>
          <w:top w:val="none" w:color="000000" w:sz="4" w:space="0"/>
          <w:left w:val="none" w:color="000000" w:sz="4" w:space="0"/>
          <w:bottom w:val="none" w:color="000000" w:sz="4" w:space="0"/>
          <w:right w:val="none" w:color="000000" w:sz="4" w:space="0"/>
        </w:pBdr>
        <w:tabs>
          <w:tab w:val="left" w:leader="none" w:pos="2430"/>
          <w:tab w:val="left" w:leader="none" w:pos="5130"/>
        </w:tabs>
        <w:spacing w:after="120" w:before="120" w:line="312" w:lineRule="auto"/>
        <w:ind w:right="0" w:firstLine="0" w:left="0"/>
        <w:jc w:val="both"/>
        <w:rPr/>
      </w:pPr>
      <w:r>
        <w:rPr>
          <w:rFonts w:ascii="Times New Roman" w:hAnsi="Times New Roman" w:eastAsia="Times New Roman" w:cs="Times New Roman"/>
          <w:b/>
          <w:color w:val="000000"/>
          <w:sz w:val="24"/>
        </w:rPr>
        <w:t xml:space="preserve">7. Giả thiết và giả thiết đặc biệt:</w:t>
      </w:r>
      <w:r/>
    </w:p>
    <w:p>
      <w:pPr>
        <w:pBdr>
          <w:top w:val="none" w:color="000000" w:sz="4" w:space="0"/>
          <w:left w:val="none" w:color="000000" w:sz="4" w:space="0"/>
          <w:bottom w:val="none" w:color="000000" w:sz="4" w:space="0"/>
          <w:right w:val="none" w:color="000000" w:sz="4" w:space="0"/>
        </w:pBdr>
        <w:tabs>
          <w:tab w:val="left" w:leader="none" w:pos="5202"/>
        </w:tabs>
        <w:spacing w:after="120" w:before="120" w:line="312" w:lineRule="auto"/>
        <w:ind w:right="0" w:firstLine="432" w:left="0"/>
        <w:jc w:val="both"/>
        <w:rPr/>
      </w:pPr>
      <w:r>
        <w:rPr>
          <w:rFonts w:ascii="Times New Roman" w:hAnsi="Times New Roman" w:eastAsia="Times New Roman" w:cs="Times New Roman"/>
          <w:i/>
          <w:color w:val="000000"/>
          <w:sz w:val="24"/>
        </w:rPr>
        <w:t xml:space="preserve">Chi tiết như Báo cáo kèm theo</w:t>
      </w:r>
      <w:r/>
    </w:p>
    <w:p>
      <w:pPr>
        <w:pBdr>
          <w:top w:val="none" w:color="000000" w:sz="4" w:space="0"/>
          <w:left w:val="none" w:color="000000" w:sz="4" w:space="0"/>
          <w:bottom w:val="none" w:color="000000" w:sz="4" w:space="0"/>
          <w:right w:val="none" w:color="000000" w:sz="4" w:space="0"/>
        </w:pBdr>
        <w:tabs>
          <w:tab w:val="left" w:leader="none" w:pos="2430"/>
          <w:tab w:val="left" w:leader="none" w:pos="5130"/>
        </w:tabs>
        <w:spacing w:after="120" w:before="120" w:line="312" w:lineRule="auto"/>
        <w:ind w:right="0" w:firstLine="0" w:left="0"/>
        <w:jc w:val="both"/>
        <w:rPr/>
      </w:pPr>
      <w:r>
        <w:rPr>
          <w:rFonts w:ascii="Times New Roman" w:hAnsi="Times New Roman" w:eastAsia="Times New Roman" w:cs="Times New Roman"/>
          <w:b/>
          <w:color w:val="000000"/>
          <w:sz w:val="24"/>
        </w:rPr>
        <w:t xml:space="preserve">8. Cách tiếp cận và phương pháp thẩm định giá:</w:t>
      </w:r>
      <w:r/>
    </w:p>
    <w:p>
      <w:pPr>
        <w:pBdr>
          <w:top w:val="none" w:color="000000" w:sz="4" w:space="0"/>
          <w:left w:val="none" w:color="000000" w:sz="4" w:space="0"/>
          <w:bottom w:val="none" w:color="000000" w:sz="4" w:space="0"/>
          <w:right w:val="none" w:color="000000" w:sz="4" w:space="0"/>
        </w:pBdr>
        <w:tabs>
          <w:tab w:val="left" w:leader="none" w:pos="5202"/>
        </w:tabs>
        <w:spacing w:after="120" w:before="120" w:line="312" w:lineRule="auto"/>
        <w:ind w:right="0" w:firstLine="432" w:left="0"/>
        <w:jc w:val="both"/>
        <w:rPr/>
      </w:pPr>
      <w:r>
        <w:rPr>
          <w:rFonts w:ascii="Times New Roman" w:hAnsi="Times New Roman" w:eastAsia="Times New Roman" w:cs="Times New Roman"/>
          <w:i/>
          <w:color w:val="000000"/>
          <w:sz w:val="24"/>
        </w:rPr>
        <w:t xml:space="preserve">Chi tiết như Báo cáo kèm theo</w:t>
      </w:r>
      <w:r/>
    </w:p>
    <w:p>
      <w:pPr>
        <w:pBdr>
          <w:top w:val="none" w:color="000000" w:sz="4" w:space="0"/>
          <w:left w:val="none" w:color="000000" w:sz="4" w:space="0"/>
          <w:bottom w:val="none" w:color="000000" w:sz="4" w:space="0"/>
          <w:right w:val="none" w:color="000000" w:sz="4" w:space="0"/>
        </w:pBdr>
        <w:tabs>
          <w:tab w:val="left" w:leader="none" w:pos="2430"/>
          <w:tab w:val="left" w:leader="none" w:pos="5130"/>
        </w:tabs>
        <w:spacing w:after="120" w:before="120" w:line="312" w:lineRule="auto"/>
        <w:ind w:right="0" w:firstLine="0" w:left="0"/>
        <w:jc w:val="both"/>
        <w:rPr/>
      </w:pPr>
      <w:r>
        <w:rPr>
          <w:rFonts w:ascii="Times New Roman" w:hAnsi="Times New Roman" w:eastAsia="Times New Roman" w:cs="Times New Roman"/>
          <w:b/>
          <w:color w:val="000000"/>
          <w:sz w:val="24"/>
        </w:rPr>
        <w:t xml:space="preserve">9. Giá trị tài sản thẩm định giá:</w:t>
      </w:r>
      <w:r/>
    </w:p>
    <w:p>
      <w:pPr>
        <w:pBdr>
          <w:top w:val="none" w:color="000000" w:sz="4" w:space="0"/>
          <w:left w:val="none" w:color="000000" w:sz="4" w:space="0"/>
          <w:bottom w:val="none" w:color="000000" w:sz="4" w:space="0"/>
          <w:right w:val="none" w:color="000000" w:sz="4" w:space="0"/>
        </w:pBdr>
        <w:spacing w:after="120" w:before="120" w:line="312" w:lineRule="auto"/>
        <w:ind w:right="0" w:firstLine="0" w:left="0"/>
        <w:jc w:val="both"/>
        <w:rPr/>
      </w:pPr>
      <w:r>
        <w:rPr>
          <w:rFonts w:ascii="Times New Roman" w:hAnsi="Times New Roman" w:eastAsia="Times New Roman" w:cs="Times New Roman"/>
          <w:color w:val="000000"/>
          <w:sz w:val="24"/>
        </w:rPr>
        <w:t xml:space="preserve">Trên cơ sở các hồ sơ, tài liệu do Khách hàng cung cấp, qua điều tra thông tin thực tế trên thị trường với cách tiếp cận và phương pháp thẩm định được áp dụng trong tính toán, Công ty Cổ phần Thẩm định và Đầu tư Tài chính Hoa Sen thông báo giá trị tài sản c</w:t>
      </w:r>
      <w:r>
        <w:rPr>
          <w:rFonts w:ascii="Times New Roman" w:hAnsi="Times New Roman" w:eastAsia="Times New Roman" w:cs="Times New Roman"/>
          <w:color w:val="000000"/>
          <w:sz w:val="24"/>
        </w:rPr>
        <w:t xml:space="preserve">hưa bao gồm các loại thuế, phí và lệ phí liên quan đến việc chuyển nhượng tài sản của Quý khách hàng tại thời điểm Tháng 08/2026 ước tính như sau:</w:t>
      </w:r>
      <w:r>
        <w:rPr>
          <w:rFonts w:ascii="Times New Roman" w:hAnsi="Times New Roman" w:eastAsia="Times New Roman" w:cs="Times New Roman"/>
          <w:sz w:val="24"/>
        </w:rPr>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color w:val="000000"/>
              </w:rPr>
            </w:r>
            <w:r>
              <w:rPr>
                <w:rFonts w:ascii="Times New Roman" w:hAnsi="Times New Roman" w:eastAsia="Times New Roman" w:cs="Times New Roman"/>
                <w:color w:val="000000"/>
                <w:sz w:val="24"/>
              </w:rPr>
              <w:t xml:space="preserve">Tài sản hình thành trong tương lai là căn hộ 30-03, tại Toà căn hộ 45 tầng, dự án M Landmark Residences Đà Nẵng, có địa chỉ: tại số 58 Bạch Đằng, phường Hải Châu I, quận Hải Châu, Thành phố Đà Nẵng (Nay là phường Hải Châu, Thành phố Đà Nẵng).</w:t>
            </w:r>
            <w:r>
              <w:rPr>
                <w:rFonts w:ascii="Times New Roman" w:hAnsi="Times New Roman" w:eastAsia="Times New Roman" w:cs="Times New Roman"/>
                <w:b/>
                <w:color w:val="000000"/>
                <w:sz w:val="24"/>
              </w:rPr>
              <w:t xml:space="preserve">.</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1063" w:type="pct"/>
            <w:vAlign w:val="center"/>
            <w:textDirection w:val="lrTb"/>
            <w:noWrap w:val="false"/>
          </w:tcPr>
          <w:p>
            <w:pPr>
              <w:pBdr/>
              <w:spacing w:after="40" w:before="40" w:line="288" w:lineRule="auto"/>
              <w:ind/>
              <w:rPr/>
            </w:pPr>
            <w:r>
              <w:rPr>
                <w:b/>
                <w:bCs/>
              </w:rPr>
              <w:t xml:space="preserve">Căn hộ chung cư</w:t>
            </w: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77,7</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180.000.000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13.986.000.000</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t xml:space="preserve">13.986.000.000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Mười ba tỷ chín trăm tám mươi sáu triệu</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color w:val="000000" w:themeColor="text1"/>
        </w:rPr>
      </w:pPr>
      <w:r>
        <w:rPr>
          <w:b/>
          <w:bCs/>
          <w:color w:val="000000" w:themeColor="text1"/>
          <w:lang w:val="vi-VN"/>
        </w:rPr>
        <w:t xml:space="preserve">10. Thời hạn hiệu lực của kết quả thẩm định giá:</w:t>
      </w:r>
      <w:r>
        <w:rPr>
          <w:b/>
          <w:bCs/>
          <w:color w:val="000000" w:themeColor="text1"/>
        </w:rPr>
      </w:r>
      <w:r>
        <w:rPr>
          <w:b/>
          <w:bCs/>
          <w:color w:val="000000" w:themeColor="text1"/>
        </w:rPr>
      </w:r>
    </w:p>
    <w:p>
      <w:pPr>
        <w:pBdr/>
        <w:spacing w:after="120" w:before="120" w:line="312" w:lineRule="auto"/>
        <w:ind w:firstLine="360"/>
        <w:jc w:val="both"/>
        <w:rPr>
          <w:color w:val="000000" w:themeColor="text1"/>
        </w:rPr>
      </w:pPr>
      <w:r>
        <w:rPr>
          <w:color w:val="000000" w:themeColor="text1"/>
          <w:lang w:val="pt-BR"/>
        </w:rPr>
        <w:t xml:space="preserve">- Tối đa 06 (sáu) tháng tính từ ngày ký đối với tài sản là Bất động sản.</w:t>
      </w:r>
      <w:r>
        <w:rPr>
          <w:color w:val="000000" w:themeColor="text1"/>
        </w:rPr>
      </w:r>
      <w:r>
        <w:rPr>
          <w:color w:val="000000" w:themeColor="text1"/>
        </w:rPr>
      </w:r>
    </w:p>
    <w:p>
      <w:pPr>
        <w:pBdr/>
        <w:spacing w:after="120" w:before="120" w:line="312" w:lineRule="auto"/>
        <w:ind/>
        <w:rPr>
          <w:color w:val="000000" w:themeColor="text1"/>
        </w:rPr>
      </w:pPr>
      <w:r>
        <w:rPr>
          <w:b/>
          <w:bCs/>
          <w:color w:val="000000" w:themeColor="text1"/>
          <w:lang w:val="vi-VN"/>
        </w:rPr>
        <w:t xml:space="preserve">11. Những điều khoản loại trừ và hạn chế của kết quả thẩm định giá:</w:t>
      </w:r>
      <w:r>
        <w:rPr>
          <w:color w:val="000000" w:themeColor="text1"/>
        </w:rPr>
      </w:r>
      <w:r>
        <w:rPr>
          <w:color w:val="000000" w:themeColor="text1"/>
        </w:rPr>
      </w:r>
    </w:p>
    <w:p>
      <w:pPr>
        <w:pBdr/>
        <w:spacing w:after="120" w:before="120" w:line="312" w:lineRule="auto"/>
        <w:ind w:firstLine="360"/>
        <w:rPr>
          <w:color w:val="000000" w:themeColor="text1"/>
        </w:rPr>
      </w:pPr>
      <w:r>
        <w:rPr>
          <w:color w:val="000000" w:themeColor="text1"/>
          <w:lang w:val="pt-BR"/>
        </w:rPr>
        <w:t xml:space="preserve">- Chi tiết như Báo cáo kèm theo.</w:t>
      </w:r>
      <w:r>
        <w:rPr>
          <w:color w:val="000000" w:themeColor="text1"/>
        </w:rPr>
      </w:r>
      <w:r>
        <w:rPr>
          <w:color w:val="000000" w:themeColor="text1"/>
        </w:rPr>
      </w:r>
    </w:p>
    <w:p>
      <w:pPr>
        <w:pBdr/>
        <w:spacing w:after="120" w:before="120" w:line="312" w:lineRule="auto"/>
        <w:ind/>
        <w:rPr>
          <w:rFonts w:eastAsia="Calibri"/>
          <w:b/>
          <w:bCs/>
          <w:color w:val="000000" w:themeColor="text1"/>
          <w:spacing w:val="-4"/>
          <w:lang w:val="vi-VN"/>
        </w:rPr>
      </w:pPr>
      <w:r>
        <w:rPr>
          <w:rFonts w:eastAsia="Calibri"/>
          <w:b/>
          <w:color w:val="000000" w:themeColor="text1"/>
          <w:spacing w:val="-4"/>
          <w:lang w:val="pt-BR"/>
        </w:rPr>
        <w:t xml:space="preserve">12</w:t>
      </w:r>
      <w:r>
        <w:rPr>
          <w:rFonts w:eastAsia="Calibri"/>
          <w:b/>
          <w:color w:val="000000" w:themeColor="text1"/>
          <w:spacing w:val="-4"/>
          <w:lang w:val="vi-VN"/>
        </w:rPr>
        <w:t xml:space="preserve">. Các tài liệu kèm theo:</w:t>
      </w:r>
      <w:r>
        <w:rPr>
          <w:rFonts w:eastAsia="Calibri"/>
          <w:b/>
          <w:bCs/>
          <w:color w:val="000000" w:themeColor="text1"/>
          <w:spacing w:val="-4"/>
          <w:lang w:val="vi-VN"/>
        </w:rPr>
      </w:r>
      <w:r>
        <w:rPr>
          <w:rFonts w:eastAsia="Calibri"/>
          <w:b/>
          <w:bCs/>
          <w:color w:val="000000" w:themeColor="text1"/>
          <w:spacing w:val="-4"/>
          <w:lang w:val="vi-VN"/>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Báo cáo kết quả thẩm định giá.</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Các phụ lục chi tiết kèm theo.</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rPr>
        <w:t xml:space="preserve">- </w:t>
      </w:r>
      <w:r>
        <w:rPr>
          <w:color w:val="000000" w:themeColor="text1"/>
          <w:spacing w:val="-6"/>
          <w:lang w:val="vi-VN"/>
        </w:rPr>
        <w:t xml:space="preserve">Chứng thư thẩm định giá được phát hành 03 (ba) bản chính bằng tiếng Việt, cấp cho quý khách hàng 02 (hai) bản, lưu lại Công ty Cổ phần Thẩm định và Đầu tư Tài chính Hoa Sen 01 (một) bản có giá trị pháp lý như nhau.</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 Mọi hình thức sao chép báo cáo và chứng thư thẩm định giá không có sự đồng ý bằng văn bản của Công ty Cổ phần Thẩm định và Đầu tư Tài chính Hoa Sen đều là hành vi vi phạm pháp luật.</w:t>
      </w:r>
      <w:r>
        <w:rPr>
          <w:color w:val="000000" w:themeColor="text1"/>
          <w:spacing w:val="-6"/>
        </w:rPr>
      </w:r>
      <w:r>
        <w:rPr>
          <w:color w:val="000000" w:themeColor="text1"/>
          <w:spacing w:val="-6"/>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color w:val="000000" w:themeColor="text1"/>
        </w:rPr>
      </w:pPr>
      <w:r>
        <w:rPr>
          <w:color w:val="000000" w:themeColor="text1"/>
        </w:rPr>
        <w:br w:type="page" w:clear="all"/>
      </w:r>
      <w:r>
        <w:rPr>
          <w:color w:val="000000" w:themeColor="text1"/>
        </w:rPr>
      </w:r>
      <w:r>
        <w:rPr>
          <w:color w:val="000000" w:themeColor="text1"/>
        </w:rPr>
      </w:r>
    </w:p>
    <w:tbl>
      <w:tblPr>
        <w:tblInd w:w="-284" w:type="dxa"/>
        <w:tblW w:w="9950" w:type="dxa"/>
        <w:tblBorders/>
        <w:tblLayout w:type="fixed"/>
        <w:tblLook w:val="04A0" w:firstRow="1" w:lastRow="0" w:firstColumn="1" w:lastColumn="0" w:noHBand="0" w:noVBand="1"/>
      </w:tblPr>
      <w:tblGrid>
        <w:gridCol w:w="1134"/>
        <w:gridCol w:w="1134"/>
        <w:gridCol w:w="1134"/>
        <w:gridCol w:w="1134"/>
        <w:gridCol w:w="1134"/>
      </w:tblGrid>
      <w:tr>
        <w:trPr>
          <w:gridAfter w:val="1"/>
          <w:trHeight w:val="1842"/>
        </w:trPr>
        <w:tc>
          <w:tcPr>
            <w:gridSpan w:val="2"/>
            <w:tcBorders/>
            <w:tcW w:w="1733"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821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122"/>
                  <w:rFonts w:eastAsiaTheme="majorEastAsia"/>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84"/>
        </w:trPr>
        <w:tc>
          <w:tcPr>
            <w:gridSpan w:val="2"/>
            <w:shd w:val="clear" w:color="auto" w:fill="auto"/>
            <w:tcBorders/>
            <w:tcMar>
              <w:left w:w="108" w:type="dxa"/>
              <w:top w:w="0" w:type="dxa"/>
              <w:right w:w="108" w:type="dxa"/>
              <w:bottom w:w="0" w:type="dxa"/>
            </w:tcMar>
            <w:tcW w:w="3969" w:type="dxa"/>
            <w:textDirection w:val="lrTb"/>
            <w:noWrap w:val="false"/>
          </w:tcPr>
          <w:p>
            <w:pPr>
              <w:pBdr>
                <w:top w:val="none" w:color="000000" w:sz="4" w:space="0"/>
                <w:left w:val="none" w:color="000000" w:sz="4" w:space="0"/>
                <w:bottom w:val="none" w:color="000000" w:sz="4" w:space="0"/>
                <w:right w:val="none" w:color="000000" w:sz="4" w:space="0"/>
              </w:pBdr>
              <w:spacing w:after="60"/>
              <w:ind w:right="0" w:firstLine="0" w:left="0"/>
              <w:jc w:val="both"/>
              <w:rPr>
                <w:sz w:val="24"/>
                <w:szCs w:val="24"/>
              </w:rPr>
            </w:pPr>
            <w:r>
              <w:rPr>
                <w:rFonts w:ascii="Times New Roman" w:hAnsi="Times New Roman" w:eastAsia="Times New Roman" w:cs="Times New Roman"/>
                <w:color w:val="000000"/>
                <w:sz w:val="24"/>
                <w:szCs w:val="24"/>
                <w:highlight w:val="white"/>
              </w:rPr>
              <w:t xml:space="preserve">Số: </w:t>
            </w:r>
            <w:r>
              <w:rPr>
                <w:rFonts w:ascii="Times New Roman" w:hAnsi="Times New Roman" w:eastAsia="Times New Roman" w:cs="Times New Roman"/>
                <w:color w:val="081b3a"/>
                <w:spacing w:val="3"/>
                <w:sz w:val="24"/>
                <w:szCs w:val="24"/>
                <w:highlight w:val="white"/>
              </w:rPr>
              <w:t xml:space="preserve">275/2026/1313/VFI-BC.T04.A</w:t>
            </w:r>
            <w:r>
              <w:rPr>
                <w:sz w:val="24"/>
                <w:szCs w:val="24"/>
              </w:rPr>
            </w:r>
            <w:r>
              <w:rPr>
                <w:sz w:val="24"/>
                <w:szCs w:val="24"/>
              </w:rPr>
            </w:r>
          </w:p>
        </w:tc>
        <w:tc>
          <w:tcPr>
            <w:gridSpan w:val="2"/>
            <w:shd w:val="clear" w:color="auto" w:fill="auto"/>
            <w:tcBorders/>
            <w:tcMar>
              <w:left w:w="108" w:type="dxa"/>
              <w:top w:w="0" w:type="dxa"/>
              <w:right w:w="108" w:type="dxa"/>
              <w:bottom w:w="0" w:type="dxa"/>
            </w:tcMar>
            <w:tcW w:w="5953" w:type="dxa"/>
            <w:textDirection w:val="lrTb"/>
            <w:noWrap w:val="false"/>
          </w:tcPr>
          <w:p>
            <w:pPr>
              <w:pBdr>
                <w:top w:val="none" w:color="000000" w:sz="4" w:space="0"/>
                <w:left w:val="none" w:color="000000" w:sz="4" w:space="0"/>
                <w:bottom w:val="none" w:color="000000" w:sz="4" w:space="0"/>
                <w:right w:val="none" w:color="000000" w:sz="4" w:space="0"/>
              </w:pBdr>
              <w:spacing w:after="60" w:before="0"/>
              <w:ind w:right="-56" w:firstLine="0" w:left="0"/>
              <w:jc w:val="right"/>
              <w:rPr/>
            </w:pPr>
            <w:r>
              <w:rPr>
                <w:rFonts w:ascii="Times New Roman" w:hAnsi="Times New Roman" w:eastAsia="Times New Roman" w:cs="Times New Roman"/>
                <w:i/>
                <w:color w:val="000000"/>
                <w:sz w:val="24"/>
              </w:rPr>
              <w:t xml:space="preserve">TP. Hà Nội</w:t>
            </w:r>
            <w:r>
              <w:rPr>
                <w:rFonts w:ascii="Times New Roman" w:hAnsi="Times New Roman" w:eastAsia="Times New Roman" w:cs="Times New Roman"/>
                <w:i/>
                <w:color w:val="0000ff"/>
                <w:sz w:val="24"/>
              </w:rPr>
              <w:t xml:space="preserve">, </w:t>
            </w:r>
            <w:r>
              <w:rPr>
                <w:rFonts w:ascii="Times New Roman" w:hAnsi="Times New Roman" w:eastAsia="Times New Roman" w:cs="Times New Roman"/>
                <w:i/>
                <w:color w:val="000000"/>
                <w:sz w:val="24"/>
              </w:rPr>
              <w:t xml:space="preserve">ngày 20 tháng 8 năm 2026</w:t>
            </w:r>
            <w:r/>
          </w:p>
        </w:tc>
      </w:tr>
      <w:tr>
        <w:trPr>
          <w:gridBefore w:val="1"/>
          <w:trHeight w:val="89"/>
        </w:trPr>
        <w:tc>
          <w:tcPr>
            <w:gridSpan w:val="2"/>
            <w:shd w:val="clear" w:color="auto" w:fill="auto"/>
            <w:tcBorders/>
            <w:tcMar>
              <w:left w:w="108" w:type="dxa"/>
              <w:top w:w="0" w:type="dxa"/>
              <w:right w:w="108" w:type="dxa"/>
              <w:bottom w:w="0" w:type="dxa"/>
            </w:tcMar>
            <w:tcW w:w="3969" w:type="dxa"/>
            <w:textDirection w:val="lrTb"/>
            <w:noWrap w:val="false"/>
          </w:tcPr>
          <w:p>
            <w:pPr>
              <w:pStyle w:val="1131"/>
              <w:pBdr/>
              <w:spacing w:after="60"/>
              <w:ind/>
              <w:rPr>
                <w:rStyle w:val="1130"/>
                <w:color w:val="000000" w:themeColor="text1"/>
                <w:lang w:val="pt-BR"/>
              </w:rPr>
            </w:pPr>
            <w:r>
              <w:rPr>
                <w:rStyle w:val="1130"/>
                <w:color w:val="000000" w:themeColor="text1"/>
                <w:lang w:val="pt-BR"/>
              </w:rPr>
            </w:r>
            <w:r>
              <w:rPr>
                <w:rStyle w:val="1130"/>
                <w:color w:val="000000" w:themeColor="text1"/>
                <w:lang w:val="pt-BR"/>
              </w:rPr>
            </w:r>
            <w:r>
              <w:rPr>
                <w:rStyle w:val="1130"/>
                <w:color w:val="000000" w:themeColor="text1"/>
                <w:lang w:val="pt-BR"/>
              </w:rPr>
            </w:r>
          </w:p>
        </w:tc>
        <w:tc>
          <w:tcPr>
            <w:gridSpan w:val="2"/>
            <w:shd w:val="clear" w:color="auto" w:fill="auto"/>
            <w:tcBorders/>
            <w:tcMar>
              <w:left w:w="108" w:type="dxa"/>
              <w:top w:w="0" w:type="dxa"/>
              <w:right w:w="108" w:type="dxa"/>
              <w:bottom w:w="0" w:type="dxa"/>
            </w:tcMar>
            <w:tcW w:w="5953" w:type="dxa"/>
            <w:textDirection w:val="lrTb"/>
            <w:noWrap w:val="false"/>
          </w:tcPr>
          <w:p>
            <w:pPr>
              <w:pStyle w:val="1131"/>
              <w:pBdr/>
              <w:spacing w:after="60"/>
              <w:ind w:right="-56"/>
              <w:rPr>
                <w:rStyle w:val="1130"/>
                <w:i/>
              </w:rPr>
            </w:pPr>
            <w:r>
              <w:rPr>
                <w:i/>
              </w:rPr>
            </w:r>
            <w:r>
              <w:rPr>
                <w:rStyle w:val="1130"/>
                <w:i/>
              </w:rPr>
            </w:r>
            <w:r>
              <w:rPr>
                <w:rStyle w:val="1130"/>
                <w:i/>
              </w:rPr>
            </w:r>
          </w:p>
        </w:tc>
      </w:tr>
    </w:tbl>
    <w:p>
      <w:pPr>
        <w:pBdr>
          <w:top w:val="none" w:color="000000" w:sz="4" w:space="0"/>
          <w:left w:val="none" w:color="000000" w:sz="4" w:space="0"/>
          <w:bottom w:val="none" w:color="000000" w:sz="4" w:space="0"/>
          <w:right w:val="none" w:color="000000" w:sz="4" w:space="0"/>
        </w:pBdr>
        <w:tabs>
          <w:tab w:val="left" w:leader="none" w:pos="5102"/>
        </w:tabs>
        <w:spacing w:before="200" w:line="340" w:lineRule="atLeast"/>
        <w:ind w:right="0" w:firstLine="0" w:left="0"/>
        <w:jc w:val="center"/>
        <w:rPr/>
      </w:pPr>
      <w:r>
        <w:rPr>
          <w:rFonts w:ascii="Times New Roman" w:hAnsi="Times New Roman" w:eastAsia="Times New Roman" w:cs="Times New Roman"/>
          <w:b/>
          <w:color w:val="000000"/>
          <w:sz w:val="30"/>
        </w:rPr>
        <w:t xml:space="preserve">BÁO CÁO KẾT QUẢ THẨM ĐỊNH GIÁ</w:t>
      </w:r>
      <w:r/>
    </w:p>
    <w:p>
      <w:pPr>
        <w:pStyle w:val="945"/>
        <w:pBdr>
          <w:top w:val="none" w:color="000000" w:sz="4" w:space="0"/>
          <w:left w:val="none" w:color="000000" w:sz="4" w:space="0"/>
          <w:bottom w:val="none" w:color="000000" w:sz="4" w:space="0"/>
          <w:right w:val="none" w:color="000000" w:sz="4" w:space="0"/>
        </w:pBdr>
        <w:tabs>
          <w:tab w:val="left" w:leader="none" w:pos="4820"/>
        </w:tabs>
        <w:spacing w:after="200" w:before="100" w:line="340" w:lineRule="atLeast"/>
        <w:ind w:right="0" w:hanging="180" w:left="0"/>
        <w:jc w:val="center"/>
        <w:rPr>
          <w:b w:val="0"/>
          <w:bCs w:val="0"/>
        </w:rPr>
      </w:pPr>
      <w:r>
        <w:rPr>
          <w:rFonts w:ascii="Times New Roman" w:hAnsi="Times New Roman" w:eastAsia="Times New Roman" w:cs="Times New Roman"/>
          <w:b w:val="0"/>
          <w:bCs w:val="0"/>
          <w:i/>
          <w:color w:val="000000"/>
          <w:spacing w:val="-6"/>
          <w:sz w:val="24"/>
        </w:rPr>
        <w:t xml:space="preserve">(Kèm theo Chứng thư thẩm định giá số:</w:t>
      </w:r>
      <w:r>
        <w:rPr>
          <w:rFonts w:ascii="Times New Roman" w:hAnsi="Times New Roman" w:eastAsia="Times New Roman" w:cs="Times New Roman"/>
          <w:b w:val="0"/>
          <w:bCs w:val="0"/>
          <w:i/>
          <w:color w:val="000000"/>
          <w:spacing w:val="-6"/>
          <w:sz w:val="24"/>
          <w:highlight w:val="white"/>
        </w:rPr>
        <w:t xml:space="preserve"> 275/2026/1313/VFI-CT.T04.A</w:t>
      </w:r>
      <w:r>
        <w:rPr>
          <w:rFonts w:ascii="Times New Roman" w:hAnsi="Times New Roman" w:eastAsia="Times New Roman" w:cs="Times New Roman"/>
          <w:b w:val="0"/>
          <w:bCs w:val="0"/>
          <w:i/>
          <w:color w:val="000000"/>
          <w:spacing w:val="-6"/>
          <w:sz w:val="24"/>
        </w:rPr>
        <w:t xml:space="preserve"> ngày 20 tháng 8 năm 2026)</w:t>
      </w:r>
      <w:r>
        <w:rPr>
          <w:b w:val="0"/>
          <w:bCs w:val="0"/>
        </w:rPr>
      </w:r>
      <w:r>
        <w:rPr>
          <w:b w:val="0"/>
          <w:bCs w:val="0"/>
        </w:rPr>
      </w:r>
    </w:p>
    <w:p>
      <w:pPr>
        <w:pStyle w:val="945"/>
        <w:pBdr>
          <w:top w:val="none" w:color="000000" w:sz="4" w:space="0"/>
          <w:left w:val="none" w:color="000000" w:sz="4" w:space="0"/>
          <w:bottom w:val="none" w:color="000000" w:sz="4" w:space="0"/>
          <w:right w:val="none" w:color="000000" w:sz="4" w:space="0"/>
        </w:pBdr>
        <w:tabs>
          <w:tab w:val="left" w:leader="none" w:pos="4820"/>
        </w:tabs>
        <w:spacing w:after="200" w:before="0" w:line="340" w:lineRule="atLeast"/>
        <w:ind w:right="0" w:firstLine="0" w:left="0"/>
        <w:jc w:val="both"/>
        <w:rPr/>
      </w:pPr>
      <w:r>
        <w:rPr>
          <w:rFonts w:ascii="Times New Roman" w:hAnsi="Times New Roman" w:eastAsia="Times New Roman" w:cs="Times New Roman"/>
          <w:b/>
          <w:color w:val="000000"/>
          <w:sz w:val="24"/>
        </w:rPr>
        <w:t xml:space="preserve">I. THÔNG TIN VỀ DOANH NGHIỆP THẨM ĐỊNH GIÁ </w:t>
      </w:r>
      <w:r/>
    </w:p>
    <w:tbl>
      <w:tblPr>
        <w:tblStyle w:val="1136"/>
        <w:tblInd w:w="-34"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2385"/>
        <w:gridCol w:w="270"/>
        <w:gridCol w:w="6478"/>
      </w:tblGrid>
      <w:tr>
        <w:trPr>
          <w:trHeight w:val="20"/>
        </w:trPr>
        <w:tc>
          <w:tcPr>
            <w:tcBorders/>
            <w:tcMar>
              <w:left w:w="108" w:type="dxa"/>
              <w:top w:w="0" w:type="dxa"/>
              <w:right w:w="108" w:type="dxa"/>
              <w:bottom w:w="0" w:type="dxa"/>
            </w:tcMar>
            <w:tcW w:w="238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Đơn vị thẩm định</w:t>
            </w:r>
            <w:r/>
          </w:p>
        </w:tc>
        <w:tc>
          <w:tcPr>
            <w:tcBorders/>
            <w:tcMar>
              <w:left w:w="108" w:type="dxa"/>
              <w:top w:w="0" w:type="dxa"/>
              <w:right w:w="108" w:type="dxa"/>
              <w:bottom w:w="0" w:type="dxa"/>
            </w:tcMar>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47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b/>
                <w:color w:val="000000"/>
                <w:spacing w:val="-4"/>
                <w:sz w:val="24"/>
              </w:rPr>
              <w:t xml:space="preserve">CÔNG TY CỔ PHẦN THẨM ĐỊNH VÀ ĐẦU TƯ TÀI CHÍNH HOA SEN</w:t>
            </w:r>
            <w:r/>
          </w:p>
        </w:tc>
      </w:tr>
      <w:tr>
        <w:trPr>
          <w:trHeight w:val="20"/>
        </w:trPr>
        <w:tc>
          <w:tcPr>
            <w:tcBorders/>
            <w:tcMar>
              <w:left w:w="108" w:type="dxa"/>
              <w:top w:w="0" w:type="dxa"/>
              <w:right w:w="108" w:type="dxa"/>
              <w:bottom w:w="0" w:type="dxa"/>
            </w:tcMar>
            <w:tcW w:w="238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Địa chỉ trụ sở</w:t>
            </w:r>
            <w:r/>
          </w:p>
        </w:tc>
        <w:tc>
          <w:tcPr>
            <w:tcBorders/>
            <w:tcMar>
              <w:left w:w="108" w:type="dxa"/>
              <w:top w:w="0" w:type="dxa"/>
              <w:right w:w="108" w:type="dxa"/>
              <w:bottom w:w="0" w:type="dxa"/>
            </w:tcMar>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47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pacing w:val="-2"/>
                <w:sz w:val="24"/>
              </w:rPr>
              <w:t xml:space="preserve">BT5 - 23, Khu đô thị mới Văn Phú, Phường Kiến Hưng, Thành phố Hà Nội</w:t>
            </w:r>
            <w:r/>
          </w:p>
        </w:tc>
      </w:tr>
      <w:tr>
        <w:trPr>
          <w:trHeight w:val="20"/>
        </w:trPr>
        <w:tc>
          <w:tcPr>
            <w:tcBorders/>
            <w:tcMar>
              <w:left w:w="108" w:type="dxa"/>
              <w:top w:w="0" w:type="dxa"/>
              <w:right w:w="108" w:type="dxa"/>
              <w:bottom w:w="0" w:type="dxa"/>
            </w:tcMar>
            <w:tcW w:w="238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Điện thoại</w:t>
            </w:r>
            <w:r/>
          </w:p>
        </w:tc>
        <w:tc>
          <w:tcPr>
            <w:tcBorders/>
            <w:tcMar>
              <w:left w:w="108" w:type="dxa"/>
              <w:top w:w="0" w:type="dxa"/>
              <w:right w:w="108" w:type="dxa"/>
              <w:bottom w:w="0" w:type="dxa"/>
            </w:tcMar>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6478"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3382"/>
              </w:tabs>
              <w:spacing w:after="60" w:before="60" w:line="276" w:lineRule="auto"/>
              <w:ind w:right="0" w:firstLine="0" w:left="0"/>
              <w:rPr/>
            </w:pPr>
            <w:r>
              <w:rPr>
                <w:rFonts w:ascii="Times New Roman" w:hAnsi="Times New Roman" w:eastAsia="Times New Roman" w:cs="Times New Roman"/>
                <w:color w:val="000000"/>
                <w:sz w:val="24"/>
              </w:rPr>
              <w:t xml:space="preserve">024 2264 4333</w:t>
            </w:r>
            <w:r/>
          </w:p>
        </w:tc>
      </w:tr>
      <w:tr>
        <w:trPr>
          <w:trHeight w:val="20"/>
        </w:trPr>
        <w:tc>
          <w:tcPr>
            <w:tcBorders/>
            <w:tcMar>
              <w:left w:w="108" w:type="dxa"/>
              <w:top w:w="0" w:type="dxa"/>
              <w:right w:w="108" w:type="dxa"/>
              <w:bottom w:w="0" w:type="dxa"/>
            </w:tcMar>
            <w:tcW w:w="238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Mã số thuế</w:t>
            </w:r>
            <w:r/>
          </w:p>
        </w:tc>
        <w:tc>
          <w:tcPr>
            <w:tcBorders/>
            <w:tcMar>
              <w:left w:w="108" w:type="dxa"/>
              <w:top w:w="0" w:type="dxa"/>
              <w:right w:w="108" w:type="dxa"/>
              <w:bottom w:w="0" w:type="dxa"/>
            </w:tcMar>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47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0102708994</w:t>
            </w:r>
            <w:r/>
          </w:p>
        </w:tc>
      </w:tr>
      <w:tr>
        <w:trPr>
          <w:trHeight w:val="20"/>
        </w:trPr>
        <w:tc>
          <w:tcPr>
            <w:tcBorders/>
            <w:tcMar>
              <w:left w:w="108" w:type="dxa"/>
              <w:top w:w="0" w:type="dxa"/>
              <w:right w:w="108" w:type="dxa"/>
              <w:bottom w:w="0" w:type="dxa"/>
            </w:tcMar>
            <w:tcW w:w="238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GCN đủ điều kiện hành nghề</w:t>
            </w:r>
            <w:r/>
          </w:p>
        </w:tc>
        <w:tc>
          <w:tcPr>
            <w:tcBorders/>
            <w:tcMar>
              <w:left w:w="108" w:type="dxa"/>
              <w:top w:w="0" w:type="dxa"/>
              <w:right w:w="108" w:type="dxa"/>
              <w:bottom w:w="0" w:type="dxa"/>
            </w:tcMar>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47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275/TĐG</w:t>
            </w:r>
            <w:r/>
          </w:p>
        </w:tc>
      </w:tr>
      <w:tr>
        <w:trPr>
          <w:trHeight w:val="20"/>
        </w:trPr>
        <w:tc>
          <w:tcPr>
            <w:tcBorders/>
            <w:tcMar>
              <w:left w:w="108" w:type="dxa"/>
              <w:top w:w="0" w:type="dxa"/>
              <w:right w:w="108" w:type="dxa"/>
              <w:bottom w:w="0" w:type="dxa"/>
            </w:tcMar>
            <w:tcW w:w="238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Tài khoản số</w:t>
            </w:r>
            <w:r/>
          </w:p>
        </w:tc>
        <w:tc>
          <w:tcPr>
            <w:tcBorders/>
            <w:tcMar>
              <w:left w:w="108" w:type="dxa"/>
              <w:top w:w="0" w:type="dxa"/>
              <w:right w:w="108" w:type="dxa"/>
              <w:bottom w:w="0" w:type="dxa"/>
            </w:tcMar>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47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4"/>
                <w:sz w:val="24"/>
              </w:rPr>
              <w:t xml:space="preserve">1505112366666 tại Agribank Chi nhánh Hà Nội II</w:t>
            </w:r>
            <w:r/>
          </w:p>
        </w:tc>
      </w:tr>
      <w:tr>
        <w:trPr>
          <w:trHeight w:val="20"/>
        </w:trPr>
        <w:tc>
          <w:tcPr>
            <w:tcBorders/>
            <w:tcMar>
              <w:left w:w="108" w:type="dxa"/>
              <w:top w:w="0" w:type="dxa"/>
              <w:right w:w="108" w:type="dxa"/>
              <w:bottom w:w="0" w:type="dxa"/>
            </w:tcMar>
            <w:tcW w:w="238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Đại diện</w:t>
            </w:r>
            <w:r/>
          </w:p>
        </w:tc>
        <w:tc>
          <w:tcPr>
            <w:tcBorders/>
            <w:tcMar>
              <w:left w:w="108" w:type="dxa"/>
              <w:top w:w="0" w:type="dxa"/>
              <w:right w:w="108" w:type="dxa"/>
              <w:bottom w:w="0" w:type="dxa"/>
            </w:tcMar>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47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b/>
                <w:color w:val="000000"/>
                <w:sz w:val="24"/>
              </w:rPr>
              <w:t xml:space="preserve">Ông Vũ Văn Quân     Chức vụ: Chủ tịch HĐQT kiêm Tổng Giám Đốc</w:t>
            </w:r>
            <w:r/>
          </w:p>
        </w:tc>
      </w:tr>
    </w:tbl>
    <w:p>
      <w:pPr>
        <w:pBdr>
          <w:top w:val="none" w:color="000000" w:sz="4" w:space="0"/>
          <w:left w:val="none" w:color="000000" w:sz="4" w:space="0"/>
          <w:bottom w:val="none" w:color="000000" w:sz="4" w:space="0"/>
          <w:right w:val="none" w:color="000000" w:sz="4" w:space="0"/>
        </w:pBdr>
        <w:tabs>
          <w:tab w:val="left" w:leader="none" w:pos="284"/>
        </w:tabs>
        <w:spacing w:after="120" w:before="0" w:line="320" w:lineRule="atLeast"/>
        <w:ind w:right="0" w:firstLine="0" w:left="0"/>
        <w:jc w:val="both"/>
        <w:rPr/>
      </w:pPr>
      <w:r>
        <w:rPr>
          <w:rFonts w:ascii="Times New Roman" w:hAnsi="Times New Roman" w:eastAsia="Times New Roman" w:cs="Times New Roman"/>
          <w:b/>
          <w:color w:val="000000"/>
          <w:sz w:val="24"/>
        </w:rPr>
        <w:t xml:space="preserve">II. THÔNG TIN CƠ BẢN VỀ CUỘC THẨM ĐỊNH GIÁ</w:t>
      </w:r>
      <w:r/>
    </w:p>
    <w:p>
      <w:pPr>
        <w:pBdr>
          <w:top w:val="none" w:color="000000" w:sz="4" w:space="0"/>
          <w:left w:val="none" w:color="000000" w:sz="4" w:space="0"/>
          <w:bottom w:val="none" w:color="000000" w:sz="4" w:space="0"/>
          <w:right w:val="none" w:color="000000" w:sz="4" w:space="0"/>
        </w:pBdr>
        <w:tabs>
          <w:tab w:val="left" w:leader="none" w:pos="284"/>
        </w:tabs>
        <w:spacing w:after="120" w:before="120" w:line="320" w:lineRule="atLeast"/>
        <w:ind w:right="0" w:firstLine="0" w:left="0"/>
        <w:jc w:val="both"/>
        <w:rPr/>
      </w:pPr>
      <w:r>
        <w:rPr>
          <w:rFonts w:ascii="Times New Roman" w:hAnsi="Times New Roman" w:eastAsia="Times New Roman" w:cs="Times New Roman"/>
          <w:b/>
          <w:color w:val="000000"/>
          <w:sz w:val="24"/>
        </w:rPr>
        <w:t xml:space="preserve">1. Thông tin cơ bản về cuộc thẩm định giá:</w:t>
      </w:r>
      <w:r/>
    </w:p>
    <w:tbl>
      <w:tblPr>
        <w:tblStyle w:val="113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2359"/>
        <w:gridCol w:w="266"/>
        <w:gridCol w:w="6475"/>
      </w:tblGrid>
      <w:tr>
        <w:trPr>
          <w:trHeight w:val="20"/>
        </w:trPr>
        <w:tc>
          <w:tcPr>
            <w:tcBorders/>
            <w:tcMar>
              <w:left w:w="108" w:type="dxa"/>
              <w:top w:w="0" w:type="dxa"/>
              <w:right w:w="108" w:type="dxa"/>
              <w:bottom w:w="0" w:type="dxa"/>
            </w:tcMar>
            <w:tcW w:w="235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Tên khách hàng</w:t>
            </w:r>
            <w:r/>
          </w:p>
        </w:tc>
        <w:tc>
          <w:tcPr>
            <w:tcBorders/>
            <w:tcMar>
              <w:left w:w="108" w:type="dxa"/>
              <w:top w:w="0" w:type="dxa"/>
              <w:right w:w="108" w:type="dxa"/>
              <w:bottom w:w="0" w:type="dxa"/>
            </w:tcMar>
            <w:tcW w:w="266"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47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ÔNG NGUYỄN TRÍ CHUNG </w:t>
            </w:r>
            <w:r/>
          </w:p>
        </w:tc>
      </w:tr>
      <w:tr>
        <w:trPr>
          <w:trHeight w:val="20"/>
        </w:trPr>
        <w:tc>
          <w:tcPr>
            <w:tcBorders/>
            <w:tcMar>
              <w:left w:w="108" w:type="dxa"/>
              <w:top w:w="0" w:type="dxa"/>
              <w:right w:w="108" w:type="dxa"/>
              <w:bottom w:w="0" w:type="dxa"/>
            </w:tcMar>
            <w:tcW w:w="235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CCCD</w:t>
            </w:r>
            <w:r/>
          </w:p>
        </w:tc>
        <w:tc>
          <w:tcPr>
            <w:tcBorders/>
            <w:tcMar>
              <w:left w:w="108" w:type="dxa"/>
              <w:top w:w="0" w:type="dxa"/>
              <w:right w:w="108" w:type="dxa"/>
              <w:bottom w:w="0" w:type="dxa"/>
            </w:tcMar>
            <w:tcW w:w="266"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47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027083000480</w:t>
            </w:r>
            <w:r/>
          </w:p>
        </w:tc>
      </w:tr>
      <w:tr>
        <w:trPr>
          <w:trHeight w:val="20"/>
        </w:trPr>
        <w:tc>
          <w:tcPr>
            <w:tcBorders/>
            <w:tcMar>
              <w:left w:w="108" w:type="dxa"/>
              <w:top w:w="0" w:type="dxa"/>
              <w:right w:w="108" w:type="dxa"/>
              <w:bottom w:w="0" w:type="dxa"/>
            </w:tcMar>
            <w:tcW w:w="235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Địa chỉ </w:t>
            </w:r>
            <w:r/>
          </w:p>
        </w:tc>
        <w:tc>
          <w:tcPr>
            <w:tcBorders/>
            <w:tcMar>
              <w:left w:w="108" w:type="dxa"/>
              <w:top w:w="0" w:type="dxa"/>
              <w:right w:w="108" w:type="dxa"/>
              <w:bottom w:w="0" w:type="dxa"/>
            </w:tcMar>
            <w:tcW w:w="266"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47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22 Phó Đức Chính, Trúc Bạch, Ba Đình, Hà Nội </w:t>
            </w:r>
            <w:r/>
          </w:p>
        </w:tc>
      </w:tr>
      <w:tr>
        <w:trPr>
          <w:trHeight w:val="20"/>
        </w:trPr>
        <w:tc>
          <w:tcPr>
            <w:tcBorders/>
            <w:tcMar>
              <w:left w:w="108" w:type="dxa"/>
              <w:top w:w="0" w:type="dxa"/>
              <w:right w:w="108" w:type="dxa"/>
              <w:bottom w:w="0" w:type="dxa"/>
            </w:tcMar>
            <w:tcW w:w="235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Tài sản thẩm định giá</w:t>
            </w:r>
            <w:r/>
          </w:p>
        </w:tc>
        <w:tc>
          <w:tcPr>
            <w:tcBorders/>
            <w:tcMar>
              <w:left w:w="108" w:type="dxa"/>
              <w:top w:w="0" w:type="dxa"/>
              <w:right w:w="108" w:type="dxa"/>
              <w:bottom w:w="0" w:type="dxa"/>
            </w:tcMar>
            <w:tcW w:w="266"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47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Tài sản hình thành trong tương lai là căn hộ 30-03, tại Toà căn hộ 45 tầng, dự án M Landmark Residences Đà Nẵng, có địa chỉ: tại số 58 Bạch Đằng, phường Hải Châu I, quận Hải Châu, Thành phố Đà Nẵng (Nay là phường Hải Châu, Thành phố Đà Nẵng).</w:t>
            </w:r>
            <w:r>
              <w:rPr>
                <w:rFonts w:ascii="Times New Roman" w:hAnsi="Times New Roman" w:eastAsia="Times New Roman" w:cs="Times New Roman"/>
                <w:color w:val="000000"/>
                <w:spacing w:val="2"/>
                <w:sz w:val="24"/>
              </w:rPr>
              <w:t xml:space="preserve">.</w:t>
            </w:r>
            <w:r/>
          </w:p>
        </w:tc>
      </w:tr>
      <w:tr>
        <w:trPr>
          <w:trHeight w:val="20"/>
        </w:trPr>
        <w:tc>
          <w:tcPr>
            <w:tcBorders/>
            <w:tcMar>
              <w:left w:w="108" w:type="dxa"/>
              <w:top w:w="0" w:type="dxa"/>
              <w:right w:w="108" w:type="dxa"/>
              <w:bottom w:w="0" w:type="dxa"/>
            </w:tcMar>
            <w:tcW w:w="235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Mục đích thẩm định giá</w:t>
            </w:r>
            <w:r/>
          </w:p>
        </w:tc>
        <w:tc>
          <w:tcPr>
            <w:tcBorders/>
            <w:tcMar>
              <w:left w:w="108" w:type="dxa"/>
              <w:top w:w="0" w:type="dxa"/>
              <w:right w:w="108" w:type="dxa"/>
              <w:bottom w:w="0" w:type="dxa"/>
            </w:tcMar>
            <w:tcW w:w="266"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475"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851"/>
              </w:tabs>
              <w:spacing w:after="60" w:before="60" w:line="276" w:lineRule="auto"/>
              <w:ind w:right="0" w:firstLine="0" w:left="0"/>
              <w:jc w:val="both"/>
              <w:rPr/>
            </w:pPr>
            <w:r>
              <w:rPr>
                <w:rFonts w:ascii="Times New Roman" w:hAnsi="Times New Roman" w:eastAsia="Times New Roman" w:cs="Times New Roman"/>
                <w:color w:val="000000"/>
                <w:spacing w:val="-4"/>
                <w:sz w:val="24"/>
              </w:rPr>
              <w:t xml:space="preserve">Kết quả thẩm định giá để khách hàng tham khảo giá trị tài sản phục vụ công tác  vay vốn tại tổ chức tín dụng.</w:t>
            </w:r>
            <w:r/>
          </w:p>
        </w:tc>
      </w:tr>
      <w:tr>
        <w:trPr>
          <w:trHeight w:val="20"/>
        </w:trPr>
        <w:tc>
          <w:tcPr>
            <w:tcBorders/>
            <w:tcMar>
              <w:left w:w="108" w:type="dxa"/>
              <w:top w:w="0" w:type="dxa"/>
              <w:right w:w="108" w:type="dxa"/>
              <w:bottom w:w="0" w:type="dxa"/>
            </w:tcMar>
            <w:tcW w:w="235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12"/>
                <w:sz w:val="24"/>
              </w:rPr>
              <w:t xml:space="preserve">Cơ sở giá trị thẩm định giá</w:t>
            </w:r>
            <w:r/>
          </w:p>
        </w:tc>
        <w:tc>
          <w:tcPr>
            <w:tcBorders/>
            <w:tcMar>
              <w:left w:w="108" w:type="dxa"/>
              <w:top w:w="0" w:type="dxa"/>
              <w:right w:w="108" w:type="dxa"/>
              <w:bottom w:w="0" w:type="dxa"/>
            </w:tcMar>
            <w:tcW w:w="266"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475"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851"/>
              </w:tabs>
              <w:spacing w:after="60" w:before="60" w:line="276" w:lineRule="auto"/>
              <w:ind w:right="0" w:firstLine="0" w:left="0"/>
              <w:jc w:val="both"/>
              <w:rPr/>
            </w:pPr>
            <w:r>
              <w:rPr>
                <w:rFonts w:ascii="Times New Roman" w:hAnsi="Times New Roman" w:eastAsia="Times New Roman" w:cs="Times New Roman"/>
                <w:color w:val="000000"/>
                <w:spacing w:val="-4"/>
                <w:sz w:val="24"/>
              </w:rPr>
              <w:t xml:space="preserve">Giá trị thị trường.</w:t>
            </w:r>
            <w:r/>
          </w:p>
        </w:tc>
      </w:tr>
      <w:tr>
        <w:trPr>
          <w:trHeight w:val="20"/>
        </w:trPr>
        <w:tc>
          <w:tcPr>
            <w:tcBorders/>
            <w:tcMar>
              <w:left w:w="108" w:type="dxa"/>
              <w:top w:w="0" w:type="dxa"/>
              <w:right w:w="108" w:type="dxa"/>
              <w:bottom w:w="0" w:type="dxa"/>
            </w:tcMar>
            <w:tcW w:w="235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6"/>
                <w:sz w:val="24"/>
              </w:rPr>
              <w:t xml:space="preserve">Thời điểm thẩm định giá</w:t>
            </w:r>
            <w:r/>
          </w:p>
        </w:tc>
        <w:tc>
          <w:tcPr>
            <w:tcBorders/>
            <w:tcMar>
              <w:left w:w="108" w:type="dxa"/>
              <w:top w:w="0" w:type="dxa"/>
              <w:right w:w="108" w:type="dxa"/>
              <w:bottom w:w="0" w:type="dxa"/>
            </w:tcMar>
            <w:tcW w:w="266"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47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Tháng 08/2026.</w:t>
            </w:r>
            <w:r/>
          </w:p>
        </w:tc>
      </w:tr>
      <w:tr>
        <w:trPr>
          <w:trHeight w:val="20"/>
        </w:trPr>
        <w:tc>
          <w:tcPr>
            <w:tcBorders/>
            <w:tcMar>
              <w:left w:w="108" w:type="dxa"/>
              <w:top w:w="0" w:type="dxa"/>
              <w:right w:w="108" w:type="dxa"/>
              <w:bottom w:w="0" w:type="dxa"/>
            </w:tcMar>
            <w:tcW w:w="235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6"/>
                <w:sz w:val="24"/>
              </w:rPr>
              <w:t xml:space="preserve">Địa điểm thẩm định giá</w:t>
            </w:r>
            <w:r/>
          </w:p>
        </w:tc>
        <w:tc>
          <w:tcPr>
            <w:tcBorders/>
            <w:tcMar>
              <w:left w:w="108" w:type="dxa"/>
              <w:top w:w="0" w:type="dxa"/>
              <w:right w:w="108" w:type="dxa"/>
              <w:bottom w:w="0" w:type="dxa"/>
            </w:tcMar>
            <w:tcW w:w="266"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47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phường Hải Châu, Thành phố Đà Nẵng </w:t>
            </w:r>
            <w:r/>
          </w:p>
        </w:tc>
      </w:tr>
      <w:tr>
        <w:trPr>
          <w:trHeight w:val="20"/>
        </w:trPr>
        <w:tc>
          <w:tcPr>
            <w:tcBorders/>
            <w:tcMar>
              <w:left w:w="108" w:type="dxa"/>
              <w:top w:w="0" w:type="dxa"/>
              <w:right w:w="108" w:type="dxa"/>
              <w:bottom w:w="0" w:type="dxa"/>
            </w:tcMar>
            <w:tcW w:w="235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6"/>
                <w:sz w:val="24"/>
              </w:rPr>
              <w:t xml:space="preserve">Thời điểm khảo sát</w:t>
            </w:r>
            <w:r/>
          </w:p>
        </w:tc>
        <w:tc>
          <w:tcPr>
            <w:tcBorders/>
            <w:tcMar>
              <w:left w:w="108" w:type="dxa"/>
              <w:top w:w="0" w:type="dxa"/>
              <w:right w:w="108" w:type="dxa"/>
              <w:bottom w:w="0" w:type="dxa"/>
            </w:tcMar>
            <w:tcW w:w="266"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47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Tháng 08/2026.</w:t>
            </w: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rPr/>
      </w:pPr>
      <w:r>
        <w:rPr>
          <w:rFonts w:ascii="Times New Roman" w:hAnsi="Times New Roman" w:eastAsia="Times New Roman" w:cs="Times New Roman"/>
          <w:b/>
          <w:color w:val="000000"/>
          <w:spacing w:val="-6"/>
          <w:sz w:val="24"/>
        </w:rPr>
        <w:t xml:space="preserve">2. Các nguồn thông tin được sử dụng trong quá trình thẩm định giá và xem xét đánh giá các thông tin thu thập</w:t>
      </w:r>
      <w:r/>
    </w:p>
    <w:p>
      <w:pPr>
        <w:numPr>
          <w:ilvl w:val="0"/>
          <w:numId w:val="41"/>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pacing w:val="-6"/>
          <w:sz w:val="24"/>
        </w:rPr>
        <w:t xml:space="preserve">Tham khảo nguồn thông tin từ các trang giao bán bất động sản qua mạng Internet, gọi điện trực tiếp</w:t>
      </w:r>
      <w:r>
        <w:rPr>
          <w:rFonts w:ascii="Times New Roman" w:hAnsi="Times New Roman" w:eastAsia="Times New Roman" w:cs="Times New Roman"/>
          <w:color w:val="000000"/>
          <w:sz w:val="24"/>
        </w:rPr>
        <w:t xml:space="preserve">.</w:t>
      </w:r>
      <w:r/>
    </w:p>
    <w:p>
      <w:pPr>
        <w:numPr>
          <w:ilvl w:val="0"/>
          <w:numId w:val="41"/>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Tham khảo nguồn thông tin trực tiếp từ những người dân sinh sống xung quanh trên địa bàn.</w:t>
      </w:r>
      <w:r/>
    </w:p>
    <w:p>
      <w:pPr>
        <w:numPr>
          <w:ilvl w:val="0"/>
          <w:numId w:val="41"/>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Đánh giá nguồn thông tin thu thập: Nguồn thông tin thu thập khách quan và phổ biến trên thị trường.</w:t>
      </w:r>
      <w:r>
        <w:rPr>
          <w:rFonts w:ascii="Times New Roman" w:hAnsi="Times New Roman" w:eastAsia="Times New Roman" w:cs="Times New Roman"/>
          <w:sz w:val="24"/>
        </w:rPr>
      </w:r>
      <w:r/>
    </w:p>
    <w:p>
      <w:pPr>
        <w:pStyle w:val="1132"/>
        <w:pBdr/>
        <w:tabs>
          <w:tab w:val="left" w:leader="none" w:pos="993"/>
        </w:tabs>
        <w:spacing w:after="120" w:before="120" w:line="276" w:lineRule="auto"/>
        <w:ind w:left="0"/>
        <w:jc w:val="both"/>
        <w:rPr>
          <w:b/>
          <w:bCs/>
          <w:color w:val="000000" w:themeColor="text1"/>
        </w:rPr>
      </w:pPr>
      <w:r>
        <w:rPr>
          <w:b/>
          <w:bCs/>
          <w:color w:val="000000" w:themeColor="text1"/>
          <w:lang w:val="pt-BR"/>
        </w:rPr>
        <w:t xml:space="preserve">3. Căn cứ pháp lý</w:t>
      </w:r>
      <w:r>
        <w:rPr>
          <w:b/>
          <w:bCs/>
          <w:color w:val="000000" w:themeColor="text1"/>
        </w:rPr>
      </w:r>
      <w:r>
        <w:rPr>
          <w:b/>
          <w:bCs/>
          <w:color w:val="000000" w:themeColor="text1"/>
        </w:rPr>
      </w:r>
    </w:p>
    <w:p>
      <w:pPr>
        <w:pStyle w:val="1132"/>
        <w:pBdr/>
        <w:tabs>
          <w:tab w:val="left" w:leader="none" w:pos="993"/>
        </w:tabs>
        <w:spacing w:after="120" w:before="120" w:line="276" w:lineRule="auto"/>
        <w:ind w:left="0"/>
        <w:jc w:val="both"/>
        <w:rPr>
          <w:b/>
          <w:color w:val="000000" w:themeColor="text1"/>
        </w:rPr>
      </w:pPr>
      <w:r>
        <w:rPr>
          <w:b/>
          <w:color w:val="000000" w:themeColor="text1"/>
          <w:lang w:val="pt-BR"/>
        </w:rPr>
        <w:t xml:space="preserve">3.1. Văn bản quy phạm pháp luật:</w:t>
      </w:r>
      <w:r>
        <w:rPr>
          <w:b/>
          <w:color w:val="000000" w:themeColor="text1"/>
        </w:rPr>
      </w:r>
      <w:r>
        <w:rPr>
          <w:b/>
          <w:color w:val="000000" w:themeColor="text1"/>
        </w:rPr>
      </w:r>
    </w:p>
    <w:p>
      <w:pPr>
        <w:pStyle w:val="1132"/>
        <w:pBdr/>
        <w:tabs>
          <w:tab w:val="left" w:leader="none" w:pos="993"/>
        </w:tabs>
        <w:spacing w:after="120" w:before="120" w:line="276" w:lineRule="auto"/>
        <w:ind w:left="0"/>
        <w:jc w:val="both"/>
        <w:rPr>
          <w:color w:val="000000" w:themeColor="text1"/>
        </w:rPr>
      </w:pPr>
      <w:r>
        <w:rPr>
          <w:bCs/>
          <w:color w:val="000000" w:themeColor="text1"/>
          <w:lang w:val="pt-BR"/>
        </w:rPr>
        <w:t xml:space="preserve">-    </w:t>
      </w:r>
      <w:r>
        <w:rPr>
          <w:color w:val="000000" w:themeColor="text1"/>
          <w:lang w:val="pt-BR"/>
        </w:rPr>
        <w:t xml:space="preserve">Luật Giá số 16/2023/QH15 ngày 19/6/2023;</w:t>
      </w:r>
      <w:r>
        <w:rPr>
          <w:color w:val="000000" w:themeColor="text1"/>
        </w:rPr>
      </w:r>
      <w:r>
        <w:rPr>
          <w:color w:val="000000" w:themeColor="text1"/>
        </w:rPr>
      </w:r>
    </w:p>
    <w:p>
      <w:pPr>
        <w:pStyle w:val="113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Đất đai số 31/2024/QH15 đã được Quốc hội nước Cộng hòa xã hội chủ nghĩa Việt Nam khóa XV, kỳ họp bất thường lần thứ 5 thông qua ngày 18 tháng 01 năm 2024;</w:t>
      </w:r>
      <w:r>
        <w:rPr>
          <w:color w:val="000000" w:themeColor="text1"/>
        </w:rPr>
      </w:r>
      <w:r>
        <w:rPr>
          <w:color w:val="000000" w:themeColor="text1"/>
        </w:rPr>
      </w:r>
    </w:p>
    <w:p>
      <w:pPr>
        <w:pStyle w:val="113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Xây dựng số 50/2014/QH13 đã được Quốc hội nước Cộng hòa xã hội chủ nghĩa Việt Nam khóa XIII, kỳ họp thứ 7 thông qua ngày 18 tháng 6 năm 2014;</w:t>
      </w:r>
      <w:r>
        <w:rPr>
          <w:color w:val="000000" w:themeColor="text1"/>
        </w:rPr>
      </w:r>
      <w:r>
        <w:rPr>
          <w:color w:val="000000" w:themeColor="text1"/>
        </w:rPr>
      </w:r>
    </w:p>
    <w:p>
      <w:pPr>
        <w:pStyle w:val="113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dựng;</w:t>
      </w:r>
      <w:r>
        <w:rPr>
          <w:color w:val="000000" w:themeColor="text1"/>
        </w:rPr>
      </w:r>
      <w:r>
        <w:rPr>
          <w:color w:val="000000" w:themeColor="text1"/>
        </w:rPr>
      </w:r>
    </w:p>
    <w:p>
      <w:pPr>
        <w:pStyle w:val="113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Nhà ở số 27/2023/QH15 đã được Quốc hội nước Cộng hòa xã hội chủ nghĩa Việt Nam khóa XV, kỳ họp thứ 6 thông qua ngày 27 tháng 11 năm 2023;</w:t>
      </w:r>
      <w:r>
        <w:rPr>
          <w:color w:val="000000" w:themeColor="text1"/>
        </w:rPr>
      </w:r>
      <w:r>
        <w:rPr>
          <w:color w:val="000000" w:themeColor="text1"/>
        </w:rPr>
      </w:r>
    </w:p>
    <w:p>
      <w:pPr>
        <w:pStyle w:val="1132"/>
        <w:numPr>
          <w:ilvl w:val="0"/>
          <w:numId w:val="1"/>
        </w:numPr>
        <w:pBdr/>
        <w:spacing w:after="120" w:before="120" w:line="276" w:lineRule="auto"/>
        <w:ind/>
        <w:rPr>
          <w:color w:val="000000" w:themeColor="text1"/>
        </w:rPr>
      </w:pPr>
      <w:r>
        <w:rPr>
          <w:color w:val="000000" w:themeColor="text1"/>
          <w:lang w:val="pt-BR"/>
        </w:rPr>
        <w:t xml:space="preserve">Nghị định số 71/2024/NĐ-CP ngày 27/6/2024 của Chính phủ Quy định về giá đất;</w:t>
      </w:r>
      <w:r>
        <w:rPr>
          <w:color w:val="000000" w:themeColor="text1"/>
        </w:rPr>
      </w:r>
      <w:r>
        <w:rPr>
          <w:color w:val="000000" w:themeColor="text1"/>
        </w:rPr>
      </w:r>
    </w:p>
    <w:p>
      <w:pPr>
        <w:pStyle w:val="113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Nghị định số 103/2024/NĐ-CP ngày 30/7/2024 của Chính phủ quy định về thu tiền sử dụng đất, tiền thuê đất;</w:t>
      </w:r>
      <w:r>
        <w:rPr>
          <w:color w:val="000000" w:themeColor="text1"/>
        </w:rPr>
      </w:r>
      <w:r>
        <w:rPr>
          <w:color w:val="000000" w:themeColor="text1"/>
        </w:rPr>
      </w:r>
    </w:p>
    <w:p>
      <w:pPr>
        <w:pStyle w:val="113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28/2024/TT-BTC ngày 16/5/2024 của Bộ Tài chính Quy định về trình tự, thủ tục kiểm tra việc chấp hành pháp luật về giá, thẩm định giá do Bộ trưởng Bộ Tài chính ban hành;</w:t>
      </w:r>
      <w:r>
        <w:rPr>
          <w:color w:val="000000" w:themeColor="text1"/>
        </w:rPr>
      </w:r>
      <w:r>
        <w:rPr>
          <w:color w:val="000000" w:themeColor="text1"/>
        </w:rPr>
      </w:r>
    </w:p>
    <w:p>
      <w:pPr>
        <w:pStyle w:val="113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30/2024/TT-BTC ngày 16/5/2024 của Bộ Tài chính ban hành các chuẩn mực thẩm định giá Việt Nam về quy tắc đạo đức nghề nghiệp thẩm định giá, phạm vi công việc thẩm định giá, cơ sở giá trị thẩm định giá, hồ sơ thẩm định giá;</w:t>
      </w:r>
      <w:r>
        <w:rPr>
          <w:color w:val="000000" w:themeColor="text1"/>
        </w:rPr>
      </w:r>
      <w:r>
        <w:rPr>
          <w:color w:val="000000" w:themeColor="text1"/>
        </w:rPr>
      </w:r>
    </w:p>
    <w:p>
      <w:pPr>
        <w:pStyle w:val="113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31/2024/TT-BTC ngày 16/5/2024 của Bộ Tài chính ban hành chuẩn mực thẩm định giá Việt Nam về thu thập và phân tích thông tin về tài sản thẩm định giá;</w:t>
      </w:r>
      <w:r>
        <w:rPr>
          <w:color w:val="000000" w:themeColor="text1"/>
        </w:rPr>
      </w:r>
      <w:r>
        <w:rPr>
          <w:color w:val="000000" w:themeColor="text1"/>
        </w:rPr>
      </w:r>
    </w:p>
    <w:p>
      <w:pPr>
        <w:pStyle w:val="113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32/2024/TT-BTC ngày 16/5/2024 của Bộ Tài chính ban hành</w:t>
      </w:r>
      <w:r>
        <w:rPr>
          <w:color w:val="000000" w:themeColor="text1"/>
        </w:rPr>
        <w:t xml:space="preserve"> </w:t>
      </w:r>
      <w:r>
        <w:rPr>
          <w:color w:val="000000" w:themeColor="text1"/>
          <w:lang w:val="pt-BR"/>
        </w:rPr>
        <w:t xml:space="preserve">các chuẩn mực thẩm định giá Việt Nam về cách tiếp cận từ thị trường, cách tiếp cận từ chi phí, cách tiếp cận từ thu nhập;</w:t>
      </w:r>
      <w:r>
        <w:rPr>
          <w:color w:val="000000" w:themeColor="text1"/>
        </w:rPr>
      </w:r>
      <w:r>
        <w:rPr>
          <w:color w:val="000000" w:themeColor="text1"/>
        </w:rPr>
      </w:r>
    </w:p>
    <w:p>
      <w:pPr>
        <w:pStyle w:val="113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36/2024/TT-BTC ngày 16/5/2024 của Bộ Tài chính ban hành chuẩn mực thẩm định giá Việt Nam về thẩm định giá doanh nghiệp;</w:t>
      </w:r>
      <w:r>
        <w:rPr>
          <w:color w:val="000000" w:themeColor="text1"/>
        </w:rPr>
      </w:r>
      <w:r>
        <w:rPr>
          <w:color w:val="000000" w:themeColor="text1"/>
        </w:rPr>
      </w:r>
    </w:p>
    <w:p>
      <w:pPr>
        <w:pStyle w:val="113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37/2024/TT-BTC ngày 16/5/2024 của Bộ Tài chính ban hành chuẩn mực thẩm định giá Việt Nam về thẩm định giá tài sản vô hình;</w:t>
      </w:r>
      <w:r>
        <w:rPr>
          <w:color w:val="000000" w:themeColor="text1"/>
        </w:rPr>
      </w:r>
      <w:r>
        <w:rPr>
          <w:color w:val="000000" w:themeColor="text1"/>
        </w:rPr>
      </w:r>
    </w:p>
    <w:p>
      <w:pPr>
        <w:pStyle w:val="113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42/2024/TT-BTC ngày 20/6/2024 của Bộ Tài chính ban hành chuẩn mực thẩm định giá Việt Nam về thẩm định giá bất động sản;</w:t>
      </w:r>
      <w:r>
        <w:rPr>
          <w:color w:val="000000" w:themeColor="text1"/>
        </w:rPr>
      </w:r>
      <w:r>
        <w:rPr>
          <w:color w:val="000000" w:themeColor="text1"/>
        </w:rPr>
      </w:r>
    </w:p>
    <w:p>
      <w:pPr>
        <w:pStyle w:val="1132"/>
        <w:numPr>
          <w:ilvl w:val="0"/>
          <w:numId w:val="9"/>
        </w:numPr>
        <w:pBdr/>
        <w:tabs>
          <w:tab w:val="left" w:leader="none" w:pos="993"/>
        </w:tabs>
        <w:spacing w:after="120" w:before="120" w:line="276" w:lineRule="auto"/>
        <w:ind/>
        <w:jc w:val="both"/>
        <w:rPr>
          <w:b/>
          <w:color w:val="000000" w:themeColor="text1"/>
        </w:rPr>
      </w:pPr>
      <w:r>
        <w:rPr>
          <w:color w:val="000000" w:themeColor="text1"/>
          <w:lang w:val="pt-BR"/>
        </w:rPr>
        <w:t xml:space="preserve">Và các văn bản pháp luật có liên quan khác.</w:t>
      </w:r>
      <w:r>
        <w:rPr>
          <w:b/>
          <w:color w:val="000000" w:themeColor="text1"/>
        </w:rPr>
      </w:r>
      <w:r>
        <w:rPr>
          <w:b/>
          <w:color w:val="000000" w:themeColor="text1"/>
        </w:rPr>
      </w:r>
    </w:p>
    <w:p>
      <w:pPr>
        <w:pStyle w:val="1132"/>
        <w:pBdr/>
        <w:tabs>
          <w:tab w:val="left" w:leader="none" w:pos="993"/>
        </w:tabs>
        <w:spacing w:after="120" w:before="120" w:line="276" w:lineRule="auto"/>
        <w:ind w:left="0"/>
        <w:jc w:val="both"/>
        <w:rPr>
          <w:b/>
          <w:color w:val="000000" w:themeColor="text1"/>
        </w:rPr>
      </w:pPr>
      <w:r>
        <w:rPr>
          <w:b/>
          <w:color w:val="000000" w:themeColor="text1"/>
          <w:lang w:val="pt-BR"/>
        </w:rPr>
        <w:t xml:space="preserve">3.2. Các văn bản liên quan khác:</w:t>
      </w:r>
      <w:r>
        <w:rPr>
          <w:b/>
          <w:color w:val="000000" w:themeColor="text1"/>
        </w:rPr>
      </w:r>
      <w:r>
        <w:rPr>
          <w:b/>
          <w:color w:val="000000" w:themeColor="text1"/>
        </w:rPr>
      </w:r>
    </w:p>
    <w:p>
      <w:pPr>
        <w:pStyle w:val="1132"/>
        <w:pBdr/>
        <w:tabs>
          <w:tab w:val="left" w:leader="none" w:pos="993"/>
        </w:tabs>
        <w:spacing w:after="120" w:before="120" w:line="276" w:lineRule="auto"/>
        <w:ind w:left="0"/>
        <w:jc w:val="both"/>
        <w:rPr>
          <w:b/>
          <w:color w:val="000000" w:themeColor="text1"/>
        </w:rPr>
      </w:pPr>
      <w:r>
        <w:rPr>
          <w:b/>
          <w:color w:val="000000" w:themeColor="text1"/>
          <w:lang w:val="pt-BR"/>
        </w:rPr>
        <w:t xml:space="preserve">a. Hồ sơ pháp lý của tài sản: </w:t>
      </w:r>
      <w:r>
        <w:rPr>
          <w:b/>
          <w:color w:val="000000" w:themeColor="text1"/>
        </w:rPr>
      </w:r>
      <w:r>
        <w:rPr>
          <w:b/>
          <w:color w:val="000000" w:themeColor="text1"/>
        </w:rP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Giấy chứng nhận quyền sử dụng đất số AK 280023, số vào sổ cấp giấy: T01102, do UBND TP. Đà Nẵng cấp ngày 14/08/2007.</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Giấy phép xây dựng số 1926/GPXD ngày 12/11/2018 của Sở Xây dựng Thành phố Đà Nẵng cấp phép xây dựng cho Công ty Cổ phần địa ốc Foodinco.</w:t>
      </w:r>
      <w:r>
        <w:rPr>
          <w:rFonts w:ascii="Times New Roman" w:hAnsi="Times New Roman" w:eastAsia="Times New Roman" w:cs="Times New Roman"/>
          <w:sz w:val="24"/>
        </w:rPr>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rFonts w:ascii="Times New Roman" w:hAnsi="Times New Roman" w:eastAsia="Times New Roman" w:cs="Times New Roman"/>
          <w:sz w:val="24"/>
          <w:szCs w:val="24"/>
        </w:rPr>
      </w:pPr>
      <w:r>
        <w:rPr>
          <w:rFonts w:ascii="Times New Roman" w:hAnsi="Times New Roman" w:eastAsia="Times New Roman" w:cs="Times New Roman"/>
          <w:color w:val="000000"/>
          <w:sz w:val="24"/>
          <w:highlight w:val="none"/>
        </w:rPr>
        <w:t xml:space="preserve">Hợp đồng xây dựng số 24</w:t>
      </w:r>
      <w:r>
        <w:rPr>
          <w:rFonts w:ascii="Times New Roman" w:hAnsi="Times New Roman" w:eastAsia="Times New Roman" w:cs="Times New Roman"/>
          <w:color w:val="000000"/>
          <w:sz w:val="24"/>
          <w:highlight w:val="none"/>
        </w:rPr>
        <w:t xml:space="preserve">8/HĐXD-QLDA ngày 17 tháng 5 năm 2018 của Bộ Xây dựng về việc thông báo kết quả thẩm dịnh TKCS điều chỉnh công trình “ Tổ hợp khách sạn, căn hộ dịch vụ Marriott và nhà ở để bán” tại số 58 đường Bạch Đằng, phường Hải Châu I, quận Hải Châu, thành phố Đà Nẵng </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b. Hồ sơ khác:</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Hợp đồng số </w:t>
      </w:r>
      <w:r>
        <w:rPr>
          <w:rFonts w:ascii="Times New Roman" w:hAnsi="Times New Roman" w:eastAsia="Times New Roman" w:cs="Times New Roman"/>
          <w:color w:val="000000"/>
          <w:spacing w:val="-2"/>
          <w:sz w:val="24"/>
        </w:rPr>
        <w:t xml:space="preserve"> </w:t>
      </w:r>
      <w:r>
        <w:rPr>
          <w:rFonts w:ascii="Times New Roman" w:hAnsi="Times New Roman" w:eastAsia="Times New Roman" w:cs="Times New Roman"/>
          <w:color w:val="000000"/>
          <w:spacing w:val="-4"/>
          <w:sz w:val="24"/>
          <w:highlight w:val="white"/>
        </w:rPr>
        <w:t xml:space="preserve">275/2026/1313/VFI-HĐTĐ.T04.A</w:t>
      </w:r>
      <w:r>
        <w:rPr>
          <w:rFonts w:ascii="Times New Roman" w:hAnsi="Times New Roman" w:eastAsia="Times New Roman" w:cs="Times New Roman"/>
          <w:color w:val="000000"/>
          <w:spacing w:val="-2"/>
          <w:sz w:val="24"/>
        </w:rPr>
        <w:t xml:space="preserve"> </w:t>
      </w:r>
      <w:r>
        <w:rPr>
          <w:rFonts w:ascii="Times New Roman" w:hAnsi="Times New Roman" w:eastAsia="Times New Roman" w:cs="Times New Roman"/>
          <w:color w:val="000000"/>
          <w:sz w:val="24"/>
        </w:rPr>
        <w:t xml:space="preserve"> ngày 20/08/2026 giữa ông Nguyễn Trí Chung với Công ty Cổ phần Thẩm định và Đầu tư Tài chính Hoa Sen..</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Hồ sơ, tài liệu, chứng từ liên quan đến tài sản thẩm định giá.</w:t>
      </w:r>
      <w:r>
        <w:rPr>
          <w:rFonts w:ascii="Times New Roman" w:hAnsi="Times New Roman" w:eastAsia="Times New Roman" w:cs="Times New Roman"/>
          <w:sz w:val="24"/>
        </w:rPr>
      </w:r>
      <w:r/>
    </w:p>
    <w:p>
      <w:pPr>
        <w:pBdr/>
        <w:tabs>
          <w:tab w:val="left" w:leader="none" w:pos="993"/>
        </w:tabs>
        <w:spacing w:after="120" w:before="120" w:line="380" w:lineRule="atLeast"/>
        <w:ind/>
        <w:jc w:val="both"/>
        <w:rPr>
          <w:b/>
          <w:bCs/>
          <w:color w:val="000000" w:themeColor="text1"/>
        </w:rPr>
      </w:pPr>
      <w:r>
        <w:rPr>
          <w:b/>
          <w:bCs/>
          <w:color w:val="000000" w:themeColor="text1"/>
          <w:lang w:val="pt-BR"/>
        </w:rPr>
        <w:t xml:space="preserve">III. TỔNG QUAN VỀ THỊ TRƯỜNG CỦA TÀI SẢN THẨM ĐỊNH GIÁ</w:t>
      </w:r>
      <w:r>
        <w:rPr>
          <w:b/>
          <w:bCs/>
          <w:color w:val="000000" w:themeColor="text1"/>
        </w:rPr>
      </w:r>
      <w:r>
        <w:rPr>
          <w:b/>
          <w:bCs/>
          <w:color w:val="000000" w:themeColor="text1"/>
        </w:rPr>
      </w:r>
    </w:p>
    <w:p>
      <w:pPr>
        <w:numPr>
          <w:ilvl w:val="0"/>
          <w:numId w:val="43"/>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pPr>
      <w:r>
        <w:rPr>
          <w:rFonts w:ascii="Times New Roman" w:hAnsi="Times New Roman" w:eastAsia="Times New Roman" w:cs="Times New Roman"/>
          <w:b/>
          <w:color w:val="000000"/>
          <w:sz w:val="24"/>
        </w:rPr>
        <w:t xml:space="preserve">Tổng quan thị trường</w:t>
      </w:r>
      <w:r/>
    </w:p>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b/>
          <w:i/>
          <w:color w:val="000000"/>
          <w:sz w:val="24"/>
        </w:rPr>
        <w:t xml:space="preserve">Thị trường bất động sản Đà Nẵng: Căn hộ tăng nhiệt, đất nền ì ạch, nghỉ dưỡng vẫn "ngủ đông"</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DKRA Consulting vừa công bố Báo cáo thị trường bất động sản nhà ở TP. Đà Nẵng quý 2/2026, cho thấy bức tranh phân hóa rõ nét giữa các phân khúc. Trong khi căn hộ và nhà phố ghi nhận tín hiệu tích cực về nguồn cung và giao dịch, đất nền cùng bất động sản ng</w:t>
      </w:r>
      <w:r>
        <w:rPr>
          <w:rFonts w:ascii="Times New Roman" w:hAnsi="Times New Roman" w:eastAsia="Times New Roman" w:cs="Times New Roman"/>
          <w:color w:val="000000"/>
          <w:sz w:val="24"/>
          <w:highlight w:val="white"/>
        </w:rPr>
        <w:t xml:space="preserve">hỉ dưỡng vẫn đối mặt nhiều áp lực, … </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Theo DKRA Consulting, đất nền vẫn là phân khúc khan hiếm nguồn cung. Toàn thị trường chỉ còn khoảng 1.470 sản phẩm sơ cấp, giảm 13% so với quý trước và toàn bộ đều đến từ các dự án đã mở bán trước đó. Thanh khoản tiếp tục ở mức thấp khi lượng giao dịch chỉ</w:t>
      </w:r>
      <w:r>
        <w:rPr>
          <w:rFonts w:ascii="Times New Roman" w:hAnsi="Times New Roman" w:eastAsia="Times New Roman" w:cs="Times New Roman"/>
          <w:color w:val="000000"/>
          <w:sz w:val="24"/>
          <w:highlight w:val="white"/>
        </w:rPr>
        <w:t xml:space="preserve"> đạt khoảng 4% tổng nguồn cung sơ cấp. Giá bán sơ cấp gần như đi ngang nhưng vẫn neo ở mức cao do chi phí đầu vào chưa giảm. Trong khi đó, giá thứ cấp cũng ít biến động, phản ánh tâm lý thận trọng của cả người mua lẫn nhà đầu tư.</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Để kích cầu, nhiều chủ đầu tư tiếp tục triển khai các chính sách như kéo giãn tiến độ thanh toán, hỗ trợ lãi suất và liên kết ngân hàng. Trái ngược với đất nền, phân khúc căn hộ ghi nhận sự cải thiện rõ rệt. Nguồn cung sơ cấp tăng khoảng 47%, trong khi ngu</w:t>
      </w:r>
      <w:r>
        <w:rPr>
          <w:rFonts w:ascii="Times New Roman" w:hAnsi="Times New Roman" w:eastAsia="Times New Roman" w:cs="Times New Roman"/>
          <w:color w:val="000000"/>
          <w:sz w:val="24"/>
          <w:highlight w:val="white"/>
        </w:rPr>
        <w:t xml:space="preserve">ồn cung mới tăng gấp 2,2 lần so với quý trước. Đáng chú ý, căn hộ hạng A và hạng B tiếp tục giữ vai trò chủ lực khi chiếm 88% nguồn cung và 93% lượng tiêu thụ toàn thị trường.</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Lượng giao dịch tăng 54%, tuy nhiên sức mua chủ yếu tập trung tại một số dự án mới của các chủ đầu tư lớn. Hai tháng cuối quý, thị trường bắt đầu chững lại khi lãi suất vay mua nhà vẫn duy trì ở mức cao. Về giá bán, căn hộ sơ cấp tăng khoảng 2%, trong khi </w:t>
      </w:r>
      <w:r>
        <w:rPr>
          <w:rFonts w:ascii="Times New Roman" w:hAnsi="Times New Roman" w:eastAsia="Times New Roman" w:cs="Times New Roman"/>
          <w:color w:val="000000"/>
          <w:sz w:val="24"/>
          <w:highlight w:val="white"/>
        </w:rPr>
        <w:t xml:space="preserve">thị trường thứ cấp giảm khoảng 6%, phản ánh xu hướng nhiều nhà đầu tư chấp nhận giảm kỳ vọng lợi nhuận để cải thiện thanh khoản. </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Ở phân khúc nhà phố và biệt thự, nguồn cung sơ cấp tăng 27%, chủ yếu nhờ một dự án quy mô lớn được mở bán trong quý. Lượng tiêu thụ đạt mức cao nhất từ trước đến nay, song giao dịch gần như chỉ tập trung tại dự án này. Điều đó cho thấy sự tăng trưởng chưa </w:t>
      </w:r>
      <w:r>
        <w:rPr>
          <w:rFonts w:ascii="Times New Roman" w:hAnsi="Times New Roman" w:eastAsia="Times New Roman" w:cs="Times New Roman"/>
          <w:color w:val="000000"/>
          <w:sz w:val="24"/>
          <w:highlight w:val="white"/>
        </w:rPr>
        <w:t xml:space="preserve">lan tỏa trên toàn thị trường. Giá bán sơ cấp gần như ổn định theo quý nhưng tăng trung bình 10% so với cùng kỳ năm trước. Trong khi đó, giá thứ cấp giảm nhẹ khoảng 1% do áp lực chi phí vốn khiến nhiều nhà đầu tư điều chỉnh giá bán.</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Theo ghi nhận của DKRA Consulting, dòng tiền vẫn ưu tiên những dự án có pháp lý đầy đủ, tiến độ xây dựng đảm bảo và được phát triển bởi các doanh nghiệp có năng lực tài chính mạnh. Đối với biệt thự nghỉ dưỡng, nguồn cung sơ cấp tăng 11% so với quý trước nh</w:t>
      </w:r>
      <w:r>
        <w:rPr>
          <w:rFonts w:ascii="Times New Roman" w:hAnsi="Times New Roman" w:eastAsia="Times New Roman" w:cs="Times New Roman"/>
          <w:color w:val="000000"/>
          <w:sz w:val="24"/>
          <w:highlight w:val="white"/>
        </w:rPr>
        <w:t xml:space="preserve">ưng hơn 88% đến từ hàng tồn kho. Dù lượng giao dịch có cải thiện nhẹ, thanh khoản vẫn ở mức thấp do lãi suất cao làm giảm sức hấp thụ của thị trường.</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Giá bán sơ cấp ổn định theo quý và tăng khoảng 7% so với cùng kỳ. Các chương trình chia sẻ lợi nhuận, hỗ trợ lãi suất, ân hạn nợ gốc tiếp tục được triển khai nhằm thu hút khách hàng. Trong khi đó, nhà phố và shophouse nghỉ dưỡng gần như không xuất hiện ngu</w:t>
      </w:r>
      <w:r>
        <w:rPr>
          <w:rFonts w:ascii="Times New Roman" w:hAnsi="Times New Roman" w:eastAsia="Times New Roman" w:cs="Times New Roman"/>
          <w:color w:val="000000"/>
          <w:sz w:val="24"/>
          <w:highlight w:val="white"/>
        </w:rPr>
        <w:t xml:space="preserve">ồn cung mới. Thị trường không ghi nhận giao dịch đáng kể dù giá bán vẫn dao động từ 7,1–16,3 tỷ đồng/căn.</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Theo DKRA Consulting, bên cạnh áp lực lãi suất, hàng loạt dự án chưa đưa vào khai thác cùng những vướng mắc pháp lý kéo dài tiếp tục ảnh hưởng tiêu cực đến niềm tin của nhà đầu tư. Tương tự, condotel vẫn chưa thoát khỏi giai đoạn trầm lắng. Nguồn cung giảm</w:t>
      </w:r>
      <w:r>
        <w:rPr>
          <w:rFonts w:ascii="Times New Roman" w:hAnsi="Times New Roman" w:eastAsia="Times New Roman" w:cs="Times New Roman"/>
          <w:color w:val="000000"/>
          <w:sz w:val="24"/>
          <w:highlight w:val="white"/>
        </w:rPr>
        <w:t xml:space="preserve"> nhẹ và toàn bộ sản phẩm đều là hàng tồn kho. Đặc biệt, lượng giao dịch giảm hơn 94% so với quý trước, trong khi nguồn cung mới đã vắng bóng hơn một năm qua.</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DKRA Consulting dự báo trong quý 3/2026, thị trường bất động sản Đà Nẵng vẫn đối mặt nhiều khó khăn. Ở phân khúc đất nền, nguồn cung mới dự kiến chỉ khoảng 100–200 sản phẩm, tập trung tại phường Ngũ Hành Sơn, phường Điện Bàn Đông và xã Núi Thành. Giá bán đ</w:t>
      </w:r>
      <w:r>
        <w:rPr>
          <w:rFonts w:ascii="Times New Roman" w:hAnsi="Times New Roman" w:eastAsia="Times New Roman" w:cs="Times New Roman"/>
          <w:color w:val="000000"/>
          <w:sz w:val="24"/>
          <w:highlight w:val="white"/>
        </w:rPr>
        <w:t xml:space="preserve">ược dự báo tiếp tục đi ngang trong khi thanh khoản khó cải thiện đáng kể. Đối với căn hộ, nguồn cung mới có thể giảm còn khoảng 1.500–2.000 căn, chủ yếu tập trung tại phường Ngũ Hành Sơn và phường Hòa Xuân. Phân khúc cao cấp tiếp tục chiếm ưu thế nhưng sức</w:t>
      </w:r>
      <w:r>
        <w:rPr>
          <w:rFonts w:ascii="Times New Roman" w:hAnsi="Times New Roman" w:eastAsia="Times New Roman" w:cs="Times New Roman"/>
          <w:color w:val="000000"/>
          <w:sz w:val="24"/>
          <w:highlight w:val="white"/>
        </w:rPr>
        <w:t xml:space="preserve"> cầu nhiều khả năng vẫn chịu áp lực từ lãi suất và chính sách kiểm soát tín dụng.</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Ở phân khúc nhà phố và biệt thự, nguồn cung dự kiến duy trì ở mức 1.500–2.000 căn, tập trung chủ yếu tại phường Hải Vân. Giao dịch được dự báo tiếp tục tập trung vào các dự án quy mô lớn, pháp lý hoàn chỉnh và có chính sách bán hàng hấp dẫn. Riêng bất động</w:t>
      </w:r>
      <w:r>
        <w:rPr>
          <w:rFonts w:ascii="Times New Roman" w:hAnsi="Times New Roman" w:eastAsia="Times New Roman" w:cs="Times New Roman"/>
          <w:color w:val="000000"/>
          <w:sz w:val="24"/>
          <w:highlight w:val="white"/>
        </w:rPr>
        <w:t xml:space="preserve"> sản nghỉ dưỡng được nhận định chưa có nhiều cơ hội bứt phá. Nguồn cung mới tiếp tục khan hiếm, thanh khoản khó cải thiện khi các nút thắt pháp lý chưa được tháo gỡ và niềm tin của nhà đầu tư vẫn chưa phục hồi. Các chủ đầu tư nhiều khả năng sẽ tiếp tục duy</w:t>
      </w:r>
      <w:r>
        <w:rPr>
          <w:rFonts w:ascii="Times New Roman" w:hAnsi="Times New Roman" w:eastAsia="Times New Roman" w:cs="Times New Roman"/>
          <w:color w:val="000000"/>
          <w:sz w:val="24"/>
          <w:highlight w:val="white"/>
        </w:rPr>
        <w:t xml:space="preserve"> trì chính sách hỗ trợ lãi suất, giãn tiến độ thanh toán và ân hạn nợ gốc để giữ sức hút cho dự án. </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Theo DKRA Consulting, trong ngắn hạn, khi mặt bằng lãi suất chưa có dấu hiệu giảm mạnh và tín dụng bất động sản vẫn được kiểm soát chặt, thị trường được dự báo sẽ tiếp tục diễn biến thận trọng, với dòng tiền ưu tiên các sản phẩm có giá trị khai thác thực v</w:t>
      </w:r>
      <w:r>
        <w:rPr>
          <w:rFonts w:ascii="Times New Roman" w:hAnsi="Times New Roman" w:eastAsia="Times New Roman" w:cs="Times New Roman"/>
          <w:color w:val="000000"/>
          <w:sz w:val="24"/>
          <w:highlight w:val="white"/>
        </w:rPr>
        <w:t xml:space="preserve">à mức độ an toàn cao.</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i/>
          <w:color w:val="000000"/>
          <w:sz w:val="24"/>
          <w:highlight w:val="white"/>
        </w:rPr>
        <w:t xml:space="preserve">(Nguồn tham khảo: https://cafef.vn/thi-truong-bat-dong-san-da-nang-can-ho-tang-nhiet-dat-nen-i-ach-nghi-duong-van-ngu-dong-188260716143741785.chn)</w:t>
      </w:r>
      <w:r/>
    </w:p>
    <w:p>
      <w:pPr>
        <w:numPr>
          <w:ilvl w:val="0"/>
          <w:numId w:val="43"/>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pPr>
      <w:r>
        <w:rPr>
          <w:rFonts w:ascii="Times New Roman" w:hAnsi="Times New Roman" w:eastAsia="Times New Roman" w:cs="Times New Roman"/>
          <w:b/>
          <w:color w:val="000000"/>
          <w:sz w:val="24"/>
        </w:rPr>
        <w:t xml:space="preserve">Tổng quan dự án</w:t>
      </w:r>
      <w:r/>
    </w:p>
    <w:p>
      <w:pPr>
        <w:numPr>
          <w:ilvl w:val="0"/>
          <w:numId w:val="44"/>
        </w:numPr>
        <w:pBdr>
          <w:top w:val="none" w:color="000000" w:sz="4" w:space="0"/>
          <w:left w:val="none" w:color="000000" w:sz="4" w:space="0"/>
          <w:bottom w:val="none" w:color="000000" w:sz="4" w:space="0"/>
          <w:right w:val="none" w:color="000000" w:sz="4" w:space="0"/>
        </w:pBdr>
        <w:spacing/>
        <w:ind/>
        <w:rPr/>
      </w:pPr>
      <w:r>
        <w:rPr>
          <w:rFonts w:ascii="Times New Roman" w:hAnsi="Times New Roman" w:eastAsia="Times New Roman" w:cs="Times New Roman"/>
          <w:color w:val="000000"/>
          <w:sz w:val="24"/>
        </w:rPr>
        <w:t xml:space="preserve">Chủ Đầu tư: Công ty Cổ phần Địa ốc Foodinco</w:t>
      </w:r>
      <w:r/>
    </w:p>
    <w:p>
      <w:pPr>
        <w:numPr>
          <w:ilvl w:val="0"/>
          <w:numId w:val="44"/>
        </w:numPr>
        <w:pBdr>
          <w:top w:val="none" w:color="000000" w:sz="4" w:space="0"/>
          <w:left w:val="none" w:color="000000" w:sz="4" w:space="0"/>
          <w:bottom w:val="none" w:color="000000" w:sz="4" w:space="0"/>
          <w:right w:val="none" w:color="000000" w:sz="4" w:space="0"/>
        </w:pBdr>
        <w:spacing/>
        <w:ind/>
        <w:rPr/>
      </w:pPr>
      <w:r>
        <w:rPr>
          <w:rFonts w:ascii="Times New Roman" w:hAnsi="Times New Roman" w:eastAsia="Times New Roman" w:cs="Times New Roman"/>
          <w:color w:val="000000"/>
          <w:sz w:val="24"/>
        </w:rPr>
        <w:t xml:space="preserve">Địa điểm: 58 Bạch Đằng, Phường Hải Châu, Thành phố Đà Nẵng</w:t>
      </w:r>
      <w:r/>
    </w:p>
    <w:p>
      <w:pPr>
        <w:numPr>
          <w:ilvl w:val="0"/>
          <w:numId w:val="44"/>
        </w:numPr>
        <w:pBdr>
          <w:top w:val="none" w:color="000000" w:sz="4" w:space="0"/>
          <w:left w:val="none" w:color="000000" w:sz="4" w:space="0"/>
          <w:bottom w:val="none" w:color="000000" w:sz="4" w:space="0"/>
          <w:right w:val="none" w:color="000000" w:sz="4" w:space="0"/>
        </w:pBdr>
        <w:spacing/>
        <w:ind/>
        <w:rPr/>
      </w:pPr>
      <w:r>
        <w:rPr>
          <w:rFonts w:ascii="Times New Roman" w:hAnsi="Times New Roman" w:eastAsia="Times New Roman" w:cs="Times New Roman"/>
          <w:color w:val="000000"/>
          <w:sz w:val="24"/>
        </w:rPr>
        <w:t xml:space="preserve">Loại hình sản phẩm: Căn hộ studio, 1 phòng ngủ và 2 phòng ngủ cao cấp</w:t>
      </w:r>
      <w:r/>
    </w:p>
    <w:p>
      <w:pPr>
        <w:numPr>
          <w:ilvl w:val="0"/>
          <w:numId w:val="44"/>
        </w:numPr>
        <w:pBdr>
          <w:top w:val="none" w:color="000000" w:sz="4" w:space="0"/>
          <w:left w:val="none" w:color="000000" w:sz="4" w:space="0"/>
          <w:bottom w:val="none" w:color="000000" w:sz="4" w:space="0"/>
          <w:right w:val="none" w:color="000000" w:sz="4" w:space="0"/>
        </w:pBdr>
        <w:spacing/>
        <w:ind/>
        <w:rPr/>
      </w:pPr>
      <w:r>
        <w:rPr>
          <w:rFonts w:ascii="Times New Roman" w:hAnsi="Times New Roman" w:eastAsia="Times New Roman" w:cs="Times New Roman"/>
          <w:color w:val="000000"/>
          <w:sz w:val="24"/>
        </w:rPr>
        <w:t xml:space="preserve">Diện tích: Từ 43,1 m² – 88,8 m²</w:t>
      </w:r>
      <w:r/>
    </w:p>
    <w:p>
      <w:pPr>
        <w:numPr>
          <w:ilvl w:val="0"/>
          <w:numId w:val="44"/>
        </w:numPr>
        <w:pBdr>
          <w:top w:val="none" w:color="000000" w:sz="4" w:space="0"/>
          <w:left w:val="none" w:color="000000" w:sz="4" w:space="0"/>
          <w:bottom w:val="none" w:color="000000" w:sz="4" w:space="0"/>
          <w:right w:val="none" w:color="000000" w:sz="4" w:space="0"/>
        </w:pBdr>
        <w:spacing/>
        <w:ind/>
        <w:rPr/>
      </w:pPr>
      <w:r>
        <w:rPr>
          <w:rFonts w:ascii="Times New Roman" w:hAnsi="Times New Roman" w:eastAsia="Times New Roman" w:cs="Times New Roman"/>
          <w:color w:val="000000"/>
          <w:sz w:val="24"/>
        </w:rPr>
        <w:t xml:space="preserve">Hình thức sở hữu: Sổ hồng lâu dài</w:t>
      </w:r>
      <w:r/>
    </w:p>
    <w:p>
      <w:pPr>
        <w:numPr>
          <w:ilvl w:val="0"/>
          <w:numId w:val="44"/>
        </w:numPr>
        <w:pBdr>
          <w:top w:val="none" w:color="000000" w:sz="4" w:space="0"/>
          <w:left w:val="none" w:color="000000" w:sz="4" w:space="0"/>
          <w:bottom w:val="none" w:color="000000" w:sz="4" w:space="0"/>
          <w:right w:val="none" w:color="000000" w:sz="4" w:space="0"/>
        </w:pBdr>
        <w:spacing/>
        <w:ind/>
        <w:rPr/>
      </w:pPr>
      <w:r>
        <w:rPr>
          <w:rFonts w:ascii="Times New Roman" w:hAnsi="Times New Roman" w:eastAsia="Times New Roman" w:cs="Times New Roman"/>
          <w:color w:val="000000"/>
          <w:sz w:val="24"/>
        </w:rPr>
        <w:t xml:space="preserve">Tiêu chuẩn bàn giao: Hoàn thiện kèm nội thất</w:t>
      </w:r>
      <w:r/>
    </w:p>
    <w:p>
      <w:pPr>
        <w:numPr>
          <w:ilvl w:val="0"/>
          <w:numId w:val="44"/>
        </w:numPr>
        <w:pBdr>
          <w:top w:val="none" w:color="000000" w:sz="4" w:space="0"/>
          <w:left w:val="none" w:color="000000" w:sz="4" w:space="0"/>
          <w:bottom w:val="none" w:color="000000" w:sz="4" w:space="0"/>
          <w:right w:val="none" w:color="000000" w:sz="4" w:space="0"/>
        </w:pBdr>
        <w:spacing/>
        <w:ind/>
        <w:rPr/>
      </w:pPr>
      <w:r>
        <w:rPr>
          <w:rFonts w:ascii="Times New Roman" w:hAnsi="Times New Roman" w:eastAsia="Times New Roman" w:cs="Times New Roman"/>
          <w:color w:val="000000"/>
          <w:sz w:val="24"/>
        </w:rPr>
        <w:t xml:space="preserve">Tổng số căn hộ: 224 căn</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center"/>
        <w:rPr/>
      </w:pPr>
      <w:r>
        <w:rPr>
          <w:rFonts w:ascii="Times New Roman" w:hAnsi="Times New Roman" w:eastAsia="Times New Roman" w:cs="Times New Roman"/>
          <w:b/>
          <w:color w:val="000000"/>
          <w:sz w:val="24"/>
        </w:rPr>
        <w:t xml:space="preserve">5 yếu tố tạo sức hút cho M Landmark Residences Đà Nẵng</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 xml:space="preserve">Vị trí trung tâm, tầm nhìn hướng sông Hàn cùng chuỗi tiện ích cao cấp... của M Landmark Residences Đà Nẵng thu hút sự quan tâm của tầng lớp tinh hoa.</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b/>
          <w:i/>
          <w:color w:val="000000"/>
          <w:sz w:val="24"/>
        </w:rPr>
        <w:t xml:space="preserve">Tọa lạc tại lõi đô thị Đà Nẵng</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 xml:space="preserve">M Landmark Residences nằm trong tòa nhà M Landmark tại số 58 Bạch Đằng - một trong những tuyến phố trung tâm sầm uất bậc nhất của Đà Nẵng, ven sông Hàn và là trung tâm diễn ra các sự kiện văn hóa, du lịch lớn như Lễ hội pháo hoa quốc tế Đà Nẵng... Từ dự án</w:t>
      </w:r>
      <w:r>
        <w:rPr>
          <w:rFonts w:ascii="Times New Roman" w:hAnsi="Times New Roman" w:eastAsia="Times New Roman" w:cs="Times New Roman"/>
          <w:color w:val="000000"/>
          <w:sz w:val="24"/>
        </w:rPr>
        <w:t xml:space="preserve">, chủ nhân các căn hộ có thể kết nối nhanh đến sân bay quốc tế Đà Nẵng, các bãi biển nổi tiếng như Mỹ Khê và các điểm đến di sản tại miền Trung như Hội An, Mỹ Sơn, Huế...</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b/>
          <w:i/>
          <w:color w:val="000000"/>
          <w:sz w:val="24"/>
        </w:rPr>
        <w:t xml:space="preserve">Chủ đầu tư và đơn vị thiết kế giàu kinh nghiệm</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 xml:space="preserve">Dự án do Công ty CP Địa ốc Foodinco - thành viên Alphanam Group làm chủ đầu tư. Đây là doanh nghiệp có bề dày kinh nghiệm trong lĩnh vực bất động sản, triển khai nhiều dự án quy mô trên toàn quốc.</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 xml:space="preserve">M Landmark Residences Đà Nẵng được thiết kế bởi DP Architects (Singapore) và Công ty SDesign do kiến trúc sư người Tây Ban Nha Salvador Perez Arroyo dẫn dắt. Các đơn vị này từng tham gia nhiều công trình biểu tượng trên thế giới. Dự án được trang bị hệ thố</w:t>
      </w:r>
      <w:r>
        <w:rPr>
          <w:rFonts w:ascii="Times New Roman" w:hAnsi="Times New Roman" w:eastAsia="Times New Roman" w:cs="Times New Roman"/>
          <w:color w:val="000000"/>
          <w:sz w:val="24"/>
        </w:rPr>
        <w:t xml:space="preserve">ng phòng cháy chữa cháy, báo cháy địa chỉ, hệ thống cáp quang, an ninh... đều được hoàn thiện theo tiêu chuẩn Mỹ.</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b/>
          <w:i/>
          <w:color w:val="000000"/>
          <w:sz w:val="24"/>
        </w:rPr>
        <w:t xml:space="preserve">Tầm nhìn sông Hàn, số lượng giới hạn</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 xml:space="preserve">Dự án cung cấp 224 căn hộ diện tích từ 43 m2 đến 89 m2, gồm một đến ba phòng ngủ. Tất cả căn hộ đều sở hữu tầm nhìn rộng mở, có thể quan sát toàn cảnh sông Hàn và các cây cầu nổi tiếng như cầu Rồng, cầu Sông Hàn, Trần Thị Lý, Nguyễn Văn Trỗi, Thuận Phước, </w:t>
      </w:r>
      <w:r>
        <w:rPr>
          <w:rFonts w:ascii="Times New Roman" w:hAnsi="Times New Roman" w:eastAsia="Times New Roman" w:cs="Times New Roman"/>
          <w:color w:val="000000"/>
          <w:sz w:val="24"/>
        </w:rPr>
        <w:t xml:space="preserve">Tiên Sơn... hoặc tầm nhìn trung tâm thành phố. Đây cũng là "khán đài trên cao" mỗi mùa lễ hội, nơi các chủ nhân có thể ngắm những màn trình diễn pháo hoa rực rỡ bên dòng sông Hàn trong không gian riêng tư.</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 xml:space="preserve">Không gian căn hộ được thiết kế hiện đại, tối ưu công năng và ánh sáng tự nhiên. Theo đại diện chủ đầu tư, dự án hướng đến chuẩn sống mới tại trung tâm Đà Nẵng, phục vụ nhóm khách hàng cao cấp, chuyên gia và khách quốc tế. Đại diện chủ đầu tư kỳ vọng M Lan</w:t>
      </w:r>
      <w:r>
        <w:rPr>
          <w:rFonts w:ascii="Times New Roman" w:hAnsi="Times New Roman" w:eastAsia="Times New Roman" w:cs="Times New Roman"/>
          <w:color w:val="000000"/>
          <w:sz w:val="24"/>
        </w:rPr>
        <w:t xml:space="preserve">dmark Residences Đà Nẵng trở thành hình mẫu về chuẩn sống mới tại Đà Nẵng - tiện nghi và mang tinh thần thời đại.</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b/>
          <w:i/>
          <w:color w:val="000000"/>
          <w:sz w:val="24"/>
        </w:rPr>
        <w:t xml:space="preserve">Tiện ích từ khách sạn 5 sao trong cùng tòa nhà</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 xml:space="preserve">M Landmark Residences Đà Nẵng nằm trong cùng tòa nhà với Courtyard by Marriott Danang Han River - khách sạn đầu tiên mang thương hiệu Courtyard by Marriott tại Việt Nam, vận hành theo tiêu chuẩn quốc tế.</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 xml:space="preserve">Chủ nhân các căn hộ có thể kết nối với hệ thống tiện ích cao cấp như The Landmark Restaurant phục vụ ẩm thực Á - Âu, The Chill Bean - espresso bar dành cho tín đồ cà phê, hồ bơi vô cực ngoài trời trên tầng thượng, hồ bơi trẻ em, phòng gym cùng hệ thống phò</w:t>
      </w:r>
      <w:r>
        <w:rPr>
          <w:rFonts w:ascii="Times New Roman" w:hAnsi="Times New Roman" w:eastAsia="Times New Roman" w:cs="Times New Roman"/>
          <w:color w:val="000000"/>
          <w:sz w:val="24"/>
        </w:rPr>
        <w:t xml:space="preserve">ng hội nghị được thiết kế linh hoạt đáp ứng các sự kiện riêng tư hay tiệc kết nối dành cho cộng đồng cư dân thượng lưu.</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b/>
          <w:i/>
          <w:color w:val="000000"/>
          <w:sz w:val="24"/>
        </w:rPr>
        <w:t xml:space="preserve">Tiềm năng sinh lời</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 xml:space="preserve">Thị trường bất động sản Đà Nẵng đang ghi nhận những cú hích từ loạt chiến lược phát triển đô thị trọng điểm như trung tâm tài chính quốc tế Đà Nẵng, khu thương mại tự do và việc sáp nhập địa giới hành chính... Những yếu tố này được kỳ vọng tạo lực đẩy cho </w:t>
      </w:r>
      <w:r>
        <w:rPr>
          <w:rFonts w:ascii="Times New Roman" w:hAnsi="Times New Roman" w:eastAsia="Times New Roman" w:cs="Times New Roman"/>
          <w:color w:val="000000"/>
          <w:sz w:val="24"/>
        </w:rPr>
        <w:t xml:space="preserve">bất động sản trung tâm, nhất là phân khúc hạng sang.</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 xml:space="preserve">Trong bối cảnh đó, các dự án nằm ở khu vực lõi đô thị như M Landmark Residences Đà Nẵng sẽ có nhiều lợi thế về tăng giá trong dài hạn, đồng thời mang đến dòng tiền ổn định từ khai thác cho thuê hoặc phục vụ nhu cầu ở thực của nhóm khách hàng chuyên gia, ng</w:t>
      </w:r>
      <w:r>
        <w:rPr>
          <w:rFonts w:ascii="Times New Roman" w:hAnsi="Times New Roman" w:eastAsia="Times New Roman" w:cs="Times New Roman"/>
          <w:color w:val="000000"/>
          <w:sz w:val="24"/>
        </w:rPr>
        <w:t xml:space="preserve">ười nước ngoài làm việc tại Đà Nẵng.</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center"/>
        <w:rPr/>
      </w:pPr>
      <w:r>
        <w:rPr>
          <w:rFonts w:ascii="Times New Roman" w:hAnsi="Times New Roman" w:eastAsia="Times New Roman" w:cs="Times New Roman"/>
          <w:i/>
          <w:color w:val="000000"/>
          <w:sz w:val="24"/>
        </w:rPr>
        <w:t xml:space="preserve">(Nguồn tham khảo: </w:t>
      </w:r>
      <w:hyperlink r:id="rId17" w:tooltip="https://alphanamfamily.com/tin-tuc/5-yeu-to-tao-suc-hut-cho-m-landmark-residences-da-nang" w:history="1">
        <w:r>
          <w:rPr>
            <w:rStyle w:val="1122"/>
            <w:rFonts w:ascii="Times New Roman" w:hAnsi="Times New Roman" w:eastAsia="Times New Roman" w:cs="Times New Roman"/>
            <w:i/>
            <w:color w:val="000000"/>
            <w:sz w:val="24"/>
            <w:u w:val="none"/>
          </w:rPr>
          <w:t xml:space="preserve">https://alphanamfamily.com/tin-tuc/5-yeu-to-tao-suc-hut-cho-m-landmark-residences-da-nang</w:t>
        </w:r>
      </w:hyperlink>
      <w:r>
        <w:rPr>
          <w:rFonts w:ascii="Times New Roman" w:hAnsi="Times New Roman" w:eastAsia="Times New Roman" w:cs="Times New Roman"/>
          <w:i/>
          <w:color w:val="000000"/>
          <w:sz w:val="24"/>
        </w:rPr>
        <w:t xml:space="preserve">)</w:t>
      </w:r>
      <w:r>
        <w:rPr>
          <w:rFonts w:ascii="Times New Roman" w:hAnsi="Times New Roman" w:eastAsia="Times New Roman" w:cs="Times New Roman"/>
          <w:sz w:val="24"/>
        </w:rPr>
      </w:r>
      <w:r/>
    </w:p>
    <w:p>
      <w:pPr>
        <w:pStyle w:val="1132"/>
        <w:pBdr/>
        <w:tabs>
          <w:tab w:val="left" w:leader="none" w:pos="993"/>
        </w:tabs>
        <w:spacing w:after="120" w:before="120" w:line="276" w:lineRule="auto"/>
        <w:ind w:left="0"/>
        <w:jc w:val="both"/>
        <w:rPr>
          <w:b/>
          <w:bCs/>
          <w:color w:val="000000" w:themeColor="text1"/>
        </w:rPr>
      </w:pPr>
      <w:r>
        <w:rPr>
          <w:b/>
          <w:bCs/>
          <w:color w:val="000000" w:themeColor="text1"/>
          <w:lang w:val="pt-BR"/>
        </w:rPr>
        <w:t xml:space="preserve">IV. THÔNG TIN VỀ TÀI SẢN THẨM ĐỊNH GIÁ</w:t>
      </w:r>
      <w:r>
        <w:rPr>
          <w:b/>
          <w:bCs/>
          <w:color w:val="000000" w:themeColor="text1"/>
        </w:rPr>
      </w:r>
      <w:r>
        <w:rPr>
          <w:b/>
          <w:bCs/>
          <w:color w:val="000000" w:themeColor="text1"/>
        </w:rPr>
      </w:r>
    </w:p>
    <w:tbl>
      <w:tblPr>
        <w:tblStyle w:val="113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734"/>
        <w:gridCol w:w="2522"/>
        <w:gridCol w:w="2126"/>
        <w:gridCol w:w="2126"/>
        <w:gridCol w:w="2007"/>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8" w:space="0"/>
              <w:bottom w:val="single" w:color="000000" w:sz="8" w:space="0"/>
              <w:right w:val="single" w:color="000000" w:sz="8" w:space="0"/>
            </w:tcBorders>
            <w:tcMar>
              <w:left w:w="108" w:type="dxa"/>
              <w:top w:w="0" w:type="dxa"/>
              <w:right w:w="108" w:type="dxa"/>
              <w:bottom w:w="0" w:type="dxa"/>
            </w:tcMar>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b/>
                <w:color w:val="000000"/>
                <w:sz w:val="24"/>
              </w:rPr>
              <w:t xml:space="preserve">Tài sản hình thành trong tương lai là căn hộ 30-03, tại Toà căn hộ 45 tầng, dự án M Landmark Residences Đà Nẵng, có địa chỉ: tại số 58 Bạch Đằng, phường Hải Châu I, quận Hải Châu, Thành phố Đà Nẵng (Nay là phường Hải Châu, Thành phố Đà Nẵng).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w:t>
            </w:r>
            <w:r/>
          </w:p>
        </w:tc>
        <w:tc>
          <w:tcPr>
            <w:gridSpan w:val="4"/>
            <w:tcBorders>
              <w:bottom w:val="single" w:color="000000" w:sz="8" w:space="0"/>
              <w:right w:val="single" w:color="000000" w:sz="8" w:space="0"/>
            </w:tcBorders>
            <w:tcMar>
              <w:left w:w="108" w:type="dxa"/>
              <w:top w:w="0" w:type="dxa"/>
              <w:right w:w="108" w:type="dxa"/>
              <w:bottom w:w="0" w:type="dxa"/>
            </w:tcMar>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Nội dung Thửa đất theo Hồ sơ pháp lý</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Thửa đất số:</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Tờ bản đồ số:</w:t>
            </w:r>
            <w:r/>
          </w:p>
        </w:tc>
        <w:tc>
          <w:tcPr>
            <w:tcBorders>
              <w:bottom w:val="single" w:color="000000" w:sz="8" w:space="0"/>
              <w:right w:val="single" w:color="000000" w:sz="8"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11</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Địa chỉ:</w:t>
            </w:r>
            <w:r/>
          </w:p>
        </w:tc>
        <w:tc>
          <w:tcPr>
            <w:gridSpan w:val="3"/>
            <w:tcBorders>
              <w:bottom w:val="single" w:color="000000" w:sz="8" w:space="0"/>
              <w:right w:val="single" w:color="000000" w:sz="8" w:space="0"/>
            </w:tcBorders>
            <w:tcMar>
              <w:left w:w="108" w:type="dxa"/>
              <w:top w:w="0" w:type="dxa"/>
              <w:right w:w="108" w:type="dxa"/>
              <w:bottom w:w="0" w:type="dxa"/>
            </w:tcMar>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58 Bạch Đằng, phường Hải Châu 1, quận Hải Châu, thành phố Đà Nẵng (Nay là phường Hải Châu, Thành phố Đà Nẵng)  </w:t>
            </w:r>
            <w:r/>
          </w:p>
        </w:tc>
      </w:tr>
      <w:tr>
        <w:trPr>
          <w:trHeight w:val="5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(m²):</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2476,2</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thức sử dụng:</w:t>
            </w:r>
            <w:r/>
          </w:p>
        </w:tc>
        <w:tc>
          <w:tcPr>
            <w:tcBorders>
              <w:bottom w:val="single" w:color="000000" w:sz="8" w:space="0"/>
              <w:right w:val="single" w:color="000000" w:sz="8"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Sử dụng riêng: 2476,2 m²</w:t>
            </w:r>
            <w:r/>
          </w:p>
        </w:tc>
      </w:tr>
      <w:tr>
        <w:trPr>
          <w:trHeight w:val="384"/>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Thời hạn sử dụng:</w:t>
            </w:r>
            <w:r/>
          </w:p>
        </w:tc>
        <w:tc>
          <w:tcPr>
            <w:tcBorders>
              <w:bottom w:val="single" w:color="000000" w:sz="8" w:space="0"/>
              <w:right w:val="single" w:color="000000" w:sz="8"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Lâu dài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w:t>
            </w:r>
            <w:r/>
          </w:p>
        </w:tc>
        <w:tc>
          <w:tcPr>
            <w:gridSpan w:val="4"/>
            <w:tcBorders>
              <w:bottom w:val="single" w:color="000000" w:sz="8" w:space="0"/>
              <w:right w:val="single" w:color="000000" w:sz="8" w:space="0"/>
            </w:tcBorders>
            <w:tcMar>
              <w:left w:w="108" w:type="dxa"/>
              <w:top w:w="0" w:type="dxa"/>
              <w:right w:w="108" w:type="dxa"/>
              <w:bottom w:w="0" w:type="dxa"/>
            </w:tcMar>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Về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2.1</w:t>
            </w:r>
            <w:r/>
          </w:p>
        </w:tc>
        <w:tc>
          <w:tcPr>
            <w:gridSpan w:val="4"/>
            <w:tcBorders>
              <w:bottom w:val="single" w:color="000000" w:sz="8" w:space="0"/>
              <w:right w:val="single" w:color="000000" w:sz="8" w:space="0"/>
            </w:tcBorders>
            <w:tcMar>
              <w:left w:w="108" w:type="dxa"/>
              <w:top w:w="0" w:type="dxa"/>
              <w:right w:w="108" w:type="dxa"/>
              <w:bottom w:w="0" w:type="dxa"/>
            </w:tcMar>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Vị trí; Giao thông;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Đường tiếp giáp chính:</w:t>
            </w:r>
            <w:r/>
          </w:p>
        </w:tc>
        <w:tc>
          <w:tcPr>
            <w:gridSpan w:val="3"/>
            <w:tcBorders>
              <w:bottom w:val="single" w:color="000000" w:sz="8" w:space="0"/>
              <w:right w:val="single" w:color="000000" w:sz="8" w:space="0"/>
            </w:tcBorders>
            <w:tcMar>
              <w:left w:w="108" w:type="dxa"/>
              <w:top w:w="0" w:type="dxa"/>
              <w:right w:w="108" w:type="dxa"/>
              <w:bottom w:w="0" w:type="dxa"/>
            </w:tcMar>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Đường Bạch Đằng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 (m):</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Mặt cắt đường/ngõ trước mặt tài sản thẩm định giá (m):</w:t>
            </w:r>
            <w:r/>
          </w:p>
        </w:tc>
        <w:tc>
          <w:tcPr>
            <w:tcBorders>
              <w:bottom w:val="single" w:color="000000" w:sz="8" w:space="0"/>
              <w:right w:val="single" w:color="000000" w:sz="8"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Khoảng cách đến trục đường chính (m):</w:t>
            </w:r>
            <w:r/>
          </w:p>
        </w:tc>
        <w:tc>
          <w:tcPr>
            <w:gridSpan w:val="3"/>
            <w:tcBorders>
              <w:bottom w:val="single" w:color="000000" w:sz="8" w:space="0"/>
              <w:right w:val="single" w:color="000000" w:sz="8" w:space="0"/>
            </w:tcBorders>
            <w:tcMar>
              <w:left w:w="108" w:type="dxa"/>
              <w:top w:w="0" w:type="dxa"/>
              <w:right w:w="108" w:type="dxa"/>
              <w:bottom w:w="0" w:type="dxa"/>
            </w:tcMar>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nằm tại Toà căn hộ 45 tầng, dự án M Landmark Residences Đà Nẵng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Vị trí trên bản đồ vệ tinh: (16.0725691,108.2237296)</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mc:AlternateContent>
                <mc:Choice Requires="wpg">
                  <w:drawing>
                    <wp:inline xmlns:wp="http://schemas.openxmlformats.org/drawingml/2006/wordprocessingDrawing" distT="0" distB="0" distL="0" distR="0">
                      <wp:extent cx="5591175" cy="2876550"/>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412964" name=""/>
                              <pic:cNvPicPr>
                                <a:picLocks noChangeAspect="1"/>
                              </pic:cNvPicPr>
                              <pic:nvPr/>
                            </pic:nvPicPr>
                            <pic:blipFill rotWithShape="1">
                              <a:blip r:embed="rId18"/>
                              <a:stretch/>
                            </pic:blipFill>
                            <pic:spPr bwMode="auto">
                              <a:xfrm>
                                <a:off x="0" y="0"/>
                                <a:ext cx="5591174" cy="28765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40.25pt;height:226.50pt;mso-wrap-distance-left:0.00pt;mso-wrap-distance-top:0.00pt;mso-wrap-distance-right:0.00pt;mso-wrap-distance-bottom:0.00pt;z-index:1;" stroked="false">
                      <v:imagedata r:id="rId18" o:title=""/>
                      <o:lock v:ext="edit" rotation="t"/>
                    </v:shape>
                  </w:pict>
                </mc:Fallback>
              </mc:AlternateConten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2.2.</w:t>
            </w:r>
            <w:r/>
          </w:p>
        </w:tc>
        <w:tc>
          <w:tcPr>
            <w:gridSpan w:val="4"/>
            <w:tcBorders>
              <w:bottom w:val="single" w:color="000000" w:sz="8" w:space="0"/>
              <w:right w:val="single" w:color="000000" w:sz="8" w:space="0"/>
            </w:tcBorders>
            <w:tcMar>
              <w:left w:w="108" w:type="dxa"/>
              <w:top w:w="0" w:type="dxa"/>
              <w:right w:w="108" w:type="dxa"/>
              <w:bottom w:w="0" w:type="dxa"/>
            </w:tcMar>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Thông tin về căn hộ </w:t>
            </w:r>
            <w:r/>
          </w:p>
        </w:tc>
      </w:tr>
      <w:tr>
        <w:trPr>
          <w:trHeight w:val="317"/>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Loại nhà ở:</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Căn hộ số 30.03, Toà căn hộ 45 tầng, dự án M Landmark Residences Đà Nẵng</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Hình thức sở hữu:</w:t>
            </w:r>
            <w:r/>
          </w:p>
        </w:tc>
        <w:tc>
          <w:tcPr>
            <w:tcBorders>
              <w:bottom w:val="single" w:color="000000" w:sz="8" w:space="0"/>
              <w:right w:val="single" w:color="000000" w:sz="8"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Sở hữu riêng</w:t>
            </w:r>
            <w:r/>
          </w:p>
        </w:tc>
      </w:tr>
      <w:tr>
        <w:trPr>
          <w:trHeight w:val="317"/>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Thời hạn sở hữu </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Diện tích sử dụng (m²):</w:t>
            </w:r>
            <w:r/>
          </w:p>
        </w:tc>
        <w:tc>
          <w:tcPr>
            <w:tcBorders>
              <w:bottom w:val="single" w:color="000000" w:sz="8" w:space="0"/>
              <w:right w:val="single" w:color="000000" w:sz="8"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76,8</w:t>
            </w:r>
            <w:r/>
          </w:p>
        </w:tc>
      </w:tr>
      <w:tr>
        <w:trPr>
          <w:trHeight w:val="613"/>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 Số tầng </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30</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Hướng cửa: </w:t>
            </w:r>
            <w:r/>
          </w:p>
        </w:tc>
        <w:tc>
          <w:tcPr>
            <w:tcBorders>
              <w:bottom w:val="single" w:color="000000" w:sz="8" w:space="0"/>
              <w:right w:val="single" w:color="000000" w:sz="8"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Đông Nam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2.3.</w:t>
            </w:r>
            <w:r/>
          </w:p>
        </w:tc>
        <w:tc>
          <w:tcPr>
            <w:gridSpan w:val="4"/>
            <w:tcBorders>
              <w:bottom w:val="single" w:color="000000" w:sz="8" w:space="0"/>
              <w:right w:val="single" w:color="000000" w:sz="8" w:space="0"/>
            </w:tcBorders>
            <w:tcMar>
              <w:left w:w="108" w:type="dxa"/>
              <w:top w:w="0" w:type="dxa"/>
              <w:right w:w="108" w:type="dxa"/>
              <w:bottom w:w="0" w:type="dxa"/>
            </w:tcMar>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nội bộ:</w:t>
            </w:r>
            <w:r/>
          </w:p>
        </w:tc>
        <w:tc>
          <w:tcPr>
            <w:gridSpan w:val="3"/>
            <w:tcBorders>
              <w:bottom w:val="single" w:color="000000" w:sz="8" w:space="0"/>
              <w:right w:val="single" w:color="000000" w:sz="8" w:space="0"/>
            </w:tcBorders>
            <w:tcMar>
              <w:left w:w="108" w:type="dxa"/>
              <w:top w:w="0" w:type="dxa"/>
              <w:right w:w="108" w:type="dxa"/>
              <w:bottom w:w="0" w:type="dxa"/>
            </w:tcMar>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cấp nước: Nước máy, Hạ tầng thoát nước: Rãnh có nắp, Hạ tầng cấp điện: Điện lưới, Hạ tầng thông tin liên lạc: Điện thoại, Mạng internet, Truyền hình cáp</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xung quanh:</w:t>
            </w:r>
            <w:r/>
          </w:p>
        </w:tc>
        <w:tc>
          <w:tcPr>
            <w:gridSpan w:val="3"/>
            <w:tcBorders>
              <w:bottom w:val="single" w:color="000000" w:sz="8" w:space="0"/>
              <w:right w:val="single" w:color="000000" w:sz="8" w:space="0"/>
            </w:tcBorders>
            <w:tcMar>
              <w:left w:w="108" w:type="dxa"/>
              <w:top w:w="0" w:type="dxa"/>
              <w:right w:w="108" w:type="dxa"/>
              <w:bottom w:w="0" w:type="dxa"/>
            </w:tcMar>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khu dân cư thông thường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Mật độ dân cư:</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Cao/đông đúc</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Đời sống dân cư:</w:t>
            </w:r>
            <w:r/>
          </w:p>
        </w:tc>
        <w:tc>
          <w:tcPr>
            <w:tcBorders>
              <w:bottom w:val="single" w:color="000000" w:sz="8" w:space="0"/>
              <w:right w:val="single" w:color="000000" w:sz="8"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Cao</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Phù hợp để ở</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Khả năng chuyển nhượng:</w:t>
            </w:r>
            <w:r/>
          </w:p>
        </w:tc>
        <w:tc>
          <w:tcPr>
            <w:tcBorders>
              <w:bottom w:val="single" w:color="000000" w:sz="8" w:space="0"/>
              <w:right w:val="single" w:color="000000" w:sz="8"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Tốt</w:t>
            </w:r>
            <w:r/>
          </w:p>
        </w:tc>
      </w:tr>
    </w:tbl>
    <w:p>
      <w:pPr>
        <w:pStyle w:val="1132"/>
        <w:pBdr/>
        <w:tabs>
          <w:tab w:val="left" w:leader="none" w:pos="993"/>
        </w:tabs>
        <w:spacing w:after="120" w:before="240" w:line="276" w:lineRule="auto"/>
        <w:ind w:left="0"/>
        <w:jc w:val="both"/>
        <w:rPr>
          <w:b/>
          <w:bCs/>
          <w:color w:val="000000" w:themeColor="text1"/>
          <w:highlight w:val="none"/>
          <w:lang w:val="pt-BR"/>
        </w:rPr>
      </w:pPr>
      <w:r>
        <w:rPr>
          <w:b/>
          <w:bCs/>
          <w:color w:val="000000" w:themeColor="text1"/>
          <w:lang w:val="pt-BR"/>
        </w:rPr>
        <w:t xml:space="preserve">V. CÁC GIẢ THIẾT VÀ GIẢ THIẾT ĐẶC BIỆT</w:t>
      </w:r>
      <w:r>
        <w:rPr>
          <w:b/>
          <w:bCs/>
          <w:color w:val="000000" w:themeColor="text1"/>
          <w:highlight w:val="none"/>
          <w:lang w:val="pt-BR"/>
        </w:rPr>
      </w:r>
      <w:r>
        <w:rPr>
          <w:b/>
          <w:bCs/>
          <w:color w:val="000000" w:themeColor="text1"/>
          <w:highlight w:val="none"/>
          <w:lang w:val="pt-BR"/>
        </w:rPr>
      </w:r>
    </w:p>
    <w:p>
      <w:pPr>
        <w:numPr>
          <w:ilvl w:val="0"/>
          <w:numId w:val="50"/>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pPr>
      <w:r>
        <w:rPr>
          <w:rFonts w:ascii="Times New Roman" w:hAnsi="Times New Roman" w:eastAsia="Times New Roman" w:cs="Times New Roman"/>
          <w:color w:val="000000"/>
          <w:spacing w:val="-2"/>
          <w:sz w:val="24"/>
        </w:rPr>
        <w:t xml:space="preserve">Qua hiện trạng khảo sát, </w:t>
      </w:r>
      <w:r>
        <w:rPr>
          <w:rFonts w:ascii="Times New Roman" w:hAnsi="Times New Roman" w:eastAsia="Times New Roman" w:cs="Times New Roman"/>
          <w:color w:val="000000"/>
          <w:sz w:val="24"/>
        </w:rPr>
        <w:t xml:space="preserve">C</w:t>
      </w:r>
      <w:r>
        <w:rPr>
          <w:rFonts w:ascii="Times New Roman" w:hAnsi="Times New Roman" w:eastAsia="Times New Roman" w:cs="Times New Roman"/>
          <w:color w:val="000000"/>
          <w:sz w:val="24"/>
        </w:rPr>
        <w:t xml:space="preserve">ăn hộ số 30.03, Toà căn hộ 45 tầng, dự án M Landmark Residences Đà Nẵng đang trong quá trình hoàn thiện và chưa ở trạng thái sẵn sàng sử dụng, khai thác. Giá trị tài sản hình thành trong tương lai tại Chứng thư này là giá trị của căn hộ được hình thành với</w:t>
      </w:r>
      <w:r>
        <w:rPr>
          <w:rFonts w:ascii="Times New Roman" w:hAnsi="Times New Roman" w:eastAsia="Times New Roman" w:cs="Times New Roman"/>
          <w:color w:val="000000"/>
          <w:sz w:val="24"/>
        </w:rPr>
        <w:t xml:space="preserve"> các đặc điểm kinh tế - kỹ thuật đúng theo mô tả tại Hợp đồng mua bán và ở trạng thái sẵn sàng sử dụng, khai thác. Chúng tôi được miễn trừ trách nhiệm trong trường hợp giả thiết này được chứng minh là không chính xác. Kính đề nghị các đơn vị sử dụng Chứng </w:t>
      </w:r>
      <w:r>
        <w:rPr>
          <w:rFonts w:ascii="Times New Roman" w:hAnsi="Times New Roman" w:eastAsia="Times New Roman" w:cs="Times New Roman"/>
          <w:color w:val="000000"/>
          <w:sz w:val="24"/>
        </w:rPr>
        <w:t xml:space="preserve">thư lưu ý và có đánh giá lại nếu xét thấy cần thiết.</w:t>
      </w:r>
      <w:r/>
    </w:p>
    <w:p>
      <w:pPr>
        <w:numPr>
          <w:ilvl w:val="0"/>
          <w:numId w:val="50"/>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pPr>
      <w:r>
        <w:rPr>
          <w:rFonts w:ascii="Times New Roman" w:hAnsi="Times New Roman" w:eastAsia="Times New Roman" w:cs="Times New Roman"/>
          <w:color w:val="000000"/>
          <w:spacing w:val="-2"/>
          <w:sz w:val="24"/>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w:t>
      </w:r>
      <w:r>
        <w:rPr>
          <w:rFonts w:ascii="Times New Roman" w:hAnsi="Times New Roman" w:eastAsia="Times New Roman" w:cs="Times New Roman"/>
          <w:color w:val="000000"/>
          <w:spacing w:val="-2"/>
          <w:sz w:val="24"/>
        </w:rPr>
        <w:t xml:space="preserve"> trừ mọi trách nhiệm phát sinh, liên đới (nếu có) trong trường hợp này.</w:t>
      </w:r>
      <w:r/>
    </w:p>
    <w:p>
      <w:pPr>
        <w:numPr>
          <w:ilvl w:val="0"/>
          <w:numId w:val="50"/>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pPr>
      <w:r>
        <w:rPr>
          <w:rFonts w:ascii="Times New Roman" w:hAnsi="Times New Roman" w:eastAsia="Times New Roman" w:cs="Times New Roman"/>
          <w:color w:val="000000"/>
          <w:sz w:val="24"/>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rFonts w:ascii="Times New Roman" w:hAnsi="Times New Roman" w:eastAsia="Times New Roman" w:cs="Times New Roman"/>
          <w:sz w:val="24"/>
        </w:rPr>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rPr/>
      </w:pPr>
      <w:r>
        <w:rPr>
          <w:rFonts w:ascii="Times New Roman" w:hAnsi="Times New Roman" w:eastAsia="Times New Roman" w:cs="Times New Roman"/>
          <w:b/>
          <w:color w:val="000000"/>
          <w:sz w:val="24"/>
        </w:rPr>
        <w:t xml:space="preserve">VI. CƠ SỞ GIÁ TRỊ THẨM ĐỊNH GIÁ</w:t>
      </w:r>
      <w:r/>
    </w:p>
    <w:p>
      <w:pPr>
        <w:numPr>
          <w:ilvl w:val="0"/>
          <w:numId w:val="46"/>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pPr>
      <w:r>
        <w:rPr>
          <w:rFonts w:ascii="Times New Roman" w:hAnsi="Times New Roman" w:eastAsia="Times New Roman" w:cs="Times New Roman"/>
          <w:b/>
          <w:color w:val="000000"/>
          <w:sz w:val="24"/>
        </w:rPr>
        <w:t xml:space="preserve">Giá trị thị trường:</w:t>
      </w:r>
      <w:r>
        <w:rPr>
          <w:rFonts w:ascii="Times New Roman" w:hAnsi="Times New Roman" w:eastAsia="Times New Roman" w:cs="Times New Roman"/>
          <w:color w:val="000000"/>
          <w:sz w:val="24"/>
        </w:rPr>
        <w:t xml:space="preserve"> Kết quả thẩm định giá trị tài sản được xác định dựa trên cơ sở giá trị thị trường tại thời điểm thẩm định theo Chuẩn mực thẩm định giá Việt Nam về Cơ sở giá trị thẩm định giá: </w:t>
      </w:r>
      <w:r>
        <w:rPr>
          <w:rFonts w:ascii="Times New Roman" w:hAnsi="Times New Roman" w:eastAsia="Times New Roman" w:cs="Times New Roman"/>
          <w:i/>
          <w:color w:val="000000"/>
          <w:sz w:val="24"/>
        </w:rPr>
        <w:t xml:space="preserve">“Giá trị thị trường là khoản tiền ước 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w:t>
      </w:r>
      <w:r>
        <w:rPr>
          <w:rFonts w:ascii="Times New Roman" w:hAnsi="Times New Roman" w:eastAsia="Times New Roman" w:cs="Times New Roman"/>
          <w:i/>
          <w:color w:val="000000"/>
          <w:sz w:val="24"/>
        </w:rPr>
        <w:t xml:space="preserve">u biết, thận trọng và không bị ép buộc”</w:t>
      </w: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VII. CÁCH TIẾP CẬN, PHƯƠNG PHÁP THẨM ĐỊNH GIÁ</w:t>
      </w:r>
      <w:r/>
    </w:p>
    <w:p>
      <w:pPr>
        <w:numPr>
          <w:ilvl w:val="0"/>
          <w:numId w:val="47"/>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Cách tiếp cận và phương pháp thẩm định:</w:t>
      </w:r>
      <w:r/>
    </w:p>
    <w:p>
      <w:pPr>
        <w:numPr>
          <w:ilvl w:val="0"/>
          <w:numId w:val="46"/>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i/>
          <w:color w:val="000000"/>
          <w:sz w:val="24"/>
        </w:rPr>
        <w:t xml:space="preserve">Cách tiếp cận từ thị trường: </w:t>
      </w:r>
      <w:r>
        <w:rPr>
          <w:rFonts w:ascii="Times New Roman" w:hAnsi="Times New Roman" w:eastAsia="Times New Roman" w:cs="Times New Roman"/>
          <w:color w:val="000000"/>
          <w:sz w:val="24"/>
        </w:rPr>
        <w:t xml:space="preserve">Xác định giá trị của tài sản thẩm định giá thông qua việc so sánh tài sản thẩm định giá với các tài sản so sánh đã có các thông tin về giá trên thị trường.</w:t>
      </w:r>
      <w:r/>
    </w:p>
    <w:p>
      <w:pPr>
        <w:numPr>
          <w:ilvl w:val="0"/>
          <w:numId w:val="46"/>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i/>
          <w:color w:val="000000"/>
          <w:sz w:val="24"/>
        </w:rPr>
        <w:t xml:space="preserve">Phương pháp so sánh:</w:t>
      </w:r>
      <w:r>
        <w:rPr>
          <w:rFonts w:ascii="Times New Roman" w:hAnsi="Times New Roman" w:eastAsia="Times New Roman" w:cs="Times New Roman"/>
          <w:color w:val="000000"/>
          <w:sz w:val="24"/>
        </w:rPr>
        <w:t xml:space="preserve"> Xác định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w:t>
      </w:r>
      <w:r>
        <w:rPr>
          <w:rFonts w:ascii="Times New Roman" w:hAnsi="Times New Roman" w:eastAsia="Times New Roman" w:cs="Times New Roman"/>
          <w:color w:val="000000"/>
          <w:sz w:val="24"/>
        </w:rPr>
        <w:t xml:space="preserve">nh giá.</w:t>
      </w:r>
      <w:r/>
    </w:p>
    <w:p>
      <w:pPr>
        <w:numPr>
          <w:ilvl w:val="0"/>
          <w:numId w:val="47"/>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Xác định cách tiếp cận và phương pháp đối với tài sản thẩm định giá:</w:t>
      </w:r>
      <w:r/>
    </w:p>
    <w:p>
      <w:pPr>
        <w:numPr>
          <w:ilvl w:val="0"/>
          <w:numId w:val="46"/>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color w:val="000000"/>
          <w:spacing w:val="-4"/>
          <w:sz w:val="24"/>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 giá trị tài sản thẩm </w:t>
      </w:r>
      <w:r>
        <w:rPr>
          <w:rFonts w:ascii="Times New Roman" w:hAnsi="Times New Roman" w:eastAsia="Times New Roman" w:cs="Times New Roman"/>
          <w:color w:val="000000"/>
          <w:spacing w:val="-4"/>
          <w:sz w:val="24"/>
        </w:rPr>
        <w:t xml:space="preserve">định.</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VIII. GIÁ TRỊ TÀI SẢN THẨM ĐỊNH</w:t>
      </w:r>
      <w:r/>
    </w:p>
    <w:p>
      <w:pPr>
        <w:numPr>
          <w:ilvl w:val="0"/>
          <w:numId w:val="48"/>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Xác định đơn giá quyền sử dụng đất:</w:t>
      </w:r>
      <w:r/>
    </w:p>
    <w:p>
      <w:pPr>
        <w:pBdr>
          <w:top w:val="none" w:color="000000" w:sz="4" w:space="0"/>
          <w:left w:val="none" w:color="000000" w:sz="4" w:space="0"/>
          <w:bottom w:val="none" w:color="000000" w:sz="4" w:space="0"/>
          <w:right w:val="none" w:color="000000" w:sz="4" w:space="0"/>
        </w:pBdr>
        <w:spacing w:after="120" w:before="120" w:line="276" w:lineRule="auto"/>
        <w:ind w:right="0" w:firstLine="357" w:left="0"/>
        <w:jc w:val="both"/>
        <w:rPr/>
      </w:pPr>
      <w:r>
        <w:rPr>
          <w:rFonts w:ascii="Times New Roman" w:hAnsi="Times New Roman" w:eastAsia="Times New Roman" w:cs="Times New Roman"/>
          <w:color w:val="000000"/>
          <w:sz w:val="24"/>
        </w:rPr>
        <w:t xml:space="preserve">Qua khảo sát thị trường, Tổ thẩm định thu thập được 03 giao dịch được cho là tương đồng về đặc điểm vị trí, giao thông, kích thước, mặt tiền, điều kiện hạ tầng và điều kiện xã hội,… với tài sản thẩm định giá, cụ thể như sau:</w:t>
      </w:r>
      <w:r/>
    </w:p>
    <w:p>
      <w:pPr>
        <w:numPr>
          <w:ilvl w:val="0"/>
          <w:numId w:val="49"/>
        </w:numPr>
        <w:pBdr>
          <w:top w:val="none" w:color="000000" w:sz="4" w:space="0"/>
          <w:left w:val="none" w:color="000000" w:sz="4" w:space="0"/>
          <w:bottom w:val="none" w:color="000000" w:sz="4" w:space="0"/>
          <w:right w:val="none" w:color="000000" w:sz="4" w:space="0"/>
        </w:pBdr>
        <w:tabs>
          <w:tab w:val="left" w:leader="none" w:pos="720"/>
        </w:tabs>
        <w:spacing w:after="120" w:before="120" w:line="276" w:lineRule="auto"/>
        <w:ind/>
        <w:jc w:val="both"/>
        <w:rPr/>
      </w:pPr>
      <w:r>
        <w:rPr>
          <w:rFonts w:ascii="Times New Roman" w:hAnsi="Times New Roman" w:eastAsia="Times New Roman" w:cs="Times New Roman"/>
          <w:b/>
          <w:color w:val="000000"/>
          <w:sz w:val="24"/>
        </w:rPr>
        <w:t xml:space="preserve">Thông tin tài sản so sánh:</w:t>
      </w:r>
      <w:r/>
    </w:p>
    <w:tbl>
      <w:tblPr>
        <w:tblStyle w:val="113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37"/>
        <w:gridCol w:w="1134"/>
        <w:gridCol w:w="1843"/>
        <w:gridCol w:w="1984"/>
        <w:gridCol w:w="1984"/>
        <w:gridCol w:w="1984"/>
      </w:tblGrid>
      <w:tr>
        <w:trPr>
          <w:trHeight w:val="30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TSTĐ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TSSS1</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TSSS2</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TSSS3</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1134"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1843"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84"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84"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r>
      <w:tr>
        <w:trPr>
          <w:trHeight w:val="165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Địa chỉ</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Căn hộ số 30.03, Toà căn hộ 45 tầng, dự án M Landmark Residences Đà Nẵng, 58 Bạch Đằng, Phường Hải Châu 1, quận Hải Châu, Thành phố Đà Nẵng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Căn hộ số 39.16, Toà căn hộ 45 tầng, dự án M Landmark Residences Đà Nẵng, 58 Bạch Đằng, Phường Hải Châu 1, quận Hải Châu, Thành phố Đà Nẵng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Căn hộ số 39.08, Toà căn hộ 45 tầng, dự án M Landmark Residences Đà Nẵng, 58 Bạch Đằng, Phường Hải Châu 1, quận Hải Châu, Thành phố Đà Nẵng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Căn hộ số 31.07 Toà căn hộ 45 tầng, dự án M Landmark Residences Đà Nẵng, 58 Bạch Đằng, Phường Hải Châu 1, quận Hải Châu, Thành phố Đà Nẵng</w:t>
            </w:r>
            <w:r/>
          </w:p>
        </w:tc>
      </w:tr>
      <w:tr>
        <w:trPr>
          <w:trHeight w:val="276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https://batdongsan.com.vn/ban-can-ho-chung-cu-duong-bach-dang-phuong-hai-chau_1-m-landmark-residence/chau-my-srt-oc-quyen-tang-39-truc-16-2br-hang-sang-bat-nhat-a-nang-mlandmark-pr45776888</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https://batdongsan.com.vn/ban-can-ho-chung-cu-duong-bach-dang-phuong-hai-chau_1-m-landmark-residence/chau-my-srt-oc-quyen-tang-39-truc-16-2br-hang-sang-bat-nhat-a-nang-mlandmark-pr45776888</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https://batdongsan.com.vn/ban-can-ho-chung-cu-duong-bach-dang-phuong-hai-chau_1-m-landmark-residence/2-pn-view-truc-dien-song-han-marriot-danh-cho-gioi-tinh-hoa-full-noi-that-pr44960769</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Thông tin liên lạc</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0931199800 </w:t>
              <w:br/>
              <w:t xml:space="preserve"> (Mỹ Châu)</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0931199800</w:t>
              <w:br/>
              <w:t xml:space="preserve"> (Mỹ Châu)</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0932561759</w:t>
              <w:br/>
              <w:t xml:space="preserve"> (Thành Đạt)</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Đang giao dịch </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08/2026</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08/2026</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08/2026</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Hợp đồng mua bán công chứng vi bằng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Hợp đồng mua bán công chứng vi bằng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Hợp đồng mua bán công chứng vi bằng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Hợp đồng mua bán công chứng vi bằng</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Loại hình tài sản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Phổ thông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Phổ thông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Phổ thông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Phổ thông</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Căn hộ số 30.03, Toà căn hộ 45 tầng, dự án M Landmark Residences Đà Nẵng, 58 Bạch Đằng, Phường Hải Châu 1, quận Hải Châu, Thành phố Đà Nẵng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Căn hộ số 39.16, Toà căn hộ 45 tầng, dự án M Landmark Residences Đà Nẵng, 58 Bạch Đằng, Phường Hải Châu 1, quận Hải Châu, Thành phố Đà Nẵng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Căn hộ số 39.08, Toà căn hộ 45 tầng, dự án M Landmark Residences Đà Nẵng, 58 Bạch Đằng, Phường Hải Châu 1, quận Hải Châu, Thành phố Đà Nẵng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Căn hộ số 31.07 Toà căn hộ 45 tầng, dự án M Landmark Residences Đà Nẵng, 58 Bạch Đằng, Phường Hải Châu 1, quận Hải Châu, Thành phố Đà Nẵng</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Mô tả vị trí</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M LANDMARK RESIDENCES DA NANG, Thành phố Đà Nẵng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Dự án M LANDMARK RESIDENCES DA NANG, Phường Hải Châu, Thành phố Đà Nẵng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Dự án M LANDMARK RESIDENCES DA NANG, Phường Hải Châu, Thành phố Đà Nẵng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M LANDMARK RESIDENCES DA NANG, Thành phố Đà Nẵng</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Tuổi đời – hiện trạng sử dụng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thông thủy (m²)</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77,7</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76,4</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76,4</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75,6</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thoáng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 mặt thoáng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 mặt thoáng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 mặt thoáng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 mặt thoáng</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Tầng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Tầng 30, Thuộc nhóm tầng: Trung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Tầng 39, Thuộc nhóm tầng: Cao</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Tầng 39, Thuộc nhóm tầng: Cao</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Tầng 31, Thuộc nhóm tầng: Trung</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Hướng ban công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Đông Bắc</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Bắc</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Bắc</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Bắc</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Cấu trúc tài sản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 phòng ngủ, 2 nhà vệ sinh</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 phòng ngủ, 2 nhà vệ sinh</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 phòng ngủ, 2 nhà vệ sinh</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 phòng ngủ, 2 nhà vệ sinh</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Nội thất</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Cao cấp</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Cao cấp</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Cao cấp</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Cao cấp</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Không gian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gian, diện tích Khép kín (Không gian khép kín toàn khu: có bảo vệ toàn khu, trung tâm thương mại, siêu thị, sân chơi, sân vườn, bể bơi riêng)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gian, diện tích Khép kín (Không gian khép kín toàn khu: có bảo vệ toàn khu, trung tâm thương mại, siêu thị, sân chơi, sân vườn, bể bơi riêng)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gian, diện tích Khép kín (Không gian khép kín toàn khu: có bảo vệ toàn khu, trung tâm thương mại, siêu thị, sân chơi, sân vườn, bể bơi riêng)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gian, diện tích Khép kín (Không gian khép kín toàn khu: có bảo vệ toàn khu, trung tâm thương mại, siêu thị, sân chơi, sân vườn, bể bơi riêng)</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Lợi thế tài sản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View hồ sông, sông, suối, đầm, ao lớn (S=0.5ha), ruộng lúa, đồi núi xa, ngắm hoàng hôn, bình minh xa soi mặt nước, thơ mộng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View hồ sông, sông, suối, đầm, ao lớn (S=0.5ha), ruộng lúa, đồi núi xa, ngắm hoàng hôn, bình minh xa soi mặt nước, thơ mộng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View hồ sông, sông, suối, đầm, ao lớn (S=0.5ha), ruộng lúa, đồi núi xa, ngắm hoàng hôn, bình minh xa soi mặt nước, thơ mộng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View hồ sông, sông, suối, đầm, ao lớn (S=0.5ha), ruộng lúa, đồi núi xa, ngắm hoàng hôn, bình minh xa soi mặt nước, thơ mộng</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18</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Các bất lợi của tài sản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có bất lợi thương mại</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có bất lợi thương mại</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có bất lợi thương mại</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có bất lợi thương mại</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19</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Thông tin khác</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Căn thường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Căn thường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Căn thường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Căn thường</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20</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17.190.000.000</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17.190.000.000</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15.347.000.000</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21</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thương lượng/bán (đồng) (đã giảm trừ giá trị nội thất nếu có)</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14.611.500.000</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14.611.500.000</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13.044.950.000</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22</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Đơn giá QSD căn hộ (đồng/m2)</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191.250.000</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191.250.000</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172.552.249</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NHẬN XÉT</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Loại hình tài sản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Mô tả vị trí</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Tuổi đời – hiện trạng sử dụng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thông thủy (m²)</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thoáng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Tầng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 </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 </w:t>
            </w:r>
            <w:r>
              <w:rPr>
                <w:rFonts w:ascii="Times New Roman" w:hAnsi="Times New Roman" w:eastAsia="Times New Roman" w:cs="Times New Roman"/>
                <w:color w:val="000000"/>
                <w:sz w:val="22"/>
              </w:rPr>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Hướng ban công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Cấu trúc tài sản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Nội thất</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Không gian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Lợi thế tài sản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Các bất lợi của tài sản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Hiện trạng môi trường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Thông tin khác</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bl>
    <w:p>
      <w:pPr>
        <w:pBdr>
          <w:top w:val="none" w:color="000000" w:sz="4" w:space="0"/>
          <w:left w:val="none" w:color="000000" w:sz="4" w:space="0"/>
          <w:bottom w:val="none" w:color="000000" w:sz="4" w:space="0"/>
          <w:right w:val="none" w:color="000000" w:sz="4" w:space="0"/>
        </w:pBdr>
        <w:tabs>
          <w:tab w:val="left" w:leader="none" w:pos="90"/>
          <w:tab w:val="left" w:leader="none" w:pos="180"/>
        </w:tabs>
        <w:spacing w:after="120" w:before="120" w:line="264" w:lineRule="auto"/>
        <w:ind w:right="0" w:firstLine="0" w:left="0"/>
        <w:jc w:val="both"/>
        <w:rPr/>
      </w:pPr>
      <w:r>
        <w:rPr>
          <w:rFonts w:ascii="Times New Roman" w:hAnsi="Times New Roman" w:eastAsia="Times New Roman" w:cs="Times New Roman"/>
          <w:color w:val="000000"/>
          <w:sz w:val="24"/>
        </w:rPr>
        <w:t xml:space="preserve">Các yếu tố như vị trí, giao thông, diện tích, hình dáng, hạ tầng kỹ thuật và hạ tầng xã hội… làm ảnh hưởng đến giá trị của thửa đất. Mỗi yếu tố đóng góp một tỷ lệ nhất định vào giá trị của thửa đất. Vì vậy, dựa trên ba tài sản so sánh tương đồng với tài sả</w:t>
      </w:r>
      <w:r>
        <w:rPr>
          <w:rFonts w:ascii="Times New Roman" w:hAnsi="Times New Roman" w:eastAsia="Times New Roman" w:cs="Times New Roman"/>
          <w:color w:val="000000"/>
          <w:sz w:val="24"/>
        </w:rPr>
        <w:t xml:space="preserve">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p>
    <w:p>
      <w:pPr>
        <w:pBdr>
          <w:top w:val="none" w:color="000000" w:sz="4" w:space="0"/>
          <w:left w:val="none" w:color="000000" w:sz="4" w:space="0"/>
          <w:bottom w:val="none" w:color="000000" w:sz="4" w:space="0"/>
          <w:right w:val="none" w:color="000000" w:sz="4" w:space="0"/>
        </w:pBdr>
        <w:tabs>
          <w:tab w:val="left" w:leader="none" w:pos="90"/>
          <w:tab w:val="left" w:leader="none" w:pos="180"/>
        </w:tabs>
        <w:spacing w:after="120" w:before="120" w:line="264" w:lineRule="auto"/>
        <w:ind w:right="0" w:firstLine="0" w:left="0"/>
        <w:jc w:val="both"/>
        <w:rPr/>
      </w:pPr>
      <w:r>
        <w:rPr>
          <w:rFonts w:ascii="Times New Roman" w:hAnsi="Times New Roman" w:eastAsia="Times New Roman" w:cs="Times New Roman"/>
          <w:color w:val="000000"/>
          <w:sz w:val="24"/>
        </w:rPr>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w:t>
      </w:r>
      <w:r>
        <w:rPr>
          <w:rFonts w:ascii="Times New Roman" w:hAnsi="Times New Roman" w:eastAsia="Times New Roman" w:cs="Times New Roman"/>
          <w:color w:val="000000"/>
          <w:sz w:val="24"/>
        </w:rPr>
        <w:t xml:space="preserve"> Các điểm ở TSSS kém lợi thế hơn so với TSTĐ thì điều chỉnh tăng mức giá tính theo đơn vị chuẩn của tài sản so sánh (cộng); Những yếu tố ở tài sản so sánh giống (tương tự) với tài sản cần thẩm định giá thì giữ nguyên mức giá của tài sản so sánh (không điều</w:t>
      </w:r>
      <w:r>
        <w:rPr>
          <w:rFonts w:ascii="Times New Roman" w:hAnsi="Times New Roman" w:eastAsia="Times New Roman" w:cs="Times New Roman"/>
          <w:color w:val="000000"/>
          <w:sz w:val="24"/>
        </w:rPr>
        <w:t xml:space="preserve"> chỉnh).</w:t>
      </w:r>
      <w:r>
        <w:rPr>
          <w:rFonts w:ascii="Times New Roman" w:hAnsi="Times New Roman" w:eastAsia="Times New Roman" w:cs="Times New Roman"/>
          <w:sz w:val="24"/>
        </w:rPr>
      </w:r>
      <w:r/>
    </w:p>
    <w:p>
      <w:pPr>
        <w:pStyle w:val="1132"/>
        <w:numPr>
          <w:ilvl w:val="0"/>
          <w:numId w:val="6"/>
        </w:numPr>
        <w:pBdr/>
        <w:tabs>
          <w:tab w:val="left" w:leader="none" w:pos="720"/>
        </w:tabs>
        <w:spacing w:after="120" w:before="120" w:line="276" w:lineRule="auto"/>
        <w:ind w:hanging="284" w:left="284"/>
        <w:jc w:val="both"/>
        <w:rPr>
          <w:b/>
          <w:color w:val="000000" w:themeColor="text1"/>
        </w:rPr>
      </w:pPr>
      <w:r>
        <w:rPr>
          <w:b/>
          <w:color w:val="000000" w:themeColor="text1"/>
          <w:lang w:val="nl-NL"/>
        </w:rPr>
        <w:t xml:space="preserve">Bảng điều chỉnh:</w:t>
      </w:r>
      <w:r>
        <w:rPr>
          <w:b/>
          <w:color w:val="000000" w:themeColor="text1"/>
        </w:rPr>
      </w:r>
      <w:r>
        <w:rPr>
          <w:b/>
          <w:color w:val="000000" w:themeColor="text1"/>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99"/>
        <w:gridCol w:w="1701"/>
        <w:gridCol w:w="1700"/>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99"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700"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color w:val="000000" w:themeColor="text1"/>
                <w:sz w:val="22"/>
              </w:rPr>
              <w:t xml:space="preserve">Giá trị BĐS thị trường (Ước </w:t>
            </w:r>
            <w:r>
              <w:rPr>
                <w:b/>
                <w:color w:val="000000" w:themeColor="text1"/>
                <w:sz w:val="22"/>
              </w:rPr>
              <w:t xml:space="preserve">tính trước điều chỉnh)</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0"/>
                <w:szCs w:val="20"/>
              </w:rPr>
            </w:pPr>
            <w:r>
              <w:rPr>
                <w:color w:val="000000" w:themeColor="text1"/>
                <w:sz w:val="22"/>
                <w:szCs w:val="22"/>
              </w:rPr>
              <w:t xml:space="preserve">14.611.500.000</w:t>
            </w:r>
            <w:r>
              <w:rPr>
                <w:color w:val="000000"/>
                <w:sz w:val="20"/>
                <w:szCs w:val="20"/>
              </w:rPr>
            </w:r>
            <w:r>
              <w:rPr>
                <w:color w:val="000000"/>
                <w:sz w:val="20"/>
                <w:szCs w:val="20"/>
              </w:rPr>
            </w:r>
          </w:p>
        </w:tc>
        <w:tc>
          <w:tcPr>
            <w:shd w:val="clear" w:color="000000" w:fill="ffffff"/>
            <w:tcBorders/>
            <w:tcW w:w="1701" w:type="dxa"/>
            <w:vAlign w:val="center"/>
            <w:textDirection w:val="lrTb"/>
            <w:noWrap w:val="false"/>
          </w:tcPr>
          <w:p>
            <w:pPr>
              <w:pBdr/>
              <w:spacing/>
              <w:ind/>
              <w:jc w:val="center"/>
              <w:rPr>
                <w:color w:val="000000"/>
                <w:sz w:val="20"/>
                <w:szCs w:val="20"/>
              </w:rPr>
            </w:pPr>
            <w:r>
              <w:rPr>
                <w:color w:val="000000" w:themeColor="text1"/>
                <w:sz w:val="22"/>
                <w:szCs w:val="22"/>
              </w:rPr>
              <w:t xml:space="preserve">14.611.500.000</w:t>
            </w:r>
            <w:r>
              <w:rPr>
                <w:color w:val="000000"/>
                <w:sz w:val="20"/>
                <w:szCs w:val="20"/>
              </w:rPr>
            </w:r>
            <w:r>
              <w:rPr>
                <w:color w:val="000000"/>
                <w:sz w:val="20"/>
                <w:szCs w:val="20"/>
              </w:rPr>
            </w:r>
          </w:p>
        </w:tc>
        <w:tc>
          <w:tcPr>
            <w:shd w:val="clear" w:color="000000" w:fill="ffffff"/>
            <w:tcBorders/>
            <w:tcW w:w="1700" w:type="dxa"/>
            <w:vAlign w:val="center"/>
            <w:textDirection w:val="lrTb"/>
            <w:noWrap w:val="false"/>
          </w:tcPr>
          <w:p>
            <w:pPr>
              <w:pBdr/>
              <w:spacing/>
              <w:ind/>
              <w:jc w:val="center"/>
              <w:rPr>
                <w:color w:val="000000"/>
                <w:sz w:val="20"/>
                <w:szCs w:val="20"/>
              </w:rPr>
            </w:pPr>
            <w:r>
              <w:rPr>
                <w:color w:val="000000" w:themeColor="text1"/>
                <w:sz w:val="22"/>
                <w:szCs w:val="22"/>
              </w:rPr>
              <w:t xml:space="preserve">13.044.950.024</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color w:val="000000" w:themeColor="text1"/>
                <w:sz w:val="22"/>
              </w:rPr>
              <w:t xml:space="preserve">Đơn giá QSD căn hộ ước tính</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themeColor="text1"/>
                <w:sz w:val="22"/>
                <w:szCs w:val="22"/>
              </w:rPr>
              <w:t xml:space="preserve">191.250.000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191.250.000</w:t>
            </w:r>
            <w:r>
              <w:rPr>
                <w:color w:val="000000"/>
                <w:sz w:val="22"/>
                <w:szCs w:val="22"/>
              </w:rPr>
            </w:r>
            <w:r>
              <w:rPr>
                <w:color w:val="000000"/>
                <w:sz w:val="22"/>
                <w:szCs w:val="22"/>
              </w:rPr>
            </w:r>
          </w:p>
        </w:tc>
        <w:tc>
          <w:tcPr>
            <w:shd w:val="clear" w:color="000000" w:fill="ffffff"/>
            <w:tcBorders/>
            <w:tcW w:w="1700" w:type="dxa"/>
            <w:vAlign w:val="center"/>
            <w:textDirection w:val="lrTb"/>
            <w:noWrap w:val="false"/>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99"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701"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700"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Hợp đồng mua bán công chứng vi bằng</w:t>
            </w:r>
            <w:r>
              <w:rPr>
                <w:b/>
                <w:bCs/>
                <w:color w:val="000000"/>
                <w:sz w:val="22"/>
                <w:szCs w:val="22"/>
              </w:rPr>
            </w:r>
            <w:r>
              <w:rPr>
                <w:b/>
                <w:bCs/>
                <w:color w:val="000000"/>
                <w:sz w:val="22"/>
                <w:szCs w:val="22"/>
              </w:rPr>
            </w:r>
          </w:p>
        </w:tc>
        <w:tc>
          <w:tcPr>
            <w:shd w:val="clear" w:color="000000" w:fill="ffffff"/>
            <w:tcBorders/>
            <w:tcW w:w="1599" w:type="dxa"/>
            <w:vAlign w:val="center"/>
            <w:textDirection w:val="lrTb"/>
            <w:noWrap w:val="false"/>
          </w:tcPr>
          <w:p>
            <w:pPr>
              <w:pBdr/>
              <w:spacing/>
              <w:ind/>
              <w:jc w:val="center"/>
              <w:rPr>
                <w:b/>
                <w:bCs/>
                <w:color w:val="000000"/>
                <w:sz w:val="22"/>
                <w:szCs w:val="22"/>
              </w:rPr>
            </w:pPr>
            <w:r>
              <w:rPr>
                <w:color w:val="000000" w:themeColor="text1"/>
                <w:sz w:val="22"/>
                <w:szCs w:val="22"/>
              </w:rPr>
              <w:t xml:space="preserve">Hợp đồng mua bán công chứng vi bằng</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Hợp đồng mua bán công chứng vi bằng</w:t>
            </w:r>
            <w:r>
              <w:rPr>
                <w:b/>
                <w:bCs/>
                <w:color w:val="000000"/>
                <w:sz w:val="22"/>
                <w:szCs w:val="22"/>
              </w:rPr>
            </w:r>
            <w:r>
              <w:rPr>
                <w:b/>
                <w:bCs/>
                <w:color w:val="000000"/>
                <w:sz w:val="22"/>
                <w:szCs w:val="22"/>
              </w:rPr>
            </w:r>
          </w:p>
        </w:tc>
        <w:tc>
          <w:tcPr>
            <w:shd w:val="clear" w:color="000000" w:fill="ffffff"/>
            <w:tcBorders/>
            <w:tcW w:w="1700" w:type="dxa"/>
            <w:vAlign w:val="center"/>
            <w:textDirection w:val="lrTb"/>
            <w:noWrap w:val="false"/>
          </w:tcPr>
          <w:p>
            <w:pPr>
              <w:pBdr/>
              <w:spacing/>
              <w:ind/>
              <w:jc w:val="center"/>
              <w:rPr>
                <w:b/>
                <w:bCs/>
                <w:color w:val="000000"/>
                <w:sz w:val="22"/>
                <w:szCs w:val="22"/>
              </w:rPr>
            </w:pPr>
            <w:r>
              <w:rPr>
                <w:color w:val="000000" w:themeColor="text1"/>
                <w:sz w:val="22"/>
                <w:szCs w:val="22"/>
              </w:rPr>
              <w:t xml:space="preserve">Hợp đồng mua bán công chứng vi bằng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0"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0"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180.000.000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202.500.000</w:t>
            </w:r>
            <w:r>
              <w:rPr>
                <w:color w:val="000000"/>
                <w:sz w:val="22"/>
                <w:szCs w:val="22"/>
              </w:rPr>
            </w:r>
            <w:r>
              <w:rPr>
                <w:color w:val="000000"/>
                <w:sz w:val="22"/>
                <w:szCs w:val="22"/>
              </w:rPr>
            </w:r>
          </w:p>
        </w:tc>
        <w:tc>
          <w:tcPr>
            <w:shd w:val="clear" w:color="000000" w:fill="ffffff"/>
            <w:tcBorders/>
            <w:tcW w:w="1700" w:type="dxa"/>
            <w:vAlign w:val="center"/>
            <w:textDirection w:val="lrTb"/>
            <w:noWrap/>
          </w:tcPr>
          <w:p>
            <w:pPr>
              <w:pBdr/>
              <w:spacing/>
              <w:ind/>
              <w:jc w:val="center"/>
              <w:rPr>
                <w:color w:val="000000"/>
                <w:sz w:val="22"/>
                <w:szCs w:val="22"/>
              </w:rPr>
            </w:pPr>
            <w:r>
              <w:rPr>
                <w:color w:val="000000" w:themeColor="text1"/>
                <w:sz w:val="22"/>
                <w:szCs w:val="22"/>
              </w:rPr>
              <w:t xml:space="preserve">162.402.116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Loại hình tài sản</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Phổ thông</w:t>
            </w:r>
            <w:r>
              <w:rPr>
                <w:b/>
                <w:bCs/>
                <w:color w:val="000000"/>
                <w:sz w:val="22"/>
                <w:szCs w:val="22"/>
              </w:rPr>
            </w:r>
            <w:r>
              <w:rPr>
                <w:b/>
                <w:bCs/>
                <w:color w:val="000000"/>
                <w:sz w:val="22"/>
                <w:szCs w:val="22"/>
              </w:rPr>
            </w:r>
          </w:p>
        </w:tc>
        <w:tc>
          <w:tcPr>
            <w:shd w:val="clear" w:color="000000" w:fill="ffffff"/>
            <w:tcBorders/>
            <w:tcW w:w="1599" w:type="dxa"/>
            <w:vAlign w:val="center"/>
            <w:textDirection w:val="lrTb"/>
            <w:noWrap w:val="false"/>
          </w:tcPr>
          <w:p>
            <w:pPr>
              <w:pBdr/>
              <w:spacing/>
              <w:ind/>
              <w:jc w:val="center"/>
              <w:rPr>
                <w:b/>
                <w:bCs/>
                <w:color w:val="000000"/>
                <w:sz w:val="22"/>
                <w:szCs w:val="22"/>
              </w:rPr>
            </w:pPr>
            <w:r>
              <w:rPr>
                <w:color w:val="000000" w:themeColor="text1"/>
                <w:sz w:val="22"/>
                <w:szCs w:val="22"/>
              </w:rPr>
              <w:t xml:space="preserve">Phổ thông</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Phổ thông</w:t>
            </w:r>
            <w:r>
              <w:rPr>
                <w:b/>
                <w:bCs/>
                <w:color w:val="000000"/>
                <w:sz w:val="22"/>
                <w:szCs w:val="22"/>
              </w:rPr>
            </w:r>
            <w:r>
              <w:rPr>
                <w:b/>
                <w:bCs/>
                <w:color w:val="000000"/>
                <w:sz w:val="22"/>
                <w:szCs w:val="22"/>
              </w:rPr>
            </w:r>
          </w:p>
        </w:tc>
        <w:tc>
          <w:tcPr>
            <w:shd w:val="clear" w:color="000000" w:fill="ffffff"/>
            <w:tcBorders/>
            <w:tcW w:w="1700" w:type="dxa"/>
            <w:vAlign w:val="center"/>
            <w:textDirection w:val="lrTb"/>
            <w:noWrap w:val="false"/>
          </w:tcPr>
          <w:p>
            <w:pPr>
              <w:pBdr/>
              <w:spacing/>
              <w:ind/>
              <w:jc w:val="center"/>
              <w:rPr>
                <w:b/>
                <w:bCs/>
                <w:color w:val="000000"/>
                <w:sz w:val="22"/>
                <w:szCs w:val="22"/>
              </w:rPr>
            </w:pPr>
            <w:r>
              <w:rPr>
                <w:color w:val="000000" w:themeColor="text1"/>
                <w:sz w:val="22"/>
                <w:szCs w:val="22"/>
              </w:rPr>
              <w:t xml:space="preserve">Phổ thông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0"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0"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180.000.000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202.500.000</w:t>
            </w:r>
            <w:r>
              <w:rPr>
                <w:color w:val="000000"/>
                <w:sz w:val="22"/>
                <w:szCs w:val="22"/>
              </w:rPr>
            </w:r>
            <w:r>
              <w:rPr>
                <w:color w:val="000000"/>
                <w:sz w:val="22"/>
                <w:szCs w:val="22"/>
              </w:rPr>
            </w:r>
          </w:p>
        </w:tc>
        <w:tc>
          <w:tcPr>
            <w:shd w:val="clear" w:color="000000" w:fill="ffffff"/>
            <w:tcBorders/>
            <w:tcW w:w="1700" w:type="dxa"/>
            <w:vAlign w:val="center"/>
            <w:textDirection w:val="lrTb"/>
            <w:noWrap/>
          </w:tcPr>
          <w:p>
            <w:pPr>
              <w:pBdr/>
              <w:spacing/>
              <w:ind/>
              <w:jc w:val="center"/>
              <w:rPr>
                <w:color w:val="000000"/>
                <w:sz w:val="22"/>
                <w:szCs w:val="22"/>
              </w:rPr>
            </w:pPr>
            <w:r>
              <w:rPr>
                <w:color w:val="000000" w:themeColor="text1"/>
                <w:sz w:val="22"/>
                <w:szCs w:val="22"/>
              </w:rPr>
              <w:t xml:space="preserve">162.402.116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Căn hộ số 30.03, Toà căn hộ 45 tầng, dự án M Landmark Residences Đà Nẵng, 58 Bạch Đằng, Phường Hải Châu 1, quận Hải Châu, Thành phố Đà Nẵng</w:t>
            </w:r>
            <w:r/>
          </w:p>
        </w:tc>
        <w:tc>
          <w:tcPr>
            <w:shd w:val="clear" w:color="000000" w:fill="ffffff"/>
            <w:tcBorders/>
            <w:tcW w:w="159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Căn hộ số 39.16, Toà căn hộ 45 tầng, dự án M Landmark Residences Đà Nẵng, 58 Bạch Đằng, Phường Hải Châu 1, quận Hải Châu, Thành phố Đà Nẵng</w:t>
            </w:r>
            <w:r/>
          </w:p>
        </w:tc>
        <w:tc>
          <w:tcPr>
            <w:shd w:val="clear" w:color="000000" w:fill="ffffff"/>
            <w:tcBorders/>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Căn hộ số 39.08, Toà căn hộ 45 tầng, dự án M Landmark Residences Đà Nẵng, 58 Bạch Đằng, Phường Hải Châu 1, quận Hải Châu, Thành phố Đà Nẵng</w:t>
            </w:r>
            <w:r/>
          </w:p>
        </w:tc>
        <w:tc>
          <w:tcPr>
            <w:shd w:val="clear" w:color="000000" w:fill="ffffff"/>
            <w:tcBorders/>
            <w:tcW w:w="170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Căn hộ số 31.07 Toà căn hộ 45 tầng, dự án M Landmark Residences Đà Nẵng, 58 Bạch Đằng, Phường Hải Châu 1, quận Hải Châu, Thành phố Đà Nẵng</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0"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0"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180.000.000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202.500.000</w:t>
            </w:r>
            <w:r>
              <w:rPr>
                <w:color w:val="000000"/>
                <w:sz w:val="22"/>
                <w:szCs w:val="22"/>
              </w:rPr>
            </w:r>
            <w:r>
              <w:rPr>
                <w:color w:val="000000"/>
                <w:sz w:val="22"/>
                <w:szCs w:val="22"/>
              </w:rPr>
            </w:r>
          </w:p>
        </w:tc>
        <w:tc>
          <w:tcPr>
            <w:shd w:val="clear" w:color="000000" w:fill="ffffff"/>
            <w:tcBorders/>
            <w:tcW w:w="1700" w:type="dxa"/>
            <w:vAlign w:val="center"/>
            <w:textDirection w:val="lrTb"/>
            <w:noWrap/>
          </w:tcPr>
          <w:p>
            <w:pPr>
              <w:pBdr/>
              <w:spacing/>
              <w:ind/>
              <w:jc w:val="center"/>
              <w:rPr>
                <w:color w:val="000000"/>
                <w:sz w:val="22"/>
                <w:szCs w:val="22"/>
              </w:rPr>
            </w:pPr>
            <w:r>
              <w:rPr>
                <w:color w:val="000000" w:themeColor="text1"/>
                <w:sz w:val="22"/>
                <w:szCs w:val="22"/>
              </w:rPr>
              <w:t xml:space="preserve">162.402.116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Mô tả 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Dự án M LANDMARK RESIDENCES DA NANG, Phường Hải Châu, Thành phố Đà Nẵng</w:t>
            </w:r>
            <w:r>
              <w:rPr>
                <w:rFonts w:ascii="Times New Roman" w:hAnsi="Times New Roman" w:eastAsia="Times New Roman" w:cs="Times New Roman"/>
                <w:b/>
                <w:color w:val="000000"/>
                <w:sz w:val="22"/>
              </w:rPr>
            </w:r>
            <w:r/>
          </w:p>
        </w:tc>
        <w:tc>
          <w:tcPr>
            <w:shd w:val="clear" w:color="000000" w:fill="ffffff"/>
            <w:tcBorders/>
            <w:tcW w:w="159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Dự án M LANDMARK RESIDENCES DA NANG, Phường Hải Châu, Thành phố Đà Nẵng</w:t>
            </w:r>
            <w:r/>
          </w:p>
        </w:tc>
        <w:tc>
          <w:tcPr>
            <w:shd w:val="clear" w:color="000000" w:fill="ffffff"/>
            <w:tcBorders/>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Dự án M LANDMARK RESIDENCES DA NANG, Phường Hải Châu, Thành phố Đà Nẵng</w:t>
            </w:r>
            <w:r/>
          </w:p>
        </w:tc>
        <w:tc>
          <w:tcPr>
            <w:shd w:val="clear" w:color="000000" w:fill="ffffff"/>
            <w:tcBorders/>
            <w:tcW w:w="170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Dự án M LANDMARK RESIDENCES DA NANG, Phường Hải Châu, Thành phố Đà Nẵng</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0"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0"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180.000.000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202.500.000</w:t>
            </w:r>
            <w:r>
              <w:rPr>
                <w:color w:val="000000"/>
                <w:sz w:val="22"/>
                <w:szCs w:val="22"/>
              </w:rPr>
            </w:r>
            <w:r>
              <w:rPr>
                <w:color w:val="000000"/>
                <w:sz w:val="22"/>
                <w:szCs w:val="22"/>
              </w:rPr>
            </w:r>
          </w:p>
        </w:tc>
        <w:tc>
          <w:tcPr>
            <w:shd w:val="clear" w:color="000000" w:fill="ffffff"/>
            <w:tcBorders/>
            <w:tcW w:w="1700" w:type="dxa"/>
            <w:vAlign w:val="center"/>
            <w:textDirection w:val="lrTb"/>
            <w:noWrap/>
          </w:tcPr>
          <w:p>
            <w:pPr>
              <w:pBdr/>
              <w:spacing/>
              <w:ind/>
              <w:jc w:val="center"/>
              <w:rPr>
                <w:color w:val="000000"/>
                <w:sz w:val="22"/>
                <w:szCs w:val="22"/>
              </w:rPr>
            </w:pPr>
            <w:r>
              <w:rPr>
                <w:color w:val="000000" w:themeColor="text1"/>
                <w:sz w:val="22"/>
                <w:szCs w:val="22"/>
              </w:rPr>
              <w:t xml:space="preserve">162.402.116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Tuổi đời – hiện trạng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w:t>
            </w:r>
            <w:r>
              <w:rPr>
                <w:b/>
                <w:bCs/>
                <w:color w:val="000000"/>
                <w:sz w:val="22"/>
                <w:szCs w:val="22"/>
              </w:rPr>
            </w:r>
            <w:r>
              <w:rPr>
                <w:b/>
                <w:bCs/>
                <w:color w:val="000000"/>
                <w:sz w:val="22"/>
                <w:szCs w:val="22"/>
              </w:rPr>
            </w:r>
          </w:p>
        </w:tc>
        <w:tc>
          <w:tcPr>
            <w:shd w:val="clear" w:color="000000" w:fill="ffffff"/>
            <w:tcBorders/>
            <w:tcW w:w="1599" w:type="dxa"/>
            <w:vAlign w:val="center"/>
            <w:textDirection w:val="lrTb"/>
            <w:noWrap w:val="false"/>
          </w:tcPr>
          <w:p>
            <w:pPr>
              <w:pBdr/>
              <w:spacing/>
              <w:ind/>
              <w:jc w:val="center"/>
              <w:rPr>
                <w:b/>
                <w:bCs/>
                <w:color w:val="000000"/>
                <w:sz w:val="22"/>
                <w:szCs w:val="22"/>
              </w:rPr>
            </w:pPr>
            <w:r>
              <w:rPr>
                <w:color w:val="000000" w:themeColor="text1"/>
                <w:sz w:val="22"/>
                <w:szCs w:val="22"/>
              </w:rPr>
              <w:t xml:space="preserve">1</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1</w:t>
            </w:r>
            <w:r>
              <w:rPr>
                <w:b/>
                <w:bCs/>
                <w:color w:val="000000"/>
                <w:sz w:val="22"/>
                <w:szCs w:val="22"/>
              </w:rPr>
            </w:r>
            <w:r>
              <w:rPr>
                <w:b/>
                <w:bCs/>
                <w:color w:val="000000"/>
                <w:sz w:val="22"/>
                <w:szCs w:val="22"/>
              </w:rPr>
            </w:r>
          </w:p>
        </w:tc>
        <w:tc>
          <w:tcPr>
            <w:shd w:val="clear" w:color="000000" w:fill="ffffff"/>
            <w:tcBorders/>
            <w:tcW w:w="1700" w:type="dxa"/>
            <w:vAlign w:val="center"/>
            <w:textDirection w:val="lrTb"/>
            <w:noWrap w:val="false"/>
          </w:tcPr>
          <w:p>
            <w:pPr>
              <w:pBdr/>
              <w:spacing/>
              <w:ind/>
              <w:jc w:val="center"/>
              <w:rPr>
                <w:b/>
                <w:bCs/>
                <w:color w:val="000000"/>
                <w:sz w:val="22"/>
                <w:szCs w:val="22"/>
              </w:rPr>
            </w:pPr>
            <w:r>
              <w:rPr>
                <w:color w:val="000000" w:themeColor="text1"/>
                <w:sz w:val="22"/>
                <w:szCs w:val="22"/>
              </w:rPr>
              <w:t xml:space="preserve">1</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0"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0"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180.000.000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202.500.000</w:t>
            </w:r>
            <w:r>
              <w:rPr>
                <w:color w:val="000000"/>
                <w:sz w:val="22"/>
                <w:szCs w:val="22"/>
              </w:rPr>
            </w:r>
            <w:r>
              <w:rPr>
                <w:color w:val="000000"/>
                <w:sz w:val="22"/>
                <w:szCs w:val="22"/>
              </w:rPr>
            </w:r>
          </w:p>
        </w:tc>
        <w:tc>
          <w:tcPr>
            <w:shd w:val="clear" w:color="000000" w:fill="ffffff"/>
            <w:tcBorders/>
            <w:tcW w:w="1700" w:type="dxa"/>
            <w:vAlign w:val="center"/>
            <w:textDirection w:val="lrTb"/>
            <w:noWrap/>
          </w:tcPr>
          <w:p>
            <w:pPr>
              <w:pBdr/>
              <w:spacing/>
              <w:ind/>
              <w:jc w:val="center"/>
              <w:rPr>
                <w:color w:val="000000"/>
                <w:sz w:val="22"/>
                <w:szCs w:val="22"/>
              </w:rPr>
            </w:pPr>
            <w:r>
              <w:rPr>
                <w:color w:val="000000" w:themeColor="text1"/>
                <w:sz w:val="22"/>
                <w:szCs w:val="22"/>
              </w:rPr>
              <w:t xml:space="preserve">162.402.116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thông thủy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77,7</w:t>
            </w:r>
            <w:r>
              <w:rPr>
                <w:b/>
                <w:bCs/>
                <w:color w:val="000000"/>
                <w:sz w:val="22"/>
                <w:szCs w:val="22"/>
              </w:rPr>
            </w:r>
            <w:r>
              <w:rPr>
                <w:b/>
                <w:bCs/>
                <w:color w:val="000000"/>
                <w:sz w:val="22"/>
                <w:szCs w:val="22"/>
              </w:rPr>
            </w:r>
          </w:p>
        </w:tc>
        <w:tc>
          <w:tcPr>
            <w:shd w:val="clear" w:color="000000" w:fill="ffffff"/>
            <w:tcBorders/>
            <w:tcW w:w="1599" w:type="dxa"/>
            <w:vAlign w:val="center"/>
            <w:textDirection w:val="lrTb"/>
            <w:noWrap w:val="false"/>
          </w:tcPr>
          <w:p>
            <w:pPr>
              <w:pBdr/>
              <w:spacing/>
              <w:ind/>
              <w:jc w:val="center"/>
              <w:rPr>
                <w:b/>
                <w:bCs/>
                <w:color w:val="000000"/>
                <w:sz w:val="22"/>
                <w:szCs w:val="22"/>
              </w:rPr>
            </w:pPr>
            <w:r>
              <w:rPr>
                <w:color w:val="000000" w:themeColor="text1"/>
                <w:sz w:val="22"/>
                <w:szCs w:val="22"/>
              </w:rPr>
              <w:t xml:space="preserve">76,4</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76,4</w:t>
            </w:r>
            <w:r>
              <w:rPr>
                <w:b/>
                <w:bCs/>
                <w:color w:val="000000"/>
                <w:sz w:val="22"/>
                <w:szCs w:val="22"/>
              </w:rPr>
            </w:r>
            <w:r>
              <w:rPr>
                <w:b/>
                <w:bCs/>
                <w:color w:val="000000"/>
                <w:sz w:val="22"/>
                <w:szCs w:val="22"/>
              </w:rPr>
            </w:r>
          </w:p>
        </w:tc>
        <w:tc>
          <w:tcPr>
            <w:shd w:val="clear" w:color="000000" w:fill="ffffff"/>
            <w:tcBorders/>
            <w:tcW w:w="1700" w:type="dxa"/>
            <w:vAlign w:val="center"/>
            <w:textDirection w:val="lrTb"/>
            <w:noWrap w:val="false"/>
          </w:tcPr>
          <w:p>
            <w:pPr>
              <w:pBdr/>
              <w:spacing/>
              <w:ind/>
              <w:jc w:val="center"/>
              <w:rPr>
                <w:b/>
                <w:bCs/>
                <w:color w:val="000000"/>
                <w:sz w:val="22"/>
                <w:szCs w:val="22"/>
              </w:rPr>
            </w:pPr>
            <w:r>
              <w:rPr>
                <w:color w:val="000000" w:themeColor="text1"/>
                <w:sz w:val="22"/>
                <w:szCs w:val="22"/>
              </w:rPr>
              <w:t xml:space="preserve">75,6</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0"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0"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180.000.000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202.500.000</w:t>
            </w:r>
            <w:r>
              <w:rPr>
                <w:color w:val="000000"/>
                <w:sz w:val="22"/>
                <w:szCs w:val="22"/>
              </w:rPr>
            </w:r>
            <w:r>
              <w:rPr>
                <w:color w:val="000000"/>
                <w:sz w:val="22"/>
                <w:szCs w:val="22"/>
              </w:rPr>
            </w:r>
          </w:p>
        </w:tc>
        <w:tc>
          <w:tcPr>
            <w:shd w:val="clear" w:color="000000" w:fill="ffffff"/>
            <w:tcBorders/>
            <w:tcW w:w="1700" w:type="dxa"/>
            <w:vAlign w:val="center"/>
            <w:textDirection w:val="lrTb"/>
            <w:noWrap/>
          </w:tcPr>
          <w:p>
            <w:pPr>
              <w:pBdr/>
              <w:spacing/>
              <w:ind/>
              <w:jc w:val="center"/>
              <w:rPr>
                <w:color w:val="000000"/>
                <w:sz w:val="22"/>
                <w:szCs w:val="22"/>
              </w:rPr>
            </w:pPr>
            <w:r>
              <w:rPr>
                <w:color w:val="000000" w:themeColor="text1"/>
                <w:sz w:val="22"/>
                <w:szCs w:val="22"/>
              </w:rPr>
              <w:t xml:space="preserve">162.402.116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thoáng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 mặt thoáng</w:t>
            </w:r>
            <w:r>
              <w:rPr>
                <w:b/>
                <w:bCs/>
                <w:color w:val="000000"/>
                <w:sz w:val="22"/>
                <w:szCs w:val="22"/>
              </w:rPr>
            </w:r>
            <w:r>
              <w:rPr>
                <w:b/>
                <w:bCs/>
                <w:color w:val="000000"/>
                <w:sz w:val="22"/>
                <w:szCs w:val="22"/>
              </w:rPr>
            </w:r>
          </w:p>
        </w:tc>
        <w:tc>
          <w:tcPr>
            <w:shd w:val="clear" w:color="000000" w:fill="ffffff"/>
            <w:tcBorders/>
            <w:tcW w:w="1599" w:type="dxa"/>
            <w:vAlign w:val="center"/>
            <w:textDirection w:val="lrTb"/>
            <w:noWrap w:val="false"/>
          </w:tcPr>
          <w:p>
            <w:pPr>
              <w:pBdr/>
              <w:spacing/>
              <w:ind/>
              <w:jc w:val="center"/>
              <w:rPr>
                <w:b/>
                <w:bCs/>
                <w:color w:val="000000"/>
                <w:sz w:val="22"/>
                <w:szCs w:val="22"/>
              </w:rPr>
            </w:pPr>
            <w:r>
              <w:rPr>
                <w:color w:val="000000" w:themeColor="text1"/>
                <w:sz w:val="22"/>
                <w:szCs w:val="22"/>
              </w:rPr>
              <w:t xml:space="preserve">1 mặt thoáng</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1 mặt thoáng</w:t>
            </w:r>
            <w:r>
              <w:rPr>
                <w:b/>
                <w:bCs/>
                <w:color w:val="000000"/>
                <w:sz w:val="22"/>
                <w:szCs w:val="22"/>
              </w:rPr>
            </w:r>
            <w:r>
              <w:rPr>
                <w:b/>
                <w:bCs/>
                <w:color w:val="000000"/>
                <w:sz w:val="22"/>
                <w:szCs w:val="22"/>
              </w:rPr>
            </w:r>
          </w:p>
        </w:tc>
        <w:tc>
          <w:tcPr>
            <w:shd w:val="clear" w:color="000000" w:fill="ffffff"/>
            <w:tcBorders/>
            <w:tcW w:w="1700" w:type="dxa"/>
            <w:vAlign w:val="center"/>
            <w:textDirection w:val="lrTb"/>
            <w:noWrap w:val="false"/>
          </w:tcPr>
          <w:p>
            <w:pPr>
              <w:pBdr/>
              <w:spacing/>
              <w:ind/>
              <w:jc w:val="center"/>
              <w:rPr>
                <w:b/>
                <w:bCs/>
                <w:color w:val="000000"/>
                <w:sz w:val="22"/>
                <w:szCs w:val="22"/>
              </w:rPr>
            </w:pPr>
            <w:r>
              <w:rPr>
                <w:color w:val="000000" w:themeColor="text1"/>
                <w:sz w:val="22"/>
                <w:szCs w:val="22"/>
              </w:rPr>
              <w:t xml:space="preserve">1 mặt thoáng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0"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0"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180.000.000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202.500.000</w:t>
            </w:r>
            <w:r>
              <w:rPr>
                <w:color w:val="000000"/>
                <w:sz w:val="22"/>
                <w:szCs w:val="22"/>
              </w:rPr>
            </w:r>
            <w:r>
              <w:rPr>
                <w:color w:val="000000"/>
                <w:sz w:val="22"/>
                <w:szCs w:val="22"/>
              </w:rPr>
            </w:r>
          </w:p>
        </w:tc>
        <w:tc>
          <w:tcPr>
            <w:shd w:val="clear" w:color="000000" w:fill="ffffff"/>
            <w:tcBorders/>
            <w:tcW w:w="1700" w:type="dxa"/>
            <w:vAlign w:val="center"/>
            <w:textDirection w:val="lrTb"/>
            <w:noWrap/>
          </w:tcPr>
          <w:p>
            <w:pPr>
              <w:pBdr/>
              <w:spacing/>
              <w:ind/>
              <w:jc w:val="center"/>
              <w:rPr>
                <w:color w:val="000000"/>
                <w:sz w:val="22"/>
                <w:szCs w:val="22"/>
              </w:rPr>
            </w:pPr>
            <w:r>
              <w:rPr>
                <w:color w:val="000000" w:themeColor="text1"/>
                <w:sz w:val="22"/>
                <w:szCs w:val="22"/>
              </w:rPr>
              <w:t xml:space="preserve">162.402.116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Tầng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Tầng 30, Thuộc nhóm tầng: Trung</w:t>
            </w:r>
            <w:r/>
          </w:p>
        </w:tc>
        <w:tc>
          <w:tcPr>
            <w:shd w:val="clear" w:color="000000" w:fill="ffffff"/>
            <w:tcBorders/>
            <w:tcW w:w="159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Tầng 39, Thuộc nhóm tầng: Cao</w:t>
            </w:r>
            <w:r/>
          </w:p>
        </w:tc>
        <w:tc>
          <w:tcPr>
            <w:shd w:val="clear" w:color="000000" w:fill="ffffff"/>
            <w:tcBorders/>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Tầng 39, Thuộc nhóm tầng: Cao</w:t>
            </w:r>
            <w:r/>
          </w:p>
        </w:tc>
        <w:tc>
          <w:tcPr>
            <w:shd w:val="clear" w:color="000000" w:fill="ffffff"/>
            <w:tcBorders/>
            <w:tcW w:w="170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Tầng 31, Thuộc nhóm tầng: Trung</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shd w:val="clear" w:color="000000" w:fill="ffffff"/>
            <w:tcBorders/>
            <w:tcW w:w="1700"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-7.650.000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-7.650.000</w:t>
            </w:r>
            <w:r>
              <w:rPr>
                <w:color w:val="000000"/>
                <w:sz w:val="22"/>
                <w:szCs w:val="22"/>
              </w:rPr>
            </w:r>
            <w:r>
              <w:rPr>
                <w:color w:val="000000"/>
                <w:sz w:val="22"/>
                <w:szCs w:val="22"/>
              </w:rPr>
            </w:r>
          </w:p>
        </w:tc>
        <w:tc>
          <w:tcPr>
            <w:shd w:val="clear" w:color="000000" w:fill="ffffff"/>
            <w:tcBorders/>
            <w:tcW w:w="1700"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183.600.000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183.600.000</w:t>
            </w:r>
            <w:r>
              <w:rPr>
                <w:color w:val="000000"/>
                <w:sz w:val="22"/>
                <w:szCs w:val="22"/>
              </w:rPr>
            </w:r>
            <w:r>
              <w:rPr>
                <w:color w:val="000000"/>
                <w:sz w:val="22"/>
                <w:szCs w:val="22"/>
              </w:rPr>
            </w:r>
          </w:p>
        </w:tc>
        <w:tc>
          <w:tcPr>
            <w:shd w:val="clear" w:color="000000" w:fill="ffffff"/>
            <w:tcBorders/>
            <w:tcW w:w="1700" w:type="dxa"/>
            <w:vAlign w:val="center"/>
            <w:textDirection w:val="lrTb"/>
            <w:noWrap/>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Hướng ban công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Đông Bắc</w:t>
            </w:r>
            <w:r>
              <w:rPr>
                <w:b/>
                <w:bCs/>
                <w:color w:val="000000"/>
                <w:sz w:val="22"/>
                <w:szCs w:val="22"/>
              </w:rPr>
            </w:r>
            <w:r>
              <w:rPr>
                <w:b/>
                <w:bCs/>
                <w:color w:val="000000"/>
                <w:sz w:val="22"/>
                <w:szCs w:val="22"/>
              </w:rPr>
            </w:r>
          </w:p>
        </w:tc>
        <w:tc>
          <w:tcPr>
            <w:shd w:val="clear" w:color="000000" w:fill="ffffff"/>
            <w:tcBorders/>
            <w:tcW w:w="1599" w:type="dxa"/>
            <w:vAlign w:val="center"/>
            <w:textDirection w:val="lrTb"/>
            <w:noWrap w:val="false"/>
          </w:tcPr>
          <w:p>
            <w:pPr>
              <w:pBdr/>
              <w:spacing/>
              <w:ind/>
              <w:jc w:val="center"/>
              <w:rPr>
                <w:b/>
                <w:bCs/>
                <w:color w:val="000000"/>
                <w:sz w:val="22"/>
                <w:szCs w:val="22"/>
              </w:rPr>
            </w:pPr>
            <w:r>
              <w:rPr>
                <w:color w:val="000000" w:themeColor="text1"/>
                <w:sz w:val="22"/>
                <w:szCs w:val="22"/>
              </w:rPr>
              <w:t xml:space="preserve">Bắc</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Bắc</w:t>
            </w:r>
            <w:r>
              <w:rPr>
                <w:b/>
                <w:bCs/>
                <w:color w:val="000000"/>
                <w:sz w:val="22"/>
                <w:szCs w:val="22"/>
              </w:rPr>
            </w:r>
            <w:r>
              <w:rPr>
                <w:b/>
                <w:bCs/>
                <w:color w:val="000000"/>
                <w:sz w:val="22"/>
                <w:szCs w:val="22"/>
              </w:rPr>
            </w:r>
          </w:p>
        </w:tc>
        <w:tc>
          <w:tcPr>
            <w:shd w:val="clear" w:color="000000" w:fill="ffffff"/>
            <w:tcBorders/>
            <w:tcW w:w="1700" w:type="dxa"/>
            <w:vAlign w:val="center"/>
            <w:textDirection w:val="lrTb"/>
            <w:noWrap w:val="false"/>
          </w:tcPr>
          <w:p>
            <w:pPr>
              <w:pBdr/>
              <w:spacing/>
              <w:ind/>
              <w:jc w:val="center"/>
              <w:rPr>
                <w:b/>
                <w:bCs/>
                <w:color w:val="000000"/>
                <w:sz w:val="22"/>
                <w:szCs w:val="22"/>
              </w:rPr>
            </w:pPr>
            <w:r>
              <w:rPr>
                <w:color w:val="000000" w:themeColor="text1"/>
                <w:sz w:val="22"/>
                <w:szCs w:val="22"/>
              </w:rPr>
              <w:t xml:space="preserve">Bắc</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0"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0"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183.600.000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183.600.000</w:t>
            </w:r>
            <w:r>
              <w:rPr>
                <w:color w:val="000000"/>
                <w:sz w:val="22"/>
                <w:szCs w:val="22"/>
              </w:rPr>
            </w:r>
            <w:r>
              <w:rPr>
                <w:color w:val="000000"/>
                <w:sz w:val="22"/>
                <w:szCs w:val="22"/>
              </w:rPr>
            </w:r>
          </w:p>
        </w:tc>
        <w:tc>
          <w:tcPr>
            <w:shd w:val="clear" w:color="000000" w:fill="ffffff"/>
            <w:tcBorders/>
            <w:tcW w:w="1700" w:type="dxa"/>
            <w:vAlign w:val="center"/>
            <w:textDirection w:val="lrTb"/>
            <w:noWrap/>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Cấu trúc tài sản</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 phòng ngủ, 2 nhà vệ sinh</w:t>
            </w:r>
            <w:r>
              <w:rPr>
                <w:b/>
                <w:bCs/>
                <w:color w:val="000000"/>
                <w:sz w:val="22"/>
                <w:szCs w:val="22"/>
              </w:rPr>
            </w:r>
            <w:r>
              <w:rPr>
                <w:b/>
                <w:bCs/>
                <w:color w:val="000000"/>
                <w:sz w:val="22"/>
                <w:szCs w:val="22"/>
              </w:rPr>
            </w:r>
          </w:p>
        </w:tc>
        <w:tc>
          <w:tcPr>
            <w:shd w:val="clear" w:color="000000" w:fill="ffffff"/>
            <w:tcBorders/>
            <w:tcW w:w="1599" w:type="dxa"/>
            <w:vAlign w:val="center"/>
            <w:textDirection w:val="lrTb"/>
            <w:noWrap w:val="false"/>
          </w:tcPr>
          <w:p>
            <w:pPr>
              <w:pBdr/>
              <w:spacing/>
              <w:ind/>
              <w:jc w:val="center"/>
              <w:rPr>
                <w:b/>
                <w:bCs/>
                <w:color w:val="000000"/>
                <w:sz w:val="22"/>
                <w:szCs w:val="22"/>
              </w:rPr>
            </w:pPr>
            <w:r>
              <w:rPr>
                <w:color w:val="000000" w:themeColor="text1"/>
                <w:sz w:val="22"/>
                <w:szCs w:val="22"/>
              </w:rPr>
              <w:t xml:space="preserve">2 phòng ngủ, 2 nhà vệ sinh</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2 phòng ngủ, 2 nhà vệ sinh</w:t>
            </w:r>
            <w:r>
              <w:rPr>
                <w:b/>
                <w:bCs/>
                <w:color w:val="000000"/>
                <w:sz w:val="22"/>
                <w:szCs w:val="22"/>
              </w:rPr>
            </w:r>
            <w:r>
              <w:rPr>
                <w:b/>
                <w:bCs/>
                <w:color w:val="000000"/>
                <w:sz w:val="22"/>
                <w:szCs w:val="22"/>
              </w:rPr>
            </w:r>
          </w:p>
        </w:tc>
        <w:tc>
          <w:tcPr>
            <w:shd w:val="clear" w:color="000000" w:fill="ffffff"/>
            <w:tcBorders/>
            <w:tcW w:w="1700" w:type="dxa"/>
            <w:vAlign w:val="center"/>
            <w:textDirection w:val="lrTb"/>
            <w:noWrap w:val="false"/>
          </w:tcPr>
          <w:p>
            <w:pPr>
              <w:pBdr/>
              <w:spacing/>
              <w:ind/>
              <w:jc w:val="center"/>
              <w:rPr>
                <w:b/>
                <w:bCs/>
                <w:color w:val="000000"/>
                <w:sz w:val="22"/>
                <w:szCs w:val="22"/>
              </w:rPr>
            </w:pPr>
            <w:r>
              <w:rPr>
                <w:color w:val="000000" w:themeColor="text1"/>
                <w:sz w:val="22"/>
                <w:szCs w:val="22"/>
              </w:rPr>
              <w:t xml:space="preserve">2 phòng ngủ, 2 nhà vệ sinh</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0"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0"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183.600.000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183.600.000</w:t>
            </w:r>
            <w:r>
              <w:rPr>
                <w:color w:val="000000"/>
                <w:sz w:val="22"/>
                <w:szCs w:val="22"/>
              </w:rPr>
            </w:r>
            <w:r>
              <w:rPr>
                <w:color w:val="000000"/>
                <w:sz w:val="22"/>
                <w:szCs w:val="22"/>
              </w:rPr>
            </w:r>
          </w:p>
        </w:tc>
        <w:tc>
          <w:tcPr>
            <w:shd w:val="clear" w:color="000000" w:fill="ffffff"/>
            <w:tcBorders/>
            <w:tcW w:w="1700" w:type="dxa"/>
            <w:vAlign w:val="center"/>
            <w:textDirection w:val="lrTb"/>
            <w:noWrap/>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Nội thất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Cao cấp</w:t>
            </w:r>
            <w:r>
              <w:rPr>
                <w:b/>
                <w:bCs/>
                <w:color w:val="000000"/>
                <w:sz w:val="22"/>
                <w:szCs w:val="22"/>
              </w:rPr>
            </w:r>
            <w:r>
              <w:rPr>
                <w:b/>
                <w:bCs/>
                <w:color w:val="000000"/>
                <w:sz w:val="22"/>
                <w:szCs w:val="22"/>
              </w:rPr>
            </w:r>
          </w:p>
        </w:tc>
        <w:tc>
          <w:tcPr>
            <w:shd w:val="clear" w:color="000000" w:fill="ffffff"/>
            <w:tcBorders/>
            <w:tcW w:w="1599" w:type="dxa"/>
            <w:vAlign w:val="center"/>
            <w:textDirection w:val="lrTb"/>
            <w:noWrap w:val="false"/>
          </w:tcPr>
          <w:p>
            <w:pPr>
              <w:pBdr/>
              <w:spacing/>
              <w:ind/>
              <w:jc w:val="center"/>
              <w:rPr>
                <w:b/>
                <w:bCs/>
                <w:color w:val="000000"/>
                <w:sz w:val="22"/>
                <w:szCs w:val="22"/>
              </w:rPr>
            </w:pPr>
            <w:r>
              <w:rPr>
                <w:color w:val="000000" w:themeColor="text1"/>
                <w:sz w:val="22"/>
                <w:szCs w:val="22"/>
              </w:rPr>
              <w:t xml:space="preserve">Cao cấp</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Cao cấp</w:t>
            </w:r>
            <w:r>
              <w:rPr>
                <w:b/>
                <w:bCs/>
                <w:color w:val="000000"/>
                <w:sz w:val="22"/>
                <w:szCs w:val="22"/>
              </w:rPr>
            </w:r>
            <w:r>
              <w:rPr>
                <w:b/>
                <w:bCs/>
                <w:color w:val="000000"/>
                <w:sz w:val="22"/>
                <w:szCs w:val="22"/>
              </w:rPr>
            </w:r>
          </w:p>
        </w:tc>
        <w:tc>
          <w:tcPr>
            <w:shd w:val="clear" w:color="000000" w:fill="ffffff"/>
            <w:tcBorders/>
            <w:tcW w:w="1700" w:type="dxa"/>
            <w:vAlign w:val="center"/>
            <w:textDirection w:val="lrTb"/>
            <w:noWrap w:val="false"/>
          </w:tcPr>
          <w:p>
            <w:pPr>
              <w:pBdr/>
              <w:spacing/>
              <w:ind/>
              <w:jc w:val="center"/>
              <w:rPr>
                <w:b/>
                <w:bCs/>
                <w:color w:val="000000"/>
                <w:sz w:val="22"/>
                <w:szCs w:val="22"/>
              </w:rPr>
            </w:pPr>
            <w:r>
              <w:rPr>
                <w:color w:val="000000" w:themeColor="text1"/>
                <w:sz w:val="22"/>
                <w:szCs w:val="22"/>
              </w:rPr>
              <w:t xml:space="preserve">Cao cấp</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0"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0"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183.600.000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183.600.000</w:t>
            </w:r>
            <w:r>
              <w:rPr>
                <w:color w:val="000000"/>
                <w:sz w:val="22"/>
                <w:szCs w:val="22"/>
              </w:rPr>
            </w:r>
            <w:r>
              <w:rPr>
                <w:color w:val="000000"/>
                <w:sz w:val="22"/>
                <w:szCs w:val="22"/>
              </w:rPr>
            </w:r>
          </w:p>
        </w:tc>
        <w:tc>
          <w:tcPr>
            <w:shd w:val="clear" w:color="000000" w:fill="ffffff"/>
            <w:tcBorders/>
            <w:tcW w:w="1700" w:type="dxa"/>
            <w:vAlign w:val="center"/>
            <w:textDirection w:val="lrTb"/>
            <w:noWrap/>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Không gian</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gian, diện tích Khép kín (Không gian khép kín toàn khu: có bảo vệ toàn khu, trung tâm thương mại, siêu thị, sân chơi, sân vườn, bể bơi riêng)</w:t>
            </w:r>
            <w:r>
              <w:rPr>
                <w:b/>
                <w:bCs/>
                <w:color w:val="000000"/>
                <w:sz w:val="22"/>
                <w:szCs w:val="22"/>
              </w:rPr>
            </w:r>
            <w:r>
              <w:rPr>
                <w:b/>
                <w:bCs/>
                <w:color w:val="000000"/>
                <w:sz w:val="22"/>
                <w:szCs w:val="22"/>
              </w:rPr>
            </w:r>
          </w:p>
        </w:tc>
        <w:tc>
          <w:tcPr>
            <w:shd w:val="clear" w:color="000000" w:fill="ffffff"/>
            <w:tcBorders/>
            <w:tcW w:w="1599"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gian, diện tích Khép kín (Không gian khép kín toàn khu: có bảo vệ toàn khu, trung tâm thương mại, siêu thị, sân chơi, sân vườn, bể bơi riêng)</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gian, diện tích Khép kín (Không gian khép kín toàn khu: có bảo vệ toàn khu, trung tâm thương mại, siêu thị, sân chơi, sân vườn, bể bơi riêng)</w:t>
            </w:r>
            <w:r>
              <w:rPr>
                <w:b/>
                <w:bCs/>
                <w:color w:val="000000"/>
                <w:sz w:val="22"/>
                <w:szCs w:val="22"/>
              </w:rPr>
            </w:r>
            <w:r>
              <w:rPr>
                <w:b/>
                <w:bCs/>
                <w:color w:val="000000"/>
                <w:sz w:val="22"/>
                <w:szCs w:val="22"/>
              </w:rPr>
            </w:r>
          </w:p>
        </w:tc>
        <w:tc>
          <w:tcPr>
            <w:shd w:val="clear" w:color="000000" w:fill="ffffff"/>
            <w:tcBorders/>
            <w:tcW w:w="1700"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gian, diện tích Khép kín (Không gian khép kín toàn khu: có bảo vệ toàn khu, trung tâm thương mại, siêu thị, sân chơi, sân vườn, bể bơi riêng)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0"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0"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183.600.000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183.600.000</w:t>
            </w:r>
            <w:r>
              <w:rPr>
                <w:color w:val="000000"/>
                <w:sz w:val="22"/>
                <w:szCs w:val="22"/>
              </w:rPr>
            </w:r>
            <w:r>
              <w:rPr>
                <w:color w:val="000000"/>
                <w:sz w:val="22"/>
                <w:szCs w:val="22"/>
              </w:rPr>
            </w:r>
          </w:p>
        </w:tc>
        <w:tc>
          <w:tcPr>
            <w:shd w:val="clear" w:color="000000" w:fill="ffffff"/>
            <w:tcBorders/>
            <w:tcW w:w="1700" w:type="dxa"/>
            <w:vAlign w:val="center"/>
            <w:textDirection w:val="lrTb"/>
            <w:noWrap/>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Lợi thế tài sản</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View hồ sông, sông, suối, đầm, ao lớn (S=0.5ha), ruộng lúa, đồi núi xa, ngắm hoàng hôn, bình minh xa soi mặt nước, thơ mộng</w:t>
            </w:r>
            <w:r>
              <w:rPr>
                <w:b/>
                <w:bCs/>
                <w:color w:val="000000"/>
                <w:sz w:val="22"/>
                <w:szCs w:val="22"/>
              </w:rPr>
            </w:r>
            <w:r>
              <w:rPr>
                <w:b/>
                <w:bCs/>
                <w:color w:val="000000"/>
                <w:sz w:val="22"/>
                <w:szCs w:val="22"/>
              </w:rPr>
            </w:r>
          </w:p>
        </w:tc>
        <w:tc>
          <w:tcPr>
            <w:shd w:val="clear" w:color="000000" w:fill="ffffff"/>
            <w:tcBorders/>
            <w:tcW w:w="1599" w:type="dxa"/>
            <w:vAlign w:val="center"/>
            <w:textDirection w:val="lrTb"/>
            <w:noWrap w:val="false"/>
          </w:tcPr>
          <w:p>
            <w:pPr>
              <w:pBdr/>
              <w:spacing/>
              <w:ind/>
              <w:jc w:val="center"/>
              <w:rPr>
                <w:b/>
                <w:bCs/>
                <w:color w:val="000000"/>
                <w:sz w:val="22"/>
                <w:szCs w:val="22"/>
              </w:rPr>
            </w:pPr>
            <w:r>
              <w:rPr>
                <w:color w:val="000000" w:themeColor="text1"/>
                <w:sz w:val="22"/>
                <w:szCs w:val="22"/>
              </w:rPr>
              <w:t xml:space="preserve">View hồ sông, sông, suối, đầm, ao lớn (S=0.5ha), ruộng lúa, đồi núi xa, ngắm hoàng hôn, bình minh xa soi mặt nước, thơ mộng</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View hồ sông, sông, suối, đầm, ao lớn (S=0.5ha), ruộng lúa, đồi núi xa, ngắm hoàng hôn, bình minh xa soi mặt nước, thơ mộng</w:t>
            </w:r>
            <w:r>
              <w:rPr>
                <w:b/>
                <w:bCs/>
                <w:color w:val="000000"/>
                <w:sz w:val="22"/>
                <w:szCs w:val="22"/>
              </w:rPr>
            </w:r>
            <w:r>
              <w:rPr>
                <w:b/>
                <w:bCs/>
                <w:color w:val="000000"/>
                <w:sz w:val="22"/>
                <w:szCs w:val="22"/>
              </w:rPr>
            </w:r>
          </w:p>
        </w:tc>
        <w:tc>
          <w:tcPr>
            <w:shd w:val="clear" w:color="000000" w:fill="ffffff"/>
            <w:tcBorders/>
            <w:tcW w:w="1700" w:type="dxa"/>
            <w:vAlign w:val="center"/>
            <w:textDirection w:val="lrTb"/>
            <w:noWrap w:val="false"/>
          </w:tcPr>
          <w:p>
            <w:pPr>
              <w:pBdr/>
              <w:spacing/>
              <w:ind/>
              <w:jc w:val="center"/>
              <w:rPr>
                <w:b/>
                <w:bCs/>
                <w:color w:val="000000"/>
                <w:sz w:val="22"/>
                <w:szCs w:val="22"/>
              </w:rPr>
            </w:pPr>
            <w:r>
              <w:rPr>
                <w:color w:val="000000" w:themeColor="text1"/>
                <w:sz w:val="22"/>
                <w:szCs w:val="22"/>
              </w:rPr>
              <w:t xml:space="preserve">View hồ sông, sông, suối, đầm, ao lớn (S=0.5ha), ruộng lúa, đồi núi xa, ngắm hoàng hôn, bình minh xa soi mặt nước, thơ mộng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0"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0"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183.600.000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183.600.000</w:t>
            </w:r>
            <w:r>
              <w:rPr>
                <w:color w:val="000000"/>
                <w:sz w:val="22"/>
                <w:szCs w:val="22"/>
              </w:rPr>
            </w:r>
            <w:r>
              <w:rPr>
                <w:color w:val="000000"/>
                <w:sz w:val="22"/>
                <w:szCs w:val="22"/>
              </w:rPr>
            </w:r>
          </w:p>
        </w:tc>
        <w:tc>
          <w:tcPr>
            <w:shd w:val="clear" w:color="000000" w:fill="ffffff"/>
            <w:tcBorders/>
            <w:tcW w:w="1700" w:type="dxa"/>
            <w:vAlign w:val="center"/>
            <w:textDirection w:val="lrTb"/>
            <w:noWrap/>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Các bất lợi của tài sản</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c>
          <w:tcPr>
            <w:shd w:val="clear" w:color="000000" w:fill="ffffff"/>
            <w:tcBorders/>
            <w:tcW w:w="1599"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c>
          <w:tcPr>
            <w:shd w:val="clear" w:color="000000" w:fill="ffffff"/>
            <w:tcBorders/>
            <w:tcW w:w="1700"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0"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0"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183.600.000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183.600.000</w:t>
            </w:r>
            <w:r>
              <w:rPr>
                <w:color w:val="000000"/>
                <w:sz w:val="22"/>
                <w:szCs w:val="22"/>
              </w:rPr>
            </w:r>
            <w:r>
              <w:rPr>
                <w:color w:val="000000"/>
                <w:sz w:val="22"/>
                <w:szCs w:val="22"/>
              </w:rPr>
            </w:r>
          </w:p>
        </w:tc>
        <w:tc>
          <w:tcPr>
            <w:shd w:val="clear" w:color="000000" w:fill="ffffff"/>
            <w:tcBorders/>
            <w:tcW w:w="1700" w:type="dxa"/>
            <w:vAlign w:val="center"/>
            <w:textDirection w:val="lrTb"/>
            <w:noWrap/>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Thông tin khác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Căn thường</w:t>
            </w:r>
            <w:r>
              <w:rPr>
                <w:b/>
                <w:bCs/>
                <w:color w:val="000000"/>
                <w:sz w:val="22"/>
                <w:szCs w:val="22"/>
              </w:rPr>
            </w:r>
            <w:r>
              <w:rPr>
                <w:b/>
                <w:bCs/>
                <w:color w:val="000000"/>
                <w:sz w:val="22"/>
                <w:szCs w:val="22"/>
              </w:rPr>
            </w:r>
          </w:p>
        </w:tc>
        <w:tc>
          <w:tcPr>
            <w:shd w:val="clear" w:color="000000" w:fill="ffffff"/>
            <w:tcBorders/>
            <w:tcW w:w="1599" w:type="dxa"/>
            <w:vAlign w:val="center"/>
            <w:textDirection w:val="lrTb"/>
            <w:noWrap w:val="false"/>
          </w:tcPr>
          <w:p>
            <w:pPr>
              <w:pBdr/>
              <w:spacing/>
              <w:ind/>
              <w:jc w:val="center"/>
              <w:rPr>
                <w:b/>
                <w:bCs/>
                <w:color w:val="000000"/>
                <w:sz w:val="22"/>
                <w:szCs w:val="22"/>
              </w:rPr>
            </w:pPr>
            <w:r>
              <w:rPr>
                <w:color w:val="000000" w:themeColor="text1"/>
                <w:sz w:val="22"/>
                <w:szCs w:val="22"/>
              </w:rPr>
              <w:t xml:space="preserve">Căn thường</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Căn thường</w:t>
            </w:r>
            <w:r>
              <w:rPr>
                <w:b/>
                <w:bCs/>
                <w:color w:val="000000"/>
                <w:sz w:val="22"/>
                <w:szCs w:val="22"/>
              </w:rPr>
            </w:r>
            <w:r>
              <w:rPr>
                <w:b/>
                <w:bCs/>
                <w:color w:val="000000"/>
                <w:sz w:val="22"/>
                <w:szCs w:val="22"/>
              </w:rPr>
            </w:r>
          </w:p>
        </w:tc>
        <w:tc>
          <w:tcPr>
            <w:shd w:val="clear" w:color="000000" w:fill="ffffff"/>
            <w:tcBorders/>
            <w:tcW w:w="1700" w:type="dxa"/>
            <w:vAlign w:val="center"/>
            <w:textDirection w:val="lrTb"/>
            <w:noWrap w:val="false"/>
          </w:tcPr>
          <w:p>
            <w:pPr>
              <w:pBdr/>
              <w:spacing/>
              <w:ind/>
              <w:jc w:val="center"/>
              <w:rPr>
                <w:b/>
                <w:bCs/>
                <w:color w:val="000000"/>
                <w:sz w:val="22"/>
                <w:szCs w:val="22"/>
              </w:rPr>
            </w:pPr>
            <w:r>
              <w:rPr>
                <w:color w:val="000000" w:themeColor="text1"/>
                <w:sz w:val="22"/>
                <w:szCs w:val="22"/>
              </w:rPr>
              <w:t xml:space="preserve">Căn thường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0"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0"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183.600.000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183.600.000</w:t>
            </w:r>
            <w:r>
              <w:rPr>
                <w:color w:val="000000"/>
                <w:sz w:val="22"/>
                <w:szCs w:val="22"/>
              </w:rPr>
            </w:r>
            <w:r>
              <w:rPr>
                <w:color w:val="000000"/>
                <w:sz w:val="22"/>
                <w:szCs w:val="22"/>
              </w:rPr>
            </w:r>
          </w:p>
        </w:tc>
        <w:tc>
          <w:tcPr>
            <w:shd w:val="clear" w:color="000000" w:fill="ffffff"/>
            <w:tcBorders/>
            <w:tcW w:w="1700" w:type="dxa"/>
            <w:vAlign w:val="center"/>
            <w:textDirection w:val="lrTb"/>
            <w:noWrap/>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99"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183.600.000</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183.600.000</w:t>
            </w:r>
            <w:r>
              <w:rPr>
                <w:b/>
                <w:bCs/>
                <w:color w:val="000000"/>
                <w:sz w:val="22"/>
                <w:szCs w:val="22"/>
              </w:rPr>
            </w:r>
            <w:r>
              <w:rPr>
                <w:b/>
                <w:bCs/>
                <w:color w:val="000000"/>
                <w:sz w:val="22"/>
                <w:szCs w:val="22"/>
              </w:rPr>
            </w:r>
          </w:p>
        </w:tc>
        <w:tc>
          <w:tcPr>
            <w:shd w:val="clear" w:color="000000" w:fill="ffffff"/>
            <w:tcBorders/>
            <w:tcW w:w="170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172.552.249</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500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179.917.416</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themeColor="text1"/>
                <w:sz w:val="22"/>
                <w:szCs w:val="22"/>
              </w:rPr>
              <w:t xml:space="preserve">2.05%</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2.05%</w:t>
            </w:r>
            <w:r>
              <w:rPr>
                <w:color w:val="000000"/>
                <w:sz w:val="22"/>
                <w:szCs w:val="22"/>
              </w:rPr>
            </w:r>
            <w:r>
              <w:rPr>
                <w:color w:val="000000"/>
                <w:sz w:val="22"/>
                <w:szCs w:val="22"/>
              </w:rPr>
            </w:r>
          </w:p>
        </w:tc>
        <w:tc>
          <w:tcPr>
            <w:shd w:val="clear" w:color="000000" w:fill="ffffff"/>
            <w:tcBorders/>
            <w:tcW w:w="1700" w:type="dxa"/>
            <w:vAlign w:val="center"/>
            <w:textDirection w:val="lrTb"/>
            <w:noWrap w:val="false"/>
          </w:tcPr>
          <w:p>
            <w:pPr>
              <w:pBdr/>
              <w:spacing/>
              <w:ind/>
              <w:jc w:val="center"/>
              <w:rPr>
                <w:color w:val="000000"/>
                <w:sz w:val="22"/>
                <w:szCs w:val="22"/>
              </w:rPr>
            </w:pPr>
            <w:r>
              <w:rPr>
                <w:color w:val="000000" w:themeColor="text1"/>
                <w:sz w:val="22"/>
                <w:szCs w:val="22"/>
              </w:rPr>
              <w:t xml:space="preserve">-4.09%</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99"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70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b/>
                <w:bCs/>
                <w:color w:val="000000"/>
                <w:sz w:val="22"/>
                <w:szCs w:val="22"/>
              </w:rPr>
            </w:pPr>
            <w:r>
              <w:rPr>
                <w:color w:val="000000" w:themeColor="text1"/>
                <w:sz w:val="22"/>
                <w:szCs w:val="22"/>
              </w:rPr>
              <w:t xml:space="preserve">7.650.000</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7.650.000</w:t>
            </w:r>
            <w:r>
              <w:rPr>
                <w:b/>
                <w:bCs/>
                <w:color w:val="000000"/>
                <w:sz w:val="22"/>
                <w:szCs w:val="22"/>
              </w:rPr>
            </w:r>
            <w:r>
              <w:rPr>
                <w:b/>
                <w:bCs/>
                <w:color w:val="000000"/>
                <w:sz w:val="22"/>
                <w:szCs w:val="22"/>
              </w:rPr>
            </w:r>
          </w:p>
        </w:tc>
        <w:tc>
          <w:tcPr>
            <w:shd w:val="clear" w:color="000000" w:fill="ffffff"/>
            <w:tcBorders/>
            <w:tcW w:w="1700" w:type="dxa"/>
            <w:vAlign w:val="center"/>
            <w:textDirection w:val="lrTb"/>
            <w:noWrap w:val="false"/>
          </w:tcPr>
          <w:p>
            <w:pPr>
              <w:pBdr/>
              <w:spacing/>
              <w:ind/>
              <w:jc w:val="center"/>
              <w:rPr>
                <w:b/>
                <w:bCs/>
                <w:color w:val="000000"/>
                <w:sz w:val="22"/>
                <w:szCs w:val="22"/>
              </w:rPr>
            </w:pPr>
            <w:r>
              <w:rPr>
                <w:color w:val="000000" w:themeColor="text1"/>
                <w:sz w:val="22"/>
                <w:szCs w:val="22"/>
              </w:rPr>
              <w:t xml:space="preserve">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sz w:val="22"/>
                <w:szCs w:val="22"/>
              </w:rPr>
            </w:pPr>
            <w:r>
              <w:rPr>
                <w:color w:val="000000" w:themeColor="text1"/>
                <w:sz w:val="22"/>
                <w:szCs w:val="22"/>
              </w:rPr>
              <w:t xml:space="preserve">1</w:t>
            </w:r>
            <w:r>
              <w:rPr>
                <w:sz w:val="22"/>
                <w:szCs w:val="22"/>
              </w:rPr>
            </w:r>
            <w:r>
              <w:rPr>
                <w:sz w:val="22"/>
                <w:szCs w:val="22"/>
              </w:rPr>
            </w:r>
          </w:p>
        </w:tc>
        <w:tc>
          <w:tcPr>
            <w:shd w:val="clear" w:color="000000" w:fill="ffffff"/>
            <w:tcBorders/>
            <w:tcW w:w="1701" w:type="dxa"/>
            <w:vAlign w:val="center"/>
            <w:textDirection w:val="lrTb"/>
            <w:noWrap/>
          </w:tcPr>
          <w:p>
            <w:pPr>
              <w:pBdr/>
              <w:spacing/>
              <w:ind/>
              <w:jc w:val="center"/>
              <w:rPr>
                <w:sz w:val="22"/>
                <w:szCs w:val="22"/>
              </w:rPr>
            </w:pPr>
            <w:r>
              <w:rPr>
                <w:color w:val="000000" w:themeColor="text1"/>
                <w:sz w:val="22"/>
                <w:szCs w:val="22"/>
              </w:rPr>
              <w:t xml:space="preserve">1</w:t>
            </w:r>
            <w:r>
              <w:rPr>
                <w:sz w:val="22"/>
                <w:szCs w:val="22"/>
              </w:rPr>
            </w:r>
            <w:r>
              <w:rPr>
                <w:sz w:val="22"/>
                <w:szCs w:val="22"/>
              </w:rPr>
            </w:r>
          </w:p>
        </w:tc>
        <w:tc>
          <w:tcPr>
            <w:shd w:val="clear" w:color="000000" w:fill="ffffff"/>
            <w:tcBorders/>
            <w:tcW w:w="1700"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sz w:val="22"/>
                <w:szCs w:val="22"/>
              </w:rPr>
            </w:pPr>
            <w:r>
              <w:rPr>
                <w:color w:val="000000" w:themeColor="text1"/>
                <w:sz w:val="22"/>
                <w:szCs w:val="22"/>
              </w:rPr>
              <w:t xml:space="preserve">0% - 4%</w:t>
            </w:r>
            <w:r>
              <w:rPr>
                <w:sz w:val="22"/>
                <w:szCs w:val="22"/>
              </w:rPr>
            </w:r>
            <w:r>
              <w:rPr>
                <w:sz w:val="22"/>
                <w:szCs w:val="22"/>
              </w:rPr>
            </w:r>
          </w:p>
        </w:tc>
        <w:tc>
          <w:tcPr>
            <w:shd w:val="clear" w:color="000000" w:fill="ffffff"/>
            <w:tcBorders/>
            <w:tcW w:w="1701" w:type="dxa"/>
            <w:vAlign w:val="center"/>
            <w:textDirection w:val="lrTb"/>
            <w:noWrap/>
          </w:tcPr>
          <w:p>
            <w:pPr>
              <w:pBdr/>
              <w:spacing/>
              <w:ind/>
              <w:jc w:val="center"/>
              <w:rPr>
                <w:sz w:val="22"/>
                <w:szCs w:val="22"/>
              </w:rPr>
            </w:pPr>
            <w:r>
              <w:rPr>
                <w:color w:val="000000" w:themeColor="text1"/>
                <w:sz w:val="22"/>
                <w:szCs w:val="22"/>
              </w:rPr>
              <w:t xml:space="preserve">0% - 4%</w:t>
            </w:r>
            <w:r>
              <w:rPr>
                <w:sz w:val="22"/>
                <w:szCs w:val="22"/>
              </w:rPr>
            </w:r>
            <w:r>
              <w:rPr>
                <w:sz w:val="22"/>
                <w:szCs w:val="22"/>
              </w:rPr>
            </w:r>
          </w:p>
        </w:tc>
        <w:tc>
          <w:tcPr>
            <w:shd w:val="clear" w:color="000000" w:fill="ffffff"/>
            <w:tcBorders/>
            <w:tcW w:w="1700" w:type="dxa"/>
            <w:vAlign w:val="center"/>
            <w:textDirection w:val="lrTb"/>
            <w:noWrap/>
          </w:tcPr>
          <w:p>
            <w:pPr>
              <w:pBdr/>
              <w:spacing/>
              <w:ind/>
              <w:jc w:val="center"/>
              <w:rPr>
                <w:sz w:val="22"/>
                <w:szCs w:val="22"/>
              </w:rPr>
            </w:pPr>
            <w:r>
              <w:rPr>
                <w:color w:val="000000" w:themeColor="text1"/>
                <w:sz w:val="22"/>
                <w:szCs w:val="22"/>
              </w:rPr>
              <w:t xml:space="preserve">0% - 0%</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sz w:val="22"/>
                <w:szCs w:val="22"/>
              </w:rPr>
            </w:pPr>
            <w:r>
              <w:rPr>
                <w:color w:val="000000" w:themeColor="text1"/>
                <w:sz w:val="22"/>
                <w:szCs w:val="22"/>
              </w:rPr>
              <w:t xml:space="preserve">7.650.000</w:t>
            </w:r>
            <w:r>
              <w:rPr>
                <w:sz w:val="22"/>
                <w:szCs w:val="22"/>
              </w:rPr>
            </w:r>
            <w:r>
              <w:rPr>
                <w:sz w:val="22"/>
                <w:szCs w:val="22"/>
              </w:rPr>
            </w:r>
          </w:p>
        </w:tc>
        <w:tc>
          <w:tcPr>
            <w:shd w:val="clear" w:color="000000" w:fill="ffffff"/>
            <w:tcBorders/>
            <w:tcW w:w="1701" w:type="dxa"/>
            <w:vAlign w:val="center"/>
            <w:textDirection w:val="lrTb"/>
            <w:noWrap/>
          </w:tcPr>
          <w:p>
            <w:pPr>
              <w:pBdr/>
              <w:spacing/>
              <w:ind/>
              <w:jc w:val="center"/>
              <w:rPr>
                <w:sz w:val="22"/>
                <w:szCs w:val="22"/>
              </w:rPr>
            </w:pPr>
            <w:r>
              <w:rPr>
                <w:color w:val="000000" w:themeColor="text1"/>
                <w:sz w:val="22"/>
                <w:szCs w:val="22"/>
              </w:rPr>
              <w:t xml:space="preserve">7.650.000</w:t>
            </w:r>
            <w:r>
              <w:rPr>
                <w:sz w:val="22"/>
                <w:szCs w:val="22"/>
              </w:rPr>
            </w:r>
            <w:r>
              <w:rPr>
                <w:sz w:val="22"/>
                <w:szCs w:val="22"/>
              </w:rPr>
            </w:r>
          </w:p>
        </w:tc>
        <w:tc>
          <w:tcPr>
            <w:shd w:val="clear" w:color="000000" w:fill="ffffff"/>
            <w:tcBorders/>
            <w:tcW w:w="1700"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r>
    </w:tbl>
    <w:p>
      <w:pPr>
        <w:pBdr/>
        <w:spacing w:after="120" w:before="120" w:line="276" w:lineRule="auto"/>
        <w:ind/>
        <w:jc w:val="both"/>
        <w:rPr>
          <w:b/>
          <w:bCs/>
          <w:i/>
          <w:iCs/>
          <w:color w:val="000000" w:themeColor="text1"/>
        </w:rPr>
      </w:pPr>
      <w:r>
        <w:rPr>
          <w:i/>
          <w:iCs/>
          <w:color w:val="000000" w:themeColor="text1"/>
          <w:u w:val="single"/>
        </w:rPr>
        <w:t xml:space="preserve"> </w:t>
      </w:r>
      <w:r>
        <w:rPr>
          <w:b/>
          <w:bCs/>
          <w:i/>
          <w:iCs/>
          <w:color w:val="000000" w:themeColor="text1"/>
          <w:u w:val="single"/>
        </w:rPr>
        <w:t xml:space="preserve">Về nguyên tắc khống chế</w:t>
      </w:r>
      <w:r>
        <w:rPr>
          <w:b/>
          <w:bCs/>
          <w:i/>
          <w:iCs/>
          <w:color w:val="000000" w:themeColor="text1"/>
        </w:rPr>
        <w:t xml:space="preserve">: </w:t>
      </w:r>
      <w:r>
        <w:rPr>
          <w:b/>
          <w:bCs/>
          <w:i/>
          <w:iCs/>
          <w:color w:val="000000" w:themeColor="text1"/>
        </w:rPr>
      </w:r>
      <w:r>
        <w:rPr>
          <w:b/>
          <w:bCs/>
          <w:i/>
          <w:iCs/>
          <w:color w:val="000000" w:themeColor="text1"/>
        </w:rPr>
      </w:r>
    </w:p>
    <w:p>
      <w:pPr>
        <w:pBdr/>
        <w:spacing w:after="120" w:before="120" w:line="276" w:lineRule="auto"/>
        <w:ind/>
        <w:jc w:val="both"/>
        <w:rPr>
          <w:b/>
          <w:bCs/>
          <w:color w:val="000000" w:themeColor="text1"/>
          <w:u w:val="single"/>
        </w:rPr>
      </w:pPr>
      <w:r>
        <w:rPr>
          <w:color w:val="000000" w:themeColor="text1"/>
        </w:rPr>
        <w:t xml:space="preserve">Theo số liệu tại mục D2, chênh lệch giữa mức giá trung bình của các mức giá chỉ dẫn nằm trong khoảng từ  </w:t>
      </w:r>
      <w:r>
        <w:t xml:space="preserve">-4.09% đến 2.05%,</w:t>
      </w:r>
      <w:r>
        <w:rPr>
          <w:color w:val="00b050"/>
        </w:rPr>
        <w:t xml:space="preserve"> </w:t>
      </w:r>
      <w:r>
        <w:rPr>
          <w:color w:val="000000" w:themeColor="text1"/>
        </w:rPr>
        <w:t xml:space="preserve">đảm bảo không quá 15% (theo Thông tư số 32/2024/TT-BTC ngày 16/5/2024 của Bộ Tài chính).</w:t>
      </w:r>
      <w:r>
        <w:rPr>
          <w:b/>
          <w:bCs/>
          <w:color w:val="000000" w:themeColor="text1"/>
          <w:u w:val="single"/>
        </w:rPr>
      </w:r>
      <w:r>
        <w:rPr>
          <w:b/>
          <w:bCs/>
          <w:color w:val="000000" w:themeColor="text1"/>
          <w:u w:val="single"/>
        </w:rPr>
      </w:r>
    </w:p>
    <w:p>
      <w:pPr>
        <w:pBdr/>
        <w:spacing w:after="120" w:before="120" w:line="276" w:lineRule="auto"/>
        <w:ind/>
        <w:rPr>
          <w:b/>
          <w:bCs/>
          <w:i/>
          <w:iCs/>
          <w:color w:val="000000" w:themeColor="text1"/>
          <w:u w:val="single"/>
        </w:rPr>
      </w:pPr>
      <w:r>
        <w:rPr>
          <w:b/>
          <w:bCs/>
          <w:i/>
          <w:iCs/>
          <w:color w:val="000000" w:themeColor="text1"/>
          <w:u w:val="single"/>
        </w:rPr>
        <w:t xml:space="preserve">Về thống nhất mức giá chỉ dẫn:</w:t>
      </w:r>
      <w:r>
        <w:rPr>
          <w:b/>
          <w:bCs/>
          <w:i/>
          <w:iCs/>
          <w:color w:val="000000" w:themeColor="text1"/>
          <w:u w:val="single"/>
        </w:rPr>
      </w:r>
      <w:r>
        <w:rPr>
          <w:b/>
          <w:bCs/>
          <w:i/>
          <w:iCs/>
          <w:color w:val="000000" w:themeColor="text1"/>
          <w:u w:val="single"/>
        </w:rPr>
      </w:r>
    </w:p>
    <w:p>
      <w:pPr>
        <w:pBdr/>
        <w:spacing/>
        <w:ind/>
        <w:jc w:val="right"/>
        <w:rPr>
          <w:i/>
          <w:iCs/>
          <w:color w:val="000000" w:themeColor="text1"/>
        </w:rPr>
      </w:pPr>
      <w:r>
        <w:rPr>
          <w:i/>
          <w:iCs/>
          <w:color w:val="000000" w:themeColor="text1"/>
        </w:rPr>
        <w:t xml:space="preserve">Đơn vị tính: Đồng/m²</w:t>
      </w:r>
      <w:r>
        <w:rPr>
          <w:i/>
          <w:iCs/>
          <w:color w:val="000000" w:themeColor="text1"/>
        </w:rPr>
      </w:r>
      <w:r>
        <w:rPr>
          <w:i/>
          <w:iCs/>
          <w:color w:val="000000" w:themeColor="text1"/>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183.600.000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61.212.240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183.600.000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61.193.880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172.552.249</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57.511.665</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179.917.785</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180.000.000</w:t>
            </w:r>
            <w:r>
              <w:rPr>
                <w:b/>
                <w:bCs/>
                <w:color w:val="000000"/>
              </w:rPr>
            </w:r>
            <w:r>
              <w:rPr>
                <w:b/>
                <w:bCs/>
                <w:color w:val="000000"/>
              </w:rPr>
            </w:r>
          </w:p>
        </w:tc>
      </w:tr>
    </w:tbl>
    <w:p>
      <w:pPr>
        <w:pBdr/>
        <w:spacing w:after="120" w:before="120" w:line="276" w:lineRule="auto"/>
        <w:ind/>
        <w:jc w:val="both"/>
        <w:rPr>
          <w:b/>
          <w:bCs/>
          <w:color w:val="000000" w:themeColor="text1"/>
        </w:rPr>
      </w:pPr>
      <w:r>
        <w:rPr>
          <w:color w:val="000000" w:themeColor="text1"/>
        </w:rPr>
        <w:t xml:space="preserve">Tổ thẩm định sử dụng mức giá chỉ dẫn là mức giá bình quân có trọng số của 03 tài sản so sánh làm mức giá của tài sản thẩm định, tương ứng là: </w:t>
      </w:r>
      <w:r>
        <w:rPr>
          <w:b/>
          <w:bCs/>
          <w:color w:val="000000" w:themeColor="text1"/>
          <w:lang w:val="vi-VN"/>
        </w:rPr>
        <w:t xml:space="preserve">180.000.000</w:t>
      </w:r>
      <w:r>
        <w:rPr>
          <w:b/>
          <w:bCs/>
          <w:color w:val="000000" w:themeColor="text1"/>
        </w:rPr>
        <w:t xml:space="preserve"> </w:t>
      </w:r>
      <w:r>
        <w:rPr>
          <w:b/>
          <w:bCs/>
        </w:rPr>
        <w:t xml:space="preserve">đồng/m²</w:t>
      </w:r>
      <w:r>
        <w:rPr>
          <w:b/>
          <w:bCs/>
        </w:rPr>
        <w:t xml:space="preserve">.</w:t>
      </w:r>
      <w:r>
        <w:rPr>
          <w:b/>
          <w:bCs/>
          <w:color w:val="000000" w:themeColor="text1"/>
        </w:rPr>
      </w:r>
      <w:r>
        <w:rPr>
          <w:b/>
          <w:bCs/>
          <w:color w:val="000000" w:themeColor="text1"/>
        </w:rPr>
      </w:r>
    </w:p>
    <w:p>
      <w:pPr>
        <w:pStyle w:val="1132"/>
        <w:numPr>
          <w:ilvl w:val="0"/>
          <w:numId w:val="26"/>
        </w:numPr>
        <w:pBdr/>
        <w:spacing w:after="120" w:before="120" w:line="276" w:lineRule="auto"/>
        <w:ind w:hanging="357" w:left="357"/>
        <w:jc w:val="both"/>
        <w:rPr>
          <w:b/>
          <w:color w:val="000000" w:themeColor="text1"/>
        </w:rPr>
      </w:pPr>
      <w:r>
        <w:rPr>
          <w:b/>
          <w:color w:val="000000" w:themeColor="text1"/>
          <w:lang w:val="pt-BR"/>
        </w:rPr>
        <w:t xml:space="preserve">Kết quả thẩm định giá:</w:t>
      </w:r>
      <w:r>
        <w:rPr>
          <w:b/>
          <w:color w:val="000000" w:themeColor="text1"/>
        </w:rPr>
      </w:r>
      <w:r>
        <w:rPr>
          <w:b/>
          <w:color w:val="000000" w:themeColor="text1"/>
        </w:rPr>
      </w:r>
    </w:p>
    <w:p>
      <w:pPr>
        <w:pStyle w:val="1132"/>
        <w:pBdr/>
        <w:tabs>
          <w:tab w:val="left" w:leader="none" w:pos="993"/>
        </w:tabs>
        <w:spacing w:after="120" w:before="120" w:line="276" w:lineRule="auto"/>
        <w:ind w:left="0"/>
        <w:jc w:val="both"/>
        <w:rPr>
          <w:color w:val="000000" w:themeColor="text1"/>
        </w:rPr>
      </w:pPr>
      <w:r>
        <w:rPr>
          <w:color w:val="000000" w:themeColor="text1"/>
          <w:lang w:val="pt-BR"/>
        </w:rPr>
        <w:t xml:space="preserve">Dựa trên các lập luận trên, Tổ thẩm định ước tính giá trị </w:t>
      </w:r>
      <w:r>
        <w:rPr>
          <w:color w:val="000000" w:themeColor="text1"/>
          <w:lang w:val="vi-VN"/>
        </w:rPr>
        <w:t xml:space="preserve">tài sản thẩm định giá</w:t>
      </w:r>
      <w:r>
        <w:rPr>
          <w:color w:val="000000" w:themeColor="text1"/>
          <w:lang w:val="pt-BR"/>
        </w:rPr>
        <w:t xml:space="preserve"> </w:t>
      </w:r>
      <w:r>
        <w:rPr>
          <w:color w:val="000000" w:themeColor="text1"/>
          <w:lang w:val="de-DE"/>
        </w:rPr>
        <w:t xml:space="preserve">chưa bao gồm các loại thuế, phí và lệ phí liên quan đến việc chuyển nhượng tài sản</w:t>
      </w:r>
      <w:r>
        <w:rPr>
          <w:color w:val="000000" w:themeColor="text1"/>
          <w:lang w:val="pt-BR"/>
        </w:rPr>
        <w:t xml:space="preserve"> tại thời điểm thẩm định giá </w:t>
      </w:r>
      <w:r>
        <w:t xml:space="preserve">Tháng 08/2026</w:t>
      </w:r>
      <w:r>
        <w:rPr>
          <w:color w:val="000000" w:themeColor="text1"/>
        </w:rPr>
        <w:t xml:space="preserve"> ước tính như sau:</w:t>
      </w:r>
      <w:r>
        <w:rPr>
          <w:color w:val="000000" w:themeColor="text1"/>
        </w:rPr>
      </w:r>
      <w:r>
        <w:rPr>
          <w:color w:val="000000" w:themeColor="text1"/>
        </w:rPr>
      </w:r>
    </w:p>
    <w:tbl>
      <w:tblPr>
        <w:tblStyle w:val="1136"/>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7"/>
        <w:gridCol w:w="2941"/>
        <w:gridCol w:w="1701"/>
        <w:gridCol w:w="1848"/>
        <w:gridCol w:w="2581"/>
      </w:tblGrid>
      <w:tr>
        <w:trPr>
          <w:trHeight w:val="732"/>
        </w:trPr>
        <w:tc>
          <w:tcPr>
            <w:shd w:val="clear" w:color="ffffff" w:fill="ffffff"/>
            <w:tcBorders/>
            <w:tcMar>
              <w:left w:w="0" w:type="dxa"/>
              <w:top w:w="0" w:type="dxa"/>
              <w:right w:w="0" w:type="dxa"/>
              <w:bottom w:w="0" w:type="dxa"/>
            </w:tcMar>
            <w:tcW w:w="737" w:type="dxa"/>
            <w:vAlign w:val="center"/>
            <w:textDirection w:val="lrTb"/>
            <w:noWrap w:val="false"/>
          </w:tcPr>
          <w:p>
            <w:pPr>
              <w:pBdr/>
              <w:spacing w:line="312" w:lineRule="auto"/>
              <w:ind/>
              <w:jc w:val="center"/>
              <w:rPr>
                <w:color w:val="000000" w:themeColor="text1"/>
              </w:rPr>
            </w:pPr>
            <w:r>
              <w:rPr>
                <w:b/>
                <w:color w:val="000000" w:themeColor="text1"/>
              </w:rPr>
              <w:t xml:space="preserve">TT</w:t>
            </w:r>
            <w:r>
              <w:rPr>
                <w:color w:val="000000" w:themeColor="text1"/>
              </w:rPr>
            </w:r>
            <w:r>
              <w:rPr>
                <w:color w:val="000000" w:themeColor="text1"/>
              </w:rPr>
            </w:r>
          </w:p>
        </w:tc>
        <w:tc>
          <w:tcPr>
            <w:shd w:val="clear" w:color="ffffff" w:fill="ffffff"/>
            <w:tcBorders/>
            <w:tcMar>
              <w:left w:w="0" w:type="dxa"/>
              <w:top w:w="0" w:type="dxa"/>
              <w:right w:w="0" w:type="dxa"/>
              <w:bottom w:w="0" w:type="dxa"/>
            </w:tcMar>
            <w:tcW w:w="2941" w:type="dxa"/>
            <w:vAlign w:val="center"/>
            <w:textDirection w:val="lrTb"/>
            <w:noWrap w:val="false"/>
          </w:tcPr>
          <w:p>
            <w:pPr>
              <w:pBdr/>
              <w:spacing w:line="312" w:lineRule="auto"/>
              <w:ind/>
              <w:jc w:val="center"/>
              <w:rPr>
                <w:color w:val="000000" w:themeColor="text1"/>
              </w:rPr>
            </w:pPr>
            <w:r>
              <w:rPr>
                <w:b/>
                <w:color w:val="000000" w:themeColor="text1"/>
              </w:rPr>
              <w:t xml:space="preserve">Tài sản</w:t>
            </w:r>
            <w:r>
              <w:rPr>
                <w:color w:val="000000" w:themeColor="text1"/>
              </w:rPr>
            </w:r>
            <w:r>
              <w:rPr>
                <w:color w:val="000000" w:themeColor="text1"/>
              </w:rPr>
            </w:r>
          </w:p>
        </w:tc>
        <w:tc>
          <w:tcPr>
            <w:shd w:val="clear" w:color="ffffff" w:fill="ffffff"/>
            <w:tcBorders/>
            <w:tcMar>
              <w:left w:w="0" w:type="dxa"/>
              <w:top w:w="0" w:type="dxa"/>
              <w:right w:w="0" w:type="dxa"/>
              <w:bottom w:w="0" w:type="dxa"/>
            </w:tcMar>
            <w:tcW w:w="1701" w:type="dxa"/>
            <w:vAlign w:val="center"/>
            <w:textDirection w:val="lrTb"/>
            <w:noWrap w:val="false"/>
          </w:tcPr>
          <w:p>
            <w:pPr>
              <w:pBdr/>
              <w:spacing w:line="312" w:lineRule="auto"/>
              <w:ind/>
              <w:jc w:val="center"/>
              <w:rPr>
                <w:color w:val="000000" w:themeColor="text1"/>
              </w:rPr>
            </w:pPr>
            <w:r>
              <w:rPr>
                <w:b/>
                <w:color w:val="000000" w:themeColor="text1"/>
              </w:rPr>
              <w:t xml:space="preserve">Diện tích</w:t>
            </w:r>
            <w:r>
              <w:rPr>
                <w:b/>
                <w:color w:val="000000" w:themeColor="text1"/>
              </w:rPr>
              <w:br/>
              <w:t xml:space="preserve"> (m²)</w:t>
            </w:r>
            <w:r>
              <w:rPr>
                <w:color w:val="000000" w:themeColor="text1"/>
              </w:rPr>
            </w:r>
            <w:r>
              <w:rPr>
                <w:color w:val="000000" w:themeColor="text1"/>
              </w:rPr>
            </w:r>
          </w:p>
        </w:tc>
        <w:tc>
          <w:tcPr>
            <w:shd w:val="clear" w:color="ffffff" w:fill="ffffff"/>
            <w:tcBorders/>
            <w:tcMar>
              <w:left w:w="0" w:type="dxa"/>
              <w:top w:w="0" w:type="dxa"/>
              <w:right w:w="0" w:type="dxa"/>
              <w:bottom w:w="0" w:type="dxa"/>
            </w:tcMar>
            <w:tcW w:w="1848" w:type="dxa"/>
            <w:vAlign w:val="center"/>
            <w:textDirection w:val="lrTb"/>
            <w:noWrap w:val="false"/>
          </w:tcPr>
          <w:p>
            <w:pPr>
              <w:pBdr/>
              <w:spacing w:line="312" w:lineRule="auto"/>
              <w:ind/>
              <w:jc w:val="center"/>
              <w:rPr>
                <w:b/>
                <w:bCs/>
                <w:color w:val="000000" w:themeColor="text1"/>
              </w:rPr>
            </w:pPr>
            <w:r>
              <w:rPr>
                <w:b/>
                <w:color w:val="000000" w:themeColor="text1"/>
              </w:rPr>
              <w:t xml:space="preserve">Đơn giá </w:t>
            </w:r>
            <w:r>
              <w:rPr>
                <w:b/>
                <w:bCs/>
                <w:color w:val="000000" w:themeColor="text1"/>
              </w:rPr>
            </w:r>
            <w:r>
              <w:rPr>
                <w:b/>
                <w:bCs/>
                <w:color w:val="000000" w:themeColor="text1"/>
              </w:rPr>
            </w:r>
          </w:p>
          <w:p>
            <w:pPr>
              <w:pBdr/>
              <w:spacing w:line="312" w:lineRule="auto"/>
              <w:ind/>
              <w:jc w:val="center"/>
              <w:rPr>
                <w:color w:val="000000" w:themeColor="text1"/>
              </w:rPr>
            </w:pPr>
            <w:r>
              <w:rPr>
                <w:b/>
                <w:color w:val="000000" w:themeColor="text1"/>
              </w:rPr>
              <w:t xml:space="preserve">(đồng/m²)</w:t>
            </w:r>
            <w:r>
              <w:rPr>
                <w:color w:val="000000" w:themeColor="text1"/>
              </w:rPr>
            </w:r>
            <w:r>
              <w:rPr>
                <w:color w:val="000000" w:themeColor="text1"/>
              </w:rPr>
            </w:r>
          </w:p>
        </w:tc>
        <w:tc>
          <w:tcPr>
            <w:shd w:val="clear" w:color="ffffff" w:fill="ffffff"/>
            <w:tcBorders/>
            <w:tcMar>
              <w:left w:w="0" w:type="dxa"/>
              <w:top w:w="0" w:type="dxa"/>
              <w:right w:w="0" w:type="dxa"/>
              <w:bottom w:w="0" w:type="dxa"/>
            </w:tcMar>
            <w:tcW w:w="2581" w:type="dxa"/>
            <w:vAlign w:val="center"/>
            <w:textDirection w:val="lrTb"/>
            <w:noWrap w:val="false"/>
          </w:tcPr>
          <w:p>
            <w:pPr>
              <w:pBdr/>
              <w:spacing w:line="312" w:lineRule="auto"/>
              <w:ind/>
              <w:jc w:val="center"/>
              <w:rPr>
                <w:color w:val="000000" w:themeColor="text1"/>
              </w:rPr>
            </w:pPr>
            <w:r>
              <w:rPr>
                <w:b/>
                <w:lang w:val="nl-NL"/>
              </w:rPr>
              <w:t xml:space="preserve">Giá trị thẩm định</w:t>
            </w:r>
            <w:r>
              <w:rPr>
                <w:b/>
              </w:rPr>
              <w:t xml:space="preserve"> </w:t>
            </w:r>
            <w:r>
              <w:rPr>
                <w:b/>
              </w:rPr>
              <w:br/>
              <w:t xml:space="preserve">(đồng)</w:t>
            </w:r>
            <w:r>
              <w:rPr>
                <w:color w:val="000000" w:themeColor="text1"/>
              </w:rPr>
            </w:r>
            <w:r>
              <w:rPr>
                <w:color w:val="000000" w:themeColor="text1"/>
              </w:rPr>
            </w:r>
          </w:p>
        </w:tc>
      </w:tr>
      <w:tr>
        <w:trPr>
          <w:trHeight w:val="835"/>
        </w:trPr>
        <w:tc>
          <w:tcPr>
            <w:shd w:val="clear" w:color="ffffff" w:fill="ffffff"/>
            <w:tcBorders/>
            <w:tcMar>
              <w:left w:w="0" w:type="dxa"/>
              <w:top w:w="0" w:type="dxa"/>
              <w:right w:w="0" w:type="dxa"/>
              <w:bottom w:w="0" w:type="dxa"/>
            </w:tcMar>
            <w:tcW w:w="737" w:type="dxa"/>
            <w:vAlign w:val="center"/>
            <w:textDirection w:val="lrTb"/>
            <w:noWrap w:val="false"/>
          </w:tcPr>
          <w:p>
            <w:pPr>
              <w:pBdr/>
              <w:spacing w:line="312" w:lineRule="auto"/>
              <w:ind/>
              <w:jc w:val="center"/>
              <w:rPr>
                <w:color w:val="000000" w:themeColor="text1"/>
              </w:rPr>
            </w:pPr>
            <w:r>
              <w:rPr>
                <w:b/>
                <w:color w:val="000000" w:themeColor="text1"/>
              </w:rPr>
              <w:t xml:space="preserve"> </w:t>
            </w:r>
            <w:r>
              <w:rPr>
                <w:color w:val="000000" w:themeColor="text1"/>
              </w:rPr>
            </w:r>
            <w:r>
              <w:rPr>
                <w:color w:val="000000" w:themeColor="text1"/>
              </w:rPr>
            </w:r>
          </w:p>
        </w:tc>
        <w:tc>
          <w:tcPr>
            <w:gridSpan w:val="3"/>
            <w:shd w:val="clear" w:color="ffffff" w:fill="ffffff"/>
            <w:tcBorders/>
            <w:tcMar>
              <w:left w:w="0" w:type="dxa"/>
              <w:top w:w="0" w:type="dxa"/>
              <w:right w:w="0" w:type="dxa"/>
              <w:bottom w:w="0" w:type="dxa"/>
            </w:tcMar>
            <w:tcW w:w="6490" w:type="dxa"/>
            <w:vAlign w:val="center"/>
            <w:textDirection w:val="lrTb"/>
            <w:noWrap w:val="false"/>
          </w:tcPr>
          <w:p>
            <w:pPr>
              <w:pBdr/>
              <w:spacing w:line="312" w:lineRule="auto"/>
              <w:ind w:right="143" w:left="142"/>
              <w:jc w:val="both"/>
              <w:rPr>
                <w:color w:val="000000" w:themeColor="text1"/>
              </w:rPr>
            </w:pPr>
            <w:r>
              <w:rPr>
                <w:color w:val="000000"/>
              </w:rPr>
            </w:r>
            <w:r>
              <w:rPr>
                <w:rFonts w:ascii="Times New Roman" w:hAnsi="Times New Roman" w:eastAsia="Times New Roman" w:cs="Times New Roman"/>
                <w:color w:val="000000"/>
                <w:sz w:val="24"/>
              </w:rPr>
              <w:t xml:space="preserve">Tài sản hình thành trong tương lai là căn hộ 30-03, tại Toà căn hộ 45 tầng, dự án M Landmark Residences Đà Nẵng, có địa chỉ: tại số 58 Bạch Đằng, phường Hải Châu I, quận Hải Châu, Thành phố Đà Nẵng (Nay là phường Hải Châu, Thành phố Đà Nẵng).</w:t>
            </w:r>
            <w:r>
              <w:rPr>
                <w:rFonts w:ascii="Times New Roman" w:hAnsi="Times New Roman" w:eastAsia="Times New Roman" w:cs="Times New Roman"/>
                <w:b/>
                <w:color w:val="000000"/>
                <w:sz w:val="24"/>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581" w:type="dxa"/>
            <w:vAlign w:val="center"/>
            <w:textDirection w:val="lrTb"/>
            <w:noWrap w:val="false"/>
          </w:tcPr>
          <w:p>
            <w:pPr>
              <w:pBdr/>
              <w:spacing w:line="312" w:lineRule="auto"/>
              <w:ind/>
              <w:jc w:val="right"/>
              <w:rPr>
                <w:color w:val="000000" w:themeColor="text1"/>
              </w:rPr>
            </w:pPr>
            <w:r>
              <w:rPr>
                <w:b/>
                <w:color w:val="000000" w:themeColor="text1"/>
              </w:rPr>
              <w:t xml:space="preserve"> </w:t>
            </w:r>
            <w:r>
              <w:rPr>
                <w:color w:val="000000" w:themeColor="text1"/>
              </w:rPr>
            </w:r>
            <w:r>
              <w:rPr>
                <w:color w:val="000000" w:themeColor="text1"/>
              </w:rPr>
            </w:r>
          </w:p>
        </w:tc>
      </w:tr>
      <w:tr>
        <w:trPr>
          <w:trHeight w:val="312"/>
        </w:trPr>
        <w:tc>
          <w:tcPr>
            <w:shd w:val="clear" w:color="ffffff" w:fill="ffffff"/>
            <w:tcBorders/>
            <w:tcMar>
              <w:left w:w="0" w:type="dxa"/>
              <w:top w:w="0" w:type="dxa"/>
              <w:right w:w="0" w:type="dxa"/>
              <w:bottom w:w="0" w:type="dxa"/>
            </w:tcMar>
            <w:tcW w:w="737" w:type="dxa"/>
            <w:vAlign w:val="center"/>
            <w:textDirection w:val="lrTb"/>
            <w:noWrap w:val="false"/>
          </w:tcPr>
          <w:p>
            <w:pPr>
              <w:pBdr/>
              <w:spacing w:line="312" w:lineRule="auto"/>
              <w:ind/>
              <w:jc w:val="center"/>
              <w:rPr>
                <w:color w:val="000000" w:themeColor="text1"/>
              </w:rPr>
            </w:pPr>
            <w:r>
              <w:rPr>
                <w:b/>
                <w:bCs/>
              </w:rPr>
              <w:t xml:space="preserve">1</w:t>
            </w:r>
            <w:r>
              <w:rPr>
                <w:color w:val="000000" w:themeColor="text1"/>
              </w:rPr>
            </w:r>
            <w:r>
              <w:rPr>
                <w:color w:val="000000" w:themeColor="text1"/>
              </w:rPr>
            </w:r>
          </w:p>
        </w:tc>
        <w:tc>
          <w:tcPr>
            <w:shd w:val="clear" w:color="ffffff" w:fill="ffffff"/>
            <w:tcBorders/>
            <w:tcMar>
              <w:left w:w="0" w:type="dxa"/>
              <w:top w:w="0" w:type="dxa"/>
              <w:right w:w="0" w:type="dxa"/>
              <w:bottom w:w="0" w:type="dxa"/>
            </w:tcMar>
            <w:tcW w:w="2941" w:type="dxa"/>
            <w:vAlign w:val="center"/>
            <w:textDirection w:val="lrTb"/>
            <w:noWrap w:val="false"/>
          </w:tcPr>
          <w:p>
            <w:pPr>
              <w:pBdr/>
              <w:spacing w:line="312" w:lineRule="auto"/>
              <w:ind w:left="142"/>
              <w:rPr>
                <w:color w:val="000000" w:themeColor="text1"/>
              </w:rPr>
            </w:pPr>
            <w:r>
              <w:rPr>
                <w:b/>
                <w:bCs/>
              </w:rPr>
              <w:t xml:space="preserve">Căn hộ chung cư</w:t>
            </w:r>
            <w:r>
              <w:rPr>
                <w:color w:val="000000" w:themeColor="text1"/>
              </w:rPr>
            </w:r>
            <w:r>
              <w:rPr>
                <w:color w:val="000000" w:themeColor="text1"/>
              </w:rPr>
            </w:r>
          </w:p>
        </w:tc>
        <w:tc>
          <w:tcPr>
            <w:tcBorders/>
            <w:tcMar>
              <w:left w:w="0" w:type="dxa"/>
              <w:top w:w="0" w:type="dxa"/>
              <w:right w:w="0" w:type="dxa"/>
              <w:bottom w:w="0" w:type="dxa"/>
            </w:tcMar>
            <w:tcW w:w="1701" w:type="dxa"/>
            <w:vAlign w:val="center"/>
            <w:textDirection w:val="lrTb"/>
            <w:noWrap/>
          </w:tcPr>
          <w:p>
            <w:pPr>
              <w:pBdr/>
              <w:spacing w:line="312" w:lineRule="auto"/>
              <w:ind w:left="142"/>
              <w:jc w:val="center"/>
              <w:rPr>
                <w:color w:val="000000" w:themeColor="text1"/>
              </w:rPr>
            </w:pPr>
            <w:r>
              <w:rPr>
                <w:color w:val="000000" w:themeColor="text1"/>
              </w:rPr>
              <w:t xml:space="preserve">77,7</w:t>
            </w:r>
            <w:r>
              <w:rPr>
                <w:color w:val="000000" w:themeColor="text1"/>
              </w:rPr>
            </w:r>
            <w:r>
              <w:rPr>
                <w:color w:val="000000" w:themeColor="text1"/>
              </w:rPr>
            </w:r>
          </w:p>
        </w:tc>
        <w:tc>
          <w:tcPr>
            <w:shd w:val="clear" w:color="ffffff" w:fill="ffffff"/>
            <w:tcBorders/>
            <w:tcMar>
              <w:left w:w="0" w:type="dxa"/>
              <w:top w:w="0" w:type="dxa"/>
              <w:right w:w="0" w:type="dxa"/>
              <w:bottom w:w="0" w:type="dxa"/>
            </w:tcMar>
            <w:tcW w:w="1848" w:type="dxa"/>
            <w:vAlign w:val="center"/>
            <w:textDirection w:val="lrTb"/>
            <w:noWrap w:val="false"/>
          </w:tcPr>
          <w:p>
            <w:pPr>
              <w:pBdr/>
              <w:spacing w:line="312" w:lineRule="auto"/>
              <w:ind w:left="142"/>
              <w:jc w:val="center"/>
              <w:rPr>
                <w:color w:val="000000" w:themeColor="text1"/>
              </w:rPr>
            </w:pPr>
            <w:r>
              <w:rPr>
                <w:color w:val="000000" w:themeColor="text1"/>
              </w:rPr>
              <w:t xml:space="preserve">180.000.000</w:t>
            </w:r>
            <w:r>
              <w:rPr>
                <w:color w:val="000000" w:themeColor="text1"/>
              </w:rPr>
            </w:r>
            <w:r>
              <w:rPr>
                <w:color w:val="000000" w:themeColor="text1"/>
              </w:rPr>
            </w:r>
          </w:p>
        </w:tc>
        <w:tc>
          <w:tcPr>
            <w:shd w:val="clear" w:color="ffffff" w:fill="ffffff"/>
            <w:tcBorders/>
            <w:tcMar>
              <w:left w:w="0" w:type="dxa"/>
              <w:top w:w="0" w:type="dxa"/>
              <w:right w:w="0" w:type="dxa"/>
              <w:bottom w:w="0" w:type="dxa"/>
            </w:tcMar>
            <w:tcW w:w="2581" w:type="dxa"/>
            <w:vAlign w:val="center"/>
            <w:textDirection w:val="lrTb"/>
            <w:noWrap w:val="false"/>
          </w:tcPr>
          <w:p>
            <w:pPr>
              <w:pBdr/>
              <w:spacing w:line="312" w:lineRule="auto"/>
              <w:ind w:right="142"/>
              <w:jc w:val="right"/>
              <w:rPr>
                <w:color w:val="000000" w:themeColor="text1"/>
              </w:rPr>
            </w:pPr>
            <w:r>
              <w:rPr>
                <w:color w:val="000000" w:themeColor="text1"/>
              </w:rPr>
              <w:t xml:space="preserve">13.986.000.000</w:t>
            </w:r>
            <w:r>
              <w:rPr>
                <w:color w:val="000000" w:themeColor="text1"/>
              </w:rPr>
            </w:r>
            <w:r>
              <w:rPr>
                <w:color w:val="000000" w:themeColor="text1"/>
              </w:rPr>
            </w:r>
          </w:p>
        </w:tc>
      </w:tr>
      <w:tr>
        <w:trPr>
          <w:trHeight w:val="312"/>
        </w:trPr>
        <w:tc>
          <w:tcPr>
            <w:gridSpan w:val="4"/>
            <w:tcBorders/>
            <w:tcMar>
              <w:left w:w="0" w:type="dxa"/>
              <w:top w:w="0" w:type="dxa"/>
              <w:right w:w="0" w:type="dxa"/>
              <w:bottom w:w="0" w:type="dxa"/>
            </w:tcMar>
            <w:tcW w:w="7227" w:type="dxa"/>
            <w:vAlign w:val="center"/>
            <w:textDirection w:val="lrTb"/>
            <w:noWrap/>
          </w:tcPr>
          <w:p>
            <w:pPr>
              <w:pBdr/>
              <w:spacing w:line="312" w:lineRule="auto"/>
              <w:ind/>
              <w:jc w:val="center"/>
              <w:rPr>
                <w:color w:val="000000" w:themeColor="text1"/>
              </w:rPr>
            </w:pPr>
            <w:r>
              <w:rPr>
                <w:b/>
                <w:color w:val="000000" w:themeColor="text1"/>
              </w:rPr>
              <w:t xml:space="preserve">TỔNG CỘNG:</w:t>
            </w:r>
            <w:r>
              <w:rPr>
                <w:color w:val="000000" w:themeColor="text1"/>
              </w:rPr>
            </w:r>
            <w:r>
              <w:rPr>
                <w:color w:val="000000" w:themeColor="text1"/>
              </w:rPr>
            </w:r>
          </w:p>
        </w:tc>
        <w:tc>
          <w:tcPr>
            <w:tcBorders/>
            <w:tcMar>
              <w:left w:w="0" w:type="dxa"/>
              <w:top w:w="0" w:type="dxa"/>
              <w:right w:w="0" w:type="dxa"/>
              <w:bottom w:w="0" w:type="dxa"/>
            </w:tcMar>
            <w:tcW w:w="2581" w:type="dxa"/>
            <w:vAlign w:val="center"/>
            <w:textDirection w:val="lrTb"/>
            <w:noWrap/>
          </w:tcPr>
          <w:p>
            <w:pPr>
              <w:pBdr/>
              <w:spacing w:line="312" w:lineRule="auto"/>
              <w:ind w:right="142"/>
              <w:jc w:val="right"/>
              <w:rPr>
                <w:b/>
                <w:color w:val="000000" w:themeColor="text1"/>
              </w:rPr>
            </w:pPr>
            <w:r>
              <w:t xml:space="preserve">13.986.000.000</w:t>
            </w:r>
            <w:r>
              <w:rPr>
                <w:b/>
                <w:color w:val="000000" w:themeColor="text1"/>
              </w:rPr>
            </w:r>
            <w:r>
              <w:rPr>
                <w:b/>
                <w:color w:val="000000" w:themeColor="text1"/>
              </w:rPr>
            </w:r>
          </w:p>
        </w:tc>
      </w:tr>
      <w:tr>
        <w:trPr>
          <w:trHeight w:val="312"/>
        </w:trPr>
        <w:tc>
          <w:tcPr>
            <w:gridSpan w:val="5"/>
            <w:tcBorders/>
            <w:tcMar>
              <w:left w:w="0" w:type="dxa"/>
              <w:top w:w="0" w:type="dxa"/>
              <w:right w:w="0" w:type="dxa"/>
              <w:bottom w:w="0" w:type="dxa"/>
            </w:tcMar>
            <w:tcW w:w="9808" w:type="dxa"/>
            <w:vAlign w:val="center"/>
            <w:textDirection w:val="lrTb"/>
            <w:noWrap w:val="false"/>
          </w:tcPr>
          <w:p>
            <w:pPr>
              <w:pBdr/>
              <w:spacing w:line="312" w:lineRule="auto"/>
              <w:ind/>
              <w:jc w:val="center"/>
              <w:rPr>
                <w:color w:val="000000" w:themeColor="text1"/>
              </w:rPr>
            </w:pPr>
            <w:r>
              <w:rPr>
                <w:b/>
                <w:i/>
                <w:color w:val="000000" w:themeColor="text1"/>
              </w:rPr>
              <w:t xml:space="preserve">(Bằng chữ:</w:t>
            </w:r>
            <w:r>
              <w:rPr>
                <w:b/>
                <w:bCs/>
                <w:i/>
                <w:iCs/>
                <w:color w:val="000000"/>
              </w:rPr>
              <w:t xml:space="preserve"> Mười ba tỷ chín trăm tám mươi sáu triệu</w:t>
            </w:r>
            <w:r>
              <w:rPr>
                <w:b/>
                <w:i/>
                <w:color w:val="000000" w:themeColor="text1"/>
              </w:rPr>
              <w:t xml:space="preserve">./.)</w:t>
            </w:r>
            <w:r>
              <w:rPr>
                <w:color w:val="000000" w:themeColor="text1"/>
              </w:rPr>
            </w:r>
            <w:r>
              <w:rPr>
                <w:color w:val="000000" w:themeColor="text1"/>
              </w:rPr>
            </w:r>
          </w:p>
        </w:tc>
      </w:tr>
    </w:tbl>
    <w:p>
      <w:pPr>
        <w:pStyle w:val="1132"/>
        <w:pBdr/>
        <w:tabs>
          <w:tab w:val="left" w:leader="none" w:pos="993"/>
        </w:tabs>
        <w:spacing w:after="120" w:before="120" w:line="288" w:lineRule="auto"/>
        <w:ind w:left="0"/>
        <w:jc w:val="both"/>
        <w:rPr>
          <w:b/>
          <w:color w:val="000000" w:themeColor="text1"/>
        </w:rPr>
      </w:pPr>
      <w:r>
        <w:rPr>
          <w:b/>
          <w:color w:val="000000" w:themeColor="text1"/>
          <w:lang w:val="pt-BR"/>
        </w:rPr>
        <w:t xml:space="preserve">IX. </w:t>
      </w:r>
      <w:r>
        <w:rPr>
          <w:b/>
          <w:bCs/>
          <w:color w:val="000000" w:themeColor="text1"/>
          <w:lang w:val="pt-BR"/>
        </w:rPr>
        <w:t xml:space="preserve">THỜI HẠN HIỆU LỰC CỦA KẾT QUẢ THẨM ĐỊNH GIÁ</w:t>
      </w:r>
      <w:r>
        <w:rPr>
          <w:b/>
          <w:color w:val="000000" w:themeColor="text1"/>
        </w:rPr>
      </w:r>
      <w:r>
        <w:rPr>
          <w:b/>
          <w:color w:val="000000" w:themeColor="text1"/>
        </w:rPr>
      </w:r>
    </w:p>
    <w:p>
      <w:pPr>
        <w:pStyle w:val="1132"/>
        <w:numPr>
          <w:ilvl w:val="0"/>
          <w:numId w:val="4"/>
        </w:numPr>
        <w:pBdr/>
        <w:tabs>
          <w:tab w:val="left" w:leader="none" w:pos="993"/>
        </w:tabs>
        <w:spacing w:after="120" w:before="120" w:line="288" w:lineRule="auto"/>
        <w:ind/>
        <w:jc w:val="both"/>
        <w:rPr>
          <w:b/>
          <w:color w:val="000000" w:themeColor="text1"/>
        </w:rPr>
      </w:pPr>
      <w:r>
        <w:rPr>
          <w:color w:val="000000" w:themeColor="text1"/>
          <w:lang w:val="pt-BR"/>
        </w:rPr>
        <w:t xml:space="preserve">Tối đa 06 (sáu) tháng tính từ ngày ký đối với tài sản là Bất động sản.</w:t>
      </w:r>
      <w:r>
        <w:rPr>
          <w:b/>
          <w:color w:val="000000" w:themeColor="text1"/>
        </w:rPr>
      </w:r>
      <w:r>
        <w:rPr>
          <w:b/>
          <w:color w:val="000000" w:themeColor="text1"/>
        </w:rPr>
      </w:r>
    </w:p>
    <w:p>
      <w:pPr>
        <w:pStyle w:val="1132"/>
        <w:pBdr/>
        <w:tabs>
          <w:tab w:val="left" w:leader="none" w:pos="993"/>
        </w:tabs>
        <w:spacing w:after="120" w:before="120" w:line="288" w:lineRule="auto"/>
        <w:ind w:left="0"/>
        <w:jc w:val="both"/>
        <w:rPr>
          <w:rFonts w:ascii="Times New Roman Bold" w:hAnsi="Times New Roman Bold"/>
          <w:b/>
          <w:bCs/>
          <w:color w:val="000000" w:themeColor="text1"/>
          <w:spacing w:val="-4"/>
        </w:rPr>
      </w:pPr>
      <w:r>
        <w:rPr>
          <w:rFonts w:ascii="Times New Roman Bold" w:hAnsi="Times New Roman Bold"/>
          <w:b/>
          <w:bCs/>
          <w:color w:val="000000" w:themeColor="text1"/>
          <w:spacing w:val="-4"/>
          <w:lang w:val="pt-BR"/>
        </w:rPr>
        <w:t xml:space="preserve">X. TUYÊN BỐ CHUNG VÀ MIỄN TRỪ TRÁCH NHIỆM</w:t>
      </w:r>
      <w:r>
        <w:rPr>
          <w:rFonts w:ascii="Times New Roman Bold" w:hAnsi="Times New Roman Bold"/>
          <w:b/>
          <w:bCs/>
          <w:color w:val="000000" w:themeColor="text1"/>
          <w:spacing w:val="-4"/>
        </w:rPr>
      </w:r>
      <w:r>
        <w:rPr>
          <w:rFonts w:ascii="Times New Roman Bold" w:hAnsi="Times New Roman Bold"/>
          <w:b/>
          <w:bCs/>
          <w:color w:val="000000" w:themeColor="text1"/>
          <w:spacing w:val="-4"/>
        </w:rPr>
      </w:r>
    </w:p>
    <w:p>
      <w:pPr>
        <w:pStyle w:val="1132"/>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Công ty Cổ phần Thẩm định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color w:val="000000" w:themeColor="text1"/>
        </w:rPr>
      </w:r>
      <w:r>
        <w:rPr>
          <w:color w:val="000000" w:themeColor="text1"/>
        </w:rPr>
      </w:r>
    </w:p>
    <w:p>
      <w:pPr>
        <w:pStyle w:val="1132"/>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color w:val="000000" w:themeColor="text1"/>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color w:val="000000" w:themeColor="text1"/>
        </w:rPr>
      </w:r>
      <w:r>
        <w:rPr>
          <w:color w:val="000000" w:themeColor="text1"/>
        </w:rPr>
      </w:r>
    </w:p>
    <w:p>
      <w:pPr>
        <w:pStyle w:val="1132"/>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Chứng thư, Báo cáo này được soạn thảo theo Hợp đồng được ký kết và tuâ</w:t>
      </w:r>
      <w:r>
        <w:rPr>
          <w:color w:val="000000" w:themeColor="text1"/>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color w:val="000000" w:themeColor="text1"/>
        </w:rPr>
      </w:r>
      <w:r>
        <w:rPr>
          <w:color w:val="000000" w:themeColor="text1"/>
        </w:rPr>
      </w:r>
    </w:p>
    <w:p>
      <w:pPr>
        <w:pStyle w:val="1132"/>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Các bên liên quan khi đọc và thực hiện sử dụng sản phẩm tư vấn này, tức là đã chấp nhận và đồng ý với những điều khoản sau:</w:t>
      </w:r>
      <w:r>
        <w:rPr>
          <w:color w:val="000000" w:themeColor="text1"/>
        </w:rPr>
      </w:r>
      <w:r>
        <w:rPr>
          <w:color w:val="000000" w:themeColor="text1"/>
        </w:rPr>
      </w:r>
    </w:p>
    <w:p>
      <w:pPr>
        <w:pStyle w:val="1132"/>
        <w:numPr>
          <w:ilvl w:val="0"/>
          <w:numId w:val="10"/>
        </w:numPr>
        <w:pBdr/>
        <w:spacing w:after="120" w:before="120" w:line="288" w:lineRule="auto"/>
        <w:ind w:hanging="284" w:left="426"/>
        <w:jc w:val="both"/>
        <w:rPr>
          <w:color w:val="000000" w:themeColor="text1"/>
        </w:rPr>
      </w:pPr>
      <w:r>
        <w:rPr>
          <w:color w:val="000000" w:themeColor="text1"/>
          <w:lang w:val="pt-BR"/>
        </w:rPr>
        <w:t xml:space="preserve">Sản phẩm tư vấn của Chúng tôi chỉ nhằm mục đích duy nhất đã ghi tại Mục 4 của Chứng thư mà không nhằm bất kỳ mục đích nào khác và mọi hành</w:t>
      </w:r>
      <w:r>
        <w:rPr>
          <w:color w:val="000000" w:themeColor="text1"/>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color w:val="000000" w:themeColor="text1"/>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color w:val="000000" w:themeColor="text1"/>
        </w:rPr>
      </w:r>
      <w:r>
        <w:rPr>
          <w:color w:val="000000" w:themeColor="text1"/>
        </w:rPr>
      </w:r>
    </w:p>
    <w:p>
      <w:pPr>
        <w:pStyle w:val="1132"/>
        <w:numPr>
          <w:ilvl w:val="0"/>
          <w:numId w:val="10"/>
        </w:numPr>
        <w:pBdr/>
        <w:spacing w:after="120" w:before="120" w:line="288" w:lineRule="auto"/>
        <w:ind w:hanging="284" w:left="426"/>
        <w:jc w:val="both"/>
        <w:rPr>
          <w:color w:val="000000" w:themeColor="text1"/>
        </w:rPr>
      </w:pPr>
      <w:r>
        <w:rPr>
          <w:color w:val="000000" w:themeColor="text1"/>
          <w:lang w:val="pt-BR"/>
        </w:rPr>
        <w:t xml:space="preserve">Lotus VFI, Ban Lãnh đạo, toàn thể nhân viên, Thẩm định viên và đại diện pháp luật của Lotus VFI khôn</w:t>
      </w:r>
      <w:r>
        <w:rPr>
          <w:color w:val="000000" w:themeColor="text1"/>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color w:val="000000" w:themeColor="text1"/>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color w:val="000000" w:themeColor="text1"/>
        </w:rPr>
      </w:r>
      <w:r>
        <w:rPr>
          <w:color w:val="000000" w:themeColor="text1"/>
        </w:rPr>
      </w:r>
    </w:p>
    <w:p>
      <w:pPr>
        <w:pStyle w:val="1132"/>
        <w:numPr>
          <w:ilvl w:val="0"/>
          <w:numId w:val="10"/>
        </w:numPr>
        <w:pBdr/>
        <w:spacing w:after="120" w:before="120" w:line="288" w:lineRule="auto"/>
        <w:ind w:hanging="284" w:left="426"/>
        <w:jc w:val="both"/>
        <w:rPr>
          <w:color w:val="000000" w:themeColor="text1"/>
        </w:rPr>
      </w:pPr>
      <w:r>
        <w:rPr>
          <w:color w:val="000000" w:themeColor="text1"/>
          <w:lang w:val="pt-BR"/>
        </w:rPr>
        <w:t xml:space="preserve">Khách hàng hoặc bất kỳ bên nào khác sử dụng báo cáo này và bất kỳ hoạt động nào của bất kỳ bên liên q</w:t>
      </w:r>
      <w:r>
        <w:rPr>
          <w:color w:val="000000" w:themeColor="text1"/>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color w:val="000000" w:themeColor="text1"/>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color w:val="000000" w:themeColor="text1"/>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color w:val="000000" w:themeColor="text1"/>
        </w:rPr>
      </w:r>
      <w:r>
        <w:rPr>
          <w:color w:val="000000" w:themeColor="text1"/>
        </w:rPr>
      </w:r>
    </w:p>
    <w:p>
      <w:pPr>
        <w:pStyle w:val="1132"/>
        <w:pBdr/>
        <w:tabs>
          <w:tab w:val="left" w:leader="none" w:pos="993"/>
        </w:tabs>
        <w:spacing w:after="120" w:before="120" w:line="288" w:lineRule="auto"/>
        <w:ind w:left="0"/>
        <w:jc w:val="both"/>
        <w:rPr>
          <w:rFonts w:ascii="Times New Roman Bold" w:hAnsi="Times New Roman Bold"/>
          <w:b/>
          <w:color w:val="000000" w:themeColor="text1"/>
          <w:spacing w:val="-4"/>
        </w:rPr>
      </w:pPr>
      <w:r>
        <w:rPr>
          <w:rFonts w:ascii="Times New Roman Bold" w:hAnsi="Times New Roman Bold"/>
          <w:b/>
          <w:bCs/>
          <w:color w:val="000000" w:themeColor="text1"/>
          <w:spacing w:val="-4"/>
          <w:lang w:val="pt-BR"/>
        </w:rPr>
        <w:t xml:space="preserve">XI. NHỮNG ĐIỀU KHOẢN LOẠI TRỪ VÀ HẠN CHẾ CỦA KẾT QUẢ THẨM ĐỊNH GIÁ</w:t>
      </w:r>
      <w:r>
        <w:rPr>
          <w:rFonts w:ascii="Times New Roman Bold" w:hAnsi="Times New Roman Bold"/>
          <w:b/>
          <w:color w:val="000000" w:themeColor="text1"/>
          <w:spacing w:val="-4"/>
        </w:rPr>
      </w:r>
      <w:r>
        <w:rPr>
          <w:rFonts w:ascii="Times New Roman Bold" w:hAnsi="Times New Roman Bold"/>
          <w:b/>
          <w:color w:val="000000" w:themeColor="text1"/>
          <w:spacing w:val="-4"/>
        </w:rPr>
      </w:r>
    </w:p>
    <w:p>
      <w:pPr>
        <w:pStyle w:val="1132"/>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Chứng thư này chỉ được cung cấp theo yêu cầu của khách hàng. Chỉ bản chính và bản sao Chứng thư thẩm định giá do Công ty</w:t>
      </w:r>
      <w:r>
        <w:rPr>
          <w:color w:val="000000" w:themeColor="text1"/>
          <w:lang w:val="pt-BR"/>
        </w:rPr>
        <w:t xml:space="preserve"> Cổ phần Thẩm định và Đầu tư Tài chính Hoa Sen cấp mới có giá trị. Mọi hành vi sử dụng bản sao Chứng thư/Báo cáo kết quả thẩm định giá mà không có xác nhận của Công ty Cổ phần Thẩm định và Đầu tư Tài chính Hoa Sen đều vi phạm pháp luật và không có giá trị.</w:t>
      </w:r>
      <w:r>
        <w:rPr>
          <w:color w:val="000000" w:themeColor="text1"/>
        </w:rPr>
      </w:r>
      <w:r>
        <w:rPr>
          <w:color w:val="000000" w:themeColor="text1"/>
        </w:rPr>
      </w:r>
    </w:p>
    <w:p>
      <w:pPr>
        <w:pStyle w:val="1132"/>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color w:val="000000" w:themeColor="text1"/>
        </w:rPr>
      </w:r>
      <w:r>
        <w:rPr>
          <w:color w:val="000000" w:themeColor="text1"/>
        </w:rPr>
      </w:r>
    </w:p>
    <w:p>
      <w:pPr>
        <w:pStyle w:val="1132"/>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color w:val="000000" w:themeColor="text1"/>
        </w:rPr>
      </w:r>
      <w:r>
        <w:rPr>
          <w:color w:val="000000" w:themeColor="text1"/>
        </w:rPr>
      </w:r>
    </w:p>
    <w:p>
      <w:pPr>
        <w:pStyle w:val="1132"/>
        <w:numPr>
          <w:ilvl w:val="0"/>
          <w:numId w:val="5"/>
        </w:numPr>
        <w:pBdr/>
        <w:tabs>
          <w:tab w:val="left" w:leader="none" w:pos="993"/>
        </w:tabs>
        <w:spacing w:after="120" w:before="120" w:line="288" w:lineRule="auto"/>
        <w:ind/>
        <w:jc w:val="both"/>
        <w:rPr>
          <w:b/>
          <w:color w:val="000000" w:themeColor="text1"/>
        </w:rPr>
      </w:pPr>
      <w:r>
        <w:rPr>
          <w:color w:val="000000" w:themeColor="text1"/>
          <w:lang w:val="pt-BR"/>
        </w:rPr>
        <w:t xml:space="preserve">Các phương pháp tính toán trên cơ sở tài liệu được cung cấp bởi khách hàng và dựa trên các tài liệu khác có liên quan do tổ</w:t>
      </w:r>
      <w:r>
        <w:rPr>
          <w:color w:val="000000" w:themeColor="text1"/>
          <w:lang w:val="vi-VN"/>
        </w:rPr>
        <w:t xml:space="preserve"> </w:t>
      </w:r>
      <w:r>
        <w:rPr>
          <w:color w:val="000000" w:themeColor="text1"/>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color w:val="000000" w:themeColor="text1"/>
          <w:lang w:val="vi-VN"/>
        </w:rPr>
        <w:t xml:space="preserve"> </w:t>
      </w:r>
      <w:r>
        <w:rPr>
          <w:color w:val="000000" w:themeColor="text1"/>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color w:val="000000" w:themeColor="text1"/>
          <w:lang w:val="vi-VN"/>
        </w:rPr>
        <w:t xml:space="preserve">tổ </w:t>
      </w:r>
      <w:r>
        <w:rPr>
          <w:color w:val="000000" w:themeColor="text1"/>
          <w:lang w:val="pt-BR"/>
        </w:rPr>
        <w:t xml:space="preserve">thẩm định không đảm bảo là các giả định làm cơ sở thẩm định giá là chính xác hoàn toàn.</w:t>
      </w:r>
      <w:r>
        <w:rPr>
          <w:b/>
          <w:color w:val="000000" w:themeColor="text1"/>
        </w:rPr>
      </w:r>
      <w:r>
        <w:rPr>
          <w:b/>
          <w:color w:val="000000" w:themeColor="text1"/>
        </w:rPr>
      </w:r>
    </w:p>
    <w:p>
      <w:pPr>
        <w:pStyle w:val="1132"/>
        <w:numPr>
          <w:ilvl w:val="0"/>
          <w:numId w:val="5"/>
        </w:numPr>
        <w:pBdr/>
        <w:tabs>
          <w:tab w:val="left" w:leader="none" w:pos="993"/>
        </w:tabs>
        <w:spacing w:after="120" w:before="120" w:line="288" w:lineRule="auto"/>
        <w:ind/>
        <w:jc w:val="both"/>
        <w:rPr>
          <w:b/>
          <w:color w:val="000000" w:themeColor="text1"/>
          <w:spacing w:val="2"/>
        </w:rPr>
      </w:pPr>
      <w:r>
        <w:rPr>
          <w:color w:val="000000" w:themeColor="text1"/>
          <w:spacing w:val="2"/>
          <w:lang w:val="pt-BR"/>
        </w:rPr>
        <w:t xml:space="preserve">Công ty Cổ phần Thẩm định và</w:t>
      </w:r>
      <w:r>
        <w:rPr>
          <w:color w:val="000000" w:themeColor="text1"/>
          <w:spacing w:val="2"/>
          <w:lang w:val="pt-BR"/>
        </w:rPr>
        <w:t xml:space="preserve">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w:t>
      </w:r>
      <w:r>
        <w:rPr>
          <w:color w:val="000000" w:themeColor="text1"/>
          <w:spacing w:val="2"/>
          <w:lang w:val="pt-BR"/>
        </w:rPr>
        <w:t xml:space="preserve">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w:t>
      </w:r>
      <w:r>
        <w:rPr>
          <w:color w:val="000000" w:themeColor="text1"/>
          <w:spacing w:val="2"/>
          <w:lang w:val="pt-BR"/>
        </w:rPr>
        <w:t xml:space="preserve">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color w:val="000000" w:themeColor="text1"/>
          <w:spacing w:val="2"/>
        </w:rPr>
      </w:r>
      <w:r>
        <w:rPr>
          <w:b/>
          <w:color w:val="000000" w:themeColor="text1"/>
          <w:spacing w:val="2"/>
        </w:rPr>
      </w:r>
    </w:p>
    <w:p>
      <w:pPr>
        <w:pStyle w:val="1132"/>
        <w:numPr>
          <w:ilvl w:val="0"/>
          <w:numId w:val="5"/>
        </w:numPr>
        <w:pBdr/>
        <w:tabs>
          <w:tab w:val="left" w:leader="none" w:pos="993"/>
        </w:tabs>
        <w:spacing w:after="120" w:before="120" w:line="288" w:lineRule="auto"/>
        <w:ind w:hanging="357" w:left="357"/>
        <w:jc w:val="both"/>
        <w:rPr>
          <w:b/>
          <w:color w:val="000000" w:themeColor="text1"/>
        </w:rPr>
      </w:pPr>
      <w:r>
        <w:rPr>
          <w:color w:val="000000" w:themeColor="text1"/>
          <w:lang w:val="pt-BR"/>
        </w:rPr>
        <w:t xml:space="preserve">Khách hàng yêu cầu thẩm định giá và người hướng dẫn tổ</w:t>
      </w:r>
      <w:r>
        <w:rPr>
          <w:color w:val="000000" w:themeColor="text1"/>
          <w:lang w:val="vi-VN"/>
        </w:rPr>
        <w:t xml:space="preserve"> </w:t>
      </w:r>
      <w:r>
        <w:rPr>
          <w:color w:val="000000" w:themeColor="text1"/>
          <w:lang w:val="pt-BR"/>
        </w:rPr>
        <w:t xml:space="preserve">thẩm định thực hiện thẩm định hiện trạng tà</w:t>
      </w:r>
      <w:r>
        <w:rPr>
          <w:color w:val="000000" w:themeColor="text1"/>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color w:val="000000" w:themeColor="text1"/>
        </w:rPr>
      </w:r>
      <w:r>
        <w:rPr>
          <w:b/>
          <w:color w:val="000000" w:themeColor="text1"/>
        </w:rPr>
      </w:r>
    </w:p>
    <w:p>
      <w:pPr>
        <w:pStyle w:val="1132"/>
        <w:numPr>
          <w:ilvl w:val="0"/>
          <w:numId w:val="5"/>
        </w:numPr>
        <w:pBdr/>
        <w:spacing w:after="120" w:before="120" w:line="288" w:lineRule="auto"/>
        <w:ind w:hanging="357" w:left="357"/>
        <w:jc w:val="both"/>
        <w:rPr>
          <w:color w:val="000000" w:themeColor="text1"/>
        </w:rPr>
      </w:pPr>
      <w:r>
        <w:rPr>
          <w:color w:val="000000" w:themeColor="text1"/>
          <w:shd w:val="clear" w:color="auto" w:fill="ffffff"/>
          <w:lang w:val="pt-BR"/>
        </w:rPr>
        <w:t xml:space="preserve">Chúng tôi nhấn mạnh rằng việc thẩm định giá không phải là môn khoa học chính xác, m</w:t>
      </w:r>
      <w:r>
        <w:rPr>
          <w:color w:val="000000" w:themeColor="text1"/>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color w:val="000000" w:themeColor="text1"/>
          <w:shd w:val="clear" w:color="auto" w:fill="ffffff"/>
          <w:lang w:val="vi-VN"/>
        </w:rPr>
        <w:t xml:space="preserve">.</w:t>
      </w:r>
      <w:r>
        <w:rPr>
          <w:color w:val="000000" w:themeColor="text1"/>
        </w:rPr>
      </w:r>
      <w:r>
        <w:rPr>
          <w:color w:val="000000" w:themeColor="text1"/>
        </w:rPr>
      </w:r>
    </w:p>
    <w:p>
      <w:pPr>
        <w:pStyle w:val="1132"/>
        <w:numPr>
          <w:ilvl w:val="0"/>
          <w:numId w:val="5"/>
        </w:numPr>
        <w:pBdr/>
        <w:tabs>
          <w:tab w:val="left" w:leader="none" w:pos="993"/>
        </w:tabs>
        <w:spacing w:after="120" w:before="120" w:line="288" w:lineRule="auto"/>
        <w:ind/>
        <w:jc w:val="both"/>
        <w:rPr>
          <w:color w:val="000000" w:themeColor="text1"/>
          <w:shd w:val="clear" w:color="auto" w:fill="ffffff"/>
        </w:rPr>
      </w:pPr>
      <w:r>
        <w:rPr>
          <w:color w:val="000000" w:themeColor="text1"/>
          <w:shd w:val="clear" w:color="auto" w:fill="ffffff"/>
          <w:lang w:val="pt-BR"/>
        </w:rPr>
        <w:t xml:space="preserve">Chúng tôi chỉ hoạt động trong lĩnh</w:t>
      </w:r>
      <w:r>
        <w:rPr>
          <w:color w:val="000000" w:themeColor="text1"/>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color w:val="000000" w:themeColor="text1"/>
          <w:lang w:val="pt-BR"/>
        </w:rPr>
        <w:t xml:space="preserve">Giấy chứng nhận quyền sử dụng đất  đã cung cấp cho chúng tôi.</w:t>
      </w:r>
      <w:r>
        <w:rPr>
          <w:color w:val="000000" w:themeColor="text1"/>
          <w:shd w:val="clear" w:color="auto" w:fill="ffffff"/>
        </w:rPr>
      </w:r>
      <w:r>
        <w:rPr>
          <w:color w:val="000000" w:themeColor="text1"/>
          <w:shd w:val="clear" w:color="auto" w:fill="ffffff"/>
        </w:rPr>
      </w:r>
    </w:p>
    <w:p>
      <w:pPr>
        <w:pStyle w:val="1132"/>
        <w:numPr>
          <w:ilvl w:val="0"/>
          <w:numId w:val="5"/>
        </w:numPr>
        <w:pBdr/>
        <w:spacing w:after="120" w:before="120" w:line="288" w:lineRule="auto"/>
        <w:ind/>
        <w:jc w:val="both"/>
        <w:rPr>
          <w:color w:val="000000" w:themeColor="text1"/>
        </w:rPr>
      </w:pPr>
      <w:r>
        <w:rPr>
          <w:color w:val="000000" w:themeColor="text1"/>
          <w:lang w:val="vi-VN"/>
        </w:rPr>
        <w:t xml:space="preserve">Chúng tôi giả định rằng tài sản thẩm định giá không xảy ra tranh chấp, </w:t>
      </w:r>
      <w:r>
        <w:rPr>
          <w:color w:val="000000" w:themeColor="text1"/>
          <w:lang w:val="vi-VN"/>
        </w:rPr>
        <w:t xml:space="preserve">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
      </w:r>
      <w:r>
        <w:rPr>
          <w:color w:val="000000" w:themeColor="text1"/>
        </w:rPr>
      </w:r>
      <w:r>
        <w:rPr>
          <w:color w:val="000000" w:themeColor="text1"/>
        </w:rPr>
      </w:r>
    </w:p>
    <w:p>
      <w:pPr>
        <w:pStyle w:val="1132"/>
        <w:numPr>
          <w:ilvl w:val="0"/>
          <w:numId w:val="3"/>
        </w:numPr>
        <w:pBdr/>
        <w:tabs>
          <w:tab w:val="left" w:leader="none" w:pos="993"/>
        </w:tabs>
        <w:spacing w:after="120" w:before="120" w:line="288" w:lineRule="auto"/>
        <w:ind/>
        <w:jc w:val="both"/>
        <w:rPr>
          <w:color w:val="000000" w:themeColor="text1"/>
        </w:rPr>
      </w:pPr>
      <w:r>
        <w:rPr>
          <w:color w:val="000000" w:themeColor="text1"/>
          <w:lang w:val="vi-VN"/>
        </w:rPr>
        <w:t xml:space="preserve">Tổ thẩm định giá sử dụng Phương pháp so sánh để xác định giá trị tài sản thẩm định giá trong đó  việc thu thập thông tin </w:t>
      </w:r>
      <w:r>
        <w:rPr>
          <w:color w:val="000000" w:themeColor="text1"/>
        </w:rPr>
        <w:t xml:space="preserve">TSSS</w:t>
      </w:r>
      <w:r>
        <w:rPr>
          <w:color w:val="000000" w:themeColor="text1"/>
          <w:lang w:val="vi-VN"/>
        </w:rPr>
        <w:t xml:space="preserve"> đã giao dịch thành công còn gặp nhiều hạn chế, vì vậy</w:t>
      </w:r>
      <w:r>
        <w:rPr>
          <w:color w:val="000000" w:themeColor="text1"/>
        </w:rPr>
        <w:t xml:space="preserve">,</w:t>
      </w:r>
      <w:r>
        <w:rPr>
          <w:color w:val="000000" w:themeColor="text1"/>
          <w:lang w:val="vi-VN"/>
        </w:rPr>
        <w:t xml:space="preserve"> </w:t>
      </w:r>
      <w:r>
        <w:rPr>
          <w:color w:val="000000" w:themeColor="text1"/>
        </w:rPr>
        <w:t xml:space="preserve">T</w:t>
      </w:r>
      <w:r>
        <w:rPr>
          <w:color w:val="000000" w:themeColor="text1"/>
          <w:lang w:val="vi-VN"/>
        </w:rPr>
        <w:t xml:space="preserve">ổ thẩm định giá sử dụng các </w:t>
      </w:r>
      <w:r>
        <w:rPr>
          <w:color w:val="000000" w:themeColor="text1"/>
        </w:rPr>
        <w:t xml:space="preserve">TSSS</w:t>
      </w:r>
      <w:r>
        <w:rPr>
          <w:color w:val="000000" w:themeColor="text1"/>
          <w:lang w:val="vi-VN"/>
        </w:rPr>
        <w:t xml:space="preserve"> là các tài sản đang được </w:t>
      </w:r>
      <w:r>
        <w:rPr>
          <w:color w:val="000000" w:themeColor="text1"/>
        </w:rPr>
        <w:t xml:space="preserve">r</w:t>
      </w:r>
      <w:r>
        <w:rPr>
          <w:color w:val="000000" w:themeColor="text1"/>
          <w:lang w:val="vi-VN"/>
        </w:rPr>
        <w:t xml:space="preserve">ao bán trên thị trường. Kết quả thẩm định giá có thể thay đổi khi các </w:t>
      </w:r>
      <w:r>
        <w:rPr>
          <w:color w:val="000000" w:themeColor="text1"/>
        </w:rPr>
        <w:t xml:space="preserve">TSSS</w:t>
      </w:r>
      <w:r>
        <w:rPr>
          <w:color w:val="000000" w:themeColor="text1"/>
          <w:lang w:val="vi-VN"/>
        </w:rPr>
        <w:t xml:space="preserve"> được giao dịch thành công. Khách hàng và các bên thứ ba khi sử dụng kết quả thẩm định giá cần lưu ý khi sử dụng Chứng thư thẩm định giá.</w:t>
      </w:r>
      <w:r>
        <w:rPr>
          <w:color w:val="000000" w:themeColor="text1"/>
        </w:rPr>
      </w:r>
      <w:r>
        <w:rPr>
          <w:color w:val="000000" w:themeColor="text1"/>
        </w:rPr>
      </w:r>
    </w:p>
    <w:p>
      <w:pPr>
        <w:pStyle w:val="1132"/>
        <w:numPr>
          <w:ilvl w:val="0"/>
          <w:numId w:val="5"/>
        </w:numPr>
        <w:pBdr/>
        <w:tabs>
          <w:tab w:val="left" w:leader="none" w:pos="993"/>
        </w:tabs>
        <w:spacing w:after="120" w:before="120" w:line="288" w:lineRule="auto"/>
        <w:ind w:hanging="357" w:left="357"/>
        <w:jc w:val="both"/>
        <w:rPr>
          <w:bCs/>
          <w:color w:val="000000" w:themeColor="text1"/>
        </w:rPr>
      </w:pPr>
      <w:r>
        <w:rPr>
          <w:bCs/>
          <w:color w:val="000000" w:themeColor="text1"/>
          <w:lang w:val="pt-BR"/>
        </w:rPr>
        <w:t xml:space="preserve">Kết quả t</w:t>
      </w:r>
      <w:r>
        <w:rPr>
          <w:bCs/>
          <w:color w:val="000000" w:themeColor="text1"/>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color w:val="000000" w:themeColor="text1"/>
        </w:rPr>
      </w:r>
      <w:r>
        <w:rPr>
          <w:bCs/>
          <w:color w:val="000000" w:themeColor="text1"/>
        </w:rPr>
      </w:r>
    </w:p>
    <w:p>
      <w:pPr>
        <w:pStyle w:val="1132"/>
        <w:numPr>
          <w:ilvl w:val="0"/>
          <w:numId w:val="5"/>
        </w:numPr>
        <w:pBdr/>
        <w:tabs>
          <w:tab w:val="left" w:leader="none" w:pos="993"/>
        </w:tabs>
        <w:spacing w:after="120" w:before="120" w:line="288" w:lineRule="auto"/>
        <w:ind w:hanging="357" w:left="357"/>
        <w:jc w:val="both"/>
        <w:rPr>
          <w:color w:val="000000" w:themeColor="text1"/>
        </w:rPr>
      </w:pPr>
      <w:r/>
      <w:bookmarkStart w:id="3" w:name="_Hlk151374072"/>
      <w:r>
        <w:rPr>
          <w:color w:val="000000" w:themeColor="text1"/>
          <w:lang w:val="pt-BR"/>
        </w:rPr>
        <w:t xml:space="preserve">Tổ thẩm định đã gửi các bản dự thảo chứng thư cho các đơn vị sử dụng chứng thư đọc</w:t>
      </w:r>
      <w:r>
        <w:rPr>
          <w:color w:val="000000" w:themeColor="text1"/>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Pr>
          <w:color w:val="000000" w:themeColor="text1"/>
        </w:rPr>
      </w:r>
      <w:r>
        <w:rPr>
          <w:color w:val="000000" w:themeColor="text1"/>
        </w:rPr>
      </w:r>
    </w:p>
    <w:p>
      <w:pPr>
        <w:pBdr/>
        <w:spacing w:after="120" w:before="120" w:line="288" w:lineRule="auto"/>
        <w:ind/>
        <w:rPr>
          <w:b/>
          <w:bCs/>
          <w:color w:val="000000" w:themeColor="text1"/>
        </w:rPr>
      </w:pPr>
      <w:r>
        <w:rPr>
          <w:b/>
          <w:bCs/>
          <w:color w:val="000000" w:themeColor="text1"/>
          <w:lang w:val="pt-BR"/>
        </w:rPr>
        <w:t xml:space="preserve">XII. CÁC PHỤ LỤC KÈM THEO </w:t>
      </w:r>
      <w:r>
        <w:rPr>
          <w:b/>
          <w:bCs/>
          <w:color w:val="000000" w:themeColor="text1"/>
        </w:rPr>
      </w:r>
      <w:r>
        <w:rPr>
          <w:b/>
          <w:bCs/>
          <w:color w:val="000000" w:themeColor="text1"/>
        </w:rPr>
      </w:r>
    </w:p>
    <w:p>
      <w:pPr>
        <w:pStyle w:val="1132"/>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1: Hình ảnh hiện trạng của tài sản.</w:t>
      </w:r>
      <w:r>
        <w:rPr>
          <w:bCs/>
          <w:color w:val="000000" w:themeColor="text1"/>
        </w:rPr>
      </w:r>
      <w:r>
        <w:rPr>
          <w:bCs/>
          <w:color w:val="000000" w:themeColor="text1"/>
        </w:rPr>
      </w:r>
    </w:p>
    <w:p>
      <w:pPr>
        <w:pStyle w:val="1132"/>
        <w:pBdr/>
        <w:tabs>
          <w:tab w:val="left" w:leader="none" w:pos="993"/>
        </w:tabs>
        <w:spacing w:after="120" w:before="120" w:line="288" w:lineRule="auto"/>
        <w:ind w:left="0"/>
        <w:jc w:val="both"/>
        <w:rPr>
          <w:color w:val="000000" w:themeColor="text1"/>
        </w:rPr>
      </w:pPr>
      <w:r>
        <w:rPr>
          <w:color w:val="000000" w:themeColor="text1"/>
          <w:lang w:val="pt-BR"/>
        </w:rPr>
        <w:t xml:space="preserve">Phụ lục 2: Thông tin thu thập thị trường.</w:t>
      </w:r>
      <w:r>
        <w:rPr>
          <w:color w:val="000000" w:themeColor="text1"/>
        </w:rPr>
      </w:r>
      <w:r>
        <w:rPr>
          <w:color w:val="000000" w:themeColor="text1"/>
        </w:rPr>
      </w:r>
    </w:p>
    <w:p>
      <w:pPr>
        <w:pStyle w:val="1132"/>
        <w:pBdr/>
        <w:tabs>
          <w:tab w:val="left" w:leader="none" w:pos="993"/>
        </w:tabs>
        <w:spacing w:after="120" w:before="120" w:line="288" w:lineRule="auto"/>
        <w:ind w:left="0"/>
        <w:jc w:val="both"/>
        <w:rPr>
          <w:color w:val="000000" w:themeColor="text1"/>
          <w:lang w:val="vi-VN"/>
        </w:rPr>
      </w:pPr>
      <w:r>
        <w:rPr>
          <w:color w:val="000000" w:themeColor="text1"/>
          <w:lang w:val="vi-VN"/>
        </w:rPr>
        <w:t xml:space="preserve">Báo cáo kết quả thẩm định giá được phát hành 03 (ba) bản chính bằng tiếng Việt kèm theo Chứng thư thẩm định giá số </w:t>
      </w:r>
      <w:r>
        <w:rPr>
          <w:rFonts w:ascii="Times New Roman" w:hAnsi="Times New Roman" w:eastAsia="Times New Roman" w:cs="Times New Roman"/>
          <w:color w:val="081b3a"/>
          <w:spacing w:val="3"/>
          <w:sz w:val="24"/>
          <w:szCs w:val="24"/>
          <w:highlight w:val="white"/>
        </w:rPr>
        <w:t xml:space="preserve">275/2026/1313/VFI-CT.T04.A</w:t>
      </w:r>
      <w:r>
        <w:rPr>
          <w:rFonts w:ascii="Times New Roman" w:hAnsi="Times New Roman" w:eastAsia="Times New Roman" w:cs="Times New Roman"/>
          <w:color w:val="000000" w:themeColor="text1"/>
          <w:sz w:val="24"/>
          <w:szCs w:val="24"/>
          <w:lang w:val="vi-VN"/>
        </w:rPr>
        <w:t xml:space="preserve"> </w:t>
      </w:r>
      <w:r>
        <w:rPr>
          <w:color w:val="000000" w:themeColor="text1"/>
        </w:rPr>
        <w:t xml:space="preserve">ngày 20 tháng 8 năm 2026</w:t>
      </w:r>
      <w:r>
        <w:rPr>
          <w:color w:val="000000" w:themeColor="text1"/>
        </w:rPr>
        <w:t xml:space="preserve"> </w:t>
      </w:r>
      <w:r>
        <w:rPr>
          <w:color w:val="000000" w:themeColor="text1"/>
          <w:lang w:val="vi-VN"/>
        </w:rPr>
        <w:t xml:space="preserve">tại</w:t>
      </w:r>
      <w:r>
        <w:rPr>
          <w:color w:val="000000" w:themeColor="text1"/>
        </w:rPr>
        <w:t xml:space="preserve"> </w:t>
      </w:r>
      <w:r>
        <w:rPr>
          <w:color w:val="000000" w:themeColor="text1"/>
          <w:lang w:val="vi-VN"/>
        </w:rPr>
        <w:t xml:space="preserve">Công ty Cổ phần Thẩm định và Đầu tư Tài chính Hoa Sen.</w:t>
      </w:r>
      <w:r>
        <w:rPr>
          <w:color w:val="000000" w:themeColor="text1"/>
          <w:lang w:val="vi-VN"/>
        </w:rPr>
      </w:r>
      <w:r>
        <w:rPr>
          <w:color w:val="000000" w:themeColor="text1"/>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p>
      <w:pPr>
        <w:pBdr/>
        <w:spacing w:after="200" w:line="276" w:lineRule="auto"/>
        <w:ind/>
        <w:jc w:val="center"/>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Khánh Hà</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Style w:val="1132"/>
        <w:pBdr/>
        <w:tabs>
          <w:tab w:val="left" w:leader="none" w:pos="993"/>
        </w:tabs>
        <w:spacing w:after="120" w:before="120" w:line="288" w:lineRule="auto"/>
        <w:ind w:left="0"/>
        <w:jc w:val="both"/>
        <w:rPr>
          <w:color w:val="000000" w:themeColor="text1"/>
        </w:rPr>
      </w:pPr>
      <w:r>
        <w:rPr>
          <w:color w:val="000000" w:themeColor="text1"/>
          <w:lang w:val="vi-VN"/>
        </w:rPr>
        <w:br w:type="page" w:clear="all"/>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u w:val="single"/>
        </w:rPr>
        <w:t xml:space="preserve">PHỤ LỤC 01</w:t>
      </w:r>
      <w:r>
        <w:rPr>
          <w:rFonts w:ascii="Times New Roman" w:hAnsi="Times New Roman" w:eastAsia="Times New Roman" w:cs="Times New Roman"/>
          <w:b/>
          <w:color w:val="000000"/>
          <w:sz w:val="24"/>
        </w:rPr>
        <w:t xml:space="preserve">: THÔNG TIN HIỆN TRẠNG VÀ PHÁP LÝ CỦA TÀI SẢN</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rPr>
        <w:t xml:space="preserve">(Kèm theo Báo cáo thẩm định số </w:t>
      </w:r>
      <w:r>
        <w:rPr>
          <w:rFonts w:ascii="Times New Roman" w:hAnsi="Times New Roman" w:eastAsia="Times New Roman" w:cs="Times New Roman"/>
          <w:color w:val="081b3a"/>
          <w:spacing w:val="3"/>
          <w:sz w:val="22"/>
          <w:highlight w:val="white"/>
        </w:rPr>
        <w:t xml:space="preserve">275/2026/1313/VFI-BC.T04.</w:t>
      </w:r>
      <w:r>
        <w:rPr>
          <w:rFonts w:ascii="Times New Roman" w:hAnsi="Times New Roman" w:eastAsia="Times New Roman" w:cs="Times New Roman"/>
          <w:color w:val="081b3a"/>
          <w:spacing w:val="3"/>
          <w:sz w:val="22"/>
        </w:rPr>
        <w:t xml:space="preserve">A ngày </w:t>
      </w:r>
      <w:r>
        <w:rPr>
          <w:rFonts w:ascii="Times New Roman" w:hAnsi="Times New Roman" w:eastAsia="Times New Roman" w:cs="Times New Roman"/>
          <w:i/>
          <w:color w:val="000000"/>
          <w:sz w:val="24"/>
        </w:rPr>
        <w:t xml:space="preserve">20 tháng 8 năm 2026 của </w:t>
      </w:r>
      <w:r/>
    </w:p>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i/>
          <w:color w:val="000000"/>
          <w:sz w:val="24"/>
        </w:rPr>
        <w:t xml:space="preserve">Công ty Cổ phần Thẩm định và Đầu tư Tài chính Hoa Sen)</w:t>
      </w:r>
      <w:r/>
    </w:p>
    <w:tbl>
      <w:tblPr>
        <w:tblStyle w:val="113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134"/>
        <w:gridCol w:w="1134"/>
        <w:gridCol w:w="1134"/>
      </w:tblGrid>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Cửa tài sản </w: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Tổng quan tài sản </w:t>
            </w:r>
            <w:r/>
          </w:p>
        </w:tc>
        <w:tc>
          <w:tcPr>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mc:AlternateContent>
                <mc:Choice Requires="wpg">
                  <w:drawing>
                    <wp:inline xmlns:wp="http://schemas.openxmlformats.org/drawingml/2006/wordprocessingDrawing" distT="0" distB="0" distL="0" distR="0">
                      <wp:extent cx="2905125" cy="3524250"/>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24047" name=""/>
                              <pic:cNvPicPr>
                                <a:picLocks noChangeAspect="1"/>
                              </pic:cNvPicPr>
                              <pic:nvPr/>
                            </pic:nvPicPr>
                            <pic:blipFill rotWithShape="1">
                              <a:blip r:embed="rId19"/>
                              <a:stretch/>
                            </pic:blipFill>
                            <pic:spPr bwMode="auto">
                              <a:xfrm>
                                <a:off x="0" y="0"/>
                                <a:ext cx="2905124" cy="35242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228.75pt;height:277.50pt;mso-wrap-distance-left:0.00pt;mso-wrap-distance-top:0.00pt;mso-wrap-distance-right:0.00pt;mso-wrap-distance-bottom:0.00pt;z-index:1;" stroked="false">
                      <v:imagedata r:id="rId19" o:title=""/>
                      <o:lock v:ext="edit" rotation="t"/>
                    </v:shape>
                  </w:pict>
                </mc:Fallback>
              </mc:AlternateConten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800350" cy="3533775"/>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991139" name=""/>
                              <pic:cNvPicPr>
                                <a:picLocks noChangeAspect="1"/>
                              </pic:cNvPicPr>
                              <pic:nvPr/>
                            </pic:nvPicPr>
                            <pic:blipFill rotWithShape="1">
                              <a:blip r:embed="rId20"/>
                              <a:stretch/>
                            </pic:blipFill>
                            <pic:spPr bwMode="auto">
                              <a:xfrm>
                                <a:off x="0" y="0"/>
                                <a:ext cx="2800349" cy="35337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20.50pt;height:278.25pt;mso-wrap-distance-left:0.00pt;mso-wrap-distance-top:0.00pt;mso-wrap-distance-right:0.00pt;mso-wrap-distance-bottom:0.00pt;z-index:1;" stroked="false">
                      <v:imagedata r:id="rId20" o:title=""/>
                      <o:lock v:ext="edit" rotation="t"/>
                    </v:shape>
                  </w:pict>
                </mc:Fallback>
              </mc:AlternateContent>
            </w:r>
            <w:r/>
          </w:p>
        </w:tc>
        <w:tc>
          <w:tcPr>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w: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w:t>
            </w:r>
            <w:r/>
          </w:p>
        </w:tc>
        <w:tc>
          <w:tcPr>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962275" cy="3943350"/>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786227" name=""/>
                              <pic:cNvPicPr>
                                <a:picLocks noChangeAspect="1"/>
                              </pic:cNvPicPr>
                              <pic:nvPr/>
                            </pic:nvPicPr>
                            <pic:blipFill rotWithShape="1">
                              <a:blip r:embed="rId21"/>
                              <a:stretch/>
                            </pic:blipFill>
                            <pic:spPr bwMode="auto">
                              <a:xfrm>
                                <a:off x="0" y="0"/>
                                <a:ext cx="2962274" cy="39433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33.25pt;height:310.50pt;mso-wrap-distance-left:0.00pt;mso-wrap-distance-top:0.00pt;mso-wrap-distance-right:0.00pt;mso-wrap-distance-bottom:0.00pt;z-index:1;" stroked="false">
                      <v:imagedata r:id="rId21" o:title=""/>
                      <o:lock v:ext="edit" rotation="t"/>
                    </v:shape>
                  </w:pict>
                </mc:Fallback>
              </mc:AlternateConten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867025" cy="392430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876011" name=""/>
                              <pic:cNvPicPr>
                                <a:picLocks noChangeAspect="1"/>
                              </pic:cNvPicPr>
                              <pic:nvPr/>
                            </pic:nvPicPr>
                            <pic:blipFill rotWithShape="1">
                              <a:blip r:embed="rId22"/>
                              <a:stretch/>
                            </pic:blipFill>
                            <pic:spPr bwMode="auto">
                              <a:xfrm>
                                <a:off x="0" y="0"/>
                                <a:ext cx="2867024" cy="39242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5.75pt;height:309.00pt;mso-wrap-distance-left:0.00pt;mso-wrap-distance-top:0.00pt;mso-wrap-distance-right:0.00pt;mso-wrap-distance-bottom:0.00pt;z-index:1;" stroked="false">
                      <v:imagedata r:id="rId22" o:title=""/>
                      <o:lock v:ext="edit" rotation="t"/>
                    </v:shape>
                  </w:pict>
                </mc:Fallback>
              </mc:AlternateContent>
            </w:r>
            <w:r/>
          </w:p>
        </w:tc>
        <w:tc>
          <w:tcPr>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w: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w:t>
            </w:r>
            <w:r/>
          </w:p>
        </w:tc>
        <w:tc>
          <w:tcPr>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914650" cy="392430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619522" name=""/>
                              <pic:cNvPicPr>
                                <a:picLocks noChangeAspect="1"/>
                              </pic:cNvPicPr>
                              <pic:nvPr/>
                            </pic:nvPicPr>
                            <pic:blipFill rotWithShape="1">
                              <a:blip r:embed="rId23"/>
                              <a:stretch/>
                            </pic:blipFill>
                            <pic:spPr bwMode="auto">
                              <a:xfrm>
                                <a:off x="0" y="0"/>
                                <a:ext cx="2914650" cy="39242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9.50pt;height:309.00pt;mso-wrap-distance-left:0.00pt;mso-wrap-distance-top:0.00pt;mso-wrap-distance-right:0.00pt;mso-wrap-distance-bottom:0.00pt;z-index:1;" stroked="false">
                      <v:imagedata r:id="rId23" o:title=""/>
                      <o:lock v:ext="edit" rotation="t"/>
                    </v:shape>
                  </w:pict>
                </mc:Fallback>
              </mc:AlternateConten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819400" cy="386715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31132" name=""/>
                              <pic:cNvPicPr>
                                <a:picLocks noChangeAspect="1"/>
                              </pic:cNvPicPr>
                              <pic:nvPr/>
                            </pic:nvPicPr>
                            <pic:blipFill rotWithShape="1">
                              <a:blip r:embed="rId24"/>
                              <a:stretch/>
                            </pic:blipFill>
                            <pic:spPr bwMode="auto">
                              <a:xfrm>
                                <a:off x="0" y="0"/>
                                <a:ext cx="2819399" cy="38671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2.00pt;height:304.50pt;mso-wrap-distance-left:0.00pt;mso-wrap-distance-top:0.00pt;mso-wrap-distance-right:0.00pt;mso-wrap-distance-bottom:0.00pt;z-index:1;" stroked="false">
                      <v:imagedata r:id="rId24" o:title=""/>
                      <o:lock v:ext="edit" rotation="t"/>
                    </v:shape>
                  </w:pict>
                </mc:Fallback>
              </mc:AlternateContent>
            </w:r>
            <w:r/>
          </w:p>
        </w:tc>
        <w:tc>
          <w:tcPr>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396"/>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w: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396"/>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743200" cy="4086225"/>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393011" name=""/>
                              <pic:cNvPicPr>
                                <a:picLocks noChangeAspect="1"/>
                              </pic:cNvPicPr>
                              <pic:nvPr/>
                            </pic:nvPicPr>
                            <pic:blipFill rotWithShape="1">
                              <a:blip r:embed="rId25"/>
                              <a:stretch/>
                            </pic:blipFill>
                            <pic:spPr bwMode="auto">
                              <a:xfrm>
                                <a:off x="0" y="0"/>
                                <a:ext cx="2743200" cy="40862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16.00pt;height:321.75pt;mso-wrap-distance-left:0.00pt;mso-wrap-distance-top:0.00pt;mso-wrap-distance-right:0.00pt;mso-wrap-distance-bottom:0.00pt;z-index:1;" stroked="false">
                      <v:imagedata r:id="rId25" o:title=""/>
                      <o:lock v:ext="edit" rotation="t"/>
                    </v:shape>
                  </w:pict>
                </mc:Fallback>
              </mc:AlternateConten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838450" cy="3781425"/>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688169" name=""/>
                              <pic:cNvPicPr>
                                <a:picLocks noChangeAspect="1"/>
                              </pic:cNvPicPr>
                              <pic:nvPr/>
                            </pic:nvPicPr>
                            <pic:blipFill rotWithShape="1">
                              <a:blip r:embed="rId26"/>
                              <a:stretch/>
                            </pic:blipFill>
                            <pic:spPr bwMode="auto">
                              <a:xfrm>
                                <a:off x="0" y="0"/>
                                <a:ext cx="2838449" cy="37814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23.50pt;height:297.75pt;mso-wrap-distance-left:0.00pt;mso-wrap-distance-top:0.00pt;mso-wrap-distance-right:0.00pt;mso-wrap-distance-bottom:0.00pt;z-index:1;" stroked="false">
                      <v:imagedata r:id="rId26" o:title=""/>
                      <o:lock v:ext="edit" rotation="t"/>
                    </v:shape>
                  </w:pict>
                </mc:Fallback>
              </mc:AlternateConten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bl>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br w:type="page" w:clear="all"/>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u w:val="single"/>
        </w:rPr>
        <w:t xml:space="preserve">PHỤ LỤC 02</w:t>
      </w:r>
      <w:r>
        <w:rPr>
          <w:rFonts w:ascii="Times New Roman" w:hAnsi="Times New Roman" w:eastAsia="Times New Roman" w:cs="Times New Roman"/>
          <w:b/>
          <w:color w:val="000000"/>
          <w:sz w:val="24"/>
        </w:rPr>
        <w:t xml:space="preserve">: THÔNG TIN THU THẬP THỊ TRƯỜNG</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rPr>
        <w:t xml:space="preserve">(Kèm theo Báo cáo thẩm định số </w:t>
      </w:r>
      <w:r>
        <w:rPr>
          <w:rFonts w:ascii="Times New Roman" w:hAnsi="Times New Roman" w:eastAsia="Times New Roman" w:cs="Times New Roman"/>
          <w:color w:val="081b3a"/>
          <w:spacing w:val="3"/>
          <w:sz w:val="22"/>
          <w:highlight w:val="white"/>
        </w:rPr>
        <w:t xml:space="preserve">275/2026/1313/VFI-BC.T04</w:t>
      </w:r>
      <w:r>
        <w:rPr>
          <w:rFonts w:ascii="Times New Roman" w:hAnsi="Times New Roman" w:eastAsia="Times New Roman" w:cs="Times New Roman"/>
          <w:i/>
          <w:color w:val="000000"/>
          <w:sz w:val="22"/>
        </w:rPr>
        <w:t xml:space="preserve"> ngày </w:t>
      </w:r>
      <w:r>
        <w:rPr>
          <w:rFonts w:ascii="Times New Roman" w:hAnsi="Times New Roman" w:eastAsia="Times New Roman" w:cs="Times New Roman"/>
          <w:i/>
          <w:color w:val="000000"/>
          <w:sz w:val="24"/>
        </w:rPr>
        <w:t xml:space="preserve">20 tháng 8 năm 2026 của </w:t>
      </w:r>
      <w:r/>
    </w:p>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i/>
          <w:color w:val="000000"/>
          <w:sz w:val="24"/>
        </w:rPr>
        <w:t xml:space="preserve">Công ty Cổ phần Thẩm định và Đầu tư Tài chính Hoa Sen)</w:t>
      </w:r>
      <w:r/>
    </w:p>
    <w:tbl>
      <w:tblPr>
        <w:tblStyle w:val="113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134"/>
        <w:gridCol w:w="1134"/>
        <w:gridCol w:w="1134"/>
        <w:gridCol w:w="1134"/>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TSSS1</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https://batdongsan.com.vn/ban-can-ho-chung-cu-duong-bach-dang-phuong-hai-chau_1-m-landmark-residence/chau-my-srt-oc-quyen-tang-39-truc-16-2br-hang-sang-bat-nhat-a-nang-mlandmark-pr45776888</w:t>
              <w:br/>
              <w:t xml:space="preserve"> 0931199800 </w:t>
              <w:br/>
              <w:t xml:space="preserve"> (Mỹ Châu)</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17.190.000.000</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14.611.500.000</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08/2026</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Hợp đồng mua bán công chứng vi bằng</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Loại hình tài sản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Căn hộ chung cư</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Tài sản là căn hộ chung cư tại 1 tháp cao 45 tầng Dự án M LANDMARK RESIDENCES DA NANG chủ đầu tư Công ty Cổ phần Địa ốc Foodinco</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76,4</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tiếp giáp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 mặt thoáng</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Tầng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Tầng 39, Thuộc nhóm tầng: Cao</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Hướng ban công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Bắc</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Cấu trúc</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 phòng ngủ, 2 nhà vệ sinh</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Nội thất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Cao cấp</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Các lợi thế thương mại của thửa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View hồ sông, sông, suối, đầm, ao lớn (S=0.5ha), ruộng lúa, đồi núi xa, ngắm hoàng hôn, bình minh xa soi mặt nước, thơ mộng</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Các bất lợi thương mại của thửa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Không có bất lợi thương mại</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91"/>
        </w:trPr>
        <w:tc>
          <w:tcPr>
            <w:shd w:val="clear" w:color="ffffff" w:fill="ffffff"/>
            <w:tcBorders>
              <w:left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17</w:t>
            </w:r>
            <w:r/>
          </w:p>
        </w:tc>
        <w:tc>
          <w:tcPr>
            <w:shd w:val="clear" w:color="ffffff" w:fill="ffffff"/>
            <w:tcBorders>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Điều kiện cơ sở hạ tầng kỹ thuật</w:t>
            </w:r>
            <w:r/>
          </w:p>
        </w:tc>
        <w:tc>
          <w:tcPr>
            <w:shd w:val="clear" w:color="ffffff" w:fill="ffffff"/>
            <w:tcBorders>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91"/>
        </w:trPr>
        <w:tc>
          <w:tcPr>
            <w:shd w:val="clear" w:color="ffffff" w:fill="ffffff"/>
            <w:tcBorders>
              <w:left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18</w:t>
            </w:r>
            <w:r/>
          </w:p>
        </w:tc>
        <w:tc>
          <w:tcPr>
            <w:shd w:val="clear" w:color="ffffff" w:fill="ffffff"/>
            <w:tcBorders>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Điều kiện môi trường an ninh</w:t>
            </w:r>
            <w:r/>
          </w:p>
        </w:tc>
        <w:tc>
          <w:tcPr>
            <w:shd w:val="clear" w:color="ffffff" w:fill="ffffff"/>
            <w:tcBorders>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Bằng chứng thu thập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898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mc:AlternateContent>
                <mc:Choice Requires="wpg">
                  <w:drawing>
                    <wp:inline xmlns:wp="http://schemas.openxmlformats.org/drawingml/2006/wordprocessingDrawing" distT="0" distB="0" distL="0" distR="0">
                      <wp:extent cx="5495925" cy="3400425"/>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230874" name=""/>
                              <pic:cNvPicPr>
                                <a:picLocks noChangeAspect="1"/>
                              </pic:cNvPicPr>
                              <pic:nvPr/>
                            </pic:nvPicPr>
                            <pic:blipFill rotWithShape="1">
                              <a:blip r:embed="rId27"/>
                              <a:stretch/>
                            </pic:blipFill>
                            <pic:spPr bwMode="auto">
                              <a:xfrm>
                                <a:off x="0" y="0"/>
                                <a:ext cx="5495924" cy="34004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32.75pt;height:267.75pt;mso-wrap-distance-left:0.00pt;mso-wrap-distance-top:0.00pt;mso-wrap-distance-right:0.00pt;mso-wrap-distance-bottom:0.00pt;z-index:1;" stroked="false">
                      <v:imagedata r:id="rId27" o:title=""/>
                      <o:lock v:ext="edit" rotation="t"/>
                    </v:shape>
                  </w:pict>
                </mc:Fallback>
              </mc:AlternateContent>
            </w:r>
            <w:r/>
          </w:p>
          <w:p>
            <w:pPr>
              <w:pBdr>
                <w:top w:val="none" w:color="000000" w:sz="4" w:space="0"/>
                <w:left w:val="none" w:color="000000" w:sz="4" w:space="0"/>
                <w:bottom w:val="none" w:color="000000" w:sz="4" w:space="0"/>
                <w:right w:val="none" w:color="000000" w:sz="4" w:space="0"/>
              </w:pBdr>
              <w:spacing/>
              <w:ind w:right="0" w:firstLine="0" w:left="0"/>
              <w:rPr/>
            </w:pPr>
            <w:r>
              <mc:AlternateContent>
                <mc:Choice Requires="wpg">
                  <w:drawing>
                    <wp:inline xmlns:wp="http://schemas.openxmlformats.org/drawingml/2006/wordprocessingDrawing" distT="0" distB="0" distL="0" distR="0">
                      <wp:extent cx="1666875" cy="283845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525261" name=""/>
                              <pic:cNvPicPr>
                                <a:picLocks noChangeAspect="1"/>
                              </pic:cNvPicPr>
                              <pic:nvPr/>
                            </pic:nvPicPr>
                            <pic:blipFill rotWithShape="1">
                              <a:blip r:embed="rId28"/>
                              <a:stretch/>
                            </pic:blipFill>
                            <pic:spPr bwMode="auto">
                              <a:xfrm>
                                <a:off x="0" y="0"/>
                                <a:ext cx="1666874" cy="28384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31.25pt;height:223.50pt;mso-wrap-distance-left:0.00pt;mso-wrap-distance-top:0.00pt;mso-wrap-distance-right:0.00pt;mso-wrap-distance-bottom:0.00pt;z-index:1;" stroked="false">
                      <v:imagedata r:id="rId28" o:title=""/>
                      <o:lock v:ext="edit" rotation="t"/>
                    </v:shape>
                  </w:pict>
                </mc:Fallback>
              </mc:AlternateContent>
            </w:r>
            <w:r>
              <w:rPr>
                <w:rFonts w:ascii="Times New Roman" w:hAnsi="Times New Roman" w:eastAsia="Times New Roman" w:cs="Times New Roman"/>
                <w:color w:val="000000"/>
                <w:sz w:val="24"/>
              </w:rPr>
              <w:t xml:space="preserve">     </w:t>
              <mc:AlternateContent>
                <mc:Choice Requires="wpg">
                  <w:drawing>
                    <wp:inline xmlns:wp="http://schemas.openxmlformats.org/drawingml/2006/wordprocessingDrawing" distT="0" distB="0" distL="0" distR="0">
                      <wp:extent cx="1819275" cy="2847975"/>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218215" name=""/>
                              <pic:cNvPicPr>
                                <a:picLocks noChangeAspect="1"/>
                              </pic:cNvPicPr>
                              <pic:nvPr/>
                            </pic:nvPicPr>
                            <pic:blipFill rotWithShape="1">
                              <a:blip r:embed="rId29"/>
                              <a:stretch/>
                            </pic:blipFill>
                            <pic:spPr bwMode="auto">
                              <a:xfrm>
                                <a:off x="0" y="0"/>
                                <a:ext cx="1819274" cy="28479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43.25pt;height:224.25pt;mso-wrap-distance-left:0.00pt;mso-wrap-distance-top:0.00pt;mso-wrap-distance-right:0.00pt;mso-wrap-distance-bottom:0.00pt;z-index:1;" stroked="false">
                      <v:imagedata r:id="rId29" o:title=""/>
                      <o:lock v:ext="edit" rotation="t"/>
                    </v:shape>
                  </w:pict>
                </mc:Fallback>
              </mc:AlternateContent>
              <w:t xml:space="preserve">    </w:t>
              <mc:AlternateContent>
                <mc:Choice Requires="wpg">
                  <w:drawing>
                    <wp:inline xmlns:wp="http://schemas.openxmlformats.org/drawingml/2006/wordprocessingDrawing" distT="0" distB="0" distL="0" distR="0">
                      <wp:extent cx="1714500" cy="2838450"/>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791308" name=""/>
                              <pic:cNvPicPr>
                                <a:picLocks noChangeAspect="1"/>
                              </pic:cNvPicPr>
                              <pic:nvPr/>
                            </pic:nvPicPr>
                            <pic:blipFill rotWithShape="1">
                              <a:blip r:embed="rId30"/>
                              <a:stretch/>
                            </pic:blipFill>
                            <pic:spPr bwMode="auto">
                              <a:xfrm>
                                <a:off x="0" y="0"/>
                                <a:ext cx="1714500" cy="28384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35.00pt;height:223.50pt;mso-wrap-distance-left:0.00pt;mso-wrap-distance-top:0.00pt;mso-wrap-distance-right:0.00pt;mso-wrap-distance-bottom:0.00pt;z-index:1;" stroked="false">
                      <v:imagedata r:id="rId30" o:title=""/>
                      <o:lock v:ext="edit" rotation="t"/>
                    </v:shape>
                  </w:pict>
                </mc:Fallback>
              </mc:AlternateContent>
              <w:t xml:space="preserve"> </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bl>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i/>
          <w:color w:val="000000"/>
          <w:sz w:val="24"/>
        </w:rPr>
        <w:t xml:space="preserve"> </w:t>
      </w:r>
      <w:r/>
    </w:p>
    <w:tbl>
      <w:tblPr>
        <w:tblStyle w:val="1136"/>
        <w:tblInd w:w="108"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358"/>
        <w:gridCol w:w="5200"/>
      </w:tblGrid>
      <w:tr>
        <w:trPr>
          <w:trHeight w:val="298"/>
        </w:trPr>
        <w:tc>
          <w:tcPr>
            <w:tcBorders/>
            <w:tcMar>
              <w:left w:w="108" w:type="dxa"/>
              <w:top w:w="0" w:type="dxa"/>
              <w:right w:w="108" w:type="dxa"/>
              <w:bottom w:w="0" w:type="dxa"/>
            </w:tcMar>
            <w:tcW w:w="43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52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Người thu thập thông tin</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r>
      <w:tr>
        <w:trPr>
          <w:trHeight w:val="308"/>
        </w:trPr>
        <w:tc>
          <w:tcPr>
            <w:tcBorders/>
            <w:tcMar>
              <w:left w:w="108" w:type="dxa"/>
              <w:top w:w="0" w:type="dxa"/>
              <w:right w:w="108" w:type="dxa"/>
              <w:bottom w:w="0" w:type="dxa"/>
            </w:tcMar>
            <w:tcW w:w="43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52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Nguyễn Khánh Hà</w:t>
            </w:r>
            <w:r/>
          </w:p>
        </w:tc>
      </w:tr>
      <w:tr>
        <w:trPr>
          <w:trHeight w:val="298"/>
        </w:trPr>
        <w:tc>
          <w:tcPr>
            <w:tcBorders/>
            <w:tcMar>
              <w:left w:w="108" w:type="dxa"/>
              <w:top w:w="0" w:type="dxa"/>
              <w:right w:w="108" w:type="dxa"/>
              <w:bottom w:w="0" w:type="dxa"/>
            </w:tcMar>
            <w:tcW w:w="4358" w:type="dxa"/>
            <w:vAlign w:val="bottom"/>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52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b/>
          <w:color w:val="000000"/>
          <w:sz w:val="24"/>
        </w:rPr>
        <w:t xml:space="preserve"> </w:t>
      </w:r>
      <w:r>
        <w:rPr>
          <w:rFonts w:ascii="Times New Roman" w:hAnsi="Times New Roman" w:eastAsia="Times New Roman" w:cs="Times New Roman"/>
          <w:b/>
          <w:color w:val="000000"/>
          <w:sz w:val="24"/>
        </w:rPr>
      </w:r>
      <w:r/>
    </w:p>
    <w:tbl>
      <w:tblPr>
        <w:tblStyle w:val="113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32"/>
        <w:gridCol w:w="4493"/>
        <w:gridCol w:w="4494"/>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TSSS2</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https://batdongsan.com.vn/ban-can-ho-chung-cu-duong-bach-dang-phuong-hai-chau_1-m-landmark-residence/chau-my-srt-oc-quyen-tang-39-truc-16-2br-hang-sang-bat-nhat-a-nang-mlandmark-pr45776888</w:t>
              <w:br/>
              <w:t xml:space="preserve"> 0931199800 </w:t>
              <w:br/>
              <w:t xml:space="preserve"> (Mỹ Châu)</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17.190.000.000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14.611.500.000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08/2026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Hợp đồng mua bán công chứng vi bằng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Loại hình tài sản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Căn hộ chung cư</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Tài sản là căn hộ chung cư tại 1 tháp cao 45 tầng Dự án M LANDMARK RESIDENCES DA NANG chủ đầu tư Công ty Cổ phần Địa ốc Foodinco</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76,4</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tiếp giáp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 mặt thoáng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Tầng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Tầng 39, Thuộc nhóm tầng: Cao</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Hướng ban công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Bắc</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Cấu trúc</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 phòng ngủ, 2 nhà vệ sinh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Nội thất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Cao cấp</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Các lợi thế thương mại của thửa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View hồ sông, sông, suối, đầm, ao lớn (S=0.5ha), ruộng lúa, đồi núi xa, ngắm hoàng hôn, bình minh xa soi mặt nước, thơ mộng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Các bất lợi thương mại của thửa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Không có bất lợi thương mại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17</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18</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Điều kiện môi trường an ninh</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Bằng chứng thu thập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898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mc:AlternateContent>
                <mc:Choice Requires="wpg">
                  <w:drawing>
                    <wp:inline xmlns:wp="http://schemas.openxmlformats.org/drawingml/2006/wordprocessingDrawing" distT="0" distB="0" distL="0" distR="0">
                      <wp:extent cx="5495925" cy="3400425"/>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326673" name=""/>
                              <pic:cNvPicPr>
                                <a:picLocks noChangeAspect="1"/>
                              </pic:cNvPicPr>
                              <pic:nvPr/>
                            </pic:nvPicPr>
                            <pic:blipFill rotWithShape="1">
                              <a:blip r:embed="rId31"/>
                              <a:stretch/>
                            </pic:blipFill>
                            <pic:spPr bwMode="auto">
                              <a:xfrm>
                                <a:off x="0" y="0"/>
                                <a:ext cx="5495924" cy="34004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32.75pt;height:267.75pt;mso-wrap-distance-left:0.00pt;mso-wrap-distance-top:0.00pt;mso-wrap-distance-right:0.00pt;mso-wrap-distance-bottom:0.00pt;z-index:1;" stroked="false">
                      <v:imagedata r:id="rId31" o:title=""/>
                      <o:lock v:ext="edit" rotation="t"/>
                    </v:shape>
                  </w:pict>
                </mc:Fallback>
              </mc:AlternateContent>
            </w:r>
            <w:r/>
          </w:p>
          <w:p>
            <w:pPr>
              <w:pBdr>
                <w:top w:val="none" w:color="000000" w:sz="4" w:space="0"/>
                <w:left w:val="none" w:color="000000" w:sz="4" w:space="0"/>
                <w:bottom w:val="none" w:color="000000" w:sz="4" w:space="0"/>
                <w:right w:val="none" w:color="000000" w:sz="4" w:space="0"/>
              </w:pBdr>
              <w:spacing/>
              <w:ind w:right="0" w:firstLine="0" w:left="0"/>
              <w:rPr/>
            </w:pPr>
            <w:r>
              <mc:AlternateContent>
                <mc:Choice Requires="wpg">
                  <w:drawing>
                    <wp:inline xmlns:wp="http://schemas.openxmlformats.org/drawingml/2006/wordprocessingDrawing" distT="0" distB="0" distL="0" distR="0">
                      <wp:extent cx="2600325" cy="2305050"/>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573316" name=""/>
                              <pic:cNvPicPr>
                                <a:picLocks noChangeAspect="1"/>
                              </pic:cNvPicPr>
                              <pic:nvPr/>
                            </pic:nvPicPr>
                            <pic:blipFill rotWithShape="1">
                              <a:blip r:embed="rId32"/>
                              <a:stretch/>
                            </pic:blipFill>
                            <pic:spPr bwMode="auto">
                              <a:xfrm>
                                <a:off x="0" y="0"/>
                                <a:ext cx="2600325" cy="23050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04.75pt;height:181.50pt;mso-wrap-distance-left:0.00pt;mso-wrap-distance-top:0.00pt;mso-wrap-distance-right:0.00pt;mso-wrap-distance-bottom:0.00pt;z-index:1;" stroked="false">
                      <v:imagedata r:id="rId32" o:title=""/>
                      <o:lock v:ext="edit" rotation="t"/>
                    </v:shape>
                  </w:pict>
                </mc:Fallback>
              </mc:AlternateContent>
            </w:r>
            <w:r>
              <w:rPr>
                <w:rFonts w:ascii="Times New Roman" w:hAnsi="Times New Roman" w:eastAsia="Times New Roman" w:cs="Times New Roman"/>
                <w:color w:val="000000"/>
                <w:sz w:val="24"/>
              </w:rPr>
              <w:t xml:space="preserve">         </w:t>
              <mc:AlternateContent>
                <mc:Choice Requires="wpg">
                  <w:drawing>
                    <wp:inline xmlns:wp="http://schemas.openxmlformats.org/drawingml/2006/wordprocessingDrawing" distT="0" distB="0" distL="0" distR="0">
                      <wp:extent cx="2600325" cy="2305050"/>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446732" name=""/>
                              <pic:cNvPicPr>
                                <a:picLocks noChangeAspect="1"/>
                              </pic:cNvPicPr>
                              <pic:nvPr/>
                            </pic:nvPicPr>
                            <pic:blipFill rotWithShape="1">
                              <a:blip r:embed="rId33"/>
                              <a:stretch/>
                            </pic:blipFill>
                            <pic:spPr bwMode="auto">
                              <a:xfrm>
                                <a:off x="0" y="0"/>
                                <a:ext cx="2600325" cy="23050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04.75pt;height:181.50pt;mso-wrap-distance-left:0.00pt;mso-wrap-distance-top:0.00pt;mso-wrap-distance-right:0.00pt;mso-wrap-distance-bottom:0.00pt;z-index:1;" stroked="false">
                      <v:imagedata r:id="rId33" o:title=""/>
                      <o:lock v:ext="edit" rotation="t"/>
                    </v:shape>
                  </w:pict>
                </mc:Fallback>
              </mc:AlternateContent>
            </w:r>
            <w:r/>
          </w:p>
        </w:tc>
      </w:tr>
    </w:tbl>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i/>
          <w:color w:val="000000"/>
          <w:sz w:val="24"/>
        </w:rPr>
        <w:t xml:space="preserve"> </w:t>
      </w:r>
      <w:r/>
    </w:p>
    <w:tbl>
      <w:tblPr>
        <w:tblStyle w:val="1136"/>
        <w:tblInd w:w="28"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5102"/>
        <w:gridCol w:w="4535"/>
      </w:tblGrid>
      <w:tr>
        <w:trPr>
          <w:trHeight w:val="298"/>
        </w:trPr>
        <w:tc>
          <w:tcPr>
            <w:tcBorders/>
            <w:tcMar>
              <w:left w:w="108" w:type="dxa"/>
              <w:top w:w="0" w:type="dxa"/>
              <w:right w:w="108" w:type="dxa"/>
              <w:bottom w:w="0" w:type="dxa"/>
            </w:tcMar>
            <w:tcW w:w="51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535"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Người thu thập thông tin</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r>
      <w:tr>
        <w:trPr>
          <w:trHeight w:val="308"/>
        </w:trPr>
        <w:tc>
          <w:tcPr>
            <w:tcBorders/>
            <w:tcMar>
              <w:left w:w="108" w:type="dxa"/>
              <w:top w:w="0" w:type="dxa"/>
              <w:right w:w="108" w:type="dxa"/>
              <w:bottom w:w="0" w:type="dxa"/>
            </w:tcMar>
            <w:tcW w:w="51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535"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Nguyễn Khánh Hà</w:t>
            </w:r>
            <w:r/>
          </w:p>
        </w:tc>
      </w:tr>
    </w:tbl>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br w:type="page" w:clear="all"/>
      </w:r>
      <w:r>
        <w:rPr>
          <w:rFonts w:ascii="Times New Roman" w:hAnsi="Times New Roman" w:eastAsia="Times New Roman" w:cs="Times New Roman"/>
          <w:b/>
          <w:color w:val="000000"/>
          <w:sz w:val="24"/>
        </w:rPr>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 </w:t>
      </w:r>
      <w:r/>
    </w:p>
    <w:tbl>
      <w:tblPr>
        <w:tblStyle w:val="113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32"/>
        <w:gridCol w:w="4493"/>
        <w:gridCol w:w="4494"/>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TSSS3</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https://batdongsan.com.vn/ban-can-ho-chung-cu-duong-bach-dang-phuong-hai-chau_1-m-landmark-residence/2-pn-view-truc-dien-song-han-marriot-danh-cho-gioi-tinh-hoa-full-noi-that-pr44960769</w:t>
              <w:br/>
              <w:t xml:space="preserve"> 0932561759 </w:t>
              <w:br/>
              <w:t xml:space="preserve"> (Thành Đạt)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15.347.000.000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13.044.950.000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08/2026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Hợp đồng mua bán công chứng vi bằng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Loại hình tài sản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Căn hộ chung cư</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Tài sản là căn hộ chung cư tại 1 tháp cao 45 tầng Dự án M LANDMARK RESIDENCES DA NANG chủ đầu tư Công ty Cổ phần Địa ốc Foodinco</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75,6</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tiếp giáp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 mặt thoáng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Tầng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Tầng 31, Thuộc nhóm tầng: Trung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Hướng ban công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Bắc</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Cấu trúc</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 phòng ngủ, 2 nhà vệ sinh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Nội thất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Cao cấp</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Các lợi thế thương mại của thửa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View hồ sông, sông, suối, đầm, ao lớn (S=0.5ha), ruộng lúa, đồi núi xa, ngắm hoàng hôn, bình minh xa soi mặt nước, thơ mộng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Các bất lợi thương mại của thửa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Không có bất lợi thương mại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17</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18</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Điều kiện môi trường an ninh</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Bằng chứng thu thập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898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r>
            <w:r/>
          </w:p>
          <w:p>
            <w:pPr>
              <w:pBdr>
                <w:top w:val="none" w:color="000000" w:sz="4" w:space="0"/>
                <w:left w:val="none" w:color="000000" w:sz="4" w:space="0"/>
                <w:bottom w:val="none" w:color="000000" w:sz="4" w:space="0"/>
                <w:right w:val="none" w:color="000000" w:sz="4" w:space="0"/>
              </w:pBdr>
              <w:spacing/>
              <w:ind w:right="0" w:firstLine="0" w:left="0"/>
              <w:rPr/>
            </w:pPr>
            <w:r>
              <mc:AlternateContent>
                <mc:Choice Requires="wpg">
                  <w:drawing>
                    <wp:inline xmlns:wp="http://schemas.openxmlformats.org/drawingml/2006/wordprocessingDrawing" distT="0" distB="0" distL="0" distR="0">
                      <wp:extent cx="5381625" cy="3790950"/>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953932" name=""/>
                              <pic:cNvPicPr>
                                <a:picLocks noChangeAspect="1"/>
                              </pic:cNvPicPr>
                              <pic:nvPr/>
                            </pic:nvPicPr>
                            <pic:blipFill rotWithShape="1">
                              <a:blip r:embed="rId34"/>
                              <a:stretch/>
                            </pic:blipFill>
                            <pic:spPr bwMode="auto">
                              <a:xfrm>
                                <a:off x="0" y="0"/>
                                <a:ext cx="5381624" cy="37909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23.75pt;height:298.50pt;mso-wrap-distance-left:0.00pt;mso-wrap-distance-top:0.00pt;mso-wrap-distance-right:0.00pt;mso-wrap-distance-bottom:0.00pt;z-index:1;" stroked="false">
                      <v:imagedata r:id="rId34" o:title=""/>
                      <o:lock v:ext="edit" rotation="t"/>
                    </v:shape>
                  </w:pict>
                </mc:Fallback>
              </mc:AlternateContent>
            </w: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mc:AlternateContent>
                <mc:Choice Requires="wpg">
                  <w:drawing>
                    <wp:inline xmlns:wp="http://schemas.openxmlformats.org/drawingml/2006/wordprocessingDrawing" distT="0" distB="0" distL="0" distR="0">
                      <wp:extent cx="1695450" cy="3771900"/>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176648" name=""/>
                              <pic:cNvPicPr>
                                <a:picLocks noChangeAspect="1"/>
                              </pic:cNvPicPr>
                              <pic:nvPr/>
                            </pic:nvPicPr>
                            <pic:blipFill rotWithShape="1">
                              <a:blip r:embed="rId35"/>
                              <a:stretch/>
                            </pic:blipFill>
                            <pic:spPr bwMode="auto">
                              <a:xfrm>
                                <a:off x="0" y="0"/>
                                <a:ext cx="1695449" cy="37719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33.50pt;height:297.00pt;mso-wrap-distance-left:0.00pt;mso-wrap-distance-top:0.00pt;mso-wrap-distance-right:0.00pt;mso-wrap-distance-bottom:0.00pt;z-index:1;" stroked="false">
                      <v:imagedata r:id="rId35" o:title=""/>
                      <o:lock v:ext="edit" rotation="t"/>
                    </v:shape>
                  </w:pict>
                </mc:Fallback>
              </mc:AlternateContent>
            </w:r>
            <w:r>
              <w:rPr>
                <w:rFonts w:ascii="Times New Roman" w:hAnsi="Times New Roman" w:eastAsia="Times New Roman" w:cs="Times New Roman"/>
                <w:color w:val="000000"/>
                <w:sz w:val="24"/>
              </w:rPr>
              <w:t xml:space="preserve">   </w:t>
              <mc:AlternateContent>
                <mc:Choice Requires="wpg">
                  <w:drawing>
                    <wp:inline xmlns:wp="http://schemas.openxmlformats.org/drawingml/2006/wordprocessingDrawing" distT="0" distB="0" distL="0" distR="0">
                      <wp:extent cx="1790700" cy="3752850"/>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664710" name=""/>
                              <pic:cNvPicPr>
                                <a:picLocks noChangeAspect="1"/>
                              </pic:cNvPicPr>
                              <pic:nvPr/>
                            </pic:nvPicPr>
                            <pic:blipFill rotWithShape="1">
                              <a:blip r:embed="rId36"/>
                              <a:stretch/>
                            </pic:blipFill>
                            <pic:spPr bwMode="auto">
                              <a:xfrm>
                                <a:off x="0" y="0"/>
                                <a:ext cx="1790699" cy="375284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41.00pt;height:295.50pt;mso-wrap-distance-left:0.00pt;mso-wrap-distance-top:0.00pt;mso-wrap-distance-right:0.00pt;mso-wrap-distance-bottom:0.00pt;z-index:1;" stroked="false">
                      <v:imagedata r:id="rId36" o:title=""/>
                      <o:lock v:ext="edit" rotation="t"/>
                    </v:shape>
                  </w:pict>
                </mc:Fallback>
              </mc:AlternateContent>
              <w:t xml:space="preserve">   </w:t>
              <mc:AlternateContent>
                <mc:Choice Requires="wpg">
                  <w:drawing>
                    <wp:inline xmlns:wp="http://schemas.openxmlformats.org/drawingml/2006/wordprocessingDrawing" distT="0" distB="0" distL="0" distR="0">
                      <wp:extent cx="1838325" cy="3771900"/>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354228" name=""/>
                              <pic:cNvPicPr>
                                <a:picLocks noChangeAspect="1"/>
                              </pic:cNvPicPr>
                              <pic:nvPr/>
                            </pic:nvPicPr>
                            <pic:blipFill rotWithShape="1">
                              <a:blip r:embed="rId37"/>
                              <a:stretch/>
                            </pic:blipFill>
                            <pic:spPr bwMode="auto">
                              <a:xfrm>
                                <a:off x="0" y="0"/>
                                <a:ext cx="1838324" cy="37719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144.75pt;height:297.00pt;mso-wrap-distance-left:0.00pt;mso-wrap-distance-top:0.00pt;mso-wrap-distance-right:0.00pt;mso-wrap-distance-bottom:0.00pt;z-index:1;" stroked="false">
                      <v:imagedata r:id="rId37" o:title=""/>
                      <o:lock v:ext="edit" rotation="t"/>
                    </v:shape>
                  </w:pict>
                </mc:Fallback>
              </mc:AlternateContent>
            </w:r>
            <w:r/>
          </w:p>
        </w:tc>
      </w:tr>
    </w:tbl>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i/>
          <w:color w:val="000000"/>
          <w:sz w:val="24"/>
        </w:rPr>
        <w:t xml:space="preserve"> </w:t>
      </w:r>
      <w:r/>
    </w:p>
    <w:tbl>
      <w:tblPr>
        <w:tblStyle w:val="1136"/>
        <w:tblInd w:w="28"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5102"/>
        <w:gridCol w:w="4535"/>
      </w:tblGrid>
      <w:tr>
        <w:trPr>
          <w:trHeight w:val="298"/>
        </w:trPr>
        <w:tc>
          <w:tcPr>
            <w:tcBorders/>
            <w:tcMar>
              <w:left w:w="108" w:type="dxa"/>
              <w:top w:w="0" w:type="dxa"/>
              <w:right w:w="108" w:type="dxa"/>
              <w:bottom w:w="0" w:type="dxa"/>
            </w:tcMar>
            <w:tcW w:w="51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535"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Người thu thập thông tin</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r>
      <w:tr>
        <w:trPr>
          <w:trHeight w:val="308"/>
        </w:trPr>
        <w:tc>
          <w:tcPr>
            <w:tcBorders/>
            <w:tcMar>
              <w:left w:w="108" w:type="dxa"/>
              <w:top w:w="0" w:type="dxa"/>
              <w:right w:w="108" w:type="dxa"/>
              <w:bottom w:w="0" w:type="dxa"/>
            </w:tcMar>
            <w:tcW w:w="51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535"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Nguyễn Khánh Hà</w:t>
            </w: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rPr>
        <w:t xml:space="preserve">Biên bản khảo sát</w:t>
      </w:r>
      <w:r/>
    </w:p>
    <w:p>
      <w:pPr>
        <w:pBdr/>
        <w:spacing w:after="200" w:line="276" w:lineRule="auto"/>
        <w:ind/>
        <w:jc w:val="center"/>
        <w:rPr>
          <w:b/>
          <w:bCs/>
          <w:color w:val="000000" w:themeColor="text1"/>
          <w:u w:val="single"/>
        </w:rPr>
      </w:pPr>
      <w:r>
        <mc:AlternateContent>
          <mc:Choice Requires="wpg">
            <w:drawing>
              <wp:inline xmlns:wp="http://schemas.openxmlformats.org/drawingml/2006/wordprocessingDrawing" distT="0" distB="0" distL="0" distR="0">
                <wp:extent cx="5581650" cy="7096125"/>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37175" name=""/>
                        <pic:cNvPicPr>
                          <a:picLocks noChangeAspect="1"/>
                        </pic:cNvPicPr>
                        <pic:nvPr/>
                      </pic:nvPicPr>
                      <pic:blipFill rotWithShape="1">
                        <a:blip r:embed="rId38"/>
                        <a:stretch/>
                      </pic:blipFill>
                      <pic:spPr bwMode="auto">
                        <a:xfrm>
                          <a:off x="0" y="0"/>
                          <a:ext cx="5581649" cy="70961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439.50pt;height:558.75pt;mso-wrap-distance-left:0.00pt;mso-wrap-distance-top:0.00pt;mso-wrap-distance-right:0.00pt;mso-wrap-distance-bottom:0.00pt;z-index:1;" stroked="false">
                <v:imagedata r:id="rId38" o:title=""/>
                <o:lock v:ext="edit" rotation="t"/>
              </v:shape>
            </w:pict>
          </mc:Fallback>
        </mc:AlternateContent>
      </w:r>
      <w:r>
        <w:rPr>
          <w:b/>
          <w:bCs/>
          <w:color w:val="000000" w:themeColor="text1"/>
          <w:u w:val="single"/>
        </w:rPr>
      </w:r>
      <w:r>
        <w:rPr>
          <w:b/>
          <w:bCs/>
          <w:color w:val="000000" w:themeColor="text1"/>
          <w:u w:val="single"/>
        </w:rPr>
      </w:r>
    </w:p>
    <w:sectPr>
      <w:footerReference w:type="even" r:id="rId12"/>
      <w:footnotePr/>
      <w:endnotePr/>
      <w:type w:val="nextPage"/>
      <w:pgSz w:h="16839" w:orient="portrait" w:w="11907"/>
      <w:pgMar w:top="1134" w:right="566"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28"/>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128"/>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28"/>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28"/>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26"/>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9264;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1FC7BAD"/>
    <w:lvl w:ilvl="0">
      <w:isLgl w:val="false"/>
      <w:lvlJc w:val="left"/>
      <w:lvlText w:val=""/>
      <w:numFmt w:val="bullet"/>
      <w:pPr>
        <w:pBdr/>
        <w:spacing/>
        <w:ind w:hanging="360" w:left="1146"/>
      </w:pPr>
      <w:rPr>
        <w:rFonts w:hint="default" w:ascii="Symbol" w:hAnsi="Symbol"/>
      </w:rPr>
      <w:start w:val="1"/>
      <w:suff w:val="tab"/>
    </w:lvl>
    <w:lvl w:ilvl="1">
      <w:isLgl w:val="false"/>
      <w:lvlJc w:val="left"/>
      <w:lvlText w:val="o"/>
      <w:numFmt w:val="bullet"/>
      <w:pPr>
        <w:pBdr/>
        <w:spacing/>
        <w:ind w:hanging="360" w:left="1866"/>
      </w:pPr>
      <w:rPr>
        <w:rFonts w:hint="default" w:ascii="Courier New" w:hAnsi="Courier New" w:cs="Courier New"/>
      </w:rPr>
      <w:start w:val="1"/>
      <w:suff w:val="tab"/>
    </w:lvl>
    <w:lvl w:ilvl="2">
      <w:isLgl w:val="false"/>
      <w:lvlJc w:val="left"/>
      <w:lvlText w:val=""/>
      <w:numFmt w:val="bullet"/>
      <w:pPr>
        <w:pBdr/>
        <w:spacing/>
        <w:ind w:hanging="360" w:left="2586"/>
      </w:pPr>
      <w:rPr>
        <w:rFonts w:hint="default" w:ascii="Wingdings" w:hAnsi="Wingdings"/>
      </w:rPr>
      <w:start w:val="1"/>
      <w:suff w:val="tab"/>
    </w:lvl>
    <w:lvl w:ilvl="3">
      <w:isLgl w:val="false"/>
      <w:lvlJc w:val="left"/>
      <w:lvlText w:val=""/>
      <w:numFmt w:val="bullet"/>
      <w:pPr>
        <w:pBdr/>
        <w:spacing/>
        <w:ind w:hanging="360" w:left="3306"/>
      </w:pPr>
      <w:rPr>
        <w:rFonts w:hint="default" w:ascii="Symbol" w:hAnsi="Symbol"/>
      </w:rPr>
      <w:start w:val="1"/>
      <w:suff w:val="tab"/>
    </w:lvl>
    <w:lvl w:ilvl="4">
      <w:isLgl w:val="false"/>
      <w:lvlJc w:val="left"/>
      <w:lvlText w:val="o"/>
      <w:numFmt w:val="bullet"/>
      <w:pPr>
        <w:pBdr/>
        <w:spacing/>
        <w:ind w:hanging="360" w:left="4026"/>
      </w:pPr>
      <w:rPr>
        <w:rFonts w:hint="default" w:ascii="Courier New" w:hAnsi="Courier New" w:cs="Courier New"/>
      </w:rPr>
      <w:start w:val="1"/>
      <w:suff w:val="tab"/>
    </w:lvl>
    <w:lvl w:ilvl="5">
      <w:isLgl w:val="false"/>
      <w:lvlJc w:val="left"/>
      <w:lvlText w:val=""/>
      <w:numFmt w:val="bullet"/>
      <w:pPr>
        <w:pBdr/>
        <w:spacing/>
        <w:ind w:hanging="360" w:left="4746"/>
      </w:pPr>
      <w:rPr>
        <w:rFonts w:hint="default" w:ascii="Wingdings" w:hAnsi="Wingdings"/>
      </w:rPr>
      <w:start w:val="1"/>
      <w:suff w:val="tab"/>
    </w:lvl>
    <w:lvl w:ilvl="6">
      <w:isLgl w:val="false"/>
      <w:lvlJc w:val="left"/>
      <w:lvlText w:val=""/>
      <w:numFmt w:val="bullet"/>
      <w:pPr>
        <w:pBdr/>
        <w:spacing/>
        <w:ind w:hanging="360" w:left="5466"/>
      </w:pPr>
      <w:rPr>
        <w:rFonts w:hint="default" w:ascii="Symbol" w:hAnsi="Symbol"/>
      </w:rPr>
      <w:start w:val="1"/>
      <w:suff w:val="tab"/>
    </w:lvl>
    <w:lvl w:ilvl="7">
      <w:isLgl w:val="false"/>
      <w:lvlJc w:val="left"/>
      <w:lvlText w:val="o"/>
      <w:numFmt w:val="bullet"/>
      <w:pPr>
        <w:pBdr/>
        <w:spacing/>
        <w:ind w:hanging="360" w:left="6186"/>
      </w:pPr>
      <w:rPr>
        <w:rFonts w:hint="default" w:ascii="Courier New" w:hAnsi="Courier New" w:cs="Courier New"/>
      </w:rPr>
      <w:start w:val="1"/>
      <w:suff w:val="tab"/>
    </w:lvl>
    <w:lvl w:ilvl="8">
      <w:isLgl w:val="false"/>
      <w:lvlJc w:val="left"/>
      <w:lvlText w:val=""/>
      <w:numFmt w:val="bullet"/>
      <w:pPr>
        <w:pBdr/>
        <w:spacing/>
        <w:ind w:hanging="360" w:left="6906"/>
      </w:pPr>
      <w:rPr>
        <w:rFonts w:hint="default" w:ascii="Wingdings" w:hAnsi="Wingdings"/>
      </w:rPr>
      <w:start w:val="1"/>
      <w:suff w:val="tab"/>
    </w:lvl>
  </w:abstractNum>
  <w:abstractNum w:abstractNumId="7">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8">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9">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0">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1">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2">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4">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5">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6">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7">
    <w:nsid w:val="46B95F68"/>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8">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9">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20">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21">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4">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5">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6">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7">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8">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0">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31">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2">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3">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4">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5">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6">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7">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8">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9">
    <w:nsid w:val="2D349FC8"/>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0">
    <w:nsid w:val="412A9A33"/>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1">
    <w:nsid w:val="27425366"/>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42">
    <w:nsid w:val="7BE4BE33"/>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43">
    <w:nsid w:val="2D5B25FE"/>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4">
    <w:nsid w:val="415B96F4"/>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5">
    <w:nsid w:val="12CD0167"/>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46">
    <w:nsid w:val="6F3E4FA1"/>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47">
    <w:nsid w:val="0840467D"/>
    <w:lvl w:ilvl="0">
      <w:isLgl w:val="false"/>
      <w:lvlJc w:val="left"/>
      <w:lvlText w:val=""/>
      <w:numFmt w:val="bullet"/>
      <w:pPr>
        <w:pBdr/>
        <w:spacing/>
        <w:ind w:hanging="360" w:left="1080"/>
      </w:pPr>
      <w:rPr>
        <w:rFonts w:hint="default" w:ascii="Wingdings" w:hAnsi="Wingdings" w:eastAsia="Wingdings" w:cs="Wingdings"/>
      </w:rPr>
      <w:start w:val="1"/>
      <w:suff w:val="tab"/>
    </w:lvl>
    <w:lvl w:ilvl="1">
      <w:isLgl w:val="false"/>
      <w:lvlJc w:val="left"/>
      <w:lvlText w:val="o"/>
      <w:numFmt w:val="bullet"/>
      <w:pPr>
        <w:pBdr/>
        <w:spacing/>
        <w:ind w:hanging="360" w:left="1800"/>
      </w:pPr>
      <w:rPr>
        <w:rFonts w:hint="default" w:ascii="Courier New" w:hAnsi="Courier New" w:eastAsia="Courier New" w:cs="Courier New"/>
      </w:rPr>
      <w:start w:val="1"/>
      <w:suff w:val="tab"/>
    </w:lvl>
    <w:lvl w:ilvl="2">
      <w:isLgl w:val="false"/>
      <w:lvlJc w:val="left"/>
      <w:lvlText w:val=""/>
      <w:numFmt w:val="bullet"/>
      <w:pPr>
        <w:pBdr/>
        <w:spacing/>
        <w:ind w:hanging="360" w:left="2520"/>
      </w:pPr>
      <w:rPr>
        <w:rFonts w:hint="default" w:ascii="Wingdings" w:hAnsi="Wingdings" w:eastAsia="Wingdings" w:cs="Wingdings"/>
      </w:rPr>
      <w:start w:val="1"/>
      <w:suff w:val="tab"/>
    </w:lvl>
    <w:lvl w:ilvl="3">
      <w:isLgl w:val="false"/>
      <w:lvlJc w:val="left"/>
      <w:lvlText w:val=""/>
      <w:numFmt w:val="bullet"/>
      <w:pPr>
        <w:pBdr/>
        <w:spacing/>
        <w:ind w:hanging="360" w:left="3240"/>
      </w:pPr>
      <w:rPr>
        <w:rFonts w:hint="default" w:ascii="Symbol" w:hAnsi="Symbol" w:eastAsia="Symbol" w:cs="Symbol"/>
      </w:rPr>
      <w:start w:val="1"/>
      <w:suff w:val="tab"/>
    </w:lvl>
    <w:lvl w:ilvl="4">
      <w:isLgl w:val="false"/>
      <w:lvlJc w:val="left"/>
      <w:lvlText w:val="o"/>
      <w:numFmt w:val="bullet"/>
      <w:pPr>
        <w:pBdr/>
        <w:spacing/>
        <w:ind w:hanging="360" w:left="3960"/>
      </w:pPr>
      <w:rPr>
        <w:rFonts w:hint="default" w:ascii="Courier New" w:hAnsi="Courier New" w:eastAsia="Courier New" w:cs="Courier New"/>
      </w:rPr>
      <w:start w:val="1"/>
      <w:suff w:val="tab"/>
    </w:lvl>
    <w:lvl w:ilvl="5">
      <w:isLgl w:val="false"/>
      <w:lvlJc w:val="left"/>
      <w:lvlText w:val=""/>
      <w:numFmt w:val="bullet"/>
      <w:pPr>
        <w:pBdr/>
        <w:spacing/>
        <w:ind w:hanging="360" w:left="4680"/>
      </w:pPr>
      <w:rPr>
        <w:rFonts w:hint="default" w:ascii="Wingdings" w:hAnsi="Wingdings" w:eastAsia="Wingdings" w:cs="Wingdings"/>
      </w:rPr>
      <w:start w:val="1"/>
      <w:suff w:val="tab"/>
    </w:lvl>
    <w:lvl w:ilvl="6">
      <w:isLgl w:val="false"/>
      <w:lvlJc w:val="left"/>
      <w:lvlText w:val=""/>
      <w:numFmt w:val="bullet"/>
      <w:pPr>
        <w:pBdr/>
        <w:spacing/>
        <w:ind w:hanging="360" w:left="5400"/>
      </w:pPr>
      <w:rPr>
        <w:rFonts w:hint="default" w:ascii="Symbol" w:hAnsi="Symbol" w:eastAsia="Symbol" w:cs="Symbol"/>
      </w:rPr>
      <w:start w:val="1"/>
      <w:suff w:val="tab"/>
    </w:lvl>
    <w:lvl w:ilvl="7">
      <w:isLgl w:val="false"/>
      <w:lvlJc w:val="left"/>
      <w:lvlText w:val="o"/>
      <w:numFmt w:val="bullet"/>
      <w:pPr>
        <w:pBdr/>
        <w:spacing/>
        <w:ind w:hanging="360" w:left="6120"/>
      </w:pPr>
      <w:rPr>
        <w:rFonts w:hint="default" w:ascii="Courier New" w:hAnsi="Courier New" w:eastAsia="Courier New" w:cs="Courier New"/>
      </w:rPr>
      <w:start w:val="1"/>
      <w:suff w:val="tab"/>
    </w:lvl>
    <w:lvl w:ilvl="8">
      <w:isLgl w:val="false"/>
      <w:lvlJc w:val="left"/>
      <w:lvlText w:val=""/>
      <w:numFmt w:val="bullet"/>
      <w:pPr>
        <w:pBdr/>
        <w:spacing/>
        <w:ind w:hanging="360" w:left="6840"/>
      </w:pPr>
      <w:rPr>
        <w:rFonts w:hint="default" w:ascii="Wingdings" w:hAnsi="Wingdings" w:eastAsia="Wingdings" w:cs="Wingdings"/>
      </w:rPr>
      <w:start w:val="1"/>
      <w:suff w:val="tab"/>
    </w:lvl>
  </w:abstractNum>
  <w:abstractNum w:abstractNumId="48">
    <w:nsid w:val="6ECB4066"/>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num w:numId="1">
    <w:abstractNumId w:val="14"/>
  </w:num>
  <w:num w:numId="2">
    <w:abstractNumId w:val="7"/>
  </w:num>
  <w:num w:numId="3">
    <w:abstractNumId w:val="5"/>
  </w:num>
  <w:num w:numId="4">
    <w:abstractNumId w:val="29"/>
  </w:num>
  <w:num w:numId="5">
    <w:abstractNumId w:val="33"/>
  </w:num>
  <w:num w:numId="6">
    <w:abstractNumId w:val="35"/>
  </w:num>
  <w:num w:numId="7">
    <w:abstractNumId w:val="12"/>
  </w:num>
  <w:num w:numId="8">
    <w:abstractNumId w:val="3"/>
  </w:num>
  <w:num w:numId="9">
    <w:abstractNumId w:val="9"/>
  </w:num>
  <w:num w:numId="10">
    <w:abstractNumId w:val="13"/>
  </w:num>
  <w:num w:numId="11">
    <w:abstractNumId w:val="23"/>
  </w:num>
  <w:num w:numId="12">
    <w:abstractNumId w:val="8"/>
  </w:num>
  <w:num w:numId="13">
    <w:abstractNumId w:val="26"/>
  </w:num>
  <w:num w:numId="14">
    <w:abstractNumId w:val="20"/>
  </w:num>
  <w:num w:numId="15">
    <w:abstractNumId w:val="16"/>
  </w:num>
  <w:num w:numId="16">
    <w:abstractNumId w:val="4"/>
  </w:num>
  <w:num w:numId="17">
    <w:abstractNumId w:val="12"/>
  </w:num>
  <w:num w:numId="18">
    <w:abstractNumId w:val="37"/>
  </w:num>
  <w:num w:numId="19">
    <w:abstractNumId w:val="34"/>
  </w:num>
  <w:num w:numId="20">
    <w:abstractNumId w:val="25"/>
  </w:num>
  <w:num w:numId="21">
    <w:abstractNumId w:val="15"/>
  </w:num>
  <w:num w:numId="22">
    <w:abstractNumId w:val="10"/>
  </w:num>
  <w:num w:numId="23">
    <w:abstractNumId w:val="38"/>
  </w:num>
  <w:num w:numId="24">
    <w:abstractNumId w:val="18"/>
  </w:num>
  <w:num w:numId="25">
    <w:abstractNumId w:val="31"/>
  </w:num>
  <w:num w:numId="26">
    <w:abstractNumId w:val="27"/>
  </w:num>
  <w:num w:numId="27">
    <w:abstractNumId w:val="0"/>
  </w:num>
  <w:num w:numId="28">
    <w:abstractNumId w:val="1"/>
  </w:num>
  <w:num w:numId="29">
    <w:abstractNumId w:val="24"/>
  </w:num>
  <w:num w:numId="30">
    <w:abstractNumId w:val="30"/>
  </w:num>
  <w:num w:numId="31">
    <w:abstractNumId w:val="19"/>
  </w:num>
  <w:num w:numId="32">
    <w:abstractNumId w:val="32"/>
  </w:num>
  <w:num w:numId="33">
    <w:abstractNumId w:val="2"/>
  </w:num>
  <w:num w:numId="34">
    <w:abstractNumId w:val="11"/>
  </w:num>
  <w:num w:numId="35">
    <w:abstractNumId w:val="22"/>
  </w:num>
  <w:num w:numId="36">
    <w:abstractNumId w:val="36"/>
  </w:num>
  <w:num w:numId="37">
    <w:abstractNumId w:val="28"/>
  </w:num>
  <w:num w:numId="38">
    <w:abstractNumId w:val="21"/>
  </w:num>
  <w:num w:numId="39">
    <w:abstractNumId w:val="17"/>
  </w:num>
  <w:num w:numId="40">
    <w:abstractNumId w:val="6"/>
  </w:num>
  <w:num w:numId="41">
    <w:abstractNumId w:val="39"/>
  </w:num>
  <w:num w:numId="42">
    <w:abstractNumId w:val="40"/>
  </w:num>
  <w:num w:numId="43">
    <w:abstractNumId w:val="41"/>
  </w:num>
  <w:num w:numId="44">
    <w:abstractNumId w:val="42"/>
  </w:num>
  <w:num w:numId="45">
    <w:abstractNumId w:val="43"/>
  </w:num>
  <w:num w:numId="46">
    <w:abstractNumId w:val="44"/>
  </w:num>
  <w:num w:numId="47">
    <w:abstractNumId w:val="45"/>
  </w:num>
  <w:num w:numId="48">
    <w:abstractNumId w:val="46"/>
  </w:num>
  <w:num w:numId="49">
    <w:abstractNumId w:val="47"/>
  </w:num>
  <w:num w:numId="50">
    <w:abstractNumId w:val="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61">
    <w:name w:val="Table Grid Light"/>
    <w:basedOn w:val="95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1 Light - Accent 1"/>
    <w:basedOn w:val="95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1 Light - Accent 2"/>
    <w:basedOn w:val="95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1 Light - Accent 3"/>
    <w:basedOn w:val="95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1 Light - Accent 4"/>
    <w:basedOn w:val="95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1 Light - Accent 5"/>
    <w:basedOn w:val="95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1 Light - Accent 6"/>
    <w:basedOn w:val="95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2 - Accent 1"/>
    <w:basedOn w:val="95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2 - Accent 2"/>
    <w:basedOn w:val="95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2 - Accent 3"/>
    <w:basedOn w:val="95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2 - Accent 4"/>
    <w:basedOn w:val="95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2 - Accent 5"/>
    <w:basedOn w:val="95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2 - Accent 6"/>
    <w:basedOn w:val="95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3 - Accent 1"/>
    <w:basedOn w:val="95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3 - Accent 2"/>
    <w:basedOn w:val="95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3 - Accent 3"/>
    <w:basedOn w:val="95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3 - Accent 4"/>
    <w:basedOn w:val="95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3 - Accent 5"/>
    <w:basedOn w:val="95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3 - Accent 6"/>
    <w:basedOn w:val="95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 Accent 1"/>
    <w:basedOn w:val="95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4 - Accent 2"/>
    <w:basedOn w:val="95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4 - Accent 3"/>
    <w:basedOn w:val="95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4 - Accent 4"/>
    <w:basedOn w:val="95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4 - Accent 5"/>
    <w:basedOn w:val="95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4 - Accent 6"/>
    <w:basedOn w:val="95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5 Dark - Accent 2"/>
    <w:basedOn w:val="95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 Accent 3"/>
    <w:basedOn w:val="95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5 Dark - Accent 5"/>
    <w:basedOn w:val="95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5 Dark - Accent 6"/>
    <w:basedOn w:val="95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6 Colorful - Accent 1"/>
    <w:basedOn w:val="95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1">
    <w:name w:val="Grid Table 6 Colorful - Accent 2"/>
    <w:basedOn w:val="95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2">
    <w:name w:val="Grid Table 6 Colorful - Accent 3"/>
    <w:basedOn w:val="95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3">
    <w:name w:val="Grid Table 6 Colorful - Accent 4"/>
    <w:basedOn w:val="95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4">
    <w:name w:val="Grid Table 6 Colorful - Accent 5"/>
    <w:basedOn w:val="95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5">
    <w:name w:val="Grid Table 6 Colorful - Accent 6"/>
    <w:basedOn w:val="95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6">
    <w:name w:val="Grid Table 7 Colorful - Accent 1"/>
    <w:basedOn w:val="95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2"/>
    <w:basedOn w:val="95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3"/>
    <w:basedOn w:val="95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 Accent 4"/>
    <w:basedOn w:val="95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7 Colorful - Accent 5"/>
    <w:basedOn w:val="95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7 Colorful - Accent 6"/>
    <w:basedOn w:val="95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1"/>
    <w:basedOn w:val="95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2"/>
    <w:basedOn w:val="95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3"/>
    <w:basedOn w:val="95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4"/>
    <w:basedOn w:val="95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 Accent 5"/>
    <w:basedOn w:val="95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1 Light - Accent 6"/>
    <w:basedOn w:val="95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1"/>
    <w:basedOn w:val="95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2"/>
    <w:basedOn w:val="95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3"/>
    <w:basedOn w:val="95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4"/>
    <w:basedOn w:val="95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5"/>
    <w:basedOn w:val="95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 Accent 6"/>
    <w:basedOn w:val="95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1"/>
    <w:basedOn w:val="95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2"/>
    <w:basedOn w:val="95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3"/>
    <w:basedOn w:val="95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4"/>
    <w:basedOn w:val="95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5"/>
    <w:basedOn w:val="95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6"/>
    <w:basedOn w:val="95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1"/>
    <w:basedOn w:val="95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2"/>
    <w:basedOn w:val="95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3"/>
    <w:basedOn w:val="95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4"/>
    <w:basedOn w:val="95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5"/>
    <w:basedOn w:val="95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6"/>
    <w:basedOn w:val="95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5 Dark - Accent 1"/>
    <w:basedOn w:val="95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2"/>
    <w:basedOn w:val="95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3"/>
    <w:basedOn w:val="95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4"/>
    <w:basedOn w:val="95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5"/>
    <w:basedOn w:val="95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6"/>
    <w:basedOn w:val="95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6 Colorful - Accent 1"/>
    <w:basedOn w:val="95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2"/>
    <w:basedOn w:val="95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3"/>
    <w:basedOn w:val="95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4"/>
    <w:basedOn w:val="95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5"/>
    <w:basedOn w:val="95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6"/>
    <w:basedOn w:val="95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7 Colorful - Accent 1"/>
    <w:basedOn w:val="95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9">
    <w:name w:val="List Table 7 Colorful - Accent 2"/>
    <w:basedOn w:val="95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0">
    <w:name w:val="List Table 7 Colorful - Accent 3"/>
    <w:basedOn w:val="95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1">
    <w:name w:val="List Table 7 Colorful - Accent 4"/>
    <w:basedOn w:val="95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2">
    <w:name w:val="List Table 7 Colorful - Accent 5"/>
    <w:basedOn w:val="95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3">
    <w:name w:val="List Table 7 Colorful - Accent 6"/>
    <w:basedOn w:val="95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paragraph" w:styleId="944" w:default="1">
    <w:name w:val="Normal"/>
    <w:qFormat/>
    <w:pPr>
      <w:pBdr/>
      <w:spacing w:after="0" w:line="240" w:lineRule="auto"/>
      <w:ind/>
    </w:pPr>
    <w:rPr>
      <w:rFonts w:ascii="Times New Roman" w:hAnsi="Times New Roman" w:eastAsia="Times New Roman" w:cs="Times New Roman"/>
      <w:sz w:val="24"/>
      <w:szCs w:val="24"/>
    </w:rPr>
  </w:style>
  <w:style w:type="paragraph" w:styleId="945">
    <w:name w:val="Heading 1"/>
    <w:basedOn w:val="944"/>
    <w:next w:val="944"/>
    <w:link w:val="1118"/>
    <w:qFormat/>
    <w:pPr>
      <w:keepNext w:val="true"/>
      <w:pBdr/>
      <w:spacing w:after="120" w:before="120"/>
      <w:ind/>
      <w:jc w:val="center"/>
      <w:outlineLvl w:val="0"/>
    </w:pPr>
    <w:rPr>
      <w:b/>
      <w:bCs/>
      <w:sz w:val="27"/>
      <w:szCs w:val="27"/>
    </w:rPr>
  </w:style>
  <w:style w:type="paragraph" w:styleId="946">
    <w:name w:val="Heading 2"/>
    <w:basedOn w:val="944"/>
    <w:next w:val="944"/>
    <w:link w:val="1119"/>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947">
    <w:name w:val="Heading 3"/>
    <w:basedOn w:val="944"/>
    <w:next w:val="944"/>
    <w:link w:val="1120"/>
    <w:qFormat/>
    <w:pPr>
      <w:keepNext w:val="true"/>
      <w:pBdr/>
      <w:spacing w:before="60"/>
      <w:ind/>
      <w:outlineLvl w:val="2"/>
    </w:pPr>
    <w:rPr>
      <w:sz w:val="28"/>
      <w:szCs w:val="28"/>
    </w:rPr>
  </w:style>
  <w:style w:type="paragraph" w:styleId="948">
    <w:name w:val="Heading 4"/>
    <w:basedOn w:val="944"/>
    <w:next w:val="944"/>
    <w:link w:val="1121"/>
    <w:qFormat/>
    <w:pPr>
      <w:keepNext w:val="true"/>
      <w:pBdr/>
      <w:spacing/>
      <w:ind/>
      <w:jc w:val="center"/>
      <w:outlineLvl w:val="3"/>
    </w:pPr>
    <w:rPr>
      <w:b/>
      <w:bCs/>
    </w:rPr>
  </w:style>
  <w:style w:type="paragraph" w:styleId="949">
    <w:name w:val="Heading 5"/>
    <w:basedOn w:val="944"/>
    <w:next w:val="944"/>
    <w:link w:val="1082"/>
    <w:uiPriority w:val="9"/>
    <w:unhideWhenUsed/>
    <w:qFormat/>
    <w:pPr>
      <w:keepNext w:val="true"/>
      <w:keepLines w:val="true"/>
      <w:pBdr/>
      <w:spacing w:after="40" w:before="80"/>
      <w:ind/>
      <w:outlineLvl w:val="4"/>
    </w:pPr>
    <w:rPr>
      <w:rFonts w:ascii="Arial" w:hAnsi="Arial" w:eastAsia="Arial" w:cs="Arial"/>
      <w:color w:val="365f91" w:themeColor="accent1" w:themeShade="BF"/>
    </w:rPr>
  </w:style>
  <w:style w:type="paragraph" w:styleId="950">
    <w:name w:val="Heading 6"/>
    <w:basedOn w:val="944"/>
    <w:next w:val="944"/>
    <w:link w:val="1083"/>
    <w:uiPriority w:val="9"/>
    <w:unhideWhenUsed/>
    <w:qFormat/>
    <w:pPr>
      <w:keepNext w:val="true"/>
      <w:keepLines w:val="true"/>
      <w:pBdr/>
      <w:spacing w:before="40"/>
      <w:ind/>
      <w:outlineLvl w:val="5"/>
    </w:pPr>
    <w:rPr>
      <w:rFonts w:ascii="Arial" w:hAnsi="Arial" w:eastAsia="Arial" w:cs="Arial"/>
      <w:i/>
      <w:iCs/>
      <w:color w:val="595959" w:themeColor="text1" w:themeTint="A6"/>
    </w:rPr>
  </w:style>
  <w:style w:type="paragraph" w:styleId="951">
    <w:name w:val="Heading 7"/>
    <w:basedOn w:val="944"/>
    <w:next w:val="944"/>
    <w:link w:val="1084"/>
    <w:uiPriority w:val="9"/>
    <w:unhideWhenUsed/>
    <w:qFormat/>
    <w:pPr>
      <w:keepNext w:val="true"/>
      <w:keepLines w:val="true"/>
      <w:pBdr/>
      <w:spacing w:before="40"/>
      <w:ind/>
      <w:outlineLvl w:val="6"/>
    </w:pPr>
    <w:rPr>
      <w:rFonts w:ascii="Arial" w:hAnsi="Arial" w:eastAsia="Arial" w:cs="Arial"/>
      <w:color w:val="595959" w:themeColor="text1" w:themeTint="A6"/>
    </w:rPr>
  </w:style>
  <w:style w:type="paragraph" w:styleId="952">
    <w:name w:val="Heading 8"/>
    <w:basedOn w:val="944"/>
    <w:next w:val="944"/>
    <w:link w:val="1085"/>
    <w:uiPriority w:val="9"/>
    <w:unhideWhenUsed/>
    <w:qFormat/>
    <w:pPr>
      <w:keepNext w:val="true"/>
      <w:keepLines w:val="true"/>
      <w:pBdr/>
      <w:spacing/>
      <w:ind/>
      <w:outlineLvl w:val="7"/>
    </w:pPr>
    <w:rPr>
      <w:rFonts w:ascii="Arial" w:hAnsi="Arial" w:eastAsia="Arial" w:cs="Arial"/>
      <w:i/>
      <w:iCs/>
      <w:color w:val="272727" w:themeColor="text1" w:themeTint="D8"/>
    </w:rPr>
  </w:style>
  <w:style w:type="paragraph" w:styleId="953">
    <w:name w:val="Heading 9"/>
    <w:basedOn w:val="944"/>
    <w:next w:val="944"/>
    <w:link w:val="1086"/>
    <w:uiPriority w:val="9"/>
    <w:unhideWhenUsed/>
    <w:qFormat/>
    <w:pPr>
      <w:keepNext w:val="true"/>
      <w:keepLines w:val="true"/>
      <w:pBdr/>
      <w:spacing/>
      <w:ind/>
      <w:outlineLvl w:val="8"/>
    </w:pPr>
    <w:rPr>
      <w:rFonts w:ascii="Arial" w:hAnsi="Arial" w:eastAsia="Arial" w:cs="Arial"/>
      <w:i/>
      <w:iCs/>
      <w:color w:val="272727" w:themeColor="text1" w:themeTint="D8"/>
    </w:rPr>
  </w:style>
  <w:style w:type="character" w:styleId="954" w:default="1">
    <w:name w:val="Default Paragraph Font"/>
    <w:uiPriority w:val="1"/>
    <w:semiHidden/>
    <w:unhideWhenUsed/>
    <w:pPr>
      <w:pBdr/>
      <w:spacing/>
      <w:ind/>
    </w:pPr>
  </w:style>
  <w:style w:type="table" w:styleId="95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56" w:default="1">
    <w:name w:val="No List"/>
    <w:uiPriority w:val="99"/>
    <w:semiHidden/>
    <w:unhideWhenUsed/>
    <w:pPr>
      <w:pBdr/>
      <w:spacing/>
      <w:ind/>
    </w:pPr>
  </w:style>
  <w:style w:type="table" w:styleId="957">
    <w:name w:val="Grid Table Light"/>
    <w:basedOn w:val="955"/>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Plain Table 1"/>
    <w:basedOn w:val="955"/>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Plain Table 2"/>
    <w:basedOn w:val="955"/>
    <w:uiPriority w:val="59"/>
    <w:pPr>
      <w:pBdr/>
      <w:spacing w:after="0" w:line="240" w:lineRule="auto"/>
      <w:ind/>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Plain Table 3"/>
    <w:basedOn w:val="955"/>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Plain Table 4"/>
    <w:basedOn w:val="955"/>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Plain Table 5"/>
    <w:basedOn w:val="955"/>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right w:val="single" w:color="404040" w:sz="4" w:space="0"/>
        </w:tcBorders>
      </w:tcPr>
    </w:tblStylePr>
    <w:tblStylePr w:type="firstRow">
      <w:rPr>
        <w:i/>
        <w:color w:val="404040"/>
      </w:rPr>
      <w:pPr>
        <w:pBdr/>
        <w:spacing/>
        <w:ind/>
      </w:pPr>
      <w:tblPr>
        <w:tblBorders/>
      </w:tblPr>
      <w:tcPr>
        <w:shd w:val="clear" w:color="ffffff" w:fill="auto"/>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fill="auto"/>
        <w:tcBorders>
          <w:left w:val="single" w:color="404040" w:sz="4" w:space="0"/>
        </w:tcBorders>
      </w:tcPr>
    </w:tblStylePr>
    <w:tblStylePr w:type="lastRow">
      <w:rPr>
        <w:i/>
        <w:color w:val="404040"/>
      </w:rPr>
      <w:pPr>
        <w:pBdr/>
        <w:spacing/>
        <w:ind/>
      </w:pPr>
      <w:tblPr>
        <w:tblBorders/>
      </w:tblPr>
      <w:tcPr>
        <w:shd w:val="clear" w:color="ffffff" w:fill="auto"/>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Grid Table 1 Light"/>
    <w:basedOn w:val="955"/>
    <w:uiPriority w:val="99"/>
    <w:pPr>
      <w:pBdr/>
      <w:spacing w:after="0" w:line="240" w:lineRule="auto"/>
      <w:ind/>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cPr>
      <w:tcBorders/>
    </w:tcPr>
    <w:tblStylePr w:type="band1Horz">
      <w:rPr>
        <w:rFonts w:ascii="Arial" w:hAnsi="Arial"/>
        <w:color w:val="404040"/>
        <w:sz w:val="22"/>
      </w:rPr>
      <w:pPr>
        <w:pBdr/>
        <w:spacing/>
        <w:ind/>
      </w:pPr>
      <w:tblPr>
        <w:tblBorders/>
      </w:tbl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a6a6a"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Grid Table 1 Light Accent 1"/>
    <w:basedOn w:val="955"/>
    <w:uiPriority w:val="99"/>
    <w:pPr>
      <w:pBdr/>
      <w:spacing w:after="0" w:line="240" w:lineRule="auto"/>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7b4d8"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Grid Table 1 Light Accent 2"/>
    <w:basedOn w:val="955"/>
    <w:uiPriority w:val="99"/>
    <w:pPr>
      <w:pBdr/>
      <w:spacing w:after="0" w:line="240" w:lineRule="auto"/>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da9896"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Grid Table 1 Light Accent 3"/>
    <w:basedOn w:val="955"/>
    <w:uiPriority w:val="99"/>
    <w:pPr>
      <w:pBdr/>
      <w:spacing w:after="0" w:line="240" w:lineRule="auto"/>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c4d79d"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Grid Table 1 Light Accent 4"/>
    <w:basedOn w:val="955"/>
    <w:uiPriority w:val="99"/>
    <w:pPr>
      <w:pBdr/>
      <w:spacing w:after="0" w:line="240" w:lineRule="auto"/>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b4a4c8"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Grid Table 1 Light Accent 5"/>
    <w:basedOn w:val="955"/>
    <w:uiPriority w:val="99"/>
    <w:pPr>
      <w:pBdr/>
      <w:spacing w:after="0" w:line="240" w:lineRule="auto"/>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5cedd"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Grid Table 1 Light Accent 6"/>
    <w:basedOn w:val="955"/>
    <w:uiPriority w:val="99"/>
    <w:pPr>
      <w:pBdr/>
      <w:spacing w:after="0" w:line="240" w:lineRule="auto"/>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ac192"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Grid Table 2"/>
    <w:basedOn w:val="955"/>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Grid Table 2 Accent 1"/>
    <w:basedOn w:val="955"/>
    <w:uiPriority w:val="99"/>
    <w:pPr>
      <w:pBdr/>
      <w:spacing w:after="0" w:line="240" w:lineRule="auto"/>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d8ac2"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d8ac2"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Grid Table 2 Accent 2"/>
    <w:basedOn w:val="955"/>
    <w:uiPriority w:val="99"/>
    <w:pPr>
      <w:pBdr/>
      <w:spacing w:after="0" w:line="240" w:lineRule="auto"/>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d99695"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Grid Table 2 Accent 3"/>
    <w:basedOn w:val="955"/>
    <w:uiPriority w:val="99"/>
    <w:pPr>
      <w:pBdr/>
      <w:spacing w:after="0" w:line="240" w:lineRule="auto"/>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9abb59"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Grid Table 2 Accent 4"/>
    <w:basedOn w:val="955"/>
    <w:uiPriority w:val="99"/>
    <w:pPr>
      <w:pBdr/>
      <w:spacing w:after="0" w:line="240" w:lineRule="auto"/>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b2a1c6"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Grid Table 2 Accent 5"/>
    <w:basedOn w:val="955"/>
    <w:uiPriority w:val="99"/>
    <w:pPr>
      <w:pBdr/>
      <w:spacing w:after="0" w:line="240" w:lineRule="auto"/>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Grid Table 2 Accent 6"/>
    <w:basedOn w:val="955"/>
    <w:uiPriority w:val="99"/>
    <w:pPr>
      <w:pBdr/>
      <w:spacing w:after="0" w:line="240" w:lineRule="auto"/>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Grid Table 3"/>
    <w:basedOn w:val="955"/>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8">
    <w:name w:val="Grid Table 3 Accent 1"/>
    <w:basedOn w:val="955"/>
    <w:uiPriority w:val="99"/>
    <w:pPr>
      <w:pBdr/>
      <w:spacing w:after="0" w:line="240" w:lineRule="auto"/>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9">
    <w:name w:val="Grid Table 3 Accent 2"/>
    <w:basedOn w:val="955"/>
    <w:uiPriority w:val="99"/>
    <w:pPr>
      <w:pBdr/>
      <w:spacing w:after="0" w:line="240" w:lineRule="auto"/>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0">
    <w:name w:val="Grid Table 3 Accent 3"/>
    <w:basedOn w:val="955"/>
    <w:uiPriority w:val="99"/>
    <w:pPr>
      <w:pBdr/>
      <w:spacing w:after="0" w:line="240" w:lineRule="auto"/>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1">
    <w:name w:val="Grid Table 3 Accent 4"/>
    <w:basedOn w:val="955"/>
    <w:uiPriority w:val="99"/>
    <w:pPr>
      <w:pBdr/>
      <w:spacing w:after="0" w:line="240" w:lineRule="auto"/>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2">
    <w:name w:val="Grid Table 3 Accent 5"/>
    <w:basedOn w:val="955"/>
    <w:uiPriority w:val="99"/>
    <w:pPr>
      <w:pBdr/>
      <w:spacing w:after="0" w:line="240" w:lineRule="auto"/>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3">
    <w:name w:val="Grid Table 3 Accent 6"/>
    <w:basedOn w:val="955"/>
    <w:uiPriority w:val="99"/>
    <w:pPr>
      <w:pBdr/>
      <w:spacing w:after="0" w:line="240" w:lineRule="auto"/>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4">
    <w:name w:val="Grid Table 4"/>
    <w:basedOn w:val="955"/>
    <w:uiPriority w:val="59"/>
    <w:pPr>
      <w:pBdr/>
      <w:spacing w:after="0" w:line="240" w:lineRule="auto"/>
      <w:ind/>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5">
    <w:name w:val="Grid Table 4 Accent 1"/>
    <w:basedOn w:val="955"/>
    <w:uiPriority w:val="59"/>
    <w:pPr>
      <w:pBdr/>
      <w:spacing w:after="0" w:line="240" w:lineRule="auto"/>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d8ac2" w:themeColor="accent1" w:themeTint="EA" w:fill="5d8ac2" w:themeFill="accent1" w:themeFillTint="EA"/>
        <w:tcBorders>
          <w:top w:val="single" w:color="5d8ac2" w:themeColor="accent1" w:themeTint="EA" w:sz="4" w:space="0"/>
          <w:left w:val="single" w:color="5d8ac2" w:themeColor="accent1" w:themeTint="EA" w:sz="4" w:space="0"/>
          <w:bottom w:val="single" w:color="5d8ac2" w:themeColor="accent1" w:themeTint="EA" w:sz="4" w:space="0"/>
          <w:right w:val="single" w:color="5d8ac2"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d8ac2"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6">
    <w:name w:val="Grid Table 4 Accent 2"/>
    <w:basedOn w:val="955"/>
    <w:uiPriority w:val="59"/>
    <w:pPr>
      <w:pBdr/>
      <w:spacing w:after="0" w:line="240" w:lineRule="auto"/>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7">
    <w:name w:val="Grid Table 4 Accent 3"/>
    <w:basedOn w:val="955"/>
    <w:uiPriority w:val="59"/>
    <w:pPr>
      <w:pBdr/>
      <w:spacing w:after="0" w:line="240" w:lineRule="auto"/>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abb59" w:themeColor="accent3" w:themeTint="FE" w:fill="9abb59" w:themeFill="accent3" w:themeFillTint="FE"/>
        <w:tc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abb59"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8">
    <w:name w:val="Grid Table 4 Accent 4"/>
    <w:basedOn w:val="955"/>
    <w:uiPriority w:val="59"/>
    <w:pPr>
      <w:pBdr/>
      <w:spacing w:after="0" w:line="240" w:lineRule="auto"/>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9">
    <w:name w:val="Grid Table 4 Accent 5"/>
    <w:basedOn w:val="955"/>
    <w:uiPriority w:val="59"/>
    <w:pPr>
      <w:pBdr/>
      <w:spacing w:after="0" w:line="240" w:lineRule="auto"/>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0">
    <w:name w:val="Grid Table 4 Accent 6"/>
    <w:basedOn w:val="955"/>
    <w:uiPriority w:val="59"/>
    <w:pPr>
      <w:pBdr/>
      <w:spacing w:after="0" w:line="240" w:lineRule="auto"/>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1">
    <w:name w:val="Grid Table 5 Dark"/>
    <w:basedOn w:val="95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cPr>
      <w:tcBorders/>
    </w:tcPr>
    <w:tblStylePr w:type="band1Horz">
      <w:pPr>
        <w:pBdr/>
        <w:spacing/>
        <w:ind/>
      </w:pPr>
      <w:tblPr>
        <w:tblBorders/>
      </w:tblPr>
      <w:tcPr>
        <w:shd w:val="clear" w:color="8a8a8a" w:themeColor="text1" w:themeTint="75" w:fill="8a8a8a" w:themeFill="text1" w:themeFillTint="75"/>
        <w:tcBorders/>
      </w:tcPr>
    </w:tblStylePr>
    <w:tblStylePr w:type="band1Vert">
      <w:pPr>
        <w:pBdr/>
        <w:spacing/>
        <w:ind/>
      </w:pPr>
      <w:tblPr>
        <w:tblBorders/>
      </w:tblPr>
      <w:tcPr>
        <w:shd w:val="clear" w:color="8a8a8a"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00000" w:themeColor="text1" w:fill="000000" w:themeFill="text1"/>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rFonts w:ascii="Arial" w:hAnsi="Arial"/>
        <w:b/>
        <w:color w:val="ffffff"/>
        <w:sz w:val="22"/>
      </w:rPr>
      <w:pPr>
        <w:pBdr/>
        <w:spacing/>
        <w:ind/>
      </w:pPr>
      <w:tblPr>
        <w:tblBorders/>
      </w:tblPr>
      <w:tcPr>
        <w:shd w:val="clear" w:color="000000" w:themeColor="text1" w:fill="000000" w:themeFill="text1"/>
        <w:tcBorders/>
      </w:tcPr>
    </w:tblStylePr>
    <w:tblStylePr w:type="lastRow">
      <w:rPr>
        <w:rFonts w:ascii="Arial" w:hAnsi="Arial"/>
        <w:b/>
        <w:color w:val="ffffff"/>
        <w:sz w:val="22"/>
      </w:rPr>
      <w:pPr>
        <w:pBdr/>
        <w:spacing/>
        <w:ind/>
      </w:pPr>
      <w:tblPr>
        <w:tblBorders/>
      </w:tblPr>
      <w:tcPr>
        <w:shd w:val="clear" w:color="000000" w:themeColor="text1" w:fill="000000" w:themeFill="tex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2" w:customStyle="1">
    <w:name w:val="Grid Table 5 Dark- Accent 1"/>
    <w:basedOn w:val="95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5f1" w:themeColor="accent1" w:themeTint="34" w:fill="dae5f1" w:themeFill="accent1" w:themeFillTint="34"/>
    </w:tblPr>
    <w:tcPr>
      <w:tcBorders/>
    </w:tcPr>
    <w:tblStylePr w:type="band1Horz">
      <w:pPr>
        <w:pBdr/>
        <w:spacing/>
        <w:ind/>
      </w:pPr>
      <w:tblPr>
        <w:tblBorders/>
      </w:tblPr>
      <w:tcPr>
        <w:shd w:val="clear" w:color="aec4e0" w:themeColor="accent1" w:themeTint="75" w:fill="aec4e0" w:themeFill="accent1" w:themeFillTint="75"/>
        <w:tcBorders/>
      </w:tcPr>
    </w:tblStylePr>
    <w:tblStylePr w:type="band1Vert">
      <w:pPr>
        <w:pBdr/>
        <w:spacing/>
        <w:ind/>
      </w:pPr>
      <w:tblPr>
        <w:tblBorders/>
      </w:tblPr>
      <w:tcPr>
        <w:shd w:val="clear" w:color="aec4e0" w:themeColor="accent1" w:themeTint="75" w:fill="aec4e0"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f81bd" w:themeColor="accent1" w:fill="4f81bd" w:themeFill="accent1"/>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rFonts w:ascii="Arial" w:hAnsi="Arial"/>
        <w:b/>
        <w:color w:val="ffffff"/>
        <w:sz w:val="22"/>
      </w:rPr>
      <w:pPr>
        <w:pBdr/>
        <w:spacing/>
        <w:ind/>
      </w:pPr>
      <w:tblPr>
        <w:tblBorders/>
      </w:tblPr>
      <w:tcPr>
        <w:shd w:val="clear" w:color="4f81bd" w:themeColor="accent1" w:fill="4f81bd" w:themeFill="accent1"/>
        <w:tcBorders/>
      </w:tcPr>
    </w:tblStylePr>
    <w:tblStylePr w:type="lastRow">
      <w:rPr>
        <w:rFonts w:ascii="Arial" w:hAnsi="Arial"/>
        <w:b/>
        <w:color w:val="ffffff"/>
        <w:sz w:val="22"/>
      </w:rPr>
      <w:pPr>
        <w:pBdr/>
        <w:spacing/>
        <w:ind/>
      </w:pPr>
      <w:tblPr>
        <w:tblBorders/>
      </w:tblPr>
      <w:tcPr>
        <w:shd w:val="clear" w:color="4f81bd" w:themeColor="accent1" w:fill="4f81bd" w:themeFill="accen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3">
    <w:name w:val="Grid Table 5 Dark Accent 2"/>
    <w:basedOn w:val="95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2dcdc" w:themeColor="accent2" w:themeTint="32" w:fill="f2dcdc" w:themeFill="accent2" w:themeFillTint="32"/>
    </w:tblPr>
    <w:tcPr>
      <w:tcBorders/>
    </w:tcPr>
    <w:tblStylePr w:type="band1Horz">
      <w:pPr>
        <w:pBdr/>
        <w:spacing/>
        <w:ind/>
      </w:pPr>
      <w:tblPr>
        <w:tblBorders/>
      </w:tblPr>
      <w:tcPr>
        <w:shd w:val="clear" w:color="e2aead" w:themeColor="accent2" w:themeTint="75" w:fill="e2aead" w:themeFill="accent2" w:themeFillTint="75"/>
        <w:tcBorders/>
      </w:tcPr>
    </w:tblStylePr>
    <w:tblStylePr w:type="band1Vert">
      <w:pPr>
        <w:pBdr/>
        <w:spacing/>
        <w:ind/>
      </w:pPr>
      <w:tblPr>
        <w:tblBorders/>
      </w:tblPr>
      <w:tcPr>
        <w:shd w:val="clear" w:color="e2aead" w:themeColor="accent2" w:themeTint="75" w:fill="e2ae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c0504d" w:themeColor="accent2" w:fill="c0504d" w:themeFill="accent2"/>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rFonts w:ascii="Arial" w:hAnsi="Arial"/>
        <w:b/>
        <w:color w:val="ffffff"/>
        <w:sz w:val="22"/>
      </w:rPr>
      <w:pPr>
        <w:pBdr/>
        <w:spacing/>
        <w:ind/>
      </w:pPr>
      <w:tblPr>
        <w:tblBorders/>
      </w:tblPr>
      <w:tcPr>
        <w:shd w:val="clear" w:color="c0504d" w:themeColor="accent2" w:fill="c0504d" w:themeFill="accent2"/>
        <w:tcBorders/>
      </w:tcPr>
    </w:tblStylePr>
    <w:tblStylePr w:type="lastRow">
      <w:rPr>
        <w:rFonts w:ascii="Arial" w:hAnsi="Arial"/>
        <w:b/>
        <w:color w:val="ffffff"/>
        <w:sz w:val="22"/>
      </w:rPr>
      <w:pPr>
        <w:pBdr/>
        <w:spacing/>
        <w:ind/>
      </w:pPr>
      <w:tblPr>
        <w:tblBorders/>
      </w:tblPr>
      <w:tcPr>
        <w:shd w:val="clear" w:color="c0504d" w:themeColor="accent2" w:fill="c0504d" w:themeFill="accent2"/>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4">
    <w:name w:val="Grid Table 5 Dark Accent 3"/>
    <w:basedOn w:val="95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af1dc" w:themeColor="accent3" w:themeTint="34" w:fill="eaf1dc" w:themeFill="accent3" w:themeFillTint="34"/>
    </w:tblPr>
    <w:tcPr>
      <w:tcBorders/>
    </w:tcPr>
    <w:tblStylePr w:type="band1Horz">
      <w:pPr>
        <w:pBdr/>
        <w:spacing/>
        <w:ind/>
      </w:pPr>
      <w:tblPr>
        <w:tblBorders/>
      </w:tblPr>
      <w:tcPr>
        <w:shd w:val="clear" w:color="d0dfb2" w:themeColor="accent3" w:themeTint="75" w:fill="d0dfb2" w:themeFill="accent3" w:themeFillTint="75"/>
        <w:tcBorders/>
      </w:tcPr>
    </w:tblStylePr>
    <w:tblStylePr w:type="band1Vert">
      <w:pPr>
        <w:pBdr/>
        <w:spacing/>
        <w:ind/>
      </w:pPr>
      <w:tblPr>
        <w:tblBorders/>
      </w:tblPr>
      <w:tcPr>
        <w:shd w:val="clear" w:color="d0dfb2" w:themeColor="accent3" w:themeTint="75" w:fill="d0dfb2"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9bbb59" w:themeColor="accent3" w:fill="9bbb59" w:themeFill="accent3"/>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rFonts w:ascii="Arial" w:hAnsi="Arial"/>
        <w:b/>
        <w:color w:val="ffffff"/>
        <w:sz w:val="22"/>
      </w:rPr>
      <w:pPr>
        <w:pBdr/>
        <w:spacing/>
        <w:ind/>
      </w:pPr>
      <w:tblPr>
        <w:tblBorders/>
      </w:tblPr>
      <w:tcPr>
        <w:shd w:val="clear" w:color="9bbb59" w:themeColor="accent3" w:fill="9bbb59" w:themeFill="accent3"/>
        <w:tcBorders/>
      </w:tcPr>
    </w:tblStylePr>
    <w:tblStylePr w:type="lastRow">
      <w:rPr>
        <w:rFonts w:ascii="Arial" w:hAnsi="Arial"/>
        <w:b/>
        <w:color w:val="ffffff"/>
        <w:sz w:val="22"/>
      </w:rPr>
      <w:pPr>
        <w:pBdr/>
        <w:spacing/>
        <w:ind/>
      </w:pPr>
      <w:tblPr>
        <w:tblBorders/>
      </w:tblPr>
      <w:tcPr>
        <w:shd w:val="clear" w:color="9bbb59" w:themeColor="accent3" w:fill="9bbb59" w:themeFill="accent3"/>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5" w:customStyle="1">
    <w:name w:val="Grid Table 5 Dark- Accent 4"/>
    <w:basedOn w:val="95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5dfec" w:themeColor="accent4" w:themeTint="34" w:fill="e5dfec" w:themeFill="accent4" w:themeFillTint="34"/>
    </w:tblPr>
    <w:tcPr>
      <w:tcBorders/>
    </w:tcPr>
    <w:tblStylePr w:type="band1Horz">
      <w:pPr>
        <w:pBdr/>
        <w:spacing/>
        <w:ind/>
      </w:pPr>
      <w:tblPr>
        <w:tblBorders/>
      </w:tblPr>
      <w:tcPr>
        <w:shd w:val="clear" w:color="c4b7d4" w:themeColor="accent4" w:themeTint="75" w:fill="c4b7d4" w:themeFill="accent4" w:themeFillTint="75"/>
        <w:tcBorders/>
      </w:tcPr>
    </w:tblStylePr>
    <w:tblStylePr w:type="band1Vert">
      <w:pPr>
        <w:pBdr/>
        <w:spacing/>
        <w:ind/>
      </w:pPr>
      <w:tblPr>
        <w:tblBorders/>
      </w:tblPr>
      <w:tcPr>
        <w:shd w:val="clear" w:color="c4b7d4" w:themeColor="accent4" w:themeTint="75" w:fill="c4b7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8064a2" w:themeColor="accent4" w:fill="8064a2" w:themeFill="accent4"/>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rFonts w:ascii="Arial" w:hAnsi="Arial"/>
        <w:b/>
        <w:color w:val="ffffff"/>
        <w:sz w:val="22"/>
      </w:rPr>
      <w:pPr>
        <w:pBdr/>
        <w:spacing/>
        <w:ind/>
      </w:pPr>
      <w:tblPr>
        <w:tblBorders/>
      </w:tblPr>
      <w:tcPr>
        <w:shd w:val="clear" w:color="8064a2" w:themeColor="accent4" w:fill="8064a2" w:themeFill="accent4"/>
        <w:tcBorders/>
      </w:tcPr>
    </w:tblStylePr>
    <w:tblStylePr w:type="lastRow">
      <w:rPr>
        <w:rFonts w:ascii="Arial" w:hAnsi="Arial"/>
        <w:b/>
        <w:color w:val="ffffff"/>
        <w:sz w:val="22"/>
      </w:rPr>
      <w:pPr>
        <w:pBdr/>
        <w:spacing/>
        <w:ind/>
      </w:pPr>
      <w:tblPr>
        <w:tblBorders/>
      </w:tblPr>
      <w:tcPr>
        <w:shd w:val="clear" w:color="8064a2" w:themeColor="accent4" w:fill="8064a2" w:themeFill="accent4"/>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6">
    <w:name w:val="Grid Table 5 Dark Accent 5"/>
    <w:basedOn w:val="95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ef3" w:themeColor="accent5" w:themeTint="34" w:fill="daeef3" w:themeFill="accent5" w:themeFillTint="34"/>
    </w:tblPr>
    <w:tcPr>
      <w:tcBorders/>
    </w:tcPr>
    <w:tblStylePr w:type="band1Horz">
      <w:pPr>
        <w:pBdr/>
        <w:spacing/>
        <w:ind/>
      </w:pPr>
      <w:tblPr>
        <w:tblBorders/>
      </w:tblPr>
      <w:tcPr>
        <w:shd w:val="clear" w:color="acd8e4" w:themeColor="accent5" w:themeTint="75" w:fill="acd8e4" w:themeFill="accent5" w:themeFillTint="75"/>
        <w:tcBorders/>
      </w:tcPr>
    </w:tblStylePr>
    <w:tblStylePr w:type="band1Vert">
      <w:pPr>
        <w:pBdr/>
        <w:spacing/>
        <w:ind/>
      </w:pPr>
      <w:tblPr>
        <w:tblBorders/>
      </w:tblPr>
      <w:tcPr>
        <w:shd w:val="clear" w:color="acd8e4" w:themeColor="accent5" w:themeTint="75" w:fill="acd8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bacc6" w:themeColor="accent5" w:fill="4bacc6" w:themeFill="accent5"/>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rFonts w:ascii="Arial" w:hAnsi="Arial"/>
        <w:b/>
        <w:color w:val="ffffff"/>
        <w:sz w:val="22"/>
      </w:rPr>
      <w:pPr>
        <w:pBdr/>
        <w:spacing/>
        <w:ind/>
      </w:pPr>
      <w:tblPr>
        <w:tblBorders/>
      </w:tblPr>
      <w:tcPr>
        <w:shd w:val="clear" w:color="4bacc6" w:themeColor="accent5" w:fill="4bacc6" w:themeFill="accent5"/>
        <w:tcBorders/>
      </w:tcPr>
    </w:tblStylePr>
    <w:tblStylePr w:type="lastRow">
      <w:rPr>
        <w:rFonts w:ascii="Arial" w:hAnsi="Arial"/>
        <w:b/>
        <w:color w:val="ffffff"/>
        <w:sz w:val="22"/>
      </w:rPr>
      <w:pPr>
        <w:pBdr/>
        <w:spacing/>
        <w:ind/>
      </w:pPr>
      <w:tblPr>
        <w:tblBorders/>
      </w:tblPr>
      <w:tcPr>
        <w:shd w:val="clear" w:color="4bacc6" w:themeColor="accent5" w:fill="4bacc6" w:themeFill="accent5"/>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7">
    <w:name w:val="Grid Table 5 Dark Accent 6"/>
    <w:basedOn w:val="95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de9d8" w:themeColor="accent6" w:themeTint="34" w:fill="fde9d8" w:themeFill="accent6" w:themeFillTint="34"/>
    </w:tblPr>
    <w:tcPr>
      <w:tcBorders/>
    </w:tcPr>
    <w:tblStylePr w:type="band1Horz">
      <w:pPr>
        <w:pBdr/>
        <w:spacing/>
        <w:ind/>
      </w:pPr>
      <w:tblPr>
        <w:tblBorders/>
      </w:tblPr>
      <w:tcPr>
        <w:shd w:val="clear" w:color="fbceaa" w:themeColor="accent6" w:themeTint="75" w:fill="fbceaa" w:themeFill="accent6" w:themeFillTint="75"/>
        <w:tcBorders/>
      </w:tcPr>
    </w:tblStylePr>
    <w:tblStylePr w:type="band1Vert">
      <w:pPr>
        <w:pBdr/>
        <w:spacing/>
        <w:ind/>
      </w:pPr>
      <w:tblPr>
        <w:tblBorders/>
      </w:tblPr>
      <w:tcPr>
        <w:shd w:val="clear" w:color="fbceaa" w:themeColor="accent6" w:themeTint="75" w:fill="fbce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79646" w:themeColor="accent6" w:fill="f79646" w:themeFill="accent6"/>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rFonts w:ascii="Arial" w:hAnsi="Arial"/>
        <w:b/>
        <w:color w:val="ffffff"/>
        <w:sz w:val="22"/>
      </w:rPr>
      <w:pPr>
        <w:pBdr/>
        <w:spacing/>
        <w:ind/>
      </w:pPr>
      <w:tblPr>
        <w:tblBorders/>
      </w:tblPr>
      <w:tcPr>
        <w:shd w:val="clear" w:color="f79646" w:themeColor="accent6" w:fill="f79646" w:themeFill="accent6"/>
        <w:tcBorders/>
      </w:tcPr>
    </w:tblStylePr>
    <w:tblStylePr w:type="lastRow">
      <w:rPr>
        <w:rFonts w:ascii="Arial" w:hAnsi="Arial"/>
        <w:b/>
        <w:color w:val="ffffff"/>
        <w:sz w:val="22"/>
      </w:rPr>
      <w:pPr>
        <w:pBdr/>
        <w:spacing/>
        <w:ind/>
      </w:pPr>
      <w:tblPr>
        <w:tblBorders/>
      </w:tblPr>
      <w:tcPr>
        <w:shd w:val="clear" w:color="f79646" w:themeColor="accent6" w:fill="f79646" w:themeFill="accent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8">
    <w:name w:val="Grid Table 6 Colorful"/>
    <w:basedOn w:val="955"/>
    <w:uiPriority w:val="99"/>
    <w:pPr>
      <w:pBdr/>
      <w:spacing w:after="0" w:line="240" w:lineRule="auto"/>
      <w:ind/>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cbcbcb" w:themeColor="text1" w:themeTint="34" w:fill="cbcbcb" w:themeFill="text1" w:themeFillTint="34"/>
        <w:tcBorders/>
      </w:tcPr>
    </w:tblStylePr>
    <w:tblStylePr w:type="band1Vert">
      <w:pPr>
        <w:pBdr/>
        <w:spacing/>
        <w:ind/>
      </w:pPr>
      <w:tblPr>
        <w:tblBorders/>
      </w:tblPr>
      <w:tcPr>
        <w:shd w:val="clear" w:color="cbcbcb" w:themeColor="text1" w:themeTint="34" w:fill="cbcbcb" w:themeFill="text1" w:themeFillTint="34"/>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f7f7f" w:themeColor="text1" w:themeTint="80" w:themeShade="95"/>
      </w:rPr>
      <w:pPr>
        <w:pBdr/>
        <w:spacing/>
        <w:ind/>
      </w:pPr>
      <w:tblPr>
        <w:tblBorders/>
      </w:tblPr>
      <w:tcPr>
        <w:tcBorders/>
      </w:tcPr>
    </w:tblStylePr>
    <w:tblStylePr w:type="firstRow">
      <w:rPr>
        <w:b/>
        <w:color w:val="7f7f7f" w:themeColor="text1" w:themeTint="80" w:themeShade="95"/>
      </w:rPr>
      <w:pPr>
        <w:pBdr/>
        <w:spacing/>
        <w:ind/>
      </w:pPr>
      <w:tblPr>
        <w:tblBorders/>
      </w:tblPr>
      <w:tcPr>
        <w:tcBorders>
          <w:bottom w:val="single" w:color="7f7f7f" w:themeColor="text1" w:themeTint="80" w:sz="12" w:space="0"/>
        </w:tcBorders>
      </w:tcPr>
    </w:tblStylePr>
    <w:tblStylePr w:type="lastCol">
      <w:rPr>
        <w:b/>
        <w:color w:val="7f7f7f" w:themeColor="text1" w:themeTint="80" w:themeShade="95"/>
      </w:rPr>
      <w:pPr>
        <w:pBdr/>
        <w:spacing/>
        <w:ind/>
      </w:pPr>
      <w:tblPr>
        <w:tblBorders/>
      </w:tblPr>
      <w:tcPr>
        <w:tcBorders/>
      </w:tcPr>
    </w:tblStylePr>
    <w:tblStylePr w:type="lastRow">
      <w:rPr>
        <w:b/>
        <w:color w:val="7f7f7f"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9">
    <w:name w:val="Grid Table 6 Colorful Accent 1"/>
    <w:basedOn w:val="955"/>
    <w:uiPriority w:val="99"/>
    <w:pPr>
      <w:pBdr/>
      <w:spacing w:after="0" w:line="240" w:lineRule="auto"/>
      <w:ind/>
    </w:pPr>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6bfdd" w:themeColor="accent1" w:themeTint="80" w:themeShade="95"/>
      </w:rPr>
      <w:pPr>
        <w:pBdr/>
        <w:spacing/>
        <w:ind/>
      </w:pPr>
      <w:tblPr>
        <w:tblBorders/>
      </w:tblPr>
      <w:tcPr>
        <w:tcBorders/>
      </w:tcPr>
    </w:tblStylePr>
    <w:tblStylePr w:type="firstRow">
      <w:rPr>
        <w:b/>
        <w:color w:val="a6bfdd" w:themeColor="accent1" w:themeTint="80" w:themeShade="95"/>
      </w:rPr>
      <w:pPr>
        <w:pBdr/>
        <w:spacing/>
        <w:ind/>
      </w:pPr>
      <w:tblPr>
        <w:tblBorders/>
      </w:tblPr>
      <w:tcPr>
        <w:tcBorders>
          <w:bottom w:val="single" w:color="a6bfdd" w:themeColor="accent1" w:themeTint="80" w:sz="12" w:space="0"/>
        </w:tcBorders>
      </w:tcPr>
    </w:tblStylePr>
    <w:tblStylePr w:type="lastCol">
      <w:rPr>
        <w:b/>
        <w:color w:val="a6bfdd" w:themeColor="accent1" w:themeTint="80" w:themeShade="95"/>
      </w:rPr>
      <w:pPr>
        <w:pBdr/>
        <w:spacing/>
        <w:ind/>
      </w:pPr>
      <w:tblPr>
        <w:tblBorders/>
      </w:tblPr>
      <w:tcPr>
        <w:tcBorders/>
      </w:tcPr>
    </w:tblStylePr>
    <w:tblStylePr w:type="lastRow">
      <w:rPr>
        <w:b/>
        <w:color w:val="a6bfd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0">
    <w:name w:val="Grid Table 6 Colorful Accent 2"/>
    <w:basedOn w:val="955"/>
    <w:uiPriority w:val="99"/>
    <w:pPr>
      <w:pBdr/>
      <w:spacing w:after="0" w:line="240" w:lineRule="auto"/>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12"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1">
    <w:name w:val="Grid Table 6 Colorful Accent 3"/>
    <w:basedOn w:val="955"/>
    <w:uiPriority w:val="99"/>
    <w:pPr>
      <w:pBdr/>
      <w:spacing w:after="0" w:line="240" w:lineRule="auto"/>
      <w:ind/>
    </w:pPr>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abb59" w:themeColor="accent3" w:themeTint="FE" w:themeShade="95"/>
      </w:rPr>
      <w:pPr>
        <w:pBdr/>
        <w:spacing/>
        <w:ind/>
      </w:pPr>
      <w:tblPr>
        <w:tblBorders/>
      </w:tblPr>
      <w:tcPr>
        <w:tcBorders/>
      </w:tcPr>
    </w:tblStylePr>
    <w:tblStylePr w:type="firstRow">
      <w:rPr>
        <w:b/>
        <w:color w:val="9abb59" w:themeColor="accent3" w:themeTint="FE" w:themeShade="95"/>
      </w:rPr>
      <w:pPr>
        <w:pBdr/>
        <w:spacing/>
        <w:ind/>
      </w:pPr>
      <w:tblPr>
        <w:tblBorders/>
      </w:tblPr>
      <w:tcPr>
        <w:tcBorders>
          <w:bottom w:val="single" w:color="9abb59" w:themeColor="accent3" w:themeTint="FE" w:sz="12" w:space="0"/>
        </w:tcBorders>
      </w:tcPr>
    </w:tblStylePr>
    <w:tblStylePr w:type="lastCol">
      <w:rPr>
        <w:b/>
        <w:color w:val="9abb59" w:themeColor="accent3" w:themeTint="FE" w:themeShade="95"/>
      </w:rPr>
      <w:pPr>
        <w:pBdr/>
        <w:spacing/>
        <w:ind/>
      </w:pPr>
      <w:tblPr>
        <w:tblBorders/>
      </w:tblPr>
      <w:tcPr>
        <w:tcBorders/>
      </w:tcPr>
    </w:tblStylePr>
    <w:tblStylePr w:type="lastRow">
      <w:rPr>
        <w:b/>
        <w:color w:val="9abb59"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2">
    <w:name w:val="Grid Table 6 Colorful Accent 4"/>
    <w:basedOn w:val="955"/>
    <w:uiPriority w:val="99"/>
    <w:pPr>
      <w:pBdr/>
      <w:spacing w:after="0" w:line="240" w:lineRule="auto"/>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12"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3">
    <w:name w:val="Grid Table 6 Colorful Accent 5"/>
    <w:basedOn w:val="955"/>
    <w:uiPriority w:val="99"/>
    <w:pPr>
      <w:pBdr/>
      <w:spacing w:after="0" w:line="240" w:lineRule="auto"/>
      <w:ind/>
    </w:pPr>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4bacc6" w:themeColor="accent5"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4">
    <w:name w:val="Grid Table 6 Colorful Accent 6"/>
    <w:basedOn w:val="955"/>
    <w:uiPriority w:val="99"/>
    <w:pPr>
      <w:pBdr/>
      <w:spacing w:after="0" w:line="240" w:lineRule="auto"/>
      <w:ind/>
    </w:pPr>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266779" w:themeColor="accent5"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f79646" w:themeColor="accent6"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5">
    <w:name w:val="Grid Table 7 Colorful"/>
    <w:basedOn w:val="955"/>
    <w:uiPriority w:val="99"/>
    <w:pPr>
      <w:pBdr/>
      <w:spacing w:after="0" w:line="240" w:lineRule="auto"/>
      <w:ind/>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6">
    <w:name w:val="Grid Table 7 Colorful Accent 1"/>
    <w:basedOn w:val="955"/>
    <w:uiPriority w:val="99"/>
    <w:pPr>
      <w:pBdr/>
      <w:spacing w:after="0" w:line="240" w:lineRule="auto"/>
      <w:ind/>
    </w:pPr>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6bfdd" w:themeColor="accen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6bfdd" w:themeColor="accent1" w:themeTint="80" w:sz="4" w:space="0"/>
        </w:tcBorders>
      </w:tcPr>
    </w:tblStylePr>
    <w:tblStylePr w:type="fir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6bfdd" w:themeColor="accent1" w:themeTint="80" w:sz="4" w:space="0"/>
          <w:right w:val="none" w:color="000000" w:sz="4" w:space="0"/>
        </w:tcBorders>
      </w:tcPr>
    </w:tblStylePr>
    <w:tblStylePr w:type="lastCol">
      <w:rPr>
        <w:rFonts w:ascii="Arial" w:hAnsi="Arial"/>
        <w:i/>
        <w:color w:val="a6bfdd" w:themeColor="accent1" w:themeTint="80" w:themeShade="95"/>
        <w:sz w:val="22"/>
      </w:rPr>
      <w:pPr>
        <w:pBdr/>
        <w:spacing/>
        <w:ind/>
      </w:pPr>
      <w:tblPr>
        <w:tblBorders/>
      </w:tblPr>
      <w:tcPr>
        <w:shd w:val="clear" w:color="ffffff" w:fill="auto"/>
        <w:tcBorders>
          <w:top w:val="none" w:color="000000" w:sz="4" w:space="0"/>
          <w:left w:val="single" w:color="a6bfdd" w:themeColor="accent1" w:themeTint="80" w:sz="4" w:space="0"/>
          <w:bottom w:val="none" w:color="000000" w:sz="4" w:space="0"/>
          <w:right w:val="none" w:color="000000" w:sz="4" w:space="0"/>
        </w:tcBorders>
      </w:tcPr>
    </w:tblStylePr>
    <w:tblStylePr w:type="la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single" w:color="a6bfdd"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7">
    <w:name w:val="Grid Table 7 Colorful Accent 2"/>
    <w:basedOn w:val="955"/>
    <w:uiPriority w:val="99"/>
    <w:pPr>
      <w:pBdr/>
      <w:spacing w:after="0" w:line="240" w:lineRule="auto"/>
      <w:ind/>
    </w:pPr>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8">
    <w:name w:val="Grid Table 7 Colorful Accent 3"/>
    <w:basedOn w:val="955"/>
    <w:uiPriority w:val="99"/>
    <w:pPr>
      <w:pBdr/>
      <w:spacing w:after="0" w:line="240" w:lineRule="auto"/>
      <w:ind/>
    </w:pPr>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abb59" w:themeColor="accent3" w:themeTint="FE"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abb59" w:themeColor="accent3" w:themeTint="FE" w:sz="4" w:space="0"/>
        </w:tcBorders>
      </w:tcPr>
    </w:tblStylePr>
    <w:tblStylePr w:type="fir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abb59" w:themeColor="accent3" w:themeTint="FE" w:sz="4" w:space="0"/>
          <w:right w:val="none" w:color="000000" w:sz="4" w:space="0"/>
        </w:tcBorders>
      </w:tcPr>
    </w:tblStylePr>
    <w:tblStylePr w:type="lastCol">
      <w:rPr>
        <w:rFonts w:ascii="Arial" w:hAnsi="Arial"/>
        <w:i/>
        <w:color w:val="9abb59" w:themeColor="accent3" w:themeTint="FE" w:themeShade="95"/>
        <w:sz w:val="22"/>
      </w:rPr>
      <w:pPr>
        <w:pBdr/>
        <w:spacing/>
        <w:ind/>
      </w:pPr>
      <w:tblPr>
        <w:tblBorders/>
      </w:tblPr>
      <w:tcPr>
        <w:shd w:val="clear" w:color="ffffff" w:fill="auto"/>
        <w:tcBorders>
          <w:top w:val="none" w:color="000000" w:sz="4" w:space="0"/>
          <w:left w:val="single" w:color="9abb59" w:themeColor="accent3" w:themeTint="FE" w:sz="4" w:space="0"/>
          <w:bottom w:val="none" w:color="000000" w:sz="4" w:space="0"/>
          <w:right w:val="none" w:color="000000" w:sz="4" w:space="0"/>
        </w:tcBorders>
      </w:tcPr>
    </w:tblStylePr>
    <w:tblStylePr w:type="la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9">
    <w:name w:val="Grid Table 7 Colorful Accent 4"/>
    <w:basedOn w:val="955"/>
    <w:uiPriority w:val="99"/>
    <w:pPr>
      <w:pBdr/>
      <w:spacing w:after="0" w:line="240" w:lineRule="auto"/>
      <w:ind/>
    </w:pPr>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0">
    <w:name w:val="Grid Table 7 Colorful Accent 5"/>
    <w:basedOn w:val="955"/>
    <w:uiPriority w:val="99"/>
    <w:pPr>
      <w:pBdr/>
      <w:spacing w:after="0" w:line="240" w:lineRule="auto"/>
      <w:ind/>
    </w:pPr>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779" w:themeColor="accent5"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9d0de" w:themeColor="accent5" w:themeTint="90" w:sz="4" w:space="0"/>
        </w:tcBorders>
      </w:tcPr>
    </w:tblStylePr>
    <w:tblStylePr w:type="firstRow">
      <w:rPr>
        <w:rFonts w:ascii="Arial" w:hAnsi="Arial"/>
        <w:b/>
        <w:color w:val="2667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9d0de" w:themeColor="accent5" w:themeTint="90" w:sz="4" w:space="0"/>
          <w:right w:val="none" w:color="000000" w:sz="4" w:space="0"/>
        </w:tcBorders>
      </w:tcPr>
    </w:tblStylePr>
    <w:tblStylePr w:type="lastCol">
      <w:rPr>
        <w:rFonts w:ascii="Arial" w:hAnsi="Arial"/>
        <w:i/>
        <w:color w:val="266779" w:themeColor="accent5" w:themeShade="95"/>
        <w:sz w:val="22"/>
      </w:rPr>
      <w:pPr>
        <w:pBdr/>
        <w:spacing/>
        <w:ind/>
      </w:pPr>
      <w:tblPr>
        <w:tblBorders/>
      </w:tblPr>
      <w:tcPr>
        <w:shd w:val="clear" w:color="ffffff" w:fill="auto"/>
        <w:tcBorders>
          <w:top w:val="none" w:color="000000" w:sz="4" w:space="0"/>
          <w:left w:val="single" w:color="99d0de" w:themeColor="accent5" w:themeTint="90" w:sz="4" w:space="0"/>
          <w:bottom w:val="none" w:color="000000" w:sz="4" w:space="0"/>
          <w:right w:val="none" w:color="000000" w:sz="4" w:space="0"/>
        </w:tcBorders>
      </w:tcPr>
    </w:tblStylePr>
    <w:tblStylePr w:type="lastRow">
      <w:rPr>
        <w:rFonts w:ascii="Arial" w:hAnsi="Arial"/>
        <w:b/>
        <w:color w:val="266779" w:themeColor="accent5" w:themeShade="95"/>
        <w:sz w:val="22"/>
      </w:rPr>
      <w:pPr>
        <w:pBdr/>
        <w:spacing/>
        <w:ind/>
      </w:pPr>
      <w:tblPr>
        <w:tblBorders/>
      </w:tblPr>
      <w:tcPr>
        <w:shd w:val="clear" w:color="ffffff" w:themeColor="light1" w:fill="ffffff" w:themeFill="light1"/>
        <w:tcBorders>
          <w:top w:val="single" w:color="99d0de"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1">
    <w:name w:val="Grid Table 7 Colorful Accent 6"/>
    <w:basedOn w:val="955"/>
    <w:uiPriority w:val="99"/>
    <w:pPr>
      <w:pBdr/>
      <w:spacing w:after="0" w:line="240" w:lineRule="auto"/>
      <w:ind/>
    </w:pPr>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b15407" w:themeColor="accent6"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b15407"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15407" w:themeColor="accent6"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396" w:themeColor="accent6" w:themeTint="90" w:sz="4" w:space="0"/>
        </w:tcBorders>
      </w:tcPr>
    </w:tblStylePr>
    <w:tblStylePr w:type="firstRow">
      <w:rPr>
        <w:rFonts w:ascii="Arial" w:hAnsi="Arial"/>
        <w:b/>
        <w:color w:val="b15407"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ac396" w:themeColor="accent6" w:themeTint="90" w:sz="4" w:space="0"/>
          <w:right w:val="none" w:color="000000" w:sz="4" w:space="0"/>
        </w:tcBorders>
      </w:tcPr>
    </w:tblStylePr>
    <w:tblStylePr w:type="lastCol">
      <w:rPr>
        <w:rFonts w:ascii="Arial" w:hAnsi="Arial"/>
        <w:i/>
        <w:color w:val="b15407" w:themeColor="accent6" w:themeShade="95"/>
        <w:sz w:val="22"/>
      </w:rPr>
      <w:pPr>
        <w:pBdr/>
        <w:spacing/>
        <w:ind/>
      </w:pPr>
      <w:tblPr>
        <w:tblBorders/>
      </w:tblPr>
      <w:tcPr>
        <w:shd w:val="clear" w:color="ffffff" w:fill="auto"/>
        <w:tcBorders>
          <w:top w:val="none" w:color="000000" w:sz="4" w:space="0"/>
          <w:left w:val="single" w:color="fac396" w:themeColor="accent6" w:themeTint="90" w:sz="4" w:space="0"/>
          <w:bottom w:val="none" w:color="000000" w:sz="4" w:space="0"/>
          <w:right w:val="none" w:color="000000" w:sz="4" w:space="0"/>
        </w:tcBorders>
      </w:tcPr>
    </w:tblStylePr>
    <w:tblStylePr w:type="lastRow">
      <w:rPr>
        <w:rFonts w:ascii="Arial" w:hAnsi="Arial"/>
        <w:b/>
        <w:color w:val="b15407" w:themeColor="accent6" w:themeShade="95"/>
        <w:sz w:val="22"/>
      </w:rPr>
      <w:pPr>
        <w:pBdr/>
        <w:spacing/>
        <w:ind/>
      </w:pPr>
      <w:tblPr>
        <w:tblBorders/>
      </w:tblPr>
      <w:tcPr>
        <w:shd w:val="clear" w:color="ffffff" w:themeColor="light1" w:fill="ffffff" w:themeFill="light1"/>
        <w:tcBorders>
          <w:top w:val="single" w:color="fac396"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2">
    <w:name w:val="List Table 1 Light"/>
    <w:basedOn w:val="95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3">
    <w:name w:val="List Table 1 Light Accent 1"/>
    <w:basedOn w:val="95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f81bd"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4">
    <w:name w:val="List Table 1 Light Accent 2"/>
    <w:basedOn w:val="95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c0504d"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c0504d"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5">
    <w:name w:val="List Table 1 Light Accent 3"/>
    <w:basedOn w:val="95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9bbb59"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bbb59"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6">
    <w:name w:val="List Table 1 Light Accent 4"/>
    <w:basedOn w:val="95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8064a2"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8064a2"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7">
    <w:name w:val="List Table 1 Light Accent 5"/>
    <w:basedOn w:val="95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bacc6"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8">
    <w:name w:val="List Table 1 Light Accent 6"/>
    <w:basedOn w:val="95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f79646"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9">
    <w:name w:val="List Table 2"/>
    <w:basedOn w:val="955"/>
    <w:uiPriority w:val="99"/>
    <w:pPr>
      <w:pBdr/>
      <w:spacing w:after="0" w:line="240" w:lineRule="auto"/>
      <w:ind/>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0">
    <w:name w:val="List Table 2 Accent 1"/>
    <w:basedOn w:val="955"/>
    <w:uiPriority w:val="99"/>
    <w:pPr>
      <w:pBdr/>
      <w:spacing w:after="0" w:line="240" w:lineRule="auto"/>
      <w:ind/>
    </w:pPr>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1">
    <w:name w:val="List Table 2 Accent 2"/>
    <w:basedOn w:val="955"/>
    <w:uiPriority w:val="99"/>
    <w:pPr>
      <w:pBdr/>
      <w:spacing w:after="0" w:line="240" w:lineRule="auto"/>
      <w:ind/>
    </w:pPr>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2">
    <w:name w:val="List Table 2 Accent 3"/>
    <w:basedOn w:val="955"/>
    <w:uiPriority w:val="99"/>
    <w:pPr>
      <w:pBdr/>
      <w:spacing w:after="0" w:line="240" w:lineRule="auto"/>
      <w:ind/>
    </w:pPr>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3">
    <w:name w:val="List Table 2 Accent 4"/>
    <w:basedOn w:val="955"/>
    <w:uiPriority w:val="99"/>
    <w:pPr>
      <w:pBdr/>
      <w:spacing w:after="0" w:line="240" w:lineRule="auto"/>
      <w:ind/>
    </w:pPr>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4">
    <w:name w:val="List Table 2 Accent 5"/>
    <w:basedOn w:val="955"/>
    <w:uiPriority w:val="99"/>
    <w:pPr>
      <w:pBdr/>
      <w:spacing w:after="0" w:line="240" w:lineRule="auto"/>
      <w:ind/>
    </w:pPr>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5">
    <w:name w:val="List Table 2 Accent 6"/>
    <w:basedOn w:val="955"/>
    <w:uiPriority w:val="99"/>
    <w:pPr>
      <w:pBdr/>
      <w:spacing w:after="0" w:line="240" w:lineRule="auto"/>
      <w:ind/>
    </w:pPr>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6">
    <w:name w:val="List Table 3"/>
    <w:basedOn w:val="955"/>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7">
    <w:name w:val="List Table 3 Accent 1"/>
    <w:basedOn w:val="955"/>
    <w:uiPriority w:val="99"/>
    <w:pPr>
      <w:pBdr/>
      <w:spacing w:after="0" w:line="240" w:lineRule="auto"/>
      <w:ind/>
    </w:pPr>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cPr>
      <w:tcBorders/>
    </w:tcPr>
    <w:tblStylePr w:type="band1Horz">
      <w:rPr>
        <w:rFonts w:ascii="Arial" w:hAnsi="Arial"/>
        <w:color w:val="404040"/>
        <w:sz w:val="22"/>
      </w:rPr>
      <w:pPr>
        <w:pBdr/>
        <w:spacing/>
        <w:ind/>
      </w:pPr>
      <w:tblPr>
        <w:tblBorders/>
      </w:tblPr>
      <w:tcPr>
        <w:tcBorders>
          <w:top w:val="single" w:color="4f81bd" w:themeColor="accent1" w:sz="4" w:space="0"/>
          <w:bottom w:val="single" w:color="4f81bd" w:themeColor="accent1" w:sz="4" w:space="0"/>
        </w:tcBorders>
      </w:tcPr>
    </w:tblStylePr>
    <w:tblStylePr w:type="band1Vert">
      <w:rPr>
        <w:rFonts w:ascii="Arial" w:hAnsi="Arial"/>
        <w:color w:val="404040"/>
        <w:sz w:val="22"/>
      </w:rPr>
      <w:pPr>
        <w:pBdr/>
        <w:spacing/>
        <w:ind/>
      </w:pPr>
      <w:tblPr>
        <w:tblBorders/>
      </w:tblPr>
      <w:tcPr>
        <w:tcBorders>
          <w:left w:val="single" w:color="4f81bd" w:themeColor="accent1" w:sz="4" w:space="0"/>
          <w:right w:val="single" w:color="4f81bd"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8">
    <w:name w:val="List Table 3 Accent 2"/>
    <w:basedOn w:val="955"/>
    <w:uiPriority w:val="99"/>
    <w:pPr>
      <w:pBdr/>
      <w:spacing w:after="0" w:line="240" w:lineRule="auto"/>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d99695" w:themeColor="accent2" w:themeTint="97" w:sz="4" w:space="0"/>
          <w:bottom w:val="single" w:color="d99695" w:themeColor="accent2" w:themeTint="97" w:sz="4" w:space="0"/>
        </w:tcBorders>
      </w:tcPr>
    </w:tblStylePr>
    <w:tblStylePr w:type="band1Vert">
      <w:rPr>
        <w:rFonts w:ascii="Arial" w:hAnsi="Arial"/>
        <w:color w:val="404040"/>
        <w:sz w:val="22"/>
      </w:rPr>
      <w:pPr>
        <w:pBdr/>
        <w:spacing/>
        <w:ind/>
      </w:pPr>
      <w:tblPr>
        <w:tblBorders/>
      </w:tblPr>
      <w:tcPr>
        <w:tcBorders>
          <w:left w:val="single" w:color="d99695" w:themeColor="accent2" w:themeTint="97" w:sz="4" w:space="0"/>
          <w:right w:val="single" w:color="d99695"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9">
    <w:name w:val="List Table 3 Accent 3"/>
    <w:basedOn w:val="955"/>
    <w:uiPriority w:val="99"/>
    <w:pPr>
      <w:pBdr/>
      <w:spacing w:after="0" w:line="240" w:lineRule="auto"/>
      <w:ind/>
    </w:pPr>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c3d69b" w:themeColor="accent3" w:themeTint="98" w:sz="4" w:space="0"/>
          <w:bottom w:val="single" w:color="c3d69b" w:themeColor="accent3" w:themeTint="98" w:sz="4" w:space="0"/>
        </w:tcBorders>
      </w:tcPr>
    </w:tblStylePr>
    <w:tblStylePr w:type="band1Vert">
      <w:rPr>
        <w:rFonts w:ascii="Arial" w:hAnsi="Arial"/>
        <w:color w:val="404040"/>
        <w:sz w:val="22"/>
      </w:rPr>
      <w:pPr>
        <w:pBdr/>
        <w:spacing/>
        <w:ind/>
      </w:pPr>
      <w:tblPr>
        <w:tblBorders/>
      </w:tblPr>
      <w:tcPr>
        <w:tcBorders>
          <w:left w:val="single" w:color="c3d69b" w:themeColor="accent3" w:themeTint="98" w:sz="4" w:space="0"/>
          <w:right w:val="single" w:color="c3d69b"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3d69b" w:themeColor="accent3" w:themeTint="98" w:fill="c3d69b"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0">
    <w:name w:val="List Table 3 Accent 4"/>
    <w:basedOn w:val="955"/>
    <w:uiPriority w:val="99"/>
    <w:pPr>
      <w:pBdr/>
      <w:spacing w:after="0" w:line="240" w:lineRule="auto"/>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b2a1c6" w:themeColor="accent4" w:themeTint="9A" w:sz="4" w:space="0"/>
          <w:bottom w:val="single" w:color="b2a1c6" w:themeColor="accent4" w:themeTint="9A" w:sz="4" w:space="0"/>
        </w:tcBorders>
      </w:tcPr>
    </w:tblStylePr>
    <w:tblStylePr w:type="band1Vert">
      <w:rPr>
        <w:rFonts w:ascii="Arial" w:hAnsi="Arial"/>
        <w:color w:val="404040"/>
        <w:sz w:val="22"/>
      </w:rPr>
      <w:pPr>
        <w:pBdr/>
        <w:spacing/>
        <w:ind/>
      </w:pPr>
      <w:tblPr>
        <w:tblBorders/>
      </w:tblPr>
      <w:tcPr>
        <w:tcBorders>
          <w:left w:val="single" w:color="b2a1c6" w:themeColor="accent4" w:themeTint="9A" w:sz="4" w:space="0"/>
          <w:right w:val="single" w:color="b2a1c6"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1">
    <w:name w:val="List Table 3 Accent 5"/>
    <w:basedOn w:val="955"/>
    <w:uiPriority w:val="99"/>
    <w:pPr>
      <w:pBdr/>
      <w:spacing w:after="0" w:line="240" w:lineRule="auto"/>
      <w:ind/>
    </w:pPr>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92ccdc" w:themeColor="accent5" w:themeTint="9A" w:sz="4" w:space="0"/>
          <w:bottom w:val="single" w:color="92ccdc" w:themeColor="accent5" w:themeTint="9A" w:sz="4" w:space="0"/>
        </w:tcBorders>
      </w:tcPr>
    </w:tblStylePr>
    <w:tblStylePr w:type="band1Vert">
      <w:rPr>
        <w:rFonts w:ascii="Arial" w:hAnsi="Arial"/>
        <w:color w:val="404040"/>
        <w:sz w:val="22"/>
      </w:rPr>
      <w:pPr>
        <w:pBdr/>
        <w:spacing/>
        <w:ind/>
      </w:pPr>
      <w:tblPr>
        <w:tblBorders/>
      </w:tblPr>
      <w:tcPr>
        <w:tcBorders>
          <w:left w:val="single" w:color="92ccdc" w:themeColor="accent5" w:themeTint="9A" w:sz="4" w:space="0"/>
          <w:right w:val="single" w:color="92ccdc"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2ccdc" w:themeColor="accent5" w:themeTint="9A" w:fill="92ccdc"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2">
    <w:name w:val="List Table 3 Accent 6"/>
    <w:basedOn w:val="955"/>
    <w:uiPriority w:val="99"/>
    <w:pPr>
      <w:pBdr/>
      <w:spacing w:after="0" w:line="240" w:lineRule="auto"/>
      <w:ind/>
    </w:pPr>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fac090" w:themeColor="accent6" w:themeTint="98" w:sz="4" w:space="0"/>
          <w:bottom w:val="single" w:color="fac090" w:themeColor="accent6" w:themeTint="98" w:sz="4" w:space="0"/>
        </w:tcBorders>
      </w:tcPr>
    </w:tblStylePr>
    <w:tblStylePr w:type="band1Vert">
      <w:rPr>
        <w:rFonts w:ascii="Arial" w:hAnsi="Arial"/>
        <w:color w:val="404040"/>
        <w:sz w:val="22"/>
      </w:rPr>
      <w:pPr>
        <w:pBdr/>
        <w:spacing/>
        <w:ind/>
      </w:pPr>
      <w:tblPr>
        <w:tblBorders/>
      </w:tblPr>
      <w:tcPr>
        <w:tcBorders>
          <w:left w:val="single" w:color="fac090" w:themeColor="accent6" w:themeTint="98" w:sz="4" w:space="0"/>
          <w:right w:val="single" w:color="fac09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ac090" w:themeColor="accent6" w:themeTint="98" w:fill="fac090"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3">
    <w:name w:val="List Table 4"/>
    <w:basedOn w:val="955"/>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name w:val="List Table 4 Accent 1"/>
    <w:basedOn w:val="955"/>
    <w:uiPriority w:val="99"/>
    <w:pPr>
      <w:pBdr/>
      <w:spacing w:after="0" w:line="240" w:lineRule="auto"/>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name w:val="List Table 4 Accent 2"/>
    <w:basedOn w:val="955"/>
    <w:uiPriority w:val="99"/>
    <w:pPr>
      <w:pBdr/>
      <w:spacing w:after="0" w:line="240" w:lineRule="auto"/>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name w:val="List Table 4 Accent 3"/>
    <w:basedOn w:val="955"/>
    <w:uiPriority w:val="99"/>
    <w:pPr>
      <w:pBdr/>
      <w:spacing w:after="0" w:line="240" w:lineRule="auto"/>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7">
    <w:name w:val="List Table 4 Accent 4"/>
    <w:basedOn w:val="955"/>
    <w:uiPriority w:val="99"/>
    <w:pPr>
      <w:pBdr/>
      <w:spacing w:after="0" w:line="240" w:lineRule="auto"/>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name w:val="List Table 4 Accent 5"/>
    <w:basedOn w:val="955"/>
    <w:uiPriority w:val="99"/>
    <w:pPr>
      <w:pBdr/>
      <w:spacing w:after="0" w:line="240" w:lineRule="auto"/>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name w:val="List Table 4 Accent 6"/>
    <w:basedOn w:val="955"/>
    <w:uiPriority w:val="99"/>
    <w:pPr>
      <w:pBdr/>
      <w:spacing w:after="0" w:line="240" w:lineRule="auto"/>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name w:val="List Table 5 Dark"/>
    <w:basedOn w:val="955"/>
    <w:uiPriority w:val="99"/>
    <w:pPr>
      <w:pBdr/>
      <w:spacing w:after="0" w:line="240" w:lineRule="auto"/>
      <w:ind/>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cPr>
      <w:tcBorders/>
    </w:tcPr>
    <w:tblStylePr w:type="band1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name w:val="List Table 5 Dark Accent 1"/>
    <w:basedOn w:val="955"/>
    <w:uiPriority w:val="99"/>
    <w:pPr>
      <w:pBdr/>
      <w:spacing w:after="0" w:line="240" w:lineRule="auto"/>
      <w:ind/>
    </w:pPr>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shd w:val="clear" w:color="4f81bd" w:themeColor="accent1" w:fill="4f81bd" w:themeFill="accent1"/>
    </w:tblPr>
    <w:tcPr>
      <w:tcBorders/>
    </w:tcPr>
    <w:tblStylePr w:type="band1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1Vert">
      <w:pPr>
        <w:pBdr/>
        <w:spacing/>
        <w:ind/>
      </w:pPr>
      <w:tblPr>
        <w:tblBorders/>
      </w:tblPr>
      <w:tcPr>
        <w:shd w:val="clear" w:color="4f81bd" w:themeColor="accent1" w:fill="4f81bd" w:themeFill="accent1"/>
        <w:tcBorders>
          <w:left w:val="single" w:color="ffffff" w:themeColor="light1" w:sz="4" w:space="0"/>
          <w:right w:val="single" w:color="ffffff" w:themeColor="light1" w:sz="4" w:space="0"/>
        </w:tcBorders>
      </w:tcPr>
    </w:tblStylePr>
    <w:tblStylePr w:type="band2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4f81bd" w:themeColor="accent1"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4f81bd" w:themeColor="accent1" w:fill="4f81bd" w:themeFill="accent1"/>
        <w:tcBorders>
          <w:top w:val="single" w:color="4f81bd" w:themeColor="accen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4f81bd"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name w:val="List Table 5 Dark Accent 2"/>
    <w:basedOn w:val="955"/>
    <w:uiPriority w:val="99"/>
    <w:pPr>
      <w:pBdr/>
      <w:spacing w:after="0" w:line="240" w:lineRule="auto"/>
      <w:ind/>
    </w:pPr>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shd w:val="clear" w:color="d99695" w:themeColor="accent2" w:themeTint="97" w:fill="d99695" w:themeFill="accent2" w:themeFillTint="97"/>
    </w:tblPr>
    <w:tcPr>
      <w:tcBorders/>
    </w:tcPr>
    <w:tblStylePr w:type="band1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1Vert">
      <w:pPr>
        <w:pBdr/>
        <w:spacing/>
        <w:ind/>
      </w:pPr>
      <w:tblPr>
        <w:tblBorders/>
      </w:tblPr>
      <w:tcPr>
        <w:shd w:val="clear" w:color="d99695" w:themeColor="accent2" w:themeTint="97" w:fill="d99695" w:themeFill="accent2" w:themeFillTint="97"/>
        <w:tcBorders>
          <w:left w:val="single" w:color="ffffff" w:themeColor="light1" w:sz="4" w:space="0"/>
          <w:right w:val="single" w:color="ffffff" w:themeColor="light1" w:sz="4" w:space="0"/>
        </w:tcBorders>
      </w:tcPr>
    </w:tblStylePr>
    <w:tblStylePr w:type="band2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d99695" w:themeColor="accent2" w:themeTint="97"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d99695" w:themeColor="accent2" w:themeTint="97" w:fill="d99695" w:themeFill="accent2" w:themeFillTint="97"/>
        <w:tcBorders>
          <w:top w:val="single" w:color="d99695" w:themeColor="accent2" w:themeTint="97"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d99695"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3">
    <w:name w:val="List Table 5 Dark Accent 3"/>
    <w:basedOn w:val="955"/>
    <w:uiPriority w:val="99"/>
    <w:pPr>
      <w:pBdr/>
      <w:spacing w:after="0" w:line="240" w:lineRule="auto"/>
      <w:ind/>
    </w:pPr>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shd w:val="clear" w:color="c3d69b" w:themeColor="accent3" w:themeTint="98" w:fill="c3d69b" w:themeFill="accent3" w:themeFillTint="98"/>
    </w:tblPr>
    <w:tcPr>
      <w:tcBorders/>
    </w:tcPr>
    <w:tblStylePr w:type="band1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c3d69b" w:themeColor="accent3" w:themeTint="98" w:fill="c3d69b" w:themeFill="accent3"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c3d69b" w:themeColor="accent3"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c3d69b" w:themeColor="accent3" w:themeTint="98" w:fill="c3d69b" w:themeFill="accent3" w:themeFillTint="98"/>
        <w:tcBorders>
          <w:top w:val="single" w:color="c3d69b" w:themeColor="accent3"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c3d69b"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name w:val="List Table 5 Dark Accent 4"/>
    <w:basedOn w:val="955"/>
    <w:uiPriority w:val="99"/>
    <w:pPr>
      <w:pBdr/>
      <w:spacing w:after="0" w:line="240" w:lineRule="auto"/>
      <w:ind/>
    </w:pPr>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shd w:val="clear" w:color="b2a1c6" w:themeColor="accent4" w:themeTint="9A" w:fill="b2a1c6" w:themeFill="accent4" w:themeFillTint="9A"/>
    </w:tblPr>
    <w:tcPr>
      <w:tcBorders/>
    </w:tcPr>
    <w:tblStylePr w:type="band1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b2a1c6" w:themeColor="accent4" w:themeTint="9A" w:fill="b2a1c6" w:themeFill="accent4"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b2a1c6" w:themeColor="accent4"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b2a1c6" w:themeColor="accent4" w:themeTint="9A" w:fill="b2a1c6" w:themeFill="accent4" w:themeFillTint="9A"/>
        <w:tcBorders>
          <w:top w:val="single" w:color="b2a1c6" w:themeColor="accent4"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b2a1c6"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name w:val="List Table 5 Dark Accent 5"/>
    <w:basedOn w:val="955"/>
    <w:uiPriority w:val="99"/>
    <w:pPr>
      <w:pBdr/>
      <w:spacing w:after="0" w:line="240" w:lineRule="auto"/>
      <w:ind/>
    </w:pPr>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shd w:val="clear" w:color="92ccdc" w:themeColor="accent5" w:themeTint="9A" w:fill="92ccdc" w:themeFill="accent5" w:themeFillTint="9A"/>
    </w:tblPr>
    <w:tcPr>
      <w:tcBorders/>
    </w:tcPr>
    <w:tblStylePr w:type="band1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92ccdc" w:themeColor="accent5" w:themeTint="9A" w:fill="92ccdc" w:themeFill="accent5"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92ccdc" w:themeColor="accent5"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92ccdc" w:themeColor="accent5" w:themeTint="9A" w:fill="92ccdc" w:themeFill="accent5" w:themeFillTint="9A"/>
        <w:tcBorders>
          <w:top w:val="single" w:color="92ccdc" w:themeColor="accent5"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92ccdc"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6">
    <w:name w:val="List Table 5 Dark Accent 6"/>
    <w:basedOn w:val="955"/>
    <w:uiPriority w:val="99"/>
    <w:pPr>
      <w:pBdr/>
      <w:spacing w:after="0" w:line="240" w:lineRule="auto"/>
      <w:ind/>
    </w:pPr>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shd w:val="clear" w:color="fac090" w:themeColor="accent6" w:themeTint="98" w:fill="fac090" w:themeFill="accent6" w:themeFillTint="98"/>
    </w:tblPr>
    <w:tcPr>
      <w:tcBorders/>
    </w:tcPr>
    <w:tblStylePr w:type="band1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fac090" w:themeColor="accent6" w:themeTint="98" w:fill="fac090" w:themeFill="accent6"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ac090" w:themeColor="accent6"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ac090" w:themeColor="accent6" w:themeTint="98" w:fill="fac090" w:themeFill="accent6" w:themeFillTint="98"/>
        <w:tcBorders>
          <w:top w:val="single" w:color="fac090" w:themeColor="accent6"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ac09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7">
    <w:name w:val="List Table 6 Colorful"/>
    <w:basedOn w:val="955"/>
    <w:uiPriority w:val="99"/>
    <w:pPr>
      <w:pBdr/>
      <w:spacing w:after="0" w:line="240" w:lineRule="auto"/>
      <w:ind/>
    </w:pPr>
    <w:tblPr>
      <w:tblStyleRowBandSize w:val="1"/>
      <w:tblStyleColBandSize w:val="1"/>
      <w:tblBorders>
        <w:top w:val="single" w:color="7f7f7f" w:themeColor="text1" w:themeTint="80" w:sz="4" w:space="0"/>
        <w:bottom w:val="single" w:color="7f7f7f" w:themeColor="text1" w:themeTint="80" w:sz="4" w:space="0"/>
      </w:tblBorders>
    </w:tblPr>
    <w:tcPr>
      <w:tcBorders/>
    </w:tcPr>
    <w:tblStylePr w:type="band1Horz">
      <w:rPr>
        <w:rFonts w:ascii="Arial" w:hAnsi="Arial"/>
        <w:color w:val="000000" w:themeColor="text1"/>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8">
    <w:name w:val="List Table 6 Colorful Accent 1"/>
    <w:basedOn w:val="955"/>
    <w:uiPriority w:val="99"/>
    <w:pPr>
      <w:pBdr/>
      <w:spacing w:after="0" w:line="240" w:lineRule="auto"/>
      <w:ind/>
    </w:pPr>
    <w:tblPr>
      <w:tblStyleRowBandSize w:val="1"/>
      <w:tblStyleColBandSize w:val="1"/>
      <w:tblBorders>
        <w:top w:val="single" w:color="4f81bd" w:themeColor="accent1" w:sz="4" w:space="0"/>
        <w:bottom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a4a71" w:themeColor="accent1" w:themeShade="95"/>
      </w:rPr>
      <w:pPr>
        <w:pBdr/>
        <w:spacing/>
        <w:ind/>
      </w:pPr>
      <w:tblPr>
        <w:tblBorders/>
      </w:tblPr>
      <w:tcPr>
        <w:tcBorders/>
      </w:tcPr>
    </w:tblStylePr>
    <w:tblStylePr w:type="firstRow">
      <w:rPr>
        <w:b/>
        <w:color w:val="2a4a71" w:themeColor="accent1" w:themeShade="95"/>
      </w:rPr>
      <w:pPr>
        <w:pBdr/>
        <w:spacing/>
        <w:ind/>
      </w:pPr>
      <w:tblPr>
        <w:tblBorders/>
      </w:tblPr>
      <w:tcPr>
        <w:tcBorders>
          <w:bottom w:val="single" w:color="4f81bd" w:themeColor="accent1" w:sz="4" w:space="0"/>
        </w:tcBorders>
      </w:tcPr>
    </w:tblStylePr>
    <w:tblStylePr w:type="lastCol">
      <w:rPr>
        <w:b/>
        <w:color w:val="2a4a71" w:themeColor="accent1" w:themeShade="95"/>
      </w:rPr>
      <w:pPr>
        <w:pBdr/>
        <w:spacing/>
        <w:ind/>
      </w:pPr>
      <w:tblPr>
        <w:tblBorders/>
      </w:tblPr>
      <w:tcPr>
        <w:tcBorders/>
      </w:tcPr>
    </w:tblStylePr>
    <w:tblStylePr w:type="lastRow">
      <w:rPr>
        <w:b/>
        <w:color w:val="2a4a71" w:themeColor="accent1" w:themeShade="95"/>
      </w:rPr>
      <w:pPr>
        <w:pBdr/>
        <w:spacing/>
        <w:ind/>
      </w:pPr>
      <w:tblPr>
        <w:tblBorders/>
      </w:tblPr>
      <w:tcPr>
        <w:tcBorders>
          <w:top w:val="single" w:color="4f81bd"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9">
    <w:name w:val="List Table 6 Colorful Accent 2"/>
    <w:basedOn w:val="955"/>
    <w:uiPriority w:val="99"/>
    <w:pPr>
      <w:pBdr/>
      <w:spacing w:after="0" w:line="240" w:lineRule="auto"/>
      <w:ind/>
    </w:pPr>
    <w:tblPr>
      <w:tblStyleRowBandSize w:val="1"/>
      <w:tblStyleColBandSize w:val="1"/>
      <w:tblBorders>
        <w:top w:val="single" w:color="d99695" w:themeColor="accent2" w:themeTint="97" w:sz="4" w:space="0"/>
        <w:bottom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4"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0">
    <w:name w:val="List Table 6 Colorful Accent 3"/>
    <w:basedOn w:val="955"/>
    <w:uiPriority w:val="99"/>
    <w:pPr>
      <w:pBdr/>
      <w:spacing w:after="0" w:line="240" w:lineRule="auto"/>
      <w:ind/>
    </w:pPr>
    <w:tblPr>
      <w:tblStyleRowBandSize w:val="1"/>
      <w:tblStyleColBandSize w:val="1"/>
      <w:tblBorders>
        <w:top w:val="single" w:color="c3d69b" w:themeColor="accent3" w:themeTint="98" w:sz="4" w:space="0"/>
        <w:bottom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3d69b" w:themeColor="accent3" w:themeTint="98" w:themeShade="95"/>
      </w:rPr>
      <w:pPr>
        <w:pBdr/>
        <w:spacing/>
        <w:ind/>
      </w:pPr>
      <w:tblPr>
        <w:tblBorders/>
      </w:tblPr>
      <w:tcPr>
        <w:tcBorders/>
      </w:tcPr>
    </w:tblStylePr>
    <w:tblStylePr w:type="firstRow">
      <w:rPr>
        <w:b/>
        <w:color w:val="c3d69b" w:themeColor="accent3" w:themeTint="98" w:themeShade="95"/>
      </w:rPr>
      <w:pPr>
        <w:pBdr/>
        <w:spacing/>
        <w:ind/>
      </w:pPr>
      <w:tblPr>
        <w:tblBorders/>
      </w:tblPr>
      <w:tcPr>
        <w:tcBorders>
          <w:bottom w:val="single" w:color="c3d69b" w:themeColor="accent3" w:themeTint="98" w:sz="4" w:space="0"/>
        </w:tcBorders>
      </w:tcPr>
    </w:tblStylePr>
    <w:tblStylePr w:type="lastCol">
      <w:rPr>
        <w:b/>
        <w:color w:val="c3d69b" w:themeColor="accent3" w:themeTint="98" w:themeShade="95"/>
      </w:rPr>
      <w:pPr>
        <w:pBdr/>
        <w:spacing/>
        <w:ind/>
      </w:pPr>
      <w:tblPr>
        <w:tblBorders/>
      </w:tblPr>
      <w:tcPr>
        <w:tcBorders/>
      </w:tcPr>
    </w:tblStylePr>
    <w:tblStylePr w:type="lastRow">
      <w:rPr>
        <w:b/>
        <w:color w:val="c3d69b" w:themeColor="accent3" w:themeTint="98" w:themeShade="95"/>
      </w:rPr>
      <w:pPr>
        <w:pBdr/>
        <w:spacing/>
        <w:ind/>
      </w:pPr>
      <w:tblPr>
        <w:tblBorders/>
      </w:tblPr>
      <w:tcPr>
        <w:tcBorders>
          <w:top w:val="single" w:color="c3d69b"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1">
    <w:name w:val="List Table 6 Colorful Accent 4"/>
    <w:basedOn w:val="955"/>
    <w:uiPriority w:val="99"/>
    <w:pPr>
      <w:pBdr/>
      <w:spacing w:after="0" w:line="240" w:lineRule="auto"/>
      <w:ind/>
    </w:pPr>
    <w:tblPr>
      <w:tblStyleRowBandSize w:val="1"/>
      <w:tblStyleColBandSize w:val="1"/>
      <w:tblBorders>
        <w:top w:val="single" w:color="b2a1c6" w:themeColor="accent4" w:themeTint="9A" w:sz="4" w:space="0"/>
        <w:bottom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4"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2">
    <w:name w:val="List Table 6 Colorful Accent 5"/>
    <w:basedOn w:val="955"/>
    <w:uiPriority w:val="99"/>
    <w:pPr>
      <w:pBdr/>
      <w:spacing w:after="0" w:line="240" w:lineRule="auto"/>
      <w:ind/>
    </w:pPr>
    <w:tblPr>
      <w:tblStyleRowBandSize w:val="1"/>
      <w:tblStyleColBandSize w:val="1"/>
      <w:tblBorders>
        <w:top w:val="single" w:color="92ccdc" w:themeColor="accent5" w:themeTint="9A" w:sz="4" w:space="0"/>
        <w:bottom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2ccdc" w:themeColor="accent5" w:themeTint="9A" w:themeShade="95"/>
      </w:rPr>
      <w:pPr>
        <w:pBdr/>
        <w:spacing/>
        <w:ind/>
      </w:pPr>
      <w:tblPr>
        <w:tblBorders/>
      </w:tblPr>
      <w:tcPr>
        <w:tcBorders/>
      </w:tcPr>
    </w:tblStylePr>
    <w:tblStylePr w:type="firstRow">
      <w:rPr>
        <w:b/>
        <w:color w:val="92ccdc" w:themeColor="accent5" w:themeTint="9A" w:themeShade="95"/>
      </w:rPr>
      <w:pPr>
        <w:pBdr/>
        <w:spacing/>
        <w:ind/>
      </w:pPr>
      <w:tblPr>
        <w:tblBorders/>
      </w:tblPr>
      <w:tcPr>
        <w:tcBorders>
          <w:bottom w:val="single" w:color="92ccdc" w:themeColor="accent5" w:themeTint="9A" w:sz="4" w:space="0"/>
        </w:tcBorders>
      </w:tcPr>
    </w:tblStylePr>
    <w:tblStylePr w:type="lastCol">
      <w:rPr>
        <w:b/>
        <w:color w:val="92ccdc" w:themeColor="accent5" w:themeTint="9A" w:themeShade="95"/>
      </w:rPr>
      <w:pPr>
        <w:pBdr/>
        <w:spacing/>
        <w:ind/>
      </w:pPr>
      <w:tblPr>
        <w:tblBorders/>
      </w:tblPr>
      <w:tcPr>
        <w:tcBorders/>
      </w:tcPr>
    </w:tblStylePr>
    <w:tblStylePr w:type="lastRow">
      <w:rPr>
        <w:b/>
        <w:color w:val="92ccdc" w:themeColor="accent5" w:themeTint="9A" w:themeShade="95"/>
      </w:rPr>
      <w:pPr>
        <w:pBdr/>
        <w:spacing/>
        <w:ind/>
      </w:pPr>
      <w:tblPr>
        <w:tblBorders/>
      </w:tblPr>
      <w:tcPr>
        <w:tcBorders>
          <w:top w:val="single" w:color="92ccdc"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3">
    <w:name w:val="List Table 6 Colorful Accent 6"/>
    <w:basedOn w:val="955"/>
    <w:uiPriority w:val="99"/>
    <w:pPr>
      <w:pBdr/>
      <w:spacing w:after="0" w:line="240" w:lineRule="auto"/>
      <w:ind/>
    </w:pPr>
    <w:tblPr>
      <w:tblStyleRowBandSize w:val="1"/>
      <w:tblStyleColBandSize w:val="1"/>
      <w:tblBorders>
        <w:top w:val="single" w:color="fac090" w:themeColor="accent6" w:themeTint="98" w:sz="4" w:space="0"/>
        <w:bottom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ac090" w:themeColor="accent6" w:themeTint="98" w:themeShade="95"/>
      </w:rPr>
      <w:pPr>
        <w:pBdr/>
        <w:spacing/>
        <w:ind/>
      </w:pPr>
      <w:tblPr>
        <w:tblBorders/>
      </w:tblPr>
      <w:tcPr>
        <w:tcBorders/>
      </w:tcPr>
    </w:tblStylePr>
    <w:tblStylePr w:type="firstRow">
      <w:rPr>
        <w:b/>
        <w:color w:val="fac090" w:themeColor="accent6" w:themeTint="98" w:themeShade="95"/>
      </w:rPr>
      <w:pPr>
        <w:pBdr/>
        <w:spacing/>
        <w:ind/>
      </w:pPr>
      <w:tblPr>
        <w:tblBorders/>
      </w:tblPr>
      <w:tcPr>
        <w:tcBorders>
          <w:bottom w:val="single" w:color="fac090" w:themeColor="accent6" w:themeTint="98" w:sz="4" w:space="0"/>
        </w:tcBorders>
      </w:tcPr>
    </w:tblStylePr>
    <w:tblStylePr w:type="lastCol">
      <w:rPr>
        <w:b/>
        <w:color w:val="fac090" w:themeColor="accent6" w:themeTint="98" w:themeShade="95"/>
      </w:rPr>
      <w:pPr>
        <w:pBdr/>
        <w:spacing/>
        <w:ind/>
      </w:pPr>
      <w:tblPr>
        <w:tblBorders/>
      </w:tblPr>
      <w:tcPr>
        <w:tcBorders/>
      </w:tcPr>
    </w:tblStylePr>
    <w:tblStylePr w:type="lastRow">
      <w:rPr>
        <w:b/>
        <w:color w:val="fac090" w:themeColor="accent6" w:themeTint="98" w:themeShade="95"/>
      </w:rPr>
      <w:pPr>
        <w:pBdr/>
        <w:spacing/>
        <w:ind/>
      </w:pPr>
      <w:tblPr>
        <w:tblBorders/>
      </w:tblPr>
      <w:tcPr>
        <w:tcBorders>
          <w:top w:val="single" w:color="fac09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4">
    <w:name w:val="List Table 7 Colorful"/>
    <w:basedOn w:val="955"/>
    <w:uiPriority w:val="99"/>
    <w:pPr>
      <w:pBdr/>
      <w:spacing w:after="0" w:line="240" w:lineRule="auto"/>
      <w:ind/>
    </w:pPr>
    <w:tblPr>
      <w:tblStyleRowBandSize w:val="1"/>
      <w:tblStyleColBandSize w:val="1"/>
      <w:tblBorders>
        <w:right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5">
    <w:name w:val="List Table 7 Colorful Accent 1"/>
    <w:basedOn w:val="955"/>
    <w:uiPriority w:val="99"/>
    <w:pPr>
      <w:pBdr/>
      <w:spacing w:after="0" w:line="240" w:lineRule="auto"/>
      <w:ind/>
    </w:pPr>
    <w:tblPr>
      <w:tblStyleRowBandSize w:val="1"/>
      <w:tblStyleColBandSize w:val="1"/>
      <w:tblBorders>
        <w:right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a4a71" w:themeColor="accent1"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4f81bd" w:themeColor="accent1" w:sz="4" w:space="0"/>
        </w:tcBorders>
      </w:tcPr>
    </w:tblStylePr>
    <w:tblStylePr w:type="firstRow">
      <w:rPr>
        <w:rFonts w:ascii="Arial" w:hAnsi="Arial"/>
        <w:i/>
        <w:color w:val="2a4a71"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4f81bd" w:themeColor="accent1" w:sz="4" w:space="0"/>
          <w:right w:val="none" w:color="000000" w:sz="4" w:space="0"/>
        </w:tcBorders>
      </w:tcPr>
    </w:tblStylePr>
    <w:tblStylePr w:type="lastCol">
      <w:rPr>
        <w:rFonts w:ascii="Arial" w:hAnsi="Arial"/>
        <w:i/>
        <w:color w:val="2a4a71" w:themeColor="accent1" w:themeShade="95"/>
        <w:sz w:val="22"/>
      </w:rPr>
      <w:pPr>
        <w:pBdr/>
        <w:spacing/>
        <w:ind/>
      </w:pPr>
      <w:tblPr>
        <w:tblBorders/>
      </w:tblPr>
      <w:tcPr>
        <w:shd w:val="clear" w:color="ffffff" w:fill="auto"/>
        <w:tcBorders>
          <w:top w:val="none" w:color="000000" w:sz="4" w:space="0"/>
          <w:left w:val="single" w:color="4f81bd" w:themeColor="accent1" w:sz="4" w:space="0"/>
          <w:bottom w:val="none" w:color="000000" w:sz="4" w:space="0"/>
          <w:right w:val="none" w:color="000000" w:sz="4" w:space="0"/>
        </w:tcBorders>
      </w:tcPr>
    </w:tblStylePr>
    <w:tblStylePr w:type="lastRow">
      <w:rPr>
        <w:rFonts w:ascii="Arial" w:hAnsi="Arial"/>
        <w:i/>
        <w:color w:val="2a4a71" w:themeColor="accent1" w:themeShade="95"/>
        <w:sz w:val="22"/>
      </w:rPr>
      <w:pPr>
        <w:pBdr/>
        <w:spacing/>
        <w:ind/>
      </w:pPr>
      <w:tblPr>
        <w:tblBorders/>
      </w:tblPr>
      <w:tcPr>
        <w:shd w:val="clear" w:color="ffffff" w:themeColor="light1" w:fill="ffffff" w:themeFill="light1"/>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6">
    <w:name w:val="List Table 7 Colorful Accent 2"/>
    <w:basedOn w:val="955"/>
    <w:uiPriority w:val="99"/>
    <w:pPr>
      <w:pBdr/>
      <w:spacing w:after="0" w:line="240" w:lineRule="auto"/>
      <w:ind/>
    </w:pPr>
    <w:tblPr>
      <w:tblStyleRowBandSize w:val="1"/>
      <w:tblStyleColBandSize w:val="1"/>
      <w:tblBorders>
        <w:right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7">
    <w:name w:val="List Table 7 Colorful Accent 3"/>
    <w:basedOn w:val="955"/>
    <w:uiPriority w:val="99"/>
    <w:pPr>
      <w:pBdr/>
      <w:spacing w:after="0" w:line="240" w:lineRule="auto"/>
      <w:ind/>
    </w:pPr>
    <w:tblPr>
      <w:tblStyleRowBandSize w:val="1"/>
      <w:tblStyleColBandSize w:val="1"/>
      <w:tblBorders>
        <w:right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3d69b" w:themeColor="accent3"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c3d69b" w:themeColor="accent3" w:themeTint="98" w:sz="4" w:space="0"/>
        </w:tcBorders>
      </w:tcPr>
    </w:tblStylePr>
    <w:tblStylePr w:type="fir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c3d69b" w:themeColor="accent3" w:themeTint="98" w:sz="4" w:space="0"/>
          <w:right w:val="none" w:color="000000" w:sz="4" w:space="0"/>
        </w:tcBorders>
      </w:tcPr>
    </w:tblStylePr>
    <w:tblStylePr w:type="lastCol">
      <w:rPr>
        <w:rFonts w:ascii="Arial" w:hAnsi="Arial"/>
        <w:i/>
        <w:color w:val="c3d69b" w:themeColor="accent3" w:themeTint="98" w:themeShade="95"/>
        <w:sz w:val="22"/>
      </w:rPr>
      <w:pPr>
        <w:pBdr/>
        <w:spacing/>
        <w:ind/>
      </w:pPr>
      <w:tblPr>
        <w:tblBorders/>
      </w:tblPr>
      <w:tcPr>
        <w:shd w:val="clear" w:color="ffffff" w:fill="auto"/>
        <w:tcBorders>
          <w:top w:val="none" w:color="000000" w:sz="4" w:space="0"/>
          <w:left w:val="single" w:color="c3d69b" w:themeColor="accent3" w:themeTint="98" w:sz="4" w:space="0"/>
          <w:bottom w:val="none" w:color="000000" w:sz="4" w:space="0"/>
          <w:right w:val="none" w:color="000000" w:sz="4" w:space="0"/>
        </w:tcBorders>
      </w:tcPr>
    </w:tblStylePr>
    <w:tblStylePr w:type="la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single" w:color="c3d69b"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8">
    <w:name w:val="List Table 7 Colorful Accent 4"/>
    <w:basedOn w:val="955"/>
    <w:uiPriority w:val="99"/>
    <w:pPr>
      <w:pBdr/>
      <w:spacing w:after="0" w:line="240" w:lineRule="auto"/>
      <w:ind/>
    </w:pPr>
    <w:tblPr>
      <w:tblStyleRowBandSize w:val="1"/>
      <w:tblStyleColBandSize w:val="1"/>
      <w:tblBorders>
        <w:right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9">
    <w:name w:val="List Table 7 Colorful Accent 5"/>
    <w:basedOn w:val="955"/>
    <w:uiPriority w:val="99"/>
    <w:pPr>
      <w:pBdr/>
      <w:spacing w:after="0" w:line="240" w:lineRule="auto"/>
      <w:ind/>
    </w:pPr>
    <w:tblPr>
      <w:tblStyleRowBandSize w:val="1"/>
      <w:tblStyleColBandSize w:val="1"/>
      <w:tblBorders>
        <w:right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2ccdc" w:themeColor="accent5"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2ccdc" w:themeColor="accent5" w:themeTint="9A" w:sz="4" w:space="0"/>
        </w:tcBorders>
      </w:tcPr>
    </w:tblStylePr>
    <w:tblStylePr w:type="fir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2ccdc" w:themeColor="accent5" w:themeTint="9A" w:sz="4" w:space="0"/>
          <w:right w:val="none" w:color="000000" w:sz="4" w:space="0"/>
        </w:tcBorders>
      </w:tcPr>
    </w:tblStylePr>
    <w:tblStylePr w:type="lastCol">
      <w:rPr>
        <w:rFonts w:ascii="Arial" w:hAnsi="Arial"/>
        <w:i/>
        <w:color w:val="92ccdc" w:themeColor="accent5" w:themeTint="9A" w:themeShade="95"/>
        <w:sz w:val="22"/>
      </w:rPr>
      <w:pPr>
        <w:pBdr/>
        <w:spacing/>
        <w:ind/>
      </w:pPr>
      <w:tblPr>
        <w:tblBorders/>
      </w:tblPr>
      <w:tcPr>
        <w:shd w:val="clear" w:color="ffffff" w:fill="auto"/>
        <w:tcBorders>
          <w:top w:val="none" w:color="000000" w:sz="4" w:space="0"/>
          <w:left w:val="single" w:color="92ccdc" w:themeColor="accent5" w:themeTint="9A" w:sz="4" w:space="0"/>
          <w:bottom w:val="none" w:color="000000" w:sz="4" w:space="0"/>
          <w:right w:val="none" w:color="000000" w:sz="4" w:space="0"/>
        </w:tcBorders>
      </w:tcPr>
    </w:tblStylePr>
    <w:tblStylePr w:type="la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single" w:color="92ccdc"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0">
    <w:name w:val="List Table 7 Colorful Accent 6"/>
    <w:basedOn w:val="955"/>
    <w:uiPriority w:val="99"/>
    <w:pPr>
      <w:pBdr/>
      <w:spacing w:after="0" w:line="240" w:lineRule="auto"/>
      <w:ind/>
    </w:pPr>
    <w:tblPr>
      <w:tblStyleRowBandSize w:val="1"/>
      <w:tblStyleColBandSize w:val="1"/>
      <w:tblBorders>
        <w:right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ac090" w:themeColor="accent6"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090" w:themeColor="accent6" w:themeTint="98" w:sz="4" w:space="0"/>
        </w:tcBorders>
      </w:tcPr>
    </w:tblStylePr>
    <w:tblStylePr w:type="fir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ac090" w:themeColor="accent6" w:themeTint="98" w:sz="4" w:space="0"/>
          <w:right w:val="none" w:color="000000" w:sz="4" w:space="0"/>
        </w:tcBorders>
      </w:tcPr>
    </w:tblStylePr>
    <w:tblStylePr w:type="lastCol">
      <w:rPr>
        <w:rFonts w:ascii="Arial" w:hAnsi="Arial"/>
        <w:i/>
        <w:color w:val="fac090" w:themeColor="accent6" w:themeTint="98" w:themeShade="95"/>
        <w:sz w:val="22"/>
      </w:rPr>
      <w:pPr>
        <w:pBdr/>
        <w:spacing/>
        <w:ind/>
      </w:pPr>
      <w:tblPr>
        <w:tblBorders/>
      </w:tblPr>
      <w:tcPr>
        <w:shd w:val="clear" w:color="ffffff" w:fill="auto"/>
        <w:tcBorders>
          <w:top w:val="none" w:color="000000" w:sz="4" w:space="0"/>
          <w:left w:val="single" w:color="fac090" w:themeColor="accent6" w:themeTint="98" w:sz="4" w:space="0"/>
          <w:bottom w:val="none" w:color="000000" w:sz="4" w:space="0"/>
          <w:right w:val="none" w:color="000000" w:sz="4" w:space="0"/>
        </w:tcBorders>
      </w:tcPr>
    </w:tblStylePr>
    <w:tblStylePr w:type="la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single" w:color="fac09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1" w:customStyle="1">
    <w:name w:val="Lined - Accent"/>
    <w:basedOn w:val="95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2" w:customStyle="1">
    <w:name w:val="Lined - Accent 1"/>
    <w:basedOn w:val="95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3" w:customStyle="1">
    <w:name w:val="Lined - Accent 2"/>
    <w:basedOn w:val="95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4" w:customStyle="1">
    <w:name w:val="Lined - Accent 3"/>
    <w:basedOn w:val="95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5" w:customStyle="1">
    <w:name w:val="Lined - Accent 4"/>
    <w:basedOn w:val="95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6" w:customStyle="1">
    <w:name w:val="Lined - Accent 5"/>
    <w:basedOn w:val="95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7" w:customStyle="1">
    <w:name w:val="Lined - Accent 6"/>
    <w:basedOn w:val="95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8" w:customStyle="1">
    <w:name w:val="Bordered &amp; Lined - Accent"/>
    <w:basedOn w:val="955"/>
    <w:uiPriority w:val="99"/>
    <w:pPr>
      <w:pBdr/>
      <w:spacing w:after="0" w:line="240" w:lineRule="auto"/>
      <w:ind/>
    </w:pPr>
    <w:rPr>
      <w:color w:val="404040"/>
      <w:sz w:val="20"/>
      <w:szCs w:val="2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9" w:customStyle="1">
    <w:name w:val="Bordered &amp; Lined - Accent 1"/>
    <w:basedOn w:val="955"/>
    <w:uiPriority w:val="99"/>
    <w:pPr>
      <w:pBdr/>
      <w:spacing w:after="0" w:line="240" w:lineRule="auto"/>
      <w:ind/>
    </w:pPr>
    <w:rPr>
      <w:color w:val="404040"/>
      <w:sz w:val="20"/>
      <w:szCs w:val="20"/>
    </w:rPr>
    <w:tblPr>
      <w:tblStyleRowBandSize w:val="1"/>
      <w:tblStyleColBandSize w:val="1"/>
      <w:tblBorders>
        <w:top w:val="single" w:color="2a4a71" w:themeColor="accent1" w:themeShade="95" w:sz="4" w:space="0"/>
        <w:left w:val="single" w:color="2a4a71" w:themeColor="accent1" w:themeShade="95" w:sz="4" w:space="0"/>
        <w:bottom w:val="single" w:color="2a4a71" w:themeColor="accent1" w:themeShade="95" w:sz="4" w:space="0"/>
        <w:right w:val="single" w:color="2a4a71" w:themeColor="accent1" w:themeShade="95" w:sz="4" w:space="0"/>
        <w:insideH w:val="single" w:color="2a4a71" w:themeColor="accent1" w:themeShade="95" w:sz="4" w:space="0"/>
        <w:insideV w:val="single" w:color="2a4a71"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0" w:customStyle="1">
    <w:name w:val="Bordered &amp; Lined - Accent 2"/>
    <w:basedOn w:val="955"/>
    <w:uiPriority w:val="99"/>
    <w:pPr>
      <w:pBdr/>
      <w:spacing w:after="0" w:line="240" w:lineRule="auto"/>
      <w:ind/>
    </w:pPr>
    <w:rPr>
      <w:color w:val="404040"/>
      <w:sz w:val="20"/>
      <w:szCs w:val="20"/>
    </w:rPr>
    <w:tblPr>
      <w:tblStyleRowBandSize w:val="1"/>
      <w:tblStyleColBandSize w:val="1"/>
      <w:tblBorders>
        <w:top w:val="single" w:color="732a29" w:themeColor="accent2" w:themeShade="95" w:sz="4" w:space="0"/>
        <w:left w:val="single" w:color="732a29" w:themeColor="accent2" w:themeShade="95" w:sz="4" w:space="0"/>
        <w:bottom w:val="single" w:color="732a29" w:themeColor="accent2" w:themeShade="95" w:sz="4" w:space="0"/>
        <w:right w:val="single" w:color="732a29" w:themeColor="accent2" w:themeShade="95" w:sz="4" w:space="0"/>
        <w:insideH w:val="single" w:color="732a29" w:themeColor="accent2" w:themeShade="95" w:sz="4" w:space="0"/>
        <w:insideV w:val="single" w:color="732a29"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1" w:customStyle="1">
    <w:name w:val="Bordered &amp; Lined - Accent 3"/>
    <w:basedOn w:val="955"/>
    <w:uiPriority w:val="99"/>
    <w:pPr>
      <w:pBdr/>
      <w:spacing w:after="0" w:line="240" w:lineRule="auto"/>
      <w:ind/>
    </w:pPr>
    <w:rPr>
      <w:color w:val="404040"/>
      <w:sz w:val="20"/>
      <w:szCs w:val="20"/>
    </w:rPr>
    <w:tblPr>
      <w:tblStyleRowBandSize w:val="1"/>
      <w:tblStyleColBandSize w:val="1"/>
      <w:tblBorders>
        <w:top w:val="single" w:color="5b722e" w:themeColor="accent3" w:themeShade="95" w:sz="4" w:space="0"/>
        <w:left w:val="single" w:color="5b722e" w:themeColor="accent3" w:themeShade="95" w:sz="4" w:space="0"/>
        <w:bottom w:val="single" w:color="5b722e" w:themeColor="accent3" w:themeShade="95" w:sz="4" w:space="0"/>
        <w:right w:val="single" w:color="5b722e" w:themeColor="accent3" w:themeShade="95" w:sz="4" w:space="0"/>
        <w:insideH w:val="single" w:color="5b722e" w:themeColor="accent3" w:themeShade="95" w:sz="4" w:space="0"/>
        <w:insideV w:val="single" w:color="5b722e"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2" w:customStyle="1">
    <w:name w:val="Bordered &amp; Lined - Accent 4"/>
    <w:basedOn w:val="955"/>
    <w:uiPriority w:val="99"/>
    <w:pPr>
      <w:pBdr/>
      <w:spacing w:after="0" w:line="240" w:lineRule="auto"/>
      <w:ind/>
    </w:pPr>
    <w:rPr>
      <w:color w:val="404040"/>
      <w:sz w:val="20"/>
      <w:szCs w:val="20"/>
    </w:rPr>
    <w:tblPr>
      <w:tblStyleRowBandSize w:val="1"/>
      <w:tblStyleColBandSize w:val="1"/>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3" w:customStyle="1">
    <w:name w:val="Bordered &amp; Lined - Accent 5"/>
    <w:basedOn w:val="955"/>
    <w:uiPriority w:val="99"/>
    <w:pPr>
      <w:pBdr/>
      <w:spacing w:after="0" w:line="240" w:lineRule="auto"/>
      <w:ind/>
    </w:pPr>
    <w:rPr>
      <w:color w:val="404040"/>
      <w:sz w:val="20"/>
      <w:szCs w:val="20"/>
    </w:rPr>
    <w:tblPr>
      <w:tblStyleRowBandSize w:val="1"/>
      <w:tblStyleColBandSize w:val="1"/>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4" w:customStyle="1">
    <w:name w:val="Bordered &amp; Lined - Accent 6"/>
    <w:basedOn w:val="955"/>
    <w:uiPriority w:val="99"/>
    <w:pPr>
      <w:pBdr/>
      <w:spacing w:after="0" w:line="240" w:lineRule="auto"/>
      <w:ind/>
    </w:pPr>
    <w:rPr>
      <w:color w:val="404040"/>
      <w:sz w:val="20"/>
      <w:szCs w:val="20"/>
    </w:rPr>
    <w:tblPr>
      <w:tblStyleRowBandSize w:val="1"/>
      <w:tblStyleColBandSize w:val="1"/>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5" w:customStyle="1">
    <w:name w:val="Bordered"/>
    <w:basedOn w:val="955"/>
    <w:uiPriority w:val="99"/>
    <w:pPr>
      <w:pBdr/>
      <w:spacing w:after="0" w:line="240" w:lineRule="auto"/>
      <w:ind/>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cPr>
      <w:tcBorders/>
    </w:tcPr>
    <w:tblStylePr w:type="band1Horz">
      <w:rPr>
        <w:rFonts w:ascii="Arial" w:hAnsi="Arial"/>
        <w:color w:val="404040"/>
        <w:sz w:val="22"/>
      </w:rPr>
      <w:pPr>
        <w:pBdr/>
        <w:spacing/>
        <w:ind/>
      </w:pPr>
      <w:tblPr>
        <w:tblBorders/>
      </w:tbl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7f7f7f" w:themeColor="text1" w:themeTint="80" w:sz="12" w:space="0"/>
        </w:tcBorders>
      </w:tcPr>
    </w:tblStylePr>
    <w:tblStylePr w:type="lastCol">
      <w:rPr>
        <w:rFonts w:ascii="Arial" w:hAnsi="Arial"/>
        <w:color w:val="404040"/>
        <w:sz w:val="22"/>
      </w:rPr>
      <w:pPr>
        <w:pBdr/>
        <w:spacing/>
        <w:ind/>
      </w:pPr>
      <w:tblPr>
        <w:tblBorders/>
      </w:tblPr>
      <w:tcPr>
        <w:tcBorders>
          <w:left w:val="single" w:color="7f7f7f" w:themeColor="text1" w:themeTint="80" w:sz="12" w:space="0"/>
        </w:tcBorders>
      </w:tcPr>
    </w:tblStylePr>
    <w:tblStylePr w:type="lastRow">
      <w:rPr>
        <w:rFonts w:ascii="Arial" w:hAnsi="Arial"/>
        <w:color w:val="404040"/>
        <w:sz w:val="22"/>
      </w:rPr>
      <w:pPr>
        <w:pBdr/>
        <w:spacing/>
        <w:ind/>
      </w:pPr>
      <w:tblPr>
        <w:tblBorders/>
      </w:tblPr>
      <w:tcPr>
        <w:tcBorders>
          <w:top w:val="single" w:color="7f7f7f"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6" w:customStyle="1">
    <w:name w:val="Bordered - Accent 1"/>
    <w:basedOn w:val="955"/>
    <w:uiPriority w:val="99"/>
    <w:pPr>
      <w:pBdr/>
      <w:spacing w:after="0" w:line="240" w:lineRule="auto"/>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4f81bd" w:themeColor="accent1" w:sz="12" w:space="0"/>
        </w:tcBorders>
      </w:tcPr>
    </w:tblStylePr>
    <w:tblStylePr w:type="lastCol">
      <w:rPr>
        <w:rFonts w:ascii="Arial" w:hAnsi="Arial"/>
        <w:color w:val="404040"/>
        <w:sz w:val="22"/>
      </w:rPr>
      <w:pPr>
        <w:pBdr/>
        <w:spacing/>
        <w:ind/>
      </w:pPr>
      <w:tblPr>
        <w:tblBorders/>
      </w:tblPr>
      <w:tcPr>
        <w:tcBorders>
          <w:left w:val="single" w:color="4f81bd" w:themeColor="accent1" w:sz="12" w:space="0"/>
        </w:tcBorders>
      </w:tcPr>
    </w:tblStylePr>
    <w:tblStylePr w:type="lastRow">
      <w:rPr>
        <w:rFonts w:ascii="Arial" w:hAnsi="Arial"/>
        <w:color w:val="404040"/>
        <w:sz w:val="22"/>
      </w:rPr>
      <w:pPr>
        <w:pBdr/>
        <w:spacing/>
        <w:ind/>
      </w:pPr>
      <w:tblPr>
        <w:tblBorders/>
      </w:tblPr>
      <w:tcPr>
        <w:tcBorders>
          <w:top w:val="single" w:color="4f81bd"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7" w:customStyle="1">
    <w:name w:val="Bordered - Accent 2"/>
    <w:basedOn w:val="955"/>
    <w:uiPriority w:val="99"/>
    <w:pPr>
      <w:pBdr/>
      <w:spacing w:after="0" w:line="240" w:lineRule="auto"/>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d99695" w:themeColor="accent2" w:themeTint="97" w:sz="12" w:space="0"/>
        </w:tcBorders>
      </w:tcPr>
    </w:tblStylePr>
    <w:tblStylePr w:type="lastCol">
      <w:rPr>
        <w:rFonts w:ascii="Arial" w:hAnsi="Arial"/>
        <w:color w:val="404040"/>
        <w:sz w:val="22"/>
      </w:rPr>
      <w:pPr>
        <w:pBdr/>
        <w:spacing/>
        <w:ind/>
      </w:pPr>
      <w:tblPr>
        <w:tblBorders/>
      </w:tblPr>
      <w:tcPr>
        <w:tcBorders>
          <w:left w:val="single" w:color="d99695" w:themeColor="accent2" w:themeTint="97" w:sz="12" w:space="0"/>
        </w:tcBorders>
      </w:tcPr>
    </w:tblStylePr>
    <w:tblStylePr w:type="lastRow">
      <w:rPr>
        <w:rFonts w:ascii="Arial" w:hAnsi="Arial"/>
        <w:color w:val="404040"/>
        <w:sz w:val="22"/>
      </w:rPr>
      <w:pPr>
        <w:pBdr/>
        <w:spacing/>
        <w:ind/>
      </w:pPr>
      <w:tblPr>
        <w:tblBorders/>
      </w:tblPr>
      <w:tcPr>
        <w:tcBorders>
          <w:top w:val="single" w:color="d99695"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8" w:customStyle="1">
    <w:name w:val="Bordered - Accent 3"/>
    <w:basedOn w:val="955"/>
    <w:uiPriority w:val="99"/>
    <w:pPr>
      <w:pBdr/>
      <w:spacing w:after="0" w:line="240" w:lineRule="auto"/>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c3d69b" w:themeColor="accent3" w:themeTint="98" w:sz="12" w:space="0"/>
        </w:tcBorders>
      </w:tcPr>
    </w:tblStylePr>
    <w:tblStylePr w:type="lastCol">
      <w:rPr>
        <w:rFonts w:ascii="Arial" w:hAnsi="Arial"/>
        <w:color w:val="404040"/>
        <w:sz w:val="22"/>
      </w:rPr>
      <w:pPr>
        <w:pBdr/>
        <w:spacing/>
        <w:ind/>
      </w:pPr>
      <w:tblPr>
        <w:tblBorders/>
      </w:tblPr>
      <w:tcPr>
        <w:tcBorders>
          <w:left w:val="single" w:color="c3d69b" w:themeColor="accent3" w:themeTint="98" w:sz="12" w:space="0"/>
        </w:tcBorders>
      </w:tcPr>
    </w:tblStylePr>
    <w:tblStylePr w:type="lastRow">
      <w:rPr>
        <w:rFonts w:ascii="Arial" w:hAnsi="Arial"/>
        <w:color w:val="404040"/>
        <w:sz w:val="22"/>
      </w:rPr>
      <w:pPr>
        <w:pBdr/>
        <w:spacing/>
        <w:ind/>
      </w:pPr>
      <w:tblPr>
        <w:tblBorders/>
      </w:tblPr>
      <w:tcPr>
        <w:tcBorders>
          <w:top w:val="single" w:color="c3d69b"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9" w:customStyle="1">
    <w:name w:val="Bordered - Accent 4"/>
    <w:basedOn w:val="955"/>
    <w:uiPriority w:val="99"/>
    <w:pPr>
      <w:pBdr/>
      <w:spacing w:after="0" w:line="240" w:lineRule="auto"/>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b2a1c6" w:themeColor="accent4" w:themeTint="9A" w:sz="12" w:space="0"/>
        </w:tcBorders>
      </w:tcPr>
    </w:tblStylePr>
    <w:tblStylePr w:type="lastCol">
      <w:rPr>
        <w:rFonts w:ascii="Arial" w:hAnsi="Arial"/>
        <w:color w:val="404040"/>
        <w:sz w:val="22"/>
      </w:rPr>
      <w:pPr>
        <w:pBdr/>
        <w:spacing/>
        <w:ind/>
      </w:pPr>
      <w:tblPr>
        <w:tblBorders/>
      </w:tblPr>
      <w:tcPr>
        <w:tcBorders>
          <w:left w:val="single" w:color="b2a1c6" w:themeColor="accent4" w:themeTint="9A" w:sz="12" w:space="0"/>
        </w:tcBorders>
      </w:tcPr>
    </w:tblStylePr>
    <w:tblStylePr w:type="lastRow">
      <w:rPr>
        <w:rFonts w:ascii="Arial" w:hAnsi="Arial"/>
        <w:color w:val="404040"/>
        <w:sz w:val="22"/>
      </w:rPr>
      <w:pPr>
        <w:pBdr/>
        <w:spacing/>
        <w:ind/>
      </w:pPr>
      <w:tblPr>
        <w:tblBorders/>
      </w:tblPr>
      <w:tcPr>
        <w:tcBorders>
          <w:top w:val="single" w:color="b2a1c6"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0" w:customStyle="1">
    <w:name w:val="Bordered - Accent 5"/>
    <w:basedOn w:val="955"/>
    <w:uiPriority w:val="99"/>
    <w:pPr>
      <w:pBdr/>
      <w:spacing w:after="0" w:line="240" w:lineRule="auto"/>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92ccdc" w:themeColor="accent5" w:themeTint="9A" w:sz="12" w:space="0"/>
        </w:tcBorders>
      </w:tcPr>
    </w:tblStylePr>
    <w:tblStylePr w:type="lastCol">
      <w:rPr>
        <w:rFonts w:ascii="Arial" w:hAnsi="Arial"/>
        <w:color w:val="404040"/>
        <w:sz w:val="22"/>
      </w:rPr>
      <w:pPr>
        <w:pBdr/>
        <w:spacing/>
        <w:ind/>
      </w:pPr>
      <w:tblPr>
        <w:tblBorders/>
      </w:tblPr>
      <w:tcPr>
        <w:tcBorders>
          <w:left w:val="single" w:color="92ccdc" w:themeColor="accent5" w:themeTint="9A" w:sz="12" w:space="0"/>
        </w:tcBorders>
      </w:tcPr>
    </w:tblStylePr>
    <w:tblStylePr w:type="lastRow">
      <w:rPr>
        <w:rFonts w:ascii="Arial" w:hAnsi="Arial"/>
        <w:color w:val="404040"/>
        <w:sz w:val="22"/>
      </w:rPr>
      <w:pPr>
        <w:pBdr/>
        <w:spacing/>
        <w:ind/>
      </w:pPr>
      <w:tblPr>
        <w:tblBorders/>
      </w:tblPr>
      <w:tcPr>
        <w:tcBorders>
          <w:top w:val="single" w:color="92ccdc"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1" w:customStyle="1">
    <w:name w:val="Bordered - Accent 6"/>
    <w:basedOn w:val="955"/>
    <w:uiPriority w:val="99"/>
    <w:pPr>
      <w:pBdr/>
      <w:spacing w:after="0" w:line="240" w:lineRule="auto"/>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ac090" w:themeColor="accent6" w:themeTint="98" w:sz="12" w:space="0"/>
        </w:tcBorders>
      </w:tcPr>
    </w:tblStylePr>
    <w:tblStylePr w:type="lastCol">
      <w:rPr>
        <w:rFonts w:ascii="Arial" w:hAnsi="Arial"/>
        <w:color w:val="404040"/>
        <w:sz w:val="22"/>
      </w:rPr>
      <w:pPr>
        <w:pBdr/>
        <w:spacing/>
        <w:ind/>
      </w:pPr>
      <w:tblPr>
        <w:tblBorders/>
      </w:tblPr>
      <w:tcPr>
        <w:tcBorders>
          <w:left w:val="single" w:color="fac090" w:themeColor="accent6" w:themeTint="98" w:sz="12" w:space="0"/>
        </w:tcBorders>
      </w:tcPr>
    </w:tblStylePr>
    <w:tblStylePr w:type="lastRow">
      <w:rPr>
        <w:rFonts w:ascii="Arial" w:hAnsi="Arial"/>
        <w:color w:val="404040"/>
        <w:sz w:val="22"/>
      </w:rPr>
      <w:pPr>
        <w:pBdr/>
        <w:spacing/>
        <w:ind/>
      </w:pPr>
      <w:tblPr>
        <w:tblBorders/>
      </w:tblPr>
      <w:tcPr>
        <w:tcBorders>
          <w:top w:val="single" w:color="fac09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082" w:customStyle="1">
    <w:name w:val="Heading 5 Char"/>
    <w:basedOn w:val="954"/>
    <w:link w:val="949"/>
    <w:uiPriority w:val="9"/>
    <w:pPr>
      <w:pBdr/>
      <w:spacing/>
      <w:ind/>
    </w:pPr>
    <w:rPr>
      <w:rFonts w:ascii="Arial" w:hAnsi="Arial" w:eastAsia="Arial" w:cs="Arial"/>
      <w:color w:val="365f91" w:themeColor="accent1" w:themeShade="BF"/>
    </w:rPr>
  </w:style>
  <w:style w:type="character" w:styleId="1083" w:customStyle="1">
    <w:name w:val="Heading 6 Char"/>
    <w:basedOn w:val="954"/>
    <w:link w:val="950"/>
    <w:uiPriority w:val="9"/>
    <w:pPr>
      <w:pBdr/>
      <w:spacing/>
      <w:ind/>
    </w:pPr>
    <w:rPr>
      <w:rFonts w:ascii="Arial" w:hAnsi="Arial" w:eastAsia="Arial" w:cs="Arial"/>
      <w:i/>
      <w:iCs/>
      <w:color w:val="595959" w:themeColor="text1" w:themeTint="A6"/>
    </w:rPr>
  </w:style>
  <w:style w:type="character" w:styleId="1084" w:customStyle="1">
    <w:name w:val="Heading 7 Char"/>
    <w:basedOn w:val="954"/>
    <w:link w:val="951"/>
    <w:uiPriority w:val="9"/>
    <w:pPr>
      <w:pBdr/>
      <w:spacing/>
      <w:ind/>
    </w:pPr>
    <w:rPr>
      <w:rFonts w:ascii="Arial" w:hAnsi="Arial" w:eastAsia="Arial" w:cs="Arial"/>
      <w:color w:val="595959" w:themeColor="text1" w:themeTint="A6"/>
    </w:rPr>
  </w:style>
  <w:style w:type="character" w:styleId="1085" w:customStyle="1">
    <w:name w:val="Heading 8 Char"/>
    <w:basedOn w:val="954"/>
    <w:link w:val="952"/>
    <w:uiPriority w:val="9"/>
    <w:pPr>
      <w:pBdr/>
      <w:spacing/>
      <w:ind/>
    </w:pPr>
    <w:rPr>
      <w:rFonts w:ascii="Arial" w:hAnsi="Arial" w:eastAsia="Arial" w:cs="Arial"/>
      <w:i/>
      <w:iCs/>
      <w:color w:val="272727" w:themeColor="text1" w:themeTint="D8"/>
    </w:rPr>
  </w:style>
  <w:style w:type="character" w:styleId="1086" w:customStyle="1">
    <w:name w:val="Heading 9 Char"/>
    <w:basedOn w:val="954"/>
    <w:link w:val="953"/>
    <w:uiPriority w:val="9"/>
    <w:pPr>
      <w:pBdr/>
      <w:spacing/>
      <w:ind/>
    </w:pPr>
    <w:rPr>
      <w:rFonts w:ascii="Arial" w:hAnsi="Arial" w:eastAsia="Arial" w:cs="Arial"/>
      <w:i/>
      <w:iCs/>
      <w:color w:val="272727" w:themeColor="text1" w:themeTint="D8"/>
    </w:rPr>
  </w:style>
  <w:style w:type="paragraph" w:styleId="1087">
    <w:name w:val="Subtitle"/>
    <w:basedOn w:val="944"/>
    <w:next w:val="944"/>
    <w:link w:val="1088"/>
    <w:uiPriority w:val="11"/>
    <w:qFormat/>
    <w:pPr>
      <w:numPr>
        <w:ilvl w:val="1"/>
      </w:numPr>
      <w:pBdr/>
      <w:spacing/>
      <w:ind/>
    </w:pPr>
    <w:rPr>
      <w:color w:val="595959" w:themeColor="text1" w:themeTint="A6"/>
      <w:spacing w:val="15"/>
      <w:sz w:val="28"/>
      <w:szCs w:val="28"/>
    </w:rPr>
  </w:style>
  <w:style w:type="character" w:styleId="1088" w:customStyle="1">
    <w:name w:val="Subtitle Char"/>
    <w:basedOn w:val="954"/>
    <w:link w:val="1087"/>
    <w:uiPriority w:val="11"/>
    <w:pPr>
      <w:pBdr/>
      <w:spacing/>
      <w:ind/>
    </w:pPr>
    <w:rPr>
      <w:color w:val="595959" w:themeColor="text1" w:themeTint="A6"/>
      <w:spacing w:val="15"/>
      <w:sz w:val="28"/>
      <w:szCs w:val="28"/>
    </w:rPr>
  </w:style>
  <w:style w:type="paragraph" w:styleId="1089">
    <w:name w:val="Quote"/>
    <w:basedOn w:val="944"/>
    <w:next w:val="944"/>
    <w:link w:val="1090"/>
    <w:uiPriority w:val="29"/>
    <w:qFormat/>
    <w:pPr>
      <w:pBdr/>
      <w:spacing w:before="160"/>
      <w:ind/>
      <w:jc w:val="center"/>
    </w:pPr>
    <w:rPr>
      <w:i/>
      <w:iCs/>
      <w:color w:val="404040" w:themeColor="text1" w:themeTint="BF"/>
    </w:rPr>
  </w:style>
  <w:style w:type="character" w:styleId="1090" w:customStyle="1">
    <w:name w:val="Quote Char"/>
    <w:basedOn w:val="954"/>
    <w:link w:val="1089"/>
    <w:uiPriority w:val="29"/>
    <w:pPr>
      <w:pBdr/>
      <w:spacing/>
      <w:ind/>
    </w:pPr>
    <w:rPr>
      <w:i/>
      <w:iCs/>
      <w:color w:val="404040" w:themeColor="text1" w:themeTint="BF"/>
    </w:rPr>
  </w:style>
  <w:style w:type="character" w:styleId="1091">
    <w:name w:val="Intense Emphasis"/>
    <w:basedOn w:val="954"/>
    <w:uiPriority w:val="21"/>
    <w:qFormat/>
    <w:pPr>
      <w:pBdr/>
      <w:spacing/>
      <w:ind/>
    </w:pPr>
    <w:rPr>
      <w:i/>
      <w:iCs/>
      <w:color w:val="365f91" w:themeColor="accent1" w:themeShade="BF"/>
    </w:rPr>
  </w:style>
  <w:style w:type="paragraph" w:styleId="1092">
    <w:name w:val="Intense Quote"/>
    <w:basedOn w:val="944"/>
    <w:next w:val="944"/>
    <w:link w:val="1093"/>
    <w:uiPriority w:val="30"/>
    <w:qFormat/>
    <w:pPr>
      <w:pBdr>
        <w:top w:val="single" w:color="365f91" w:themeColor="accent1" w:themeShade="BF" w:sz="4" w:space="10"/>
        <w:bottom w:val="single" w:color="365f91" w:themeColor="accent1" w:themeShade="BF" w:sz="4" w:space="10"/>
      </w:pBdr>
      <w:spacing w:after="360" w:before="360"/>
      <w:ind w:right="864" w:left="864"/>
      <w:jc w:val="center"/>
    </w:pPr>
    <w:rPr>
      <w:i/>
      <w:iCs/>
      <w:color w:val="365f91" w:themeColor="accent1" w:themeShade="BF"/>
    </w:rPr>
  </w:style>
  <w:style w:type="character" w:styleId="1093" w:customStyle="1">
    <w:name w:val="Intense Quote Char"/>
    <w:basedOn w:val="954"/>
    <w:link w:val="1092"/>
    <w:uiPriority w:val="30"/>
    <w:pPr>
      <w:pBdr/>
      <w:spacing/>
      <w:ind/>
    </w:pPr>
    <w:rPr>
      <w:i/>
      <w:iCs/>
      <w:color w:val="365f91" w:themeColor="accent1" w:themeShade="BF"/>
    </w:rPr>
  </w:style>
  <w:style w:type="character" w:styleId="1094">
    <w:name w:val="Intense Reference"/>
    <w:basedOn w:val="954"/>
    <w:uiPriority w:val="32"/>
    <w:qFormat/>
    <w:pPr>
      <w:pBdr/>
      <w:spacing/>
      <w:ind/>
    </w:pPr>
    <w:rPr>
      <w:b/>
      <w:bCs/>
      <w:smallCaps/>
      <w:color w:val="365f91" w:themeColor="accent1" w:themeShade="BF"/>
      <w:spacing w:val="5"/>
    </w:rPr>
  </w:style>
  <w:style w:type="paragraph" w:styleId="1095">
    <w:name w:val="No Spacing"/>
    <w:basedOn w:val="944"/>
    <w:uiPriority w:val="1"/>
    <w:qFormat/>
    <w:pPr>
      <w:pBdr/>
      <w:spacing/>
      <w:ind/>
    </w:pPr>
  </w:style>
  <w:style w:type="character" w:styleId="1096">
    <w:name w:val="Subtle Emphasis"/>
    <w:basedOn w:val="954"/>
    <w:uiPriority w:val="19"/>
    <w:qFormat/>
    <w:pPr>
      <w:pBdr/>
      <w:spacing/>
      <w:ind/>
    </w:pPr>
    <w:rPr>
      <w:i/>
      <w:iCs/>
      <w:color w:val="404040" w:themeColor="text1" w:themeTint="BF"/>
    </w:rPr>
  </w:style>
  <w:style w:type="character" w:styleId="1097">
    <w:name w:val="Subtle Reference"/>
    <w:basedOn w:val="954"/>
    <w:uiPriority w:val="31"/>
    <w:qFormat/>
    <w:pPr>
      <w:pBdr/>
      <w:spacing/>
      <w:ind/>
    </w:pPr>
    <w:rPr>
      <w:smallCaps/>
      <w:color w:val="5a5a5a" w:themeColor="text1" w:themeTint="A5"/>
    </w:rPr>
  </w:style>
  <w:style w:type="character" w:styleId="1098">
    <w:name w:val="Book Title"/>
    <w:basedOn w:val="954"/>
    <w:uiPriority w:val="33"/>
    <w:qFormat/>
    <w:pPr>
      <w:pBdr/>
      <w:spacing/>
      <w:ind/>
    </w:pPr>
    <w:rPr>
      <w:b/>
      <w:bCs/>
      <w:i/>
      <w:iCs/>
      <w:spacing w:val="5"/>
    </w:rPr>
  </w:style>
  <w:style w:type="paragraph" w:styleId="1099">
    <w:name w:val="Caption"/>
    <w:basedOn w:val="944"/>
    <w:next w:val="944"/>
    <w:uiPriority w:val="35"/>
    <w:unhideWhenUsed/>
    <w:qFormat/>
    <w:pPr>
      <w:pBdr/>
      <w:spacing w:after="200"/>
      <w:ind/>
    </w:pPr>
    <w:rPr>
      <w:i/>
      <w:iCs/>
      <w:color w:val="1f497d" w:themeColor="text2"/>
      <w:sz w:val="18"/>
      <w:szCs w:val="18"/>
    </w:rPr>
  </w:style>
  <w:style w:type="paragraph" w:styleId="1100">
    <w:name w:val="footnote text"/>
    <w:basedOn w:val="944"/>
    <w:link w:val="1101"/>
    <w:uiPriority w:val="99"/>
    <w:semiHidden/>
    <w:unhideWhenUsed/>
    <w:pPr>
      <w:pBdr/>
      <w:spacing/>
      <w:ind/>
    </w:pPr>
    <w:rPr>
      <w:sz w:val="20"/>
      <w:szCs w:val="20"/>
    </w:rPr>
  </w:style>
  <w:style w:type="character" w:styleId="1101" w:customStyle="1">
    <w:name w:val="Footnote Text Char"/>
    <w:basedOn w:val="954"/>
    <w:link w:val="1100"/>
    <w:uiPriority w:val="99"/>
    <w:semiHidden/>
    <w:pPr>
      <w:pBdr/>
      <w:spacing/>
      <w:ind/>
    </w:pPr>
    <w:rPr>
      <w:sz w:val="20"/>
      <w:szCs w:val="20"/>
    </w:rPr>
  </w:style>
  <w:style w:type="character" w:styleId="1102">
    <w:name w:val="footnote reference"/>
    <w:basedOn w:val="954"/>
    <w:uiPriority w:val="99"/>
    <w:semiHidden/>
    <w:unhideWhenUsed/>
    <w:pPr>
      <w:pBdr/>
      <w:spacing/>
      <w:ind/>
    </w:pPr>
    <w:rPr>
      <w:vertAlign w:val="superscript"/>
    </w:rPr>
  </w:style>
  <w:style w:type="paragraph" w:styleId="1103">
    <w:name w:val="endnote text"/>
    <w:basedOn w:val="944"/>
    <w:link w:val="1104"/>
    <w:uiPriority w:val="99"/>
    <w:semiHidden/>
    <w:unhideWhenUsed/>
    <w:pPr>
      <w:pBdr/>
      <w:spacing/>
      <w:ind/>
    </w:pPr>
    <w:rPr>
      <w:sz w:val="20"/>
      <w:szCs w:val="20"/>
    </w:rPr>
  </w:style>
  <w:style w:type="character" w:styleId="1104" w:customStyle="1">
    <w:name w:val="Endnote Text Char"/>
    <w:basedOn w:val="954"/>
    <w:link w:val="1103"/>
    <w:uiPriority w:val="99"/>
    <w:semiHidden/>
    <w:pPr>
      <w:pBdr/>
      <w:spacing/>
      <w:ind/>
    </w:pPr>
    <w:rPr>
      <w:sz w:val="20"/>
      <w:szCs w:val="20"/>
    </w:rPr>
  </w:style>
  <w:style w:type="character" w:styleId="1105">
    <w:name w:val="endnote reference"/>
    <w:basedOn w:val="954"/>
    <w:uiPriority w:val="99"/>
    <w:semiHidden/>
    <w:unhideWhenUsed/>
    <w:pPr>
      <w:pBdr/>
      <w:spacing/>
      <w:ind/>
    </w:pPr>
    <w:rPr>
      <w:vertAlign w:val="superscript"/>
    </w:rPr>
  </w:style>
  <w:style w:type="paragraph" w:styleId="1106">
    <w:name w:val="toc 1"/>
    <w:basedOn w:val="944"/>
    <w:next w:val="944"/>
    <w:uiPriority w:val="39"/>
    <w:unhideWhenUsed/>
    <w:pPr>
      <w:pBdr/>
      <w:spacing w:after="100"/>
      <w:ind/>
    </w:pPr>
  </w:style>
  <w:style w:type="paragraph" w:styleId="1107">
    <w:name w:val="toc 2"/>
    <w:basedOn w:val="944"/>
    <w:next w:val="944"/>
    <w:uiPriority w:val="39"/>
    <w:unhideWhenUsed/>
    <w:pPr>
      <w:pBdr/>
      <w:spacing w:after="100"/>
      <w:ind w:left="220"/>
    </w:pPr>
  </w:style>
  <w:style w:type="paragraph" w:styleId="1108">
    <w:name w:val="toc 3"/>
    <w:basedOn w:val="944"/>
    <w:next w:val="944"/>
    <w:uiPriority w:val="39"/>
    <w:unhideWhenUsed/>
    <w:pPr>
      <w:pBdr/>
      <w:spacing w:after="100"/>
      <w:ind w:left="440"/>
    </w:pPr>
  </w:style>
  <w:style w:type="paragraph" w:styleId="1109">
    <w:name w:val="toc 4"/>
    <w:basedOn w:val="944"/>
    <w:next w:val="944"/>
    <w:uiPriority w:val="39"/>
    <w:unhideWhenUsed/>
    <w:pPr>
      <w:pBdr/>
      <w:spacing w:after="100"/>
      <w:ind w:left="660"/>
    </w:pPr>
  </w:style>
  <w:style w:type="paragraph" w:styleId="1110">
    <w:name w:val="toc 5"/>
    <w:basedOn w:val="944"/>
    <w:next w:val="944"/>
    <w:uiPriority w:val="39"/>
    <w:unhideWhenUsed/>
    <w:pPr>
      <w:pBdr/>
      <w:spacing w:after="100"/>
      <w:ind w:left="880"/>
    </w:pPr>
  </w:style>
  <w:style w:type="paragraph" w:styleId="1111">
    <w:name w:val="toc 6"/>
    <w:basedOn w:val="944"/>
    <w:next w:val="944"/>
    <w:uiPriority w:val="39"/>
    <w:unhideWhenUsed/>
    <w:pPr>
      <w:pBdr/>
      <w:spacing w:after="100"/>
      <w:ind w:left="1100"/>
    </w:pPr>
  </w:style>
  <w:style w:type="paragraph" w:styleId="1112">
    <w:name w:val="toc 7"/>
    <w:basedOn w:val="944"/>
    <w:next w:val="944"/>
    <w:uiPriority w:val="39"/>
    <w:unhideWhenUsed/>
    <w:pPr>
      <w:pBdr/>
      <w:spacing w:after="100"/>
      <w:ind w:left="1320"/>
    </w:pPr>
  </w:style>
  <w:style w:type="paragraph" w:styleId="1113">
    <w:name w:val="toc 8"/>
    <w:basedOn w:val="944"/>
    <w:next w:val="944"/>
    <w:uiPriority w:val="39"/>
    <w:unhideWhenUsed/>
    <w:pPr>
      <w:pBdr/>
      <w:spacing w:after="100"/>
      <w:ind w:left="1540"/>
    </w:pPr>
  </w:style>
  <w:style w:type="paragraph" w:styleId="1114">
    <w:name w:val="toc 9"/>
    <w:basedOn w:val="944"/>
    <w:next w:val="944"/>
    <w:uiPriority w:val="39"/>
    <w:unhideWhenUsed/>
    <w:pPr>
      <w:pBdr/>
      <w:spacing w:after="100"/>
      <w:ind w:left="1760"/>
    </w:pPr>
  </w:style>
  <w:style w:type="character" w:styleId="1115">
    <w:name w:val="Placeholder Text"/>
    <w:basedOn w:val="954"/>
    <w:uiPriority w:val="99"/>
    <w:semiHidden/>
    <w:pPr>
      <w:pBdr/>
      <w:spacing/>
      <w:ind/>
    </w:pPr>
    <w:rPr>
      <w:color w:val="666666"/>
    </w:rPr>
  </w:style>
  <w:style w:type="paragraph" w:styleId="1116">
    <w:name w:val="TOC Heading"/>
    <w:uiPriority w:val="39"/>
    <w:unhideWhenUsed/>
    <w:pPr>
      <w:pBdr/>
      <w:spacing/>
      <w:ind/>
    </w:pPr>
  </w:style>
  <w:style w:type="paragraph" w:styleId="1117">
    <w:name w:val="table of figures"/>
    <w:basedOn w:val="944"/>
    <w:next w:val="944"/>
    <w:uiPriority w:val="99"/>
    <w:unhideWhenUsed/>
    <w:pPr>
      <w:pBdr/>
      <w:spacing/>
      <w:ind/>
    </w:pPr>
  </w:style>
  <w:style w:type="character" w:styleId="1118" w:customStyle="1">
    <w:name w:val="Heading 1 Char"/>
    <w:basedOn w:val="954"/>
    <w:link w:val="945"/>
    <w:pPr>
      <w:pBdr/>
      <w:spacing/>
      <w:ind/>
    </w:pPr>
    <w:rPr>
      <w:rFonts w:ascii="Times New Roman" w:hAnsi="Times New Roman" w:eastAsia="Times New Roman" w:cs="Times New Roman"/>
      <w:b/>
      <w:bCs/>
      <w:sz w:val="27"/>
      <w:szCs w:val="27"/>
    </w:rPr>
  </w:style>
  <w:style w:type="character" w:styleId="1119" w:customStyle="1">
    <w:name w:val="Heading 2 Char"/>
    <w:basedOn w:val="954"/>
    <w:link w:val="946"/>
    <w:uiPriority w:val="9"/>
    <w:pPr>
      <w:pBdr/>
      <w:spacing/>
      <w:ind/>
    </w:pPr>
    <w:rPr>
      <w:rFonts w:asciiTheme="majorHAnsi" w:hAnsiTheme="majorHAnsi" w:eastAsiaTheme="majorEastAsia" w:cstheme="majorBidi"/>
      <w:color w:val="365f91" w:themeColor="accent1" w:themeShade="BF"/>
      <w:sz w:val="26"/>
      <w:szCs w:val="26"/>
    </w:rPr>
  </w:style>
  <w:style w:type="character" w:styleId="1120" w:customStyle="1">
    <w:name w:val="Heading 3 Char"/>
    <w:basedOn w:val="954"/>
    <w:link w:val="947"/>
    <w:pPr>
      <w:pBdr/>
      <w:spacing/>
      <w:ind/>
    </w:pPr>
    <w:rPr>
      <w:rFonts w:ascii="Times New Roman" w:hAnsi="Times New Roman" w:eastAsia="Times New Roman" w:cs="Times New Roman"/>
      <w:sz w:val="28"/>
      <w:szCs w:val="28"/>
    </w:rPr>
  </w:style>
  <w:style w:type="character" w:styleId="1121" w:customStyle="1">
    <w:name w:val="Heading 4 Char"/>
    <w:basedOn w:val="954"/>
    <w:link w:val="948"/>
    <w:pPr>
      <w:pBdr/>
      <w:spacing/>
      <w:ind/>
    </w:pPr>
    <w:rPr>
      <w:rFonts w:ascii="Times New Roman" w:hAnsi="Times New Roman" w:eastAsia="Times New Roman" w:cs="Times New Roman"/>
      <w:b/>
      <w:bCs/>
      <w:sz w:val="24"/>
      <w:szCs w:val="24"/>
    </w:rPr>
  </w:style>
  <w:style w:type="character" w:styleId="1122">
    <w:name w:val="Hyperlink"/>
    <w:uiPriority w:val="99"/>
    <w:pPr>
      <w:pBdr/>
      <w:spacing/>
      <w:ind/>
    </w:pPr>
    <w:rPr>
      <w:color w:val="000000"/>
      <w:u w:val="single"/>
    </w:rPr>
  </w:style>
  <w:style w:type="character" w:styleId="1123">
    <w:name w:val="Strong"/>
    <w:uiPriority w:val="22"/>
    <w:qFormat/>
    <w:pPr>
      <w:pBdr/>
      <w:spacing/>
      <w:ind/>
    </w:pPr>
    <w:rPr>
      <w:b/>
      <w:bCs/>
    </w:rPr>
  </w:style>
  <w:style w:type="paragraph" w:styleId="1124">
    <w:name w:val="Balloon Text"/>
    <w:basedOn w:val="944"/>
    <w:link w:val="1125"/>
    <w:uiPriority w:val="99"/>
    <w:semiHidden/>
    <w:unhideWhenUsed/>
    <w:pPr>
      <w:pBdr/>
      <w:spacing/>
      <w:ind/>
    </w:pPr>
    <w:rPr>
      <w:rFonts w:ascii="Tahoma" w:hAnsi="Tahoma" w:cs="Tahoma"/>
      <w:sz w:val="16"/>
      <w:szCs w:val="16"/>
    </w:rPr>
  </w:style>
  <w:style w:type="character" w:styleId="1125" w:customStyle="1">
    <w:name w:val="Balloon Text Char"/>
    <w:basedOn w:val="954"/>
    <w:link w:val="1124"/>
    <w:uiPriority w:val="99"/>
    <w:semiHidden/>
    <w:pPr>
      <w:pBdr/>
      <w:spacing/>
      <w:ind/>
    </w:pPr>
    <w:rPr>
      <w:rFonts w:ascii="Tahoma" w:hAnsi="Tahoma" w:eastAsia="Times New Roman" w:cs="Tahoma"/>
      <w:sz w:val="16"/>
      <w:szCs w:val="16"/>
    </w:rPr>
  </w:style>
  <w:style w:type="paragraph" w:styleId="1126">
    <w:name w:val="Header"/>
    <w:basedOn w:val="944"/>
    <w:link w:val="1127"/>
    <w:unhideWhenUsed/>
    <w:pPr>
      <w:pBdr/>
      <w:tabs>
        <w:tab w:val="center" w:leader="none" w:pos="4680"/>
        <w:tab w:val="right" w:leader="none" w:pos="9360"/>
      </w:tabs>
      <w:spacing/>
      <w:ind/>
    </w:pPr>
  </w:style>
  <w:style w:type="character" w:styleId="1127" w:customStyle="1">
    <w:name w:val="Header Char"/>
    <w:basedOn w:val="954"/>
    <w:link w:val="1126"/>
    <w:pPr>
      <w:pBdr/>
      <w:spacing/>
      <w:ind/>
    </w:pPr>
    <w:rPr>
      <w:rFonts w:ascii="Times New Roman" w:hAnsi="Times New Roman" w:eastAsia="Times New Roman" w:cs="Times New Roman"/>
      <w:sz w:val="24"/>
      <w:szCs w:val="24"/>
    </w:rPr>
  </w:style>
  <w:style w:type="paragraph" w:styleId="1128">
    <w:name w:val="Footer"/>
    <w:basedOn w:val="944"/>
    <w:link w:val="1129"/>
    <w:uiPriority w:val="99"/>
    <w:unhideWhenUsed/>
    <w:pPr>
      <w:pBdr/>
      <w:tabs>
        <w:tab w:val="center" w:leader="none" w:pos="4680"/>
        <w:tab w:val="right" w:leader="none" w:pos="9360"/>
      </w:tabs>
      <w:spacing/>
      <w:ind/>
    </w:pPr>
  </w:style>
  <w:style w:type="character" w:styleId="1129" w:customStyle="1">
    <w:name w:val="Footer Char"/>
    <w:basedOn w:val="954"/>
    <w:link w:val="1128"/>
    <w:uiPriority w:val="99"/>
    <w:pPr>
      <w:pBdr/>
      <w:spacing/>
      <w:ind/>
    </w:pPr>
    <w:rPr>
      <w:rFonts w:ascii="Times New Roman" w:hAnsi="Times New Roman" w:eastAsia="Times New Roman" w:cs="Times New Roman"/>
      <w:sz w:val="24"/>
      <w:szCs w:val="24"/>
    </w:rPr>
  </w:style>
  <w:style w:type="character" w:styleId="1130" w:customStyle="1">
    <w:name w:val="normal-h1"/>
    <w:pPr>
      <w:pBdr/>
      <w:spacing/>
      <w:ind/>
    </w:pPr>
    <w:rPr>
      <w:rFonts w:hint="default" w:ascii=".VnTime" w:hAnsi=".VnTime"/>
      <w:color w:val="0000ff"/>
      <w:sz w:val="24"/>
      <w:szCs w:val="24"/>
    </w:rPr>
  </w:style>
  <w:style w:type="paragraph" w:styleId="1131" w:customStyle="1">
    <w:name w:val="normal-p"/>
    <w:basedOn w:val="944"/>
    <w:pPr>
      <w:pBdr/>
      <w:spacing/>
      <w:ind/>
      <w:jc w:val="both"/>
    </w:pPr>
    <w:rPr>
      <w:sz w:val="20"/>
      <w:szCs w:val="20"/>
    </w:rPr>
  </w:style>
  <w:style w:type="paragraph" w:styleId="1132">
    <w:name w:val="List Paragraph"/>
    <w:basedOn w:val="944"/>
    <w:link w:val="1219"/>
    <w:uiPriority w:val="34"/>
    <w:qFormat/>
    <w:pPr>
      <w:pBdr/>
      <w:spacing/>
      <w:ind w:left="720"/>
    </w:pPr>
  </w:style>
  <w:style w:type="paragraph" w:styleId="1133">
    <w:name w:val="Normal (Web)"/>
    <w:basedOn w:val="944"/>
    <w:uiPriority w:val="99"/>
    <w:pPr>
      <w:pBdr/>
      <w:spacing w:after="100" w:afterAutospacing="1" w:before="100" w:beforeAutospacing="1"/>
      <w:ind/>
    </w:pPr>
  </w:style>
  <w:style w:type="paragraph" w:styleId="1134">
    <w:name w:val="Body Text"/>
    <w:basedOn w:val="944"/>
    <w:link w:val="1135"/>
    <w:pPr>
      <w:pBdr/>
      <w:spacing w:after="120"/>
      <w:ind/>
      <w:jc w:val="both"/>
    </w:pPr>
  </w:style>
  <w:style w:type="character" w:styleId="1135" w:customStyle="1">
    <w:name w:val="Body Text Char"/>
    <w:basedOn w:val="954"/>
    <w:link w:val="1134"/>
    <w:pPr>
      <w:pBdr/>
      <w:spacing/>
      <w:ind/>
    </w:pPr>
    <w:rPr>
      <w:rFonts w:ascii="Times New Roman" w:hAnsi="Times New Roman" w:eastAsia="Times New Roman" w:cs="Times New Roman"/>
      <w:sz w:val="24"/>
      <w:szCs w:val="24"/>
    </w:rPr>
  </w:style>
  <w:style w:type="table" w:styleId="1136">
    <w:name w:val="Table Grid"/>
    <w:basedOn w:val="955"/>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137"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138">
    <w:name w:val="annotation reference"/>
    <w:basedOn w:val="954"/>
    <w:uiPriority w:val="99"/>
    <w:semiHidden/>
    <w:unhideWhenUsed/>
    <w:pPr>
      <w:pBdr/>
      <w:spacing/>
      <w:ind/>
    </w:pPr>
    <w:rPr>
      <w:sz w:val="16"/>
      <w:szCs w:val="16"/>
    </w:rPr>
  </w:style>
  <w:style w:type="paragraph" w:styleId="1139">
    <w:name w:val="annotation text"/>
    <w:basedOn w:val="944"/>
    <w:link w:val="1140"/>
    <w:uiPriority w:val="99"/>
    <w:unhideWhenUsed/>
    <w:pPr>
      <w:pBdr/>
      <w:spacing/>
      <w:ind/>
    </w:pPr>
    <w:rPr>
      <w:sz w:val="20"/>
      <w:szCs w:val="20"/>
    </w:rPr>
  </w:style>
  <w:style w:type="character" w:styleId="1140" w:customStyle="1">
    <w:name w:val="Comment Text Char"/>
    <w:basedOn w:val="954"/>
    <w:link w:val="1139"/>
    <w:uiPriority w:val="99"/>
    <w:pPr>
      <w:pBdr/>
      <w:spacing/>
      <w:ind/>
    </w:pPr>
    <w:rPr>
      <w:rFonts w:ascii="Times New Roman" w:hAnsi="Times New Roman" w:eastAsia="Times New Roman" w:cs="Times New Roman"/>
      <w:sz w:val="20"/>
      <w:szCs w:val="20"/>
    </w:rPr>
  </w:style>
  <w:style w:type="paragraph" w:styleId="1141">
    <w:name w:val="annotation subject"/>
    <w:basedOn w:val="1139"/>
    <w:next w:val="1139"/>
    <w:link w:val="1142"/>
    <w:uiPriority w:val="99"/>
    <w:semiHidden/>
    <w:unhideWhenUsed/>
    <w:pPr>
      <w:pBdr/>
      <w:spacing/>
      <w:ind/>
    </w:pPr>
    <w:rPr>
      <w:b/>
      <w:bCs/>
    </w:rPr>
  </w:style>
  <w:style w:type="character" w:styleId="1142" w:customStyle="1">
    <w:name w:val="Comment Subject Char"/>
    <w:basedOn w:val="1140"/>
    <w:link w:val="1141"/>
    <w:uiPriority w:val="99"/>
    <w:semiHidden/>
    <w:pPr>
      <w:pBdr/>
      <w:spacing/>
      <w:ind/>
    </w:pPr>
    <w:rPr>
      <w:rFonts w:ascii="Times New Roman" w:hAnsi="Times New Roman" w:eastAsia="Times New Roman" w:cs="Times New Roman"/>
      <w:b/>
      <w:bCs/>
      <w:sz w:val="20"/>
      <w:szCs w:val="20"/>
    </w:rPr>
  </w:style>
  <w:style w:type="paragraph" w:styleId="1143" w:customStyle="1">
    <w:name w:val="font5"/>
    <w:basedOn w:val="944"/>
    <w:pPr>
      <w:pBdr/>
      <w:spacing w:after="100" w:afterAutospacing="1" w:before="100" w:beforeAutospacing="1"/>
      <w:ind/>
    </w:pPr>
    <w:rPr>
      <w:rFonts w:ascii="Tahoma" w:hAnsi="Tahoma" w:cs="Tahoma"/>
      <w:color w:val="000000"/>
      <w:sz w:val="18"/>
      <w:szCs w:val="18"/>
    </w:rPr>
  </w:style>
  <w:style w:type="paragraph" w:styleId="1144" w:customStyle="1">
    <w:name w:val="font6"/>
    <w:basedOn w:val="944"/>
    <w:pPr>
      <w:pBdr/>
      <w:spacing w:after="100" w:afterAutospacing="1" w:before="100" w:beforeAutospacing="1"/>
      <w:ind/>
    </w:pPr>
    <w:rPr>
      <w:rFonts w:ascii="Tahoma" w:hAnsi="Tahoma" w:cs="Tahoma"/>
      <w:b/>
      <w:bCs/>
      <w:color w:val="000000"/>
      <w:sz w:val="18"/>
      <w:szCs w:val="18"/>
    </w:rPr>
  </w:style>
  <w:style w:type="paragraph" w:styleId="1145" w:customStyle="1">
    <w:name w:val="xl233"/>
    <w:basedOn w:val="94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46" w:customStyle="1">
    <w:name w:val="xl234"/>
    <w:basedOn w:val="944"/>
    <w:pPr>
      <w:pBdr/>
      <w:spacing w:after="100" w:afterAutospacing="1" w:before="100" w:beforeAutospacing="1"/>
      <w:ind/>
      <w:jc w:val="center"/>
    </w:pPr>
  </w:style>
  <w:style w:type="paragraph" w:styleId="1147" w:customStyle="1">
    <w:name w:val="xl235"/>
    <w:basedOn w:val="944"/>
    <w:pPr>
      <w:pBdr/>
      <w:spacing w:after="100" w:afterAutospacing="1" w:before="100" w:beforeAutospacing="1"/>
      <w:ind/>
      <w:jc w:val="center"/>
    </w:pPr>
    <w:rPr>
      <w:b/>
      <w:bCs/>
    </w:rPr>
  </w:style>
  <w:style w:type="paragraph" w:styleId="1148" w:customStyle="1">
    <w:name w:val="xl236"/>
    <w:basedOn w:val="94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49" w:customStyle="1">
    <w:name w:val="xl237"/>
    <w:basedOn w:val="94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50" w:customStyle="1">
    <w:name w:val="xl238"/>
    <w:basedOn w:val="94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51" w:customStyle="1">
    <w:name w:val="xl239"/>
    <w:basedOn w:val="94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52" w:customStyle="1">
    <w:name w:val="xl240"/>
    <w:basedOn w:val="944"/>
    <w:pPr>
      <w:pBdr/>
      <w:spacing w:after="100" w:afterAutospacing="1" w:before="100" w:beforeAutospacing="1"/>
      <w:ind/>
    </w:pPr>
  </w:style>
  <w:style w:type="paragraph" w:styleId="1153" w:customStyle="1">
    <w:name w:val="xl241"/>
    <w:basedOn w:val="94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54" w:customStyle="1">
    <w:name w:val="xl242"/>
    <w:basedOn w:val="94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55" w:customStyle="1">
    <w:name w:val="xl243"/>
    <w:basedOn w:val="94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56" w:customStyle="1">
    <w:name w:val="xl244"/>
    <w:basedOn w:val="944"/>
    <w:pPr>
      <w:pBdr/>
      <w:spacing w:after="100" w:afterAutospacing="1" w:before="100" w:beforeAutospacing="1"/>
      <w:ind/>
    </w:pPr>
    <w:rPr>
      <w:b/>
      <w:bCs/>
    </w:rPr>
  </w:style>
  <w:style w:type="paragraph" w:styleId="1157" w:customStyle="1">
    <w:name w:val="xl245"/>
    <w:basedOn w:val="94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58" w:customStyle="1">
    <w:name w:val="xl246"/>
    <w:basedOn w:val="94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159" w:customStyle="1">
    <w:name w:val="xl247"/>
    <w:basedOn w:val="94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60" w:customStyle="1">
    <w:name w:val="xl248"/>
    <w:basedOn w:val="94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161" w:customStyle="1">
    <w:name w:val="xl249"/>
    <w:basedOn w:val="94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62" w:customStyle="1">
    <w:name w:val="xl250"/>
    <w:basedOn w:val="94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163" w:customStyle="1">
    <w:name w:val="xl251"/>
    <w:basedOn w:val="94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64" w:customStyle="1">
    <w:name w:val="xl252"/>
    <w:basedOn w:val="94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65" w:customStyle="1">
    <w:name w:val="xl253"/>
    <w:basedOn w:val="94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66" w:customStyle="1">
    <w:name w:val="xl254"/>
    <w:basedOn w:val="944"/>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67" w:customStyle="1">
    <w:name w:val="xl255"/>
    <w:basedOn w:val="94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68" w:customStyle="1">
    <w:name w:val="xl256"/>
    <w:basedOn w:val="94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169" w:customStyle="1">
    <w:name w:val="xl257"/>
    <w:basedOn w:val="94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70" w:customStyle="1">
    <w:name w:val="xl258"/>
    <w:basedOn w:val="944"/>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71" w:customStyle="1">
    <w:name w:val="xl259"/>
    <w:basedOn w:val="94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72" w:customStyle="1">
    <w:name w:val="xl260"/>
    <w:basedOn w:val="94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73" w:customStyle="1">
    <w:name w:val="xl261"/>
    <w:basedOn w:val="94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74" w:customStyle="1">
    <w:name w:val="xl262"/>
    <w:basedOn w:val="944"/>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75" w:customStyle="1">
    <w:name w:val="xl263"/>
    <w:basedOn w:val="944"/>
    <w:pPr>
      <w:pBdr/>
      <w:shd w:val="clear" w:color="000000" w:fill="ffffff"/>
      <w:spacing w:after="100" w:afterAutospacing="1" w:before="100" w:beforeAutospacing="1"/>
      <w:ind/>
    </w:pPr>
  </w:style>
  <w:style w:type="paragraph" w:styleId="1176" w:customStyle="1">
    <w:name w:val="xl264"/>
    <w:basedOn w:val="94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77" w:customStyle="1">
    <w:name w:val="xl265"/>
    <w:basedOn w:val="94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78" w:customStyle="1">
    <w:name w:val="xl266"/>
    <w:basedOn w:val="94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179" w:customStyle="1">
    <w:name w:val="xl267"/>
    <w:basedOn w:val="94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80" w:customStyle="1">
    <w:name w:val="xl268"/>
    <w:basedOn w:val="94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81" w:customStyle="1">
    <w:name w:val="xl269"/>
    <w:basedOn w:val="94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82" w:customStyle="1">
    <w:name w:val="xl270"/>
    <w:basedOn w:val="94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83" w:customStyle="1">
    <w:name w:val="xl271"/>
    <w:basedOn w:val="944"/>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184" w:customStyle="1">
    <w:name w:val="xl272"/>
    <w:basedOn w:val="94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185" w:customStyle="1">
    <w:name w:val="xl273"/>
    <w:basedOn w:val="94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86" w:customStyle="1">
    <w:name w:val="xl274"/>
    <w:basedOn w:val="944"/>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87" w:customStyle="1">
    <w:name w:val="xl275"/>
    <w:basedOn w:val="944"/>
    <w:pPr>
      <w:pBdr/>
      <w:spacing w:after="100" w:afterAutospacing="1" w:before="100" w:beforeAutospacing="1"/>
      <w:ind/>
    </w:pPr>
  </w:style>
  <w:style w:type="paragraph" w:styleId="1188" w:customStyle="1">
    <w:name w:val="xl276"/>
    <w:basedOn w:val="94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89" w:customStyle="1">
    <w:name w:val="xl277"/>
    <w:basedOn w:val="94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90" w:customStyle="1">
    <w:name w:val="xl278"/>
    <w:basedOn w:val="94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91" w:customStyle="1">
    <w:name w:val="xl279"/>
    <w:basedOn w:val="94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92" w:customStyle="1">
    <w:name w:val="xl280"/>
    <w:basedOn w:val="94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93" w:customStyle="1">
    <w:name w:val="xl281"/>
    <w:basedOn w:val="94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94" w:customStyle="1">
    <w:name w:val="xl282"/>
    <w:basedOn w:val="94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95" w:customStyle="1">
    <w:name w:val="xl283"/>
    <w:basedOn w:val="94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96" w:customStyle="1">
    <w:name w:val="xl284"/>
    <w:basedOn w:val="944"/>
    <w:pPr>
      <w:pBdr>
        <w:left w:val="single" w:color="000000" w:sz="4" w:space="0"/>
        <w:bottom w:val="single" w:color="000000" w:sz="4" w:space="0"/>
        <w:right w:val="single" w:color="000000" w:sz="4" w:space="0"/>
      </w:pBdr>
      <w:spacing w:after="100" w:afterAutospacing="1" w:before="100" w:beforeAutospacing="1"/>
      <w:ind/>
    </w:pPr>
  </w:style>
  <w:style w:type="paragraph" w:styleId="1197" w:customStyle="1">
    <w:name w:val="xl285"/>
    <w:basedOn w:val="94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98" w:customStyle="1">
    <w:name w:val="xl286"/>
    <w:basedOn w:val="94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99" w:customStyle="1">
    <w:name w:val="xl287"/>
    <w:basedOn w:val="94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200" w:customStyle="1">
    <w:name w:val="xl288"/>
    <w:basedOn w:val="944"/>
    <w:pPr>
      <w:pBdr>
        <w:top w:val="single" w:color="000000" w:sz="4" w:space="0"/>
        <w:left w:val="single" w:color="000000" w:sz="4" w:space="0"/>
        <w:right w:val="single" w:color="000000" w:sz="4" w:space="0"/>
      </w:pBdr>
      <w:spacing w:after="100" w:afterAutospacing="1" w:before="100" w:beforeAutospacing="1"/>
      <w:ind/>
    </w:pPr>
  </w:style>
  <w:style w:type="paragraph" w:styleId="1201" w:customStyle="1">
    <w:name w:val="xl289"/>
    <w:basedOn w:val="944"/>
    <w:pPr>
      <w:pBdr>
        <w:left w:val="single" w:color="000000" w:sz="4" w:space="0"/>
        <w:right w:val="single" w:color="000000" w:sz="4" w:space="0"/>
      </w:pBdr>
      <w:spacing w:after="100" w:afterAutospacing="1" w:before="100" w:beforeAutospacing="1"/>
      <w:ind/>
    </w:pPr>
    <w:rPr>
      <w:b/>
      <w:bCs/>
    </w:rPr>
  </w:style>
  <w:style w:type="paragraph" w:styleId="1202" w:customStyle="1">
    <w:name w:val="xl290"/>
    <w:basedOn w:val="94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203" w:customStyle="1">
    <w:name w:val="xl291"/>
    <w:basedOn w:val="94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204" w:customStyle="1">
    <w:name w:val="xl292"/>
    <w:basedOn w:val="944"/>
    <w:pPr>
      <w:pBdr>
        <w:top w:val="single" w:color="000000" w:sz="4" w:space="0"/>
        <w:left w:val="single" w:color="000000" w:sz="4" w:space="0"/>
        <w:right w:val="single" w:color="000000" w:sz="4" w:space="0"/>
      </w:pBdr>
      <w:spacing w:after="100" w:afterAutospacing="1" w:before="100" w:beforeAutospacing="1"/>
      <w:ind/>
    </w:pPr>
  </w:style>
  <w:style w:type="paragraph" w:styleId="1205" w:customStyle="1">
    <w:name w:val="xl293"/>
    <w:basedOn w:val="944"/>
    <w:pPr>
      <w:pBdr>
        <w:left w:val="single" w:color="000000" w:sz="4" w:space="0"/>
        <w:bottom w:val="single" w:color="000000" w:sz="4" w:space="0"/>
        <w:right w:val="single" w:color="000000" w:sz="4" w:space="0"/>
      </w:pBdr>
      <w:spacing w:after="100" w:afterAutospacing="1" w:before="100" w:beforeAutospacing="1"/>
      <w:ind/>
    </w:pPr>
  </w:style>
  <w:style w:type="paragraph" w:styleId="1206" w:customStyle="1">
    <w:name w:val="xl294"/>
    <w:basedOn w:val="94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207">
    <w:name w:val="Title"/>
    <w:basedOn w:val="944"/>
    <w:link w:val="1208"/>
    <w:qFormat/>
    <w:pPr>
      <w:pBdr/>
      <w:spacing/>
      <w:ind/>
      <w:jc w:val="center"/>
    </w:pPr>
    <w:rPr>
      <w:b/>
      <w:bCs/>
      <w:sz w:val="32"/>
      <w:szCs w:val="26"/>
    </w:rPr>
  </w:style>
  <w:style w:type="character" w:styleId="1208" w:customStyle="1">
    <w:name w:val="Title Char"/>
    <w:basedOn w:val="954"/>
    <w:link w:val="1207"/>
    <w:pPr>
      <w:pBdr/>
      <w:spacing/>
      <w:ind/>
    </w:pPr>
    <w:rPr>
      <w:rFonts w:ascii="Times New Roman" w:hAnsi="Times New Roman" w:eastAsia="Times New Roman" w:cs="Times New Roman"/>
      <w:b/>
      <w:bCs/>
      <w:sz w:val="32"/>
      <w:szCs w:val="26"/>
    </w:rPr>
  </w:style>
  <w:style w:type="character" w:styleId="1209" w:customStyle="1">
    <w:name w:val="Unresolved Mention1"/>
    <w:basedOn w:val="954"/>
    <w:uiPriority w:val="99"/>
    <w:semiHidden/>
    <w:unhideWhenUsed/>
    <w:pPr>
      <w:pBdr/>
      <w:spacing/>
      <w:ind/>
    </w:pPr>
    <w:rPr>
      <w:color w:val="605e5c"/>
      <w:shd w:val="clear" w:color="auto" w:fill="e1dfdd"/>
    </w:rPr>
  </w:style>
  <w:style w:type="character" w:styleId="1210" w:customStyle="1">
    <w:name w:val="Body text (3)_"/>
    <w:link w:val="1211"/>
    <w:pPr>
      <w:pBdr/>
      <w:spacing/>
      <w:ind/>
    </w:pPr>
    <w:rPr>
      <w:rFonts w:ascii="Times New Roman" w:hAnsi="Times New Roman" w:cs="Times New Roman"/>
      <w:i/>
      <w:iCs/>
      <w:spacing w:val="4"/>
      <w:shd w:val="clear" w:color="auto" w:fill="ffffff"/>
    </w:rPr>
  </w:style>
  <w:style w:type="paragraph" w:styleId="1211" w:customStyle="1">
    <w:name w:val="Body text (3)1"/>
    <w:basedOn w:val="944"/>
    <w:link w:val="1210"/>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212" w:customStyle="1">
    <w:name w:val="t-j"/>
    <w:basedOn w:val="944"/>
    <w:pPr>
      <w:pBdr/>
      <w:spacing w:after="100" w:afterAutospacing="1" w:before="100" w:beforeAutospacing="1"/>
      <w:ind/>
    </w:pPr>
  </w:style>
  <w:style w:type="character" w:styleId="1213" w:customStyle="1">
    <w:name w:val="Unresolved Mention2"/>
    <w:basedOn w:val="954"/>
    <w:uiPriority w:val="99"/>
    <w:semiHidden/>
    <w:unhideWhenUsed/>
    <w:pPr>
      <w:pBdr/>
      <w:spacing/>
      <w:ind/>
    </w:pPr>
    <w:rPr>
      <w:color w:val="605e5c"/>
      <w:shd w:val="clear" w:color="auto" w:fill="e1dfdd"/>
    </w:rPr>
  </w:style>
  <w:style w:type="character" w:styleId="1214">
    <w:name w:val="FollowedHyperlink"/>
    <w:basedOn w:val="954"/>
    <w:uiPriority w:val="99"/>
    <w:semiHidden/>
    <w:unhideWhenUsed/>
    <w:pPr>
      <w:pBdr/>
      <w:spacing/>
      <w:ind/>
    </w:pPr>
    <w:rPr>
      <w:color w:val="800080" w:themeColor="followedHyperlink"/>
      <w:u w:val="single"/>
    </w:rPr>
  </w:style>
  <w:style w:type="character" w:styleId="1215" w:customStyle="1">
    <w:name w:val="text"/>
    <w:basedOn w:val="954"/>
    <w:pPr>
      <w:pBdr/>
      <w:spacing/>
      <w:ind/>
    </w:pPr>
  </w:style>
  <w:style w:type="character" w:styleId="1216" w:customStyle="1">
    <w:name w:val="card-send-time__sendtime"/>
    <w:basedOn w:val="954"/>
    <w:pPr>
      <w:pBdr/>
      <w:spacing/>
      <w:ind/>
    </w:pPr>
  </w:style>
  <w:style w:type="character" w:styleId="1217" w:customStyle="1">
    <w:name w:val="Đề cập Chưa giải quyết1"/>
    <w:basedOn w:val="954"/>
    <w:uiPriority w:val="99"/>
    <w:semiHidden/>
    <w:unhideWhenUsed/>
    <w:pPr>
      <w:pBdr/>
      <w:spacing/>
      <w:ind/>
    </w:pPr>
    <w:rPr>
      <w:color w:val="605e5c"/>
      <w:shd w:val="clear" w:color="auto" w:fill="e1dfdd"/>
    </w:rPr>
  </w:style>
  <w:style w:type="paragraph" w:styleId="1218" w:customStyle="1">
    <w:name w:val="nqtitle"/>
    <w:basedOn w:val="944"/>
    <w:pPr>
      <w:pBdr/>
      <w:spacing w:after="100" w:afterAutospacing="1" w:before="100" w:beforeAutospacing="1"/>
      <w:ind/>
    </w:pPr>
    <w:rPr>
      <w:lang w:val="vi-VN" w:eastAsia="vi-VN"/>
    </w:rPr>
  </w:style>
  <w:style w:type="character" w:styleId="1219" w:customStyle="1">
    <w:name w:val="List Paragraph Char"/>
    <w:link w:val="1132"/>
    <w:uiPriority w:val="34"/>
    <w:qFormat/>
    <w:pPr>
      <w:pBdr/>
      <w:spacing/>
      <w:ind/>
    </w:pPr>
    <w:rPr>
      <w:rFonts w:ascii="Times New Roman" w:hAnsi="Times New Roman" w:eastAsia="Times New Roman" w:cs="Times New Roman"/>
      <w:sz w:val="24"/>
      <w:szCs w:val="24"/>
    </w:rPr>
  </w:style>
  <w:style w:type="character" w:styleId="1220" w:customStyle="1">
    <w:name w:val="Đề cập Chưa giải quyết2"/>
    <w:basedOn w:val="954"/>
    <w:uiPriority w:val="99"/>
    <w:semiHidden/>
    <w:unhideWhenUsed/>
    <w:pPr>
      <w:pBdr/>
      <w:spacing/>
      <w:ind/>
    </w:pPr>
    <w:rPr>
      <w:color w:val="605e5c"/>
      <w:shd w:val="clear" w:color="auto" w:fill="e1dfdd"/>
    </w:rPr>
  </w:style>
  <w:style w:type="character" w:styleId="1221" w:customStyle="1">
    <w:name w:val="Unresolved Mention3"/>
    <w:basedOn w:val="954"/>
    <w:uiPriority w:val="99"/>
    <w:semiHidden/>
    <w:unhideWhenUsed/>
    <w:pPr>
      <w:pBdr/>
      <w:spacing/>
      <w:ind/>
    </w:pPr>
    <w:rPr>
      <w:color w:val="605e5c"/>
      <w:shd w:val="clear" w:color="auto" w:fill="e1dfdd"/>
    </w:rPr>
  </w:style>
  <w:style w:type="character" w:styleId="1222" w:customStyle="1">
    <w:name w:val="copy"/>
    <w:basedOn w:val="954"/>
    <w:pPr>
      <w:pBdr/>
      <w:spacing/>
      <w:ind/>
    </w:pPr>
  </w:style>
  <w:style w:type="paragraph" w:styleId="1223" w:customStyle="1">
    <w:name w:val="align-justify"/>
    <w:basedOn w:val="944"/>
    <w:pPr>
      <w:pBdr/>
      <w:spacing w:after="100" w:afterAutospacing="1" w:before="100" w:beforeAutospacing="1"/>
      <w:ind/>
    </w:pPr>
  </w:style>
  <w:style w:type="character" w:styleId="1224" w:customStyle="1">
    <w:name w:val="btn"/>
    <w:basedOn w:val="954"/>
    <w:pPr>
      <w:pBdr/>
      <w:spacing/>
      <w:ind/>
    </w:pPr>
  </w:style>
  <w:style w:type="character" w:styleId="1225" w:customStyle="1">
    <w:name w:val="hide_mobile"/>
    <w:basedOn w:val="954"/>
    <w:pPr>
      <w:pBdr/>
      <w:spacing/>
      <w:ind/>
    </w:pPr>
  </w:style>
  <w:style w:type="character" w:styleId="1226">
    <w:name w:val="Emphasis"/>
    <w:basedOn w:val="954"/>
    <w:uiPriority w:val="20"/>
    <w:qFormat/>
    <w:pPr>
      <w:pBdr/>
      <w:spacing/>
      <w:ind/>
    </w:pPr>
    <w:rPr>
      <w:i/>
      <w:iCs/>
    </w:rPr>
  </w:style>
  <w:style w:type="character" w:styleId="1227" w:customStyle="1">
    <w:name w:val="t1"/>
    <w:basedOn w:val="954"/>
    <w:pPr>
      <w:pBdr/>
      <w:spacing/>
      <w:ind/>
    </w:pPr>
  </w:style>
  <w:style w:type="character" w:styleId="1228" w:customStyle="1">
    <w:name w:val="Unresolved Mention4"/>
    <w:basedOn w:val="954"/>
    <w:uiPriority w:val="99"/>
    <w:semiHidden/>
    <w:unhideWhenUsed/>
    <w:pPr>
      <w:pBdr/>
      <w:spacing/>
      <w:ind/>
    </w:pPr>
    <w:rPr>
      <w:color w:val="605e5c"/>
      <w:shd w:val="clear" w:color="auto" w:fill="e1dfdd"/>
    </w:rPr>
  </w:style>
  <w:style w:type="character" w:styleId="1229">
    <w:name w:val="Unresolved Mention"/>
    <w:basedOn w:val="954"/>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hyperlink" Target="https://alphanamfamily.com/tin-tuc/5-yeu-to-tao-suc-hut-cho-m-landmark-residences-da-nang" TargetMode="External"/><Relationship Id="rId18" Type="http://schemas.openxmlformats.org/officeDocument/2006/relationships/image" Target="media/image3.gif"/><Relationship Id="rId19" Type="http://schemas.openxmlformats.org/officeDocument/2006/relationships/image" Target="media/image4.jpg"/><Relationship Id="rId20" Type="http://schemas.openxmlformats.org/officeDocument/2006/relationships/image" Target="media/image5.jpg"/><Relationship Id="rId21" Type="http://schemas.openxmlformats.org/officeDocument/2006/relationships/image" Target="media/image6.jpg"/><Relationship Id="rId22" Type="http://schemas.openxmlformats.org/officeDocument/2006/relationships/image" Target="media/image7.jpg"/><Relationship Id="rId23" Type="http://schemas.openxmlformats.org/officeDocument/2006/relationships/image" Target="media/image8.jpg"/><Relationship Id="rId24" Type="http://schemas.openxmlformats.org/officeDocument/2006/relationships/image" Target="media/image9.jpg"/><Relationship Id="rId25" Type="http://schemas.openxmlformats.org/officeDocument/2006/relationships/image" Target="media/image10.jpg"/><Relationship Id="rId26" Type="http://schemas.openxmlformats.org/officeDocument/2006/relationships/image" Target="media/image11.jpg"/><Relationship Id="rId27" Type="http://schemas.openxmlformats.org/officeDocument/2006/relationships/image" Target="media/image12.jpg"/><Relationship Id="rId28" Type="http://schemas.openxmlformats.org/officeDocument/2006/relationships/image" Target="media/image13.jpg"/><Relationship Id="rId29" Type="http://schemas.openxmlformats.org/officeDocument/2006/relationships/image" Target="media/image14.jpg"/><Relationship Id="rId30" Type="http://schemas.openxmlformats.org/officeDocument/2006/relationships/image" Target="media/image15.jpg"/><Relationship Id="rId31" Type="http://schemas.openxmlformats.org/officeDocument/2006/relationships/image" Target="media/image16.jpg"/><Relationship Id="rId32" Type="http://schemas.openxmlformats.org/officeDocument/2006/relationships/image" Target="media/image17.jpg"/><Relationship Id="rId33" Type="http://schemas.openxmlformats.org/officeDocument/2006/relationships/image" Target="media/image18.jpg"/><Relationship Id="rId34" Type="http://schemas.openxmlformats.org/officeDocument/2006/relationships/image" Target="media/image19.jpg"/><Relationship Id="rId35" Type="http://schemas.openxmlformats.org/officeDocument/2006/relationships/image" Target="media/image20.jpg"/><Relationship Id="rId36" Type="http://schemas.openxmlformats.org/officeDocument/2006/relationships/image" Target="media/image21.jpg"/><Relationship Id="rId37" Type="http://schemas.openxmlformats.org/officeDocument/2006/relationships/image" Target="media/image22.jpg"/><Relationship Id="rId38" Type="http://schemas.openxmlformats.org/officeDocument/2006/relationships/image" Target="media/image23.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Khánh Hà</cp:lastModifiedBy>
  <cp:revision>42</cp:revision>
  <dcterms:created xsi:type="dcterms:W3CDTF">2026-06-19T03:43:00Z</dcterms:created>
  <dcterms:modified xsi:type="dcterms:W3CDTF">2026-08-24T04:34:43Z</dcterms:modified>
</cp:coreProperties>
</file>