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153670</wp:posOffset>
                </wp:positionH>
                <wp:positionV relativeFrom="paragraph">
                  <wp:posOffset>123629</wp:posOffset>
                </wp:positionV>
                <wp:extent cx="5718810" cy="6800224"/>
                <wp:effectExtent l="12700" t="12700" r="21590" b="1968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718809" cy="6800223"/>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eastAsia="Times New Roman" w:cs="Times New Roman"/>
                                <w:sz w:val="24"/>
                              </w:rPr>
                            </w:pPr>
                            <w:r>
                              <w:rPr>
                                <w:b/>
                              </w:rPr>
                              <w:t xml:space="preserve">Số:</w:t>
                            </w:r>
                            <w:r>
                              <w:rPr>
                                <w:rFonts w:ascii="Times New Roman" w:hAnsi="Times New Roman" w:eastAsia="Times New Roman" w:cs="Times New Roman"/>
                                <w:b/>
                                <w:color w:val="000000"/>
                                <w:sz w:val="24"/>
                              </w:rPr>
                              <w:t xml:space="preserve">275/2026/1026/VFI-CT.53.A</w:t>
                            </w:r>
                            <w:r>
                              <w:rPr>
                                <w:rFonts w:ascii="Times New Roman" w:hAnsi="Times New Roman" w:eastAsia="Times New Roman" w:cs="Times New Roman"/>
                                <w:sz w:val="24"/>
                              </w:rPr>
                            </w:r>
                            <w:r>
                              <w:rPr>
                                <w:rFonts w:ascii="Times New Roman" w:hAnsi="Times New Roman" w:eastAsia="Times New Roman" w:cs="Times New Roman"/>
                                <w:sz w:val="24"/>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NGÂN HÀNG NÔNG NGHIỆP VÀ PHÁT TRIỂN NÔNG THÔN VIỆT NAM (AGRIBANK)- CHI NHÁNH UÔNG BÍ TÂY QUẢNG NINH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left"/>
                              <w:rPr>
                                <w:b/>
                              </w:rPr>
                            </w:pPr>
                            <w:r>
                              <w:rPr>
                                <w:b/>
                              </w:rPr>
                              <w:t xml:space="preserve">Tài sản thẩm </w:t>
                            </w:r>
                            <w:r>
                              <w:rPr>
                                <w:b/>
                              </w:rPr>
                              <w:t xml:space="preserve">định:</w:t>
                            </w:r>
                            <w:r>
                              <w:rPr>
                                <w:b/>
                              </w:rPr>
                            </w:r>
                            <w:r>
                              <w:rPr>
                                <w:b/>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highlight w:val="white"/>
                              </w:rPr>
                            </w:pPr>
                            <w:r>
                              <w:rPr>
                                <w:rFonts w:ascii="Times New Roman" w:hAnsi="Times New Roman" w:eastAsia="Times New Roman" w:cs="Times New Roman"/>
                                <w:b/>
                                <w:color w:val="000000"/>
                                <w:sz w:val="24"/>
                              </w:rPr>
                              <w:t xml:space="preserve">Tài sản 01:</w:t>
                            </w:r>
                            <w:r>
                              <w:rPr>
                                <w:rFonts w:ascii="Times New Roman" w:hAnsi="Times New Roman" w:eastAsia="Times New Roman" w:cs="Times New Roman"/>
                                <w:color w:val="000000"/>
                                <w:sz w:val="24"/>
                              </w:rPr>
                              <w:t xml:space="preserve">  Quyền sử dụng đất và tài sản gắn liền vớ</w:t>
                            </w:r>
                            <w:r>
                              <w:rPr>
                                <w:rFonts w:ascii="Times New Roman" w:hAnsi="Times New Roman" w:eastAsia="Times New Roman" w:cs="Times New Roman"/>
                                <w:color w:val="000000"/>
                                <w:sz w:val="24"/>
                              </w:rPr>
                              <w:t xml:space="preserve">i đất tại thửa đất có địa chỉ: Ô đất số TT-40, Lô OTM1-1, khu Sun Premier Village, Phường Bãi Cháy, Thành phố H</w:t>
                            </w:r>
                            <w:r>
                              <w:rPr>
                                <w:rFonts w:ascii="Times New Roman" w:hAnsi="Times New Roman" w:eastAsia="Times New Roman" w:cs="Times New Roman"/>
                                <w:color w:val="000000"/>
                                <w:sz w:val="24"/>
                                <w:highlight w:val="white"/>
                              </w:rPr>
                              <w:t xml:space="preserve">ạ Long (Nay là phường Bãi Cháy, tỉnh Quảng Ninh) theo Giấy chứng nhận quyền sử dụ</w:t>
                            </w:r>
                            <w:r>
                              <w:rPr>
                                <w:rFonts w:ascii="Times New Roman" w:hAnsi="Times New Roman" w:eastAsia="Times New Roman" w:cs="Times New Roman"/>
                                <w:color w:val="000000"/>
                                <w:sz w:val="24"/>
                                <w:highlight w:val="white"/>
                              </w:rPr>
                              <w:t xml:space="preserve">ng đất</w:t>
                            </w:r>
                            <w:r>
                              <w:rPr>
                                <w:rFonts w:ascii="Times New Roman" w:hAnsi="Times New Roman" w:eastAsia="Times New Roman" w:cs="Times New Roman"/>
                                <w:color w:val="000000"/>
                                <w:sz w:val="24"/>
                                <w:highlight w:val="white"/>
                              </w:rPr>
                              <w:t xml:space="preserve">, quyền sở hữu nhà ở và tài sản khác gắn liền với đất số: </w:t>
                            </w:r>
                            <w:r>
                              <w:rPr>
                                <w:rFonts w:ascii="Times New Roman" w:hAnsi="Times New Roman" w:eastAsia="Times New Roman" w:cs="Times New Roman"/>
                                <w:color w:val="000000"/>
                                <w:sz w:val="24"/>
                                <w:highlight w:val="white"/>
                              </w:rPr>
                              <w:t xml:space="preserve">CO 020865, số vào sổ cấp GCN: CH 31117 do Uỷ ban Nhân dân Thành phố Hạ Long cấp ngày 21/05/2019 cho Ông Nguyễn Đình Tuấn và Bà Đoàn Thị Mai Thắm</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highlight w:val="white"/>
                              </w:rPr>
                            </w:pPr>
                            <w:r>
                              <w:rPr>
                                <w:rFonts w:ascii="Times New Roman" w:hAnsi="Times New Roman" w:eastAsia="Times New Roman" w:cs="Times New Roman"/>
                                <w:b/>
                                <w:color w:val="000000"/>
                                <w:sz w:val="24"/>
                                <w:highlight w:val="white"/>
                              </w:rPr>
                              <w:t xml:space="preserve">Tài sản 02:</w:t>
                            </w:r>
                            <w:r>
                              <w:rPr>
                                <w:rFonts w:ascii="Times New Roman" w:hAnsi="Times New Roman" w:eastAsia="Times New Roman" w:cs="Times New Roman"/>
                                <w:color w:val="000000"/>
                                <w:sz w:val="24"/>
                                <w:highlight w:val="white"/>
                              </w:rPr>
                              <w:t xml:space="preserve">  Quyền sử dụng đất và tài sản gắn liền với đất tại thửa đất có địa chỉ: Ô đất số TT-41, Lô OTM1-1, khu Sun Premier Village, Phường Bãi Cháy, Thành phố Hạ Long </w:t>
                            </w:r>
                            <w:r>
                              <w:rPr>
                                <w:rFonts w:ascii="Times New Roman" w:hAnsi="Times New Roman" w:eastAsia="Times New Roman" w:cs="Times New Roman"/>
                                <w:color w:val="000000"/>
                                <w:sz w:val="24"/>
                                <w:highlight w:val="white"/>
                              </w:rPr>
                              <w:t xml:space="preserve">(Nay là phường Bãi Cháy, tỉnh Quảng Ninh) </w:t>
                            </w:r>
                            <w:r>
                              <w:rPr>
                                <w:rFonts w:ascii="Times New Roman" w:hAnsi="Times New Roman" w:eastAsia="Times New Roman" w:cs="Times New Roman"/>
                                <w:color w:val="000000"/>
                                <w:sz w:val="24"/>
                                <w:highlight w:val="white"/>
                              </w:rPr>
                              <w:t xml:space="preserve"> theo Giấy chứng nhận quyền sử</w:t>
                            </w:r>
                            <w:r>
                              <w:rPr>
                                <w:rFonts w:ascii="Times New Roman" w:hAnsi="Times New Roman" w:eastAsia="Times New Roman" w:cs="Times New Roman"/>
                                <w:color w:val="000000"/>
                                <w:sz w:val="24"/>
                                <w:highlight w:val="white"/>
                              </w:rPr>
                              <w:t xml:space="preserve"> dụng đất,</w:t>
                            </w:r>
                            <w:r>
                              <w:rPr>
                                <w:rFonts w:ascii="Times New Roman" w:hAnsi="Times New Roman" w:eastAsia="Times New Roman" w:cs="Times New Roman"/>
                                <w:color w:val="000000"/>
                                <w:sz w:val="24"/>
                                <w:highlight w:val="white"/>
                              </w:rPr>
                              <w:t xml:space="preserve"> quyền sở hữu nhà ở và tài sản khác gắn liền với đất số: </w:t>
                            </w:r>
                            <w:r>
                              <w:rPr>
                                <w:rFonts w:ascii="Times New Roman" w:hAnsi="Times New Roman" w:eastAsia="Times New Roman" w:cs="Times New Roman"/>
                                <w:color w:val="000000"/>
                                <w:sz w:val="24"/>
                                <w:highlight w:val="white"/>
                              </w:rPr>
                              <w:t xml:space="preserve">CO 020864, số vào sổ cấp GCN: CH 31116 do Uỷ ban Nhân dân Thành phố Hạ Long cấp ngày 21/05/2019 cho Ông Nguyễn Đình Tuấn và Bà Đoàn Thị Mai Thắm</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p>
                            <w:pPr>
                              <w:pBdr/>
                              <w:spacing w:after="120" w:before="120" w:line="360" w:lineRule="auto"/>
                              <w:ind/>
                              <w:jc w:val="both"/>
                              <w:rPr>
                                <w:b/>
                              </w:rPr>
                            </w:pPr>
                            <w:r>
                              <w:rPr>
                                <w:color w:val="000000"/>
                              </w:rPr>
                            </w:r>
                            <w:r>
                              <w:rPr>
                                <w:b/>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07/2026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12.10pt;mso-position-horizontal:absolute;mso-position-vertical-relative:text;margin-top:9.73pt;mso-position-vertical:absolute;width:450.30pt;height:535.4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rFonts w:ascii="Times New Roman" w:hAnsi="Times New Roman" w:eastAsia="Times New Roman" w:cs="Times New Roman"/>
                          <w:sz w:val="24"/>
                        </w:rPr>
                      </w:pPr>
                      <w:r>
                        <w:rPr>
                          <w:b/>
                        </w:rPr>
                        <w:t xml:space="preserve">Số:</w:t>
                      </w:r>
                      <w:r>
                        <w:rPr>
                          <w:rFonts w:ascii="Times New Roman" w:hAnsi="Times New Roman" w:eastAsia="Times New Roman" w:cs="Times New Roman"/>
                          <w:b/>
                          <w:color w:val="000000"/>
                          <w:sz w:val="24"/>
                        </w:rPr>
                        <w:t xml:space="preserve">275/2026/1026/VFI-CT.53.A</w:t>
                      </w:r>
                      <w:r>
                        <w:rPr>
                          <w:rFonts w:ascii="Times New Roman" w:hAnsi="Times New Roman" w:eastAsia="Times New Roman" w:cs="Times New Roman"/>
                          <w:sz w:val="24"/>
                        </w:rPr>
                      </w:r>
                      <w:r>
                        <w:rPr>
                          <w:rFonts w:ascii="Times New Roman" w:hAnsi="Times New Roman" w:eastAsia="Times New Roman" w:cs="Times New Roman"/>
                          <w:sz w:val="24"/>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w:hAnsi="Times New Roman" w:eastAsia="Times New Roman" w:cs="Times New Roman"/>
                          <w:b/>
                          <w:color w:val="000000"/>
                          <w:sz w:val="24"/>
                        </w:rPr>
                        <w:t xml:space="preserve">NGÂN HÀNG NÔNG NGHIỆP VÀ PHÁT TRIỂN NÔNG THÔN VIỆT NAM (AGRIBANK)- CHI NHÁNH UÔNG BÍ TÂY QUẢNG NINH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left"/>
                        <w:rPr>
                          <w:b/>
                        </w:rPr>
                      </w:pPr>
                      <w:r>
                        <w:rPr>
                          <w:b/>
                        </w:rPr>
                        <w:t xml:space="preserve">Tài sản thẩm </w:t>
                      </w:r>
                      <w:r>
                        <w:rPr>
                          <w:b/>
                        </w:rPr>
                        <w:t xml:space="preserve">định:</w:t>
                      </w:r>
                      <w:r>
                        <w:rPr>
                          <w:b/>
                        </w:rPr>
                      </w:r>
                      <w:r>
                        <w:rPr>
                          <w:b/>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highlight w:val="white"/>
                        </w:rPr>
                      </w:pPr>
                      <w:r>
                        <w:rPr>
                          <w:rFonts w:ascii="Times New Roman" w:hAnsi="Times New Roman" w:eastAsia="Times New Roman" w:cs="Times New Roman"/>
                          <w:b/>
                          <w:color w:val="000000"/>
                          <w:sz w:val="24"/>
                        </w:rPr>
                        <w:t xml:space="preserve">Tài sản 01:</w:t>
                      </w:r>
                      <w:r>
                        <w:rPr>
                          <w:rFonts w:ascii="Times New Roman" w:hAnsi="Times New Roman" w:eastAsia="Times New Roman" w:cs="Times New Roman"/>
                          <w:color w:val="000000"/>
                          <w:sz w:val="24"/>
                        </w:rPr>
                        <w:t xml:space="preserve">  Quyền sử dụng đất và tài sản gắn liền vớ</w:t>
                      </w:r>
                      <w:r>
                        <w:rPr>
                          <w:rFonts w:ascii="Times New Roman" w:hAnsi="Times New Roman" w:eastAsia="Times New Roman" w:cs="Times New Roman"/>
                          <w:color w:val="000000"/>
                          <w:sz w:val="24"/>
                        </w:rPr>
                        <w:t xml:space="preserve">i đất tại thửa đất có địa chỉ: Ô đất số TT-40, Lô OTM1-1, khu Sun Premier Village, Phường Bãi Cháy, Thành phố H</w:t>
                      </w:r>
                      <w:r>
                        <w:rPr>
                          <w:rFonts w:ascii="Times New Roman" w:hAnsi="Times New Roman" w:eastAsia="Times New Roman" w:cs="Times New Roman"/>
                          <w:color w:val="000000"/>
                          <w:sz w:val="24"/>
                          <w:highlight w:val="white"/>
                        </w:rPr>
                        <w:t xml:space="preserve">ạ Long (Nay là phường Bãi Cháy, tỉnh Quảng Ninh) theo Giấy chứng nhận quyền sử dụ</w:t>
                      </w:r>
                      <w:r>
                        <w:rPr>
                          <w:rFonts w:ascii="Times New Roman" w:hAnsi="Times New Roman" w:eastAsia="Times New Roman" w:cs="Times New Roman"/>
                          <w:color w:val="000000"/>
                          <w:sz w:val="24"/>
                          <w:highlight w:val="white"/>
                        </w:rPr>
                        <w:t xml:space="preserve">ng đất</w:t>
                      </w:r>
                      <w:r>
                        <w:rPr>
                          <w:rFonts w:ascii="Times New Roman" w:hAnsi="Times New Roman" w:eastAsia="Times New Roman" w:cs="Times New Roman"/>
                          <w:color w:val="000000"/>
                          <w:sz w:val="24"/>
                          <w:highlight w:val="white"/>
                        </w:rPr>
                        <w:t xml:space="preserve">, quyền sở hữu nhà ở và tài sản khác gắn liền với đất số: </w:t>
                      </w:r>
                      <w:r>
                        <w:rPr>
                          <w:rFonts w:ascii="Times New Roman" w:hAnsi="Times New Roman" w:eastAsia="Times New Roman" w:cs="Times New Roman"/>
                          <w:color w:val="000000"/>
                          <w:sz w:val="24"/>
                          <w:highlight w:val="white"/>
                        </w:rPr>
                        <w:t xml:space="preserve">CO 020865, số vào sổ cấp GCN: CH 31117 do Uỷ ban Nhân dân Thành phố Hạ Long cấp ngày 21/05/2019 cho Ông Nguyễn Đình Tuấn và Bà Đoàn Thị Mai Thắm</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highlight w:val="white"/>
                        </w:rPr>
                      </w:pPr>
                      <w:r>
                        <w:rPr>
                          <w:rFonts w:ascii="Times New Roman" w:hAnsi="Times New Roman" w:eastAsia="Times New Roman" w:cs="Times New Roman"/>
                          <w:b/>
                          <w:color w:val="000000"/>
                          <w:sz w:val="24"/>
                          <w:highlight w:val="white"/>
                        </w:rPr>
                        <w:t xml:space="preserve">Tài sản 02:</w:t>
                      </w:r>
                      <w:r>
                        <w:rPr>
                          <w:rFonts w:ascii="Times New Roman" w:hAnsi="Times New Roman" w:eastAsia="Times New Roman" w:cs="Times New Roman"/>
                          <w:color w:val="000000"/>
                          <w:sz w:val="24"/>
                          <w:highlight w:val="white"/>
                        </w:rPr>
                        <w:t xml:space="preserve">  Quyền sử dụng đất và tài sản gắn liền với đất tại thửa đất có địa chỉ: Ô đất số TT-41, Lô OTM1-1, khu Sun Premier Village, Phường Bãi Cháy, Thành phố Hạ Long </w:t>
                      </w:r>
                      <w:r>
                        <w:rPr>
                          <w:rFonts w:ascii="Times New Roman" w:hAnsi="Times New Roman" w:eastAsia="Times New Roman" w:cs="Times New Roman"/>
                          <w:color w:val="000000"/>
                          <w:sz w:val="24"/>
                          <w:highlight w:val="white"/>
                        </w:rPr>
                        <w:t xml:space="preserve">(Nay là phường Bãi Cháy, tỉnh Quảng Ninh) </w:t>
                      </w:r>
                      <w:r>
                        <w:rPr>
                          <w:rFonts w:ascii="Times New Roman" w:hAnsi="Times New Roman" w:eastAsia="Times New Roman" w:cs="Times New Roman"/>
                          <w:color w:val="000000"/>
                          <w:sz w:val="24"/>
                          <w:highlight w:val="white"/>
                        </w:rPr>
                        <w:t xml:space="preserve"> theo Giấy chứng nhận quyền sử</w:t>
                      </w:r>
                      <w:r>
                        <w:rPr>
                          <w:rFonts w:ascii="Times New Roman" w:hAnsi="Times New Roman" w:eastAsia="Times New Roman" w:cs="Times New Roman"/>
                          <w:color w:val="000000"/>
                          <w:sz w:val="24"/>
                          <w:highlight w:val="white"/>
                        </w:rPr>
                        <w:t xml:space="preserve"> dụng đất,</w:t>
                      </w:r>
                      <w:r>
                        <w:rPr>
                          <w:rFonts w:ascii="Times New Roman" w:hAnsi="Times New Roman" w:eastAsia="Times New Roman" w:cs="Times New Roman"/>
                          <w:color w:val="000000"/>
                          <w:sz w:val="24"/>
                          <w:highlight w:val="white"/>
                        </w:rPr>
                        <w:t xml:space="preserve"> quyền sở hữu nhà ở và tài sản khác gắn liền với đất số: </w:t>
                      </w:r>
                      <w:r>
                        <w:rPr>
                          <w:rFonts w:ascii="Times New Roman" w:hAnsi="Times New Roman" w:eastAsia="Times New Roman" w:cs="Times New Roman"/>
                          <w:color w:val="000000"/>
                          <w:sz w:val="24"/>
                          <w:highlight w:val="white"/>
                        </w:rPr>
                        <w:t xml:space="preserve">CO 020864, số vào sổ cấp GCN: CH 31116 do Uỷ ban Nhân dân Thành phố Hạ Long cấp ngày 21/05/2019 cho Ông Nguyễn Đình Tuấn và Bà Đoàn Thị Mai Thắm</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p>
                      <w:pPr>
                        <w:pBdr/>
                        <w:spacing w:after="120" w:before="120" w:line="360" w:lineRule="auto"/>
                        <w:ind/>
                        <w:jc w:val="both"/>
                        <w:rPr>
                          <w:b/>
                        </w:rPr>
                      </w:pPr>
                      <w:r>
                        <w:rPr>
                          <w:color w:val="000000"/>
                        </w:rPr>
                      </w:r>
                      <w:r>
                        <w:rPr>
                          <w:b/>
                        </w:rPr>
                      </w:r>
                      <w:r>
                        <w:rPr>
                          <w:b/>
                        </w:rP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07/2026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highlight w:val="yellow"/>
                <w:u w:val="single"/>
              </w:rPr>
            </w:pPr>
            <w:r>
              <w:rPr>
                <w:rFonts w:eastAsia="Calibri"/>
                <w:b/>
                <w:highlight w:val="yellow"/>
                <w:u w:val="single"/>
              </w:rPr>
              <w:t xml:space="preserve">NỘI DUNG</w:t>
            </w:r>
            <w:r>
              <w:rPr>
                <w:rFonts w:eastAsia="Calibri"/>
                <w:b/>
                <w:highlight w:val="yellow"/>
                <w:u w:val="single"/>
              </w:rPr>
            </w:r>
            <w:r>
              <w:rPr>
                <w:rFonts w:eastAsia="Calibri"/>
                <w:b/>
                <w:highlight w:val="yellow"/>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highlight w:val="yellow"/>
                <w:u w:val="single"/>
              </w:rPr>
            </w:pPr>
            <w:r>
              <w:rPr>
                <w:b/>
                <w:highlight w:val="yellow"/>
                <w:u w:val="single"/>
              </w:rPr>
              <w:t xml:space="preserve">TRANG</w:t>
            </w:r>
            <w:r>
              <w:rPr>
                <w:b/>
                <w:highlight w:val="yellow"/>
                <w:u w:val="single"/>
              </w:rPr>
            </w:r>
            <w:r>
              <w:rPr>
                <w:b/>
                <w:highlight w:val="yellow"/>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r>
            <w:r>
              <w:rPr>
                <w:b/>
                <w:highlight w:val="yellow"/>
              </w:rPr>
            </w:r>
            <w:r>
              <w:rPr>
                <w:b/>
                <w:highlight w:val="yellow"/>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highlight w:val="yellow"/>
              </w:rPr>
            </w:r>
            <w:r>
              <w:rPr>
                <w:b/>
                <w:highlight w:val="yellow"/>
              </w:rPr>
            </w:r>
            <w:r>
              <w:rPr>
                <w:b/>
                <w:highlight w:val="yellow"/>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Chứng thư thẩm định giá</w:t>
            </w:r>
            <w:r>
              <w:rPr>
                <w:b/>
                <w:highlight w:val="yellow"/>
              </w:rPr>
            </w:r>
            <w:r>
              <w:rPr>
                <w:b/>
                <w:highlight w:val="yellow"/>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1-3</w:t>
            </w:r>
            <w:r>
              <w:rPr>
                <w:b/>
                <w:highlight w:val="yellow"/>
              </w:rPr>
            </w:r>
            <w:r>
              <w:rPr>
                <w:b/>
                <w:highlight w:val="yellow"/>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Báo cáo thẩm định giá</w:t>
            </w:r>
            <w:r>
              <w:rPr>
                <w:b/>
                <w:highlight w:val="yellow"/>
              </w:rPr>
            </w:r>
            <w:r>
              <w:rPr>
                <w:b/>
                <w:highlight w:val="yellow"/>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4-17</w:t>
            </w:r>
            <w:r>
              <w:rPr>
                <w:b/>
                <w:highlight w:val="yellow"/>
              </w:rPr>
            </w:r>
            <w:r>
              <w:rPr>
                <w:b/>
                <w:highlight w:val="yellow"/>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Các phụ lục chi tiết kèm theo</w:t>
            </w:r>
            <w:r>
              <w:rPr>
                <w:b/>
                <w:highlight w:val="yellow"/>
              </w:rPr>
            </w:r>
            <w:r>
              <w:rPr>
                <w:b/>
                <w:highlight w:val="yellow"/>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r>
            <w:r>
              <w:rPr>
                <w:b/>
                <w:bCs/>
                <w:highlight w:val="yellow"/>
              </w:rPr>
            </w:r>
            <w:r>
              <w:rPr>
                <w:b/>
                <w:bCs/>
                <w:highlight w:val="yellow"/>
              </w:rPr>
            </w:r>
          </w:p>
        </w:tc>
      </w:tr>
      <w:tr>
        <w:trPr/>
        <w:tc>
          <w:tcPr>
            <w:shd w:val="clear" w:color="auto" w:fill="auto"/>
            <w:tcBorders/>
            <w:tcMar>
              <w:left w:w="108" w:type="dxa"/>
              <w:right w:w="108" w:type="dxa"/>
            </w:tcMar>
            <w:tcW w:w="7280" w:type="dxa"/>
            <w:vAlign w:val="center"/>
            <w:textDirection w:val="lrTb"/>
            <w:noWrap w:val="false"/>
          </w:tcPr>
          <w:p>
            <w:pPr>
              <w:pStyle w:val="1051"/>
              <w:pBdr/>
              <w:tabs>
                <w:tab w:val="left" w:leader="none" w:pos="993"/>
              </w:tabs>
              <w:spacing w:after="120" w:before="120" w:line="288" w:lineRule="auto"/>
              <w:ind w:left="0"/>
              <w:jc w:val="both"/>
              <w:rPr>
                <w:bCs/>
                <w:highlight w:val="yellow"/>
              </w:rPr>
            </w:pPr>
            <w:r>
              <w:rPr>
                <w:bCs/>
                <w:highlight w:val="yellow"/>
                <w:lang w:val="pt-BR"/>
              </w:rPr>
              <w:t xml:space="preserve">Phụ lục 1: Thông tin hiện trạng</w:t>
            </w:r>
            <w:r>
              <w:rPr>
                <w:bCs/>
                <w:highlight w:val="yellow"/>
              </w:rPr>
            </w:r>
            <w:r>
              <w:rPr>
                <w:bCs/>
                <w:highlight w:val="yellow"/>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18</w:t>
            </w:r>
            <w:r>
              <w:rPr>
                <w:b/>
                <w:bCs/>
                <w:highlight w:val="yellow"/>
              </w:rPr>
            </w:r>
            <w:r>
              <w:rPr>
                <w:b/>
                <w:bCs/>
                <w:highlight w:val="yellow"/>
              </w:rPr>
            </w:r>
          </w:p>
        </w:tc>
      </w:tr>
      <w:tr>
        <w:trPr/>
        <w:tc>
          <w:tcPr>
            <w:shd w:val="clear" w:color="auto" w:fill="auto"/>
            <w:tcBorders/>
            <w:tcMar>
              <w:left w:w="108" w:type="dxa"/>
              <w:right w:w="108" w:type="dxa"/>
            </w:tcMar>
            <w:tcW w:w="7280" w:type="dxa"/>
            <w:vAlign w:val="center"/>
            <w:textDirection w:val="lrTb"/>
            <w:noWrap w:val="false"/>
          </w:tcPr>
          <w:p>
            <w:pPr>
              <w:pStyle w:val="1051"/>
              <w:pBdr/>
              <w:tabs>
                <w:tab w:val="left" w:leader="none" w:pos="993"/>
              </w:tabs>
              <w:spacing w:after="120" w:before="120" w:line="288" w:lineRule="auto"/>
              <w:ind w:left="0"/>
              <w:jc w:val="both"/>
              <w:rPr>
                <w:bCs/>
                <w:highlight w:val="yellow"/>
              </w:rPr>
            </w:pPr>
            <w:r>
              <w:rPr>
                <w:bCs/>
                <w:highlight w:val="yellow"/>
                <w:lang w:val="pt-BR"/>
              </w:rPr>
              <w:t xml:space="preserve">Phụ lục 2: Thông tin thu thập thị trường</w:t>
            </w:r>
            <w:r>
              <w:rPr>
                <w:bCs/>
                <w:highlight w:val="yellow"/>
              </w:rPr>
            </w:r>
            <w:r>
              <w:rPr>
                <w:bCs/>
                <w:highlight w:val="yellow"/>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19-22</w:t>
            </w:r>
            <w:r>
              <w:rPr>
                <w:b/>
                <w:bCs/>
                <w:highlight w:val="yellow"/>
              </w:rPr>
            </w:r>
            <w:r>
              <w:rPr>
                <w:b/>
                <w:bCs/>
                <w:highlight w:val="yellow"/>
              </w:rPr>
            </w:r>
          </w:p>
        </w:tc>
      </w:tr>
    </w:tbl>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68" w:type="dxa"/>
        <w:tblBorders/>
        <w:tblLayout w:type="fixed"/>
        <w:tblLook w:val="04A0" w:firstRow="1" w:lastRow="0" w:firstColumn="1" w:lastColumn="0" w:noHBand="0" w:noVBand="1"/>
      </w:tblPr>
      <w:tblGrid>
        <w:gridCol w:w="910"/>
        <w:gridCol w:w="928"/>
        <w:gridCol w:w="12630"/>
      </w:tblGrid>
      <w:tr>
        <w:trPr>
          <w:trHeight w:val="1152"/>
        </w:trPr>
        <w:tc>
          <w:tcPr>
            <w:gridSpan w:val="2"/>
            <w:tcBorders/>
            <w:tcW w:w="1837"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3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4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50"/>
              <w:pBdr/>
              <w:spacing w:after="60"/>
              <w:ind/>
              <w:rPr>
                <w:color w:val="000000" w:themeColor="text1"/>
                <w:sz w:val="24"/>
                <w:szCs w:val="24"/>
              </w:rPr>
            </w:pPr>
            <w:r>
              <w:rPr>
                <w:rStyle w:val="1049"/>
                <w:rFonts w:ascii="Times New Roman" w:hAnsi="Times New Roman"/>
                <w:color w:val="000000" w:themeColor="text1"/>
                <w:lang w:val="pt-BR"/>
              </w:rPr>
              <w:t xml:space="preserve">Số</w:t>
            </w:r>
            <w:r>
              <w:rPr>
                <w:rStyle w:val="1049"/>
                <w:rFonts w:ascii="Times New Roman" w:hAnsi="Times New Roman" w:eastAsia="Times New Roman" w:cs="Times New Roman"/>
                <w:color w:val="000000" w:themeColor="text1"/>
                <w:lang w:val="pt-BR"/>
              </w:rPr>
              <w:t xml:space="preserve">:</w:t>
            </w:r>
            <w:r>
              <w:rPr>
                <w:rStyle w:val="1049"/>
                <w:rFonts w:ascii="Times New Roman" w:hAnsi="Times New Roman" w:eastAsia="Times New Roman" w:cs="Times New Roman"/>
                <w:color w:val="000000" w:themeColor="text1"/>
                <w:lang w:val="pt-BR"/>
              </w:rPr>
              <w:t xml:space="preserve"> </w:t>
            </w:r>
            <w:r>
              <w:rPr>
                <w:rFonts w:ascii="Times New Roman" w:hAnsi="Times New Roman" w:eastAsia="Times New Roman" w:cs="Times New Roman"/>
                <w:color w:val="000000" w:themeColor="text1"/>
                <w:sz w:val="24"/>
              </w:rPr>
              <w:t xml:space="preserve">275/2026/1026/VFI-CT.53.A</w:t>
            </w:r>
            <w:r>
              <w:rPr>
                <w:color w:val="000000" w:themeColor="text1"/>
                <w:sz w:val="24"/>
                <w:szCs w:val="24"/>
              </w:rPr>
            </w:r>
            <w:r>
              <w:rPr>
                <w:color w:val="000000" w:themeColor="text1"/>
                <w:sz w:val="24"/>
                <w:szCs w:val="24"/>
              </w:rPr>
            </w:r>
          </w:p>
          <w:p>
            <w:pPr>
              <w:pStyle w:val="1050"/>
              <w:pBdr/>
              <w:spacing w:after="60"/>
              <w:ind w:right="-56"/>
              <w:jc w:val="center"/>
              <w:rPr>
                <w:color w:val="000000" w:themeColor="text1"/>
                <w:sz w:val="24"/>
                <w:szCs w:val="24"/>
                <w:lang w:val="vi-VN"/>
              </w:rPr>
            </w:pPr>
            <w:r>
              <w:rPr>
                <w:rStyle w:val="1049"/>
                <w:rFonts w:ascii="Times New Roman" w:hAnsi="Times New Roman"/>
                <w:i/>
                <w:color w:val="auto"/>
              </w:rPr>
              <w:t xml:space="preserve">TP. Hà Nội</w:t>
            </w:r>
            <w:r>
              <w:rPr>
                <w:rStyle w:val="1049"/>
                <w:rFonts w:ascii="Times New Roman" w:hAnsi="Times New Roman"/>
                <w:i/>
                <w:color w:val="auto"/>
                <w:lang w:val="vi-VN"/>
              </w:rPr>
              <w:t xml:space="preserve">, </w:t>
            </w:r>
            <w:r>
              <w:rPr>
                <w:rStyle w:val="1049"/>
                <w:rFonts w:ascii="Times New Roman" w:hAnsi="Times New Roman"/>
                <w:i/>
                <w:color w:val="000000" w:themeColor="text1"/>
                <w:lang w:val="vi-VN"/>
              </w:rPr>
              <w:t xml:space="preserve">ngày </w:t>
            </w:r>
            <w:r>
              <w:rPr>
                <w:rStyle w:val="1049"/>
                <w:rFonts w:ascii="Times New Roman" w:hAnsi="Times New Roman"/>
                <w:i/>
                <w:color w:val="000000" w:themeColor="text1"/>
                <w:lang w:val="vi-VN"/>
              </w:rPr>
              <w:t xml:space="preserve">07 tháng 7 năm 2026</w:t>
            </w:r>
            <w:r>
              <w:rPr>
                <w:color w:val="000000" w:themeColor="text1"/>
                <w:sz w:val="24"/>
                <w:szCs w:val="24"/>
                <w:lang w:val="vi-VN"/>
              </w:rPr>
            </w:r>
            <w:r>
              <w:rPr>
                <w:color w:val="000000" w:themeColor="text1"/>
                <w:sz w:val="24"/>
                <w:szCs w:val="24"/>
                <w:lang w:val="vi-VN"/>
              </w:rPr>
            </w:r>
          </w:p>
        </w:tc>
      </w:tr>
    </w:tbl>
    <w:p>
      <w:pPr>
        <w:pStyle w:val="1050"/>
        <w:pBdr/>
        <w:spacing w:after="120" w:before="200" w:line="288" w:lineRule="auto"/>
        <w:ind/>
        <w:jc w:val="center"/>
        <w:rPr>
          <w:rStyle w:val="1049"/>
          <w:rFonts w:ascii="Times New Roman" w:hAnsi="Times New Roman"/>
          <w:b/>
          <w:bCs/>
          <w:color w:val="auto"/>
          <w:sz w:val="30"/>
          <w:szCs w:val="30"/>
          <w:lang w:val="vi-VN"/>
        </w:rPr>
      </w:pPr>
      <w:r>
        <w:rPr>
          <w:rStyle w:val="1049"/>
          <w:rFonts w:ascii="Times New Roman" w:hAnsi="Times New Roman"/>
          <w:b/>
          <w:bCs/>
          <w:color w:val="auto"/>
          <w:sz w:val="30"/>
          <w:szCs w:val="30"/>
          <w:lang w:val="vi-VN"/>
        </w:rPr>
        <w:t xml:space="preserve">CHỨNG THƯ THẨM ĐỊNH GIÁ</w:t>
      </w:r>
      <w:r>
        <w:rPr>
          <w:rStyle w:val="1049"/>
          <w:rFonts w:ascii="Times New Roman" w:hAnsi="Times New Roman"/>
          <w:b/>
          <w:bCs/>
          <w:color w:val="auto"/>
          <w:sz w:val="30"/>
          <w:szCs w:val="30"/>
          <w:lang w:val="vi-VN"/>
        </w:rPr>
      </w:r>
      <w:r>
        <w:rPr>
          <w:rStyle w:val="1049"/>
          <w:rFonts w:ascii="Times New Roman" w:hAnsi="Times New Roman"/>
          <w:b/>
          <w:bCs/>
          <w:color w:val="auto"/>
          <w:sz w:val="30"/>
          <w:szCs w:val="30"/>
          <w:lang w:val="vi-VN"/>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b/>
          <w:u w:val="single"/>
          <w:lang w:val="pt-BR"/>
        </w:rPr>
        <w:t xml:space="preserve">Kính gửi</w:t>
      </w:r>
      <w:r>
        <w:rPr>
          <w:b/>
          <w:lang w:val="pt-BR"/>
        </w:rPr>
        <w:t xml:space="preserve">:</w:t>
      </w:r>
      <w:r>
        <w:rPr>
          <w:b/>
          <w:lang w:val="pt-BR"/>
        </w:rPr>
        <w:t xml:space="preserve"> </w:t>
      </w:r>
      <w:r>
        <w:rPr>
          <w:rFonts w:ascii="Times New Roman" w:hAnsi="Times New Roman" w:eastAsia="Times New Roman" w:cs="Times New Roman"/>
          <w:b/>
          <w:color w:val="000000"/>
          <w:sz w:val="24"/>
        </w:rPr>
        <w:t xml:space="preserve">NGÂN HÀNG NÔNG NGHIỆP VÀ PHÁT TRIỂN NÔNG THÔN VIỆT NAM (AGRIBANK)- CHI NHÁNH UÔNG BÍ TÂY QUẢNG NINH</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color w:val="000000" w:themeColor="text1"/>
        </w:rPr>
      </w:pPr>
      <w:r>
        <w:rPr>
          <w:spacing w:val="-4"/>
          <w:lang w:val="vi-VN"/>
        </w:rPr>
        <w:tab/>
      </w:r>
      <w:r>
        <w:rPr>
          <w:rFonts w:ascii="Times New Roman" w:hAnsi="Times New Roman" w:eastAsia="Times New Roman" w:cs="Times New Roman"/>
          <w:color w:val="000000"/>
          <w:spacing w:val="-4"/>
          <w:sz w:val="24"/>
        </w:rPr>
        <w:t xml:space="preserve">Căn</w:t>
      </w:r>
      <w:r>
        <w:rPr>
          <w:rFonts w:ascii="Times New Roman" w:hAnsi="Times New Roman" w:eastAsia="Times New Roman" w:cs="Times New Roman"/>
          <w:color w:val="000000" w:themeColor="text1"/>
          <w:spacing w:val="-4"/>
          <w:sz w:val="24"/>
        </w:rPr>
        <w:t xml:space="preserve"> cứ Hợp đồng dịch vụ thẩm định giá số: </w:t>
      </w:r>
      <w:r>
        <w:rPr>
          <w:rFonts w:ascii="Times New Roman" w:hAnsi="Times New Roman" w:eastAsia="Times New Roman" w:cs="Times New Roman"/>
          <w:color w:val="000000" w:themeColor="text1"/>
          <w:sz w:val="24"/>
        </w:rPr>
        <w:t xml:space="preserve">275/2026/1026/VFI-HĐTĐ.53.A</w:t>
      </w:r>
      <w:r>
        <w:rPr>
          <w:rFonts w:ascii="Times New Roman" w:hAnsi="Times New Roman" w:eastAsia="Times New Roman" w:cs="Times New Roman"/>
          <w:color w:val="000000" w:themeColor="text1"/>
          <w:spacing w:val="3"/>
          <w:sz w:val="24"/>
        </w:rPr>
        <w:t xml:space="preserve"> </w:t>
      </w:r>
      <w:r>
        <w:rPr>
          <w:rFonts w:ascii="Times New Roman" w:hAnsi="Times New Roman" w:eastAsia="Times New Roman" w:cs="Times New Roman"/>
          <w:color w:val="000000" w:themeColor="text1"/>
          <w:spacing w:val="-4"/>
          <w:sz w:val="24"/>
        </w:rPr>
        <w:t xml:space="preserve">ký ngày 06/07/2026 giữa </w:t>
      </w:r>
      <w:r>
        <w:rPr>
          <w:rFonts w:ascii="Times New Roman" w:hAnsi="Times New Roman" w:eastAsia="Times New Roman" w:cs="Times New Roman"/>
          <w:color w:val="000000" w:themeColor="text1"/>
          <w:sz w:val="24"/>
        </w:rPr>
        <w:t xml:space="preserve">Ngân Hàng Nông Nghiệp Và Phát Triển Nông Thôn Việt Nam (Agribank)- Chi Nhánh Uông Bí Tây Quảng Ninh</w:t>
      </w:r>
      <w:r>
        <w:rPr>
          <w:rFonts w:ascii="Times New Roman" w:hAnsi="Times New Roman" w:eastAsia="Times New Roman" w:cs="Times New Roman"/>
          <w:color w:val="000000" w:themeColor="text1"/>
          <w:spacing w:val="-6"/>
          <w:sz w:val="24"/>
        </w:rPr>
        <w:t xml:space="preserve"> với </w:t>
      </w:r>
      <w:r>
        <w:rPr>
          <w:rFonts w:ascii="Times New Roman" w:hAnsi="Times New Roman" w:eastAsia="Times New Roman" w:cs="Times New Roman"/>
          <w:color w:val="000000" w:themeColor="text1"/>
          <w:spacing w:val="-4"/>
          <w:sz w:val="24"/>
        </w:rPr>
        <w:t xml:space="preserve">Công ty Cổ phần Thẩm định và Đầu tư Tài chính Hoa Sen;</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pacing w:val="-2"/>
          <w:sz w:val="24"/>
        </w:rPr>
        <w:t xml:space="preserve">Căn cứ Báo cáo thẩm định giá số </w:t>
      </w:r>
      <w:r>
        <w:rPr>
          <w:rFonts w:ascii="Times New Roman" w:hAnsi="Times New Roman" w:eastAsia="Times New Roman" w:cs="Times New Roman"/>
          <w:color w:val="000000" w:themeColor="text1"/>
          <w:sz w:val="24"/>
        </w:rPr>
        <w:t xml:space="preserve">275/2026/1026/VFI-BC.53.A</w:t>
      </w:r>
      <w:r>
        <w:rPr>
          <w:rFonts w:ascii="Times New Roman" w:hAnsi="Times New Roman" w:eastAsia="Times New Roman" w:cs="Times New Roman"/>
          <w:color w:val="000000" w:themeColor="text1"/>
          <w:spacing w:val="3"/>
          <w:sz w:val="24"/>
        </w:rPr>
        <w:t xml:space="preserve"> </w:t>
      </w:r>
      <w:r>
        <w:rPr>
          <w:rFonts w:ascii="Times New Roman" w:hAnsi="Times New Roman" w:eastAsia="Times New Roman" w:cs="Times New Roman"/>
          <w:color w:val="000000" w:themeColor="text1"/>
          <w:spacing w:val="-2"/>
          <w:sz w:val="24"/>
        </w:rPr>
        <w:t xml:space="preserve">ngày 7 tháng 7 năm 2026 của Công ty Cổ phần Thẩm định và Đầu tư Tài chính Hoa Sen;</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5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120"/>
        <w:gridCol w:w="283"/>
        <w:gridCol w:w="7337"/>
      </w:tblGrid>
      <w:tr>
        <w:trPr>
          <w:trHeight w:val="20"/>
        </w:trPr>
        <w:tc>
          <w:tcPr>
            <w:tcBorders/>
            <w:tcMar>
              <w:left w:w="108" w:type="dxa"/>
              <w:top w:w="0" w:type="dxa"/>
              <w:right w:w="108" w:type="dxa"/>
              <w:bottom w:w="0" w:type="dxa"/>
            </w:tcMar>
            <w:tcW w:w="21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NGÂN HÀNG NÔNG NGHIỆP VÀ PHÁT TRIỂN NÔNG THÔN VIỆT NAM (AGRIBANK)- CHI NHÁNH UÔNG BÍ TÂY QUẢNG NINH</w:t>
            </w:r>
            <w:r/>
          </w:p>
        </w:tc>
      </w:tr>
      <w:tr>
        <w:trPr>
          <w:trHeight w:val="20"/>
        </w:trPr>
        <w:tc>
          <w:tcPr>
            <w:tcBorders/>
            <w:tcMar>
              <w:left w:w="108" w:type="dxa"/>
              <w:top w:w="0" w:type="dxa"/>
              <w:right w:w="108" w:type="dxa"/>
              <w:bottom w:w="0" w:type="dxa"/>
            </w:tcMar>
            <w:tcW w:w="21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0100686174-232</w:t>
            </w:r>
            <w:r/>
          </w:p>
        </w:tc>
      </w:tr>
      <w:tr>
        <w:trPr>
          <w:trHeight w:val="20"/>
        </w:trPr>
        <w:tc>
          <w:tcPr>
            <w:tcBorders/>
            <w:tcMar>
              <w:left w:w="108" w:type="dxa"/>
              <w:top w:w="0" w:type="dxa"/>
              <w:right w:w="108" w:type="dxa"/>
              <w:bottom w:w="0" w:type="dxa"/>
            </w:tcMar>
            <w:tcW w:w="21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 Phường Uông Bí, tỉnh Quảng Ninh</w:t>
            </w:r>
            <w:r/>
          </w:p>
        </w:tc>
      </w:tr>
      <w:tr>
        <w:trPr>
          <w:trHeight w:val="20"/>
        </w:trPr>
        <w:tc>
          <w:tcPr>
            <w:tcBorders/>
            <w:tcMar>
              <w:left w:w="108" w:type="dxa"/>
              <w:top w:w="0" w:type="dxa"/>
              <w:right w:w="108" w:type="dxa"/>
              <w:bottom w:w="0" w:type="dxa"/>
            </w:tcMar>
            <w:tcW w:w="21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3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Ông Nguyễn Bá Quyết          Chức vụ: Giám đốc</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55"/>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27"/>
        <w:gridCol w:w="270"/>
        <w:gridCol w:w="6629"/>
      </w:tblGrid>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Số 1294/TB-BTC ngày 25/12/2025</w:t>
            </w:r>
            <w:r>
              <w:rPr>
                <w:rFonts w:ascii="Segoe UI" w:hAnsi="Segoe UI" w:eastAsia="Segoe UI" w:cs="Segoe UI"/>
                <w:color w:val="000000"/>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tab/>
              <w:t xml:space="preserve">        Chức vụ: Chủ tịch HĐQT kiêm Tổng Giám Đốc</w:t>
            </w:r>
            <w:r/>
          </w:p>
        </w:tc>
      </w:tr>
    </w:tbl>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360" w:lineRule="auto"/>
        <w:ind w:right="0" w:firstLine="0" w:left="0"/>
        <w:jc w:val="both"/>
        <w:rPr>
          <w:highlight w:val="white"/>
        </w:rPr>
      </w:pPr>
      <w:r>
        <w:rPr>
          <w:rFonts w:ascii="Times New Roman" w:hAnsi="Times New Roman" w:eastAsia="Times New Roman" w:cs="Times New Roman"/>
          <w:b/>
          <w:color w:val="000000"/>
          <w:sz w:val="24"/>
          <w:highlight w:val="white"/>
        </w:rPr>
        <w:t xml:space="preserve">Tài sản 01:</w:t>
      </w:r>
      <w:r>
        <w:rPr>
          <w:rFonts w:ascii="Times New Roman" w:hAnsi="Times New Roman" w:eastAsia="Times New Roman" w:cs="Times New Roman"/>
          <w:color w:val="000000"/>
          <w:sz w:val="24"/>
          <w:highlight w:val="white"/>
        </w:rPr>
        <w:t xml:space="preserve">  Quyền sử dụng đất và tài sản gắn liền với đất tại thửa đất có địa chỉ: Ô đất số TT-40, Lô OTM1-1, khu Sun Premier Village, Phường Bãi Cháy, Thành phố Hạ Long</w:t>
      </w:r>
      <w:r>
        <w:rPr>
          <w:rFonts w:ascii="Times New Roman" w:hAnsi="Times New Roman" w:eastAsia="Times New Roman" w:cs="Times New Roman"/>
          <w:color w:val="000000"/>
          <w:sz w:val="24"/>
          <w:highlight w:val="white"/>
        </w:rPr>
        <w:t xml:space="preserve"> (Nay là phường Bãi Cháy, tỉnh Quảng Ninh)</w:t>
      </w:r>
      <w:r>
        <w:rPr>
          <w:rFonts w:ascii="Times New Roman" w:hAnsi="Times New Roman" w:eastAsia="Times New Roman" w:cs="Times New Roman"/>
          <w:color w:val="000000"/>
          <w:sz w:val="24"/>
          <w:highlight w:val="white"/>
        </w:rPr>
        <w:t xml:space="preserve"> theo Giấy chứng nhận quyền s</w:t>
      </w:r>
      <w:r>
        <w:rPr>
          <w:rFonts w:ascii="Times New Roman" w:hAnsi="Times New Roman" w:eastAsia="Times New Roman" w:cs="Times New Roman"/>
          <w:color w:val="000000"/>
          <w:sz w:val="24"/>
          <w:highlight w:val="white"/>
        </w:rPr>
        <w:t xml:space="preserve">ử dụng đất</w:t>
      </w:r>
      <w:r>
        <w:rPr>
          <w:rFonts w:ascii="Times New Roman" w:hAnsi="Times New Roman" w:eastAsia="Times New Roman" w:cs="Times New Roman"/>
          <w:color w:val="000000"/>
          <w:sz w:val="24"/>
          <w:highlight w:val="white"/>
        </w:rPr>
        <w:t xml:space="preserve">, quyền sở hữu nhà ở và tài sản khác gắn liền với đất số: </w:t>
      </w:r>
      <w:r>
        <w:rPr>
          <w:rFonts w:ascii="Times New Roman" w:hAnsi="Times New Roman" w:eastAsia="Times New Roman" w:cs="Times New Roman"/>
          <w:color w:val="000000"/>
          <w:sz w:val="24"/>
          <w:highlight w:val="white"/>
        </w:rPr>
        <w:t xml:space="preserve">CO 020865, số vào sổ cấp GCN: CH 31117 do Uỷ ban Nhân dân Thành phố Hạ Long cấp ngày 21/05/2019 cho Ông Nguyễn Đình Tuấn và Bà Đoàn Thị Mai Thắm</w:t>
      </w:r>
      <w:r>
        <w:rPr>
          <w:highlight w:val="white"/>
        </w:rPr>
        <w:t xml:space="preserve">.</w:t>
      </w:r>
      <w:r>
        <w:rPr>
          <w:highlight w:val="white"/>
        </w:rPr>
      </w:r>
      <w:r>
        <w:rPr>
          <w:highlight w:val="white"/>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highlight w:val="white"/>
        </w:rPr>
      </w:pPr>
      <w:r>
        <w:rPr>
          <w:rFonts w:ascii="Times New Roman" w:hAnsi="Times New Roman" w:eastAsia="Times New Roman" w:cs="Times New Roman"/>
          <w:b/>
          <w:color w:val="000000"/>
          <w:sz w:val="24"/>
          <w:highlight w:val="white"/>
        </w:rPr>
        <w:t xml:space="preserve">Tài sản 02:</w:t>
      </w:r>
      <w:r>
        <w:rPr>
          <w:rFonts w:ascii="Times New Roman" w:hAnsi="Times New Roman" w:eastAsia="Times New Roman" w:cs="Times New Roman"/>
          <w:color w:val="000000"/>
          <w:sz w:val="24"/>
          <w:highlight w:val="white"/>
        </w:rPr>
        <w:t xml:space="preserve">  Quyền sử dụng đất và tài sản gắn liền với đất tại thửa đất có địa chỉ: Ô đất số TT-41, Lô OTM1-1, khu Sun Premier Village, Phường Bãi Cháy, Thành phố Hạ Long</w:t>
      </w:r>
      <w:r>
        <w:rPr>
          <w:rFonts w:ascii="Times New Roman" w:hAnsi="Times New Roman" w:eastAsia="Times New Roman" w:cs="Times New Roman"/>
          <w:color w:val="000000"/>
          <w:sz w:val="24"/>
          <w:highlight w:val="white"/>
        </w:rPr>
        <w:t xml:space="preserve"> (Nay là phường Bãi Cháy, tỉnh Quảng Ninh)</w:t>
      </w:r>
      <w:r>
        <w:rPr>
          <w:rFonts w:ascii="Times New Roman" w:hAnsi="Times New Roman" w:eastAsia="Times New Roman" w:cs="Times New Roman"/>
          <w:color w:val="000000"/>
          <w:sz w:val="24"/>
          <w:highlight w:val="white"/>
        </w:rPr>
        <w:t xml:space="preserve"> theo Giấy chứng nhận quyền sử</w:t>
      </w:r>
      <w:r>
        <w:rPr>
          <w:rFonts w:ascii="Times New Roman" w:hAnsi="Times New Roman" w:eastAsia="Times New Roman" w:cs="Times New Roman"/>
          <w:color w:val="000000"/>
          <w:sz w:val="24"/>
          <w:highlight w:val="white"/>
        </w:rPr>
        <w:t xml:space="preserve"> dụng đấ</w:t>
      </w:r>
      <w:r>
        <w:rPr>
          <w:rFonts w:ascii="Times New Roman" w:hAnsi="Times New Roman" w:eastAsia="Times New Roman" w:cs="Times New Roman"/>
          <w:color w:val="000000"/>
          <w:sz w:val="24"/>
          <w:highlight w:val="white"/>
        </w:rPr>
        <w:t xml:space="preserve">t, quyền sở hữu nhà ở và tài sản khác gắn liền với đất số: </w:t>
      </w:r>
      <w:r>
        <w:rPr>
          <w:rFonts w:ascii="Times New Roman" w:hAnsi="Times New Roman" w:eastAsia="Times New Roman" w:cs="Times New Roman"/>
          <w:color w:val="000000"/>
          <w:sz w:val="24"/>
          <w:highlight w:val="white"/>
        </w:rPr>
        <w:t xml:space="preserve">CO 020864, số vào sổ cấp GCN: CH 31116 do Uỷ ban Nhân dân Thành phố Hạ Long cấp ngày 21/05/2019 cho Ông Nguyễn Đình Tuấn và Bà Đoàn Thị Mai Thắm</w:t>
      </w:r>
      <w:r>
        <w:rPr>
          <w:highlight w:val="white"/>
        </w:rPr>
        <w:t xml:space="preserve">.</w:t>
      </w:r>
      <w:r>
        <w:rPr>
          <w:highlight w:val="white"/>
        </w:rPr>
      </w:r>
      <w:r>
        <w:rPr>
          <w:highlight w:val="white"/>
        </w:rPr>
      </w:r>
    </w:p>
    <w:p>
      <w:pPr>
        <w:pBdr/>
        <w:spacing w:after="120" w:before="120" w:line="278"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07/2026</w:t>
      </w:r>
      <w:r>
        <w:rPr>
          <w:bCs/>
          <w:highlight w:val="white"/>
          <w:lang w:val="nl-NL"/>
        </w:rPr>
        <w:t xml:space="preserve">.</w:t>
      </w:r>
      <w:r>
        <w:rPr>
          <w:b/>
          <w:bCs/>
          <w:highlight w:val="white"/>
        </w:rPr>
      </w:r>
      <w:r>
        <w:rPr>
          <w:b/>
          <w:bCs/>
          <w:highlight w:val="white"/>
        </w:rPr>
      </w:r>
    </w:p>
    <w:p>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7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78" w:lineRule="auto"/>
        <w:ind/>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bCs/>
          <w:color w:val="000000" w:themeColor="text1"/>
          <w:lang w:val="nl-NL"/>
        </w:rPr>
        <w:t xml:space="preserve"> </w:t>
      </w:r>
      <w:r>
        <w:rPr>
          <w:lang w:val="vi-VN"/>
        </w:rPr>
        <w:t xml:space="preserve">ước tính</w:t>
      </w:r>
      <w:r>
        <w:t xml:space="preserve"> </w:t>
      </w:r>
      <w:r>
        <w:rPr>
          <w:lang w:val="vi-VN"/>
        </w:rPr>
        <w:t xml:space="preserve">như sau:</w:t>
      </w:r>
      <w:r>
        <w:rPr>
          <w:lang w:val="vi-VN"/>
        </w:rPr>
      </w:r>
      <w:r>
        <w:rPr>
          <w:lang w:val="vi-VN"/>
        </w:rPr>
      </w:r>
    </w:p>
    <w:tbl>
      <w:tblPr>
        <w:tblStyle w:val="105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7"/>
        <w:gridCol w:w="3001"/>
        <w:gridCol w:w="1134"/>
        <w:gridCol w:w="1730"/>
        <w:gridCol w:w="1193"/>
        <w:gridCol w:w="1756"/>
      </w:tblGrid>
      <w:tr>
        <w:trPr>
          <w:trHeight w:val="86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0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CLCL </w:t>
              <w:br/>
              <w:t xml:space="preserve">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7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01</w:t>
            </w:r>
            <w:r/>
          </w:p>
        </w:tc>
        <w:tc>
          <w:tcPr>
            <w:gridSpan w:val="4"/>
            <w:tcBorders>
              <w:bottom w:val="single" w:color="000000" w:sz="8" w:space="0"/>
              <w:right w:val="single" w:color="000000" w:sz="8" w:space="0"/>
            </w:tcBorders>
            <w:tcMar>
              <w:left w:w="108" w:type="dxa"/>
              <w:top w:w="0" w:type="dxa"/>
              <w:right w:w="108" w:type="dxa"/>
              <w:bottom w:w="0" w:type="dxa"/>
            </w:tcMar>
            <w:tcW w:w="7057"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b/>
                <w:bCs/>
              </w:rPr>
            </w:pPr>
            <w:r>
              <w:rPr>
                <w:rFonts w:ascii="Times New Roman" w:hAnsi="Times New Roman" w:eastAsia="Times New Roman" w:cs="Times New Roman"/>
                <w:b/>
                <w:bCs/>
                <w:color w:val="000000"/>
                <w:sz w:val="24"/>
              </w:rPr>
              <w:t xml:space="preserve">Quyền sử dụng đất và tài sản gắn liền với đất tại thửa đất có địa chỉ: Ô đất số TT-40, Lô OTM1-1, khu Sun Premier Village, Phường Bãi Cháy, Thành phố Hạ Long </w:t>
            </w:r>
            <w:r>
              <w:rPr>
                <w:rFonts w:ascii="Times New Roman" w:hAnsi="Times New Roman" w:eastAsia="Times New Roman" w:cs="Times New Roman"/>
                <w:b/>
                <w:bCs/>
                <w:color w:val="000000"/>
                <w:sz w:val="24"/>
              </w:rPr>
              <w:t xml:space="preserve">(Nay là phường Bãi Cháy, tỉnh Quảng Ninh) </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CO</w:t>
            </w:r>
            <w:r>
              <w:rPr>
                <w:rFonts w:ascii="Times New Roman" w:hAnsi="Times New Roman" w:eastAsia="Times New Roman" w:cs="Times New Roman"/>
                <w:b/>
                <w:bCs/>
                <w:color w:val="000000"/>
                <w:sz w:val="24"/>
              </w:rPr>
              <w:t xml:space="preserve"> 020865, số vào sổ cấp GCN: CH 31117 do Uỷ ban Nhân dân Thành phố Hạ Long cấp ngày 21/05/2019 cho Ông Nguyễn Đình Tuấn và Bà Đoàn Thị Mai Thắm.</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138.000.000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15.525.000.000</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5 tầng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487,5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7.233.240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2.962.011.780</w:t>
            </w:r>
            <w:r/>
          </w:p>
        </w:tc>
      </w:tr>
      <w:tr>
        <w:trPr>
          <w:trHeight w:val="160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02</w:t>
            </w:r>
            <w:r/>
          </w:p>
        </w:tc>
        <w:tc>
          <w:tcPr>
            <w:gridSpan w:val="4"/>
            <w:tcBorders>
              <w:bottom w:val="single" w:color="000000" w:sz="8" w:space="0"/>
              <w:right w:val="single" w:color="000000" w:sz="8" w:space="0"/>
            </w:tcBorders>
            <w:tcMar>
              <w:left w:w="108" w:type="dxa"/>
              <w:top w:w="0" w:type="dxa"/>
              <w:right w:w="108" w:type="dxa"/>
              <w:bottom w:w="0" w:type="dxa"/>
            </w:tcMar>
            <w:tcW w:w="7057"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b/>
                <w:bCs/>
              </w:rPr>
            </w:pPr>
            <w:r>
              <w:rPr>
                <w:rFonts w:ascii="Times New Roman" w:hAnsi="Times New Roman" w:eastAsia="Times New Roman" w:cs="Times New Roman"/>
                <w:b/>
                <w:bCs/>
                <w:color w:val="000000"/>
                <w:sz w:val="24"/>
              </w:rPr>
              <w:t xml:space="preserve">Quyền sử dụng đất và tài sản gắn liền với đất tại thửa đất có địa chỉ: Ô đất số TT-41, Lô OTM1-1, khu Sun Premier Village, Phường Bãi Cháy, Thành phố Hạ Long </w:t>
            </w:r>
            <w:r>
              <w:rPr>
                <w:rFonts w:ascii="Times New Roman" w:hAnsi="Times New Roman" w:eastAsia="Times New Roman" w:cs="Times New Roman"/>
                <w:b/>
                <w:bCs/>
                <w:color w:val="000000"/>
                <w:sz w:val="24"/>
              </w:rPr>
              <w:t xml:space="preserve">(Nay là phường Bãi Cháy, tỉnh Quảng Ninh) </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CO</w:t>
            </w:r>
            <w:r>
              <w:rPr>
                <w:rFonts w:ascii="Times New Roman" w:hAnsi="Times New Roman" w:eastAsia="Times New Roman" w:cs="Times New Roman"/>
                <w:b/>
                <w:bCs/>
                <w:color w:val="000000"/>
                <w:sz w:val="24"/>
              </w:rPr>
              <w:t xml:space="preserve"> 020864, số vào sổ cấp GCN: CH 31116 do Uỷ ban Nhân dân Thành phố Hạ Long cấp ngày 21/05/2019 cho Ông Nguyễn Đình Tuấn và Bà Đoàn Thị Mai Thắm.</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138.000.000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15.525.000.000</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5 tầng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487,5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7.233.240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2.962.011.780</w:t>
            </w:r>
            <w:r/>
          </w:p>
        </w:tc>
      </w:tr>
      <w:tr>
        <w:trPr>
          <w:trHeight w:val="312"/>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5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5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36.974.023.560</w:t>
            </w:r>
            <w:r/>
          </w:p>
        </w:tc>
      </w:tr>
      <w:tr>
        <w:trPr>
          <w:trHeight w:val="312"/>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5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5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36.974.000.000</w:t>
            </w:r>
            <w:r/>
          </w:p>
        </w:tc>
      </w:tr>
      <w:tr>
        <w:trPr>
          <w:trHeight w:val="324"/>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3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Ba mươi sáu tỷ, chín trăm bảy mươi bốn triệu đồng chẵn./.)</w:t>
            </w:r>
            <w:r/>
          </w:p>
        </w:tc>
      </w:tr>
    </w:tbl>
    <w:p>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8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lang w:val="pt-BR"/>
        </w:rPr>
      </w:pPr>
      <w:r>
        <w:rPr>
          <w:lang w:val="pt-BR"/>
        </w:rPr>
        <w:t xml:space="preserve">- </w:t>
      </w:r>
      <w:r>
        <w:rPr>
          <w:lang w:val="pt-BR"/>
        </w:rPr>
        <w:t xml:space="preserve">Chi tiết như Báo cáo kèm theo.</w:t>
      </w:r>
      <w:r>
        <w:rPr>
          <w:lang w:val="pt-BR"/>
        </w:rPr>
      </w:r>
      <w:r>
        <w:rPr>
          <w:lang w:val="pt-BR"/>
        </w:rPr>
      </w:r>
    </w:p>
    <w:p>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highlight w:val="none"/>
          <w:lang w:val="vi-VN"/>
        </w:rPr>
      </w:pPr>
      <w:r>
        <w:rPr>
          <w:spacing w:val="-6"/>
          <w:lang w:val="vi-VN"/>
        </w:rPr>
        <w:t xml:space="preserve">- Các phụ lục chi tiết kèm theo.</w:t>
      </w:r>
      <w:r>
        <w:rPr>
          <w:spacing w:val="-6"/>
          <w:highlight w:val="none"/>
          <w:lang w:val="vi-VN"/>
        </w:rPr>
      </w:r>
      <w:r>
        <w:rPr>
          <w:spacing w:val="-6"/>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highlight w:val="none"/>
          <w:lang w:val="vi-VN" w:bidi="vi-VN"/>
        </w:rPr>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4806" w:type="pct"/>
        <w:tblBorders/>
        <w:tblLayout w:type="fixed"/>
        <w:tblLook w:val="01E0" w:firstRow="1" w:lastRow="1" w:firstColumn="1" w:lastColumn="1" w:noHBand="0" w:noVBand="0"/>
      </w:tblPr>
      <w:tblGrid>
        <w:gridCol w:w="5097"/>
        <w:gridCol w:w="4266"/>
      </w:tblGrid>
      <w:tr>
        <w:trPr>
          <w:trHeight w:val="20"/>
        </w:trPr>
        <w:tc>
          <w:tcPr>
            <w:tcBorders/>
            <w:tcW w:w="509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266" w:type="dxa"/>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509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266"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5097" w:type="dxa"/>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r>
              <w:rPr>
                <w:rFonts w:eastAsia="Calibri"/>
                <w:b/>
                <w:bCs/>
                <w:color w:val="000000" w:themeColor="text1"/>
                <w:lang w:val="pt-BR"/>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color w:val="000000" w:themeColor="text1"/>
                <w:lang w:val="pt-BR"/>
              </w:rPr>
              <w:t xml:space="preserve">XVI25TS.2576</w:t>
            </w:r>
            <w:r>
              <w:rPr>
                <w:rFonts w:eastAsia="Calibri"/>
                <w:b/>
                <w:lang w:val="pt-BR"/>
              </w:rPr>
            </w:r>
            <w:r>
              <w:rPr>
                <w:rFonts w:eastAsia="Calibri"/>
                <w:b/>
                <w:lang w:val="pt-BR"/>
              </w:rPr>
            </w:r>
          </w:p>
        </w:tc>
        <w:tc>
          <w:tcPr>
            <w:tcBorders/>
            <w:tcW w:w="4266"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25" w:type="dxa"/>
        <w:tblBorders/>
        <w:tblLayout w:type="fixed"/>
        <w:tblLook w:val="04A0" w:firstRow="1" w:lastRow="0" w:firstColumn="1" w:lastColumn="0" w:noHBand="0" w:noVBand="1"/>
      </w:tblPr>
      <w:tblGrid>
        <w:gridCol w:w="654"/>
        <w:gridCol w:w="1183"/>
        <w:gridCol w:w="8188"/>
      </w:tblGrid>
      <w:tr>
        <w:trPr>
          <w:trHeight w:val="1094"/>
        </w:trPr>
        <w:tc>
          <w:tcPr>
            <w:gridSpan w:val="2"/>
            <w:tcBorders/>
            <w:tcW w:w="1837" w:type="dxa"/>
            <w:textDirection w:val="lrTb"/>
            <w:noWrap w:val="false"/>
          </w:tcPr>
          <w:p>
            <w:pPr>
              <w:pBdr/>
              <w:spacing w:line="360" w:lineRule="auto"/>
              <w:ind w:hanging="108"/>
              <w:rPr>
                <w:rFonts w:ascii="Times New Roman" w:hAnsi="Times New Roman" w:cs="Times New Roman"/>
                <w:i/>
                <w:color w:val="000000" w:themeColor="text1"/>
                <w:sz w:val="24"/>
                <w:szCs w:val="24"/>
              </w:rPr>
            </w:pPr>
            <w:r>
              <w:rPr>
                <w:rFonts w:ascii="Times New Roman" w:hAnsi="Times New Roman" w:eastAsia="Times New Roman" w:cs="Times New Roman"/>
                <w:i/>
                <w:color w:val="000000" w:themeColor="text1"/>
                <w:sz w:val="24"/>
                <w:szCs w:val="24"/>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rFonts w:ascii="Times New Roman" w:hAnsi="Times New Roman" w:cs="Times New Roman"/>
                <w:i/>
                <w:color w:val="000000" w:themeColor="text1"/>
                <w:sz w:val="24"/>
                <w:szCs w:val="24"/>
              </w:rPr>
            </w:r>
            <w:r>
              <w:rPr>
                <w:rFonts w:ascii="Times New Roman" w:hAnsi="Times New Roman" w:cs="Times New Roman"/>
                <w:i/>
                <w:color w:val="000000" w:themeColor="text1"/>
                <w:sz w:val="24"/>
                <w:szCs w:val="24"/>
              </w:rPr>
            </w:r>
          </w:p>
        </w:tc>
        <w:tc>
          <w:tcPr>
            <w:tcBorders/>
            <w:tcW w:w="8188" w:type="dxa"/>
            <w:textDirection w:val="lrTb"/>
            <w:noWrap w:val="false"/>
          </w:tcPr>
          <w:p>
            <w:pPr>
              <w:pBdr/>
              <w:spacing w:line="312" w:lineRule="auto"/>
              <w:ind/>
              <w:jc w:val="both"/>
              <w:rPr>
                <w:rFonts w:ascii="Times New Roman" w:hAnsi="Times New Roman" w:cs="Times New Roman"/>
                <w:b/>
                <w:color w:val="000000" w:themeColor="text1"/>
                <w:sz w:val="24"/>
                <w:szCs w:val="24"/>
              </w:rPr>
            </w:pPr>
            <w:r>
              <w:rPr>
                <w:rFonts w:ascii="Times New Roman" w:hAnsi="Times New Roman" w:eastAsia="Times New Roman" w:cs="Times New Roman"/>
                <w:b/>
                <w:color w:val="000000" w:themeColor="text1"/>
                <w:sz w:val="24"/>
                <w:szCs w:val="24"/>
                <w:lang w:val="da-DK"/>
              </w:rPr>
              <w:t xml:space="preserve">CÔNG TY CỔ PHẦN THẨM ĐỊNH VÀ ĐẦU TƯ TÀI CHÍNH HOA SEN</w:t>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Bdr/>
              <w:spacing w:line="312"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da-DK"/>
              </w:rPr>
              <w:t xml:space="preserve">Trụ sở: BT5 </w:t>
            </w:r>
            <w:r>
              <w:rPr>
                <w:rFonts w:ascii="Times New Roman" w:hAnsi="Times New Roman" w:eastAsia="Times New Roman" w:cs="Times New Roman"/>
                <w:color w:val="000000" w:themeColor="text1"/>
                <w:sz w:val="24"/>
                <w:szCs w:val="24"/>
                <w:lang w:val="da-DK"/>
              </w:rPr>
              <w:t xml:space="preserve">-</w:t>
            </w:r>
            <w:r>
              <w:rPr>
                <w:rFonts w:ascii="Times New Roman" w:hAnsi="Times New Roman" w:eastAsia="Times New Roman" w:cs="Times New Roman"/>
                <w:color w:val="000000" w:themeColor="text1"/>
                <w:sz w:val="24"/>
                <w:szCs w:val="24"/>
                <w:lang w:val="da-DK"/>
              </w:rPr>
              <w:t xml:space="preserve"> 23, Khu đô thị mới Văn Phú, Phường Kiến Hưng, </w:t>
            </w:r>
            <w:r>
              <w:rPr>
                <w:rFonts w:ascii="Times New Roman" w:hAnsi="Times New Roman" w:eastAsia="Times New Roman" w:cs="Times New Roman"/>
                <w:color w:val="000000" w:themeColor="text1"/>
                <w:sz w:val="24"/>
                <w:szCs w:val="24"/>
                <w:lang w:val="da-DK"/>
              </w:rPr>
              <w:t xml:space="preserve">T</w:t>
            </w:r>
            <w:r>
              <w:rPr>
                <w:rFonts w:ascii="Times New Roman" w:hAnsi="Times New Roman" w:eastAsia="Times New Roman" w:cs="Times New Roman"/>
                <w:color w:val="000000" w:themeColor="text1"/>
                <w:sz w:val="24"/>
                <w:szCs w:val="24"/>
                <w:lang w:val="da-DK"/>
              </w:rPr>
              <w:t xml:space="preserve">hành phố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spacing w:line="312"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da-DK"/>
              </w:rPr>
              <w:t xml:space="preserve">Điện thoại:  085 329 3333/ 024 2264 4333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spacing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lang w:val="da-DK"/>
              </w:rPr>
              <w:t xml:space="preserve">Email: </w:t>
            </w:r>
            <w:r>
              <w:rPr>
                <w:rFonts w:ascii="Times New Roman" w:hAnsi="Times New Roman" w:eastAsia="Times New Roman" w:cs="Times New Roman"/>
                <w:color w:val="000000" w:themeColor="text1"/>
                <w:sz w:val="24"/>
                <w:szCs w:val="24"/>
                <w:lang w:val="da-DK"/>
              </w:rPr>
              <w:tab/>
            </w:r>
            <w:hyperlink r:id="rId16" w:tooltip="mailto:ilotus.contact@gmail.com" w:history="1">
              <w:r>
                <w:rPr>
                  <w:rStyle w:val="1041"/>
                  <w:rFonts w:ascii="Times New Roman" w:hAnsi="Times New Roman" w:eastAsia="Times New Roman" w:cs="Times New Roman" w:eastAsiaTheme="majorEastAsia"/>
                  <w:color w:val="000000" w:themeColor="text1"/>
                  <w:sz w:val="24"/>
                  <w:szCs w:val="24"/>
                  <w:lang w:val="fr-FR"/>
                </w:rPr>
                <w:t xml:space="preserve">ilotus.contact@gmail.com</w:t>
              </w:r>
            </w:hyperlink>
            <w:r>
              <w:rPr>
                <w:rFonts w:ascii="Times New Roman" w:hAnsi="Times New Roman" w:eastAsia="Times New Roman" w:cs="Times New Roman"/>
                <w:color w:val="000000" w:themeColor="text1"/>
                <w:sz w:val="24"/>
                <w:szCs w:val="24"/>
                <w:lang w:val="fr-FR"/>
              </w:rPr>
              <w:t xml:space="preserve">           </w:t>
            </w:r>
            <w:r>
              <w:rPr>
                <w:rFonts w:ascii="Times New Roman" w:hAnsi="Times New Roman" w:eastAsia="Times New Roman" w:cs="Times New Roman"/>
                <w:color w:val="000000" w:themeColor="text1"/>
                <w:sz w:val="24"/>
                <w:szCs w:val="24"/>
                <w:lang w:val="fr-FR"/>
              </w:rPr>
              <w:t xml:space="preserve">         </w:t>
            </w:r>
            <w:r>
              <w:rPr>
                <w:rFonts w:ascii="Times New Roman" w:hAnsi="Times New Roman" w:eastAsia="Times New Roman" w:cs="Times New Roman"/>
                <w:color w:val="000000" w:themeColor="text1"/>
                <w:sz w:val="24"/>
                <w:szCs w:val="24"/>
                <w:lang w:val="fr-FR"/>
              </w:rPr>
              <w:t xml:space="preserve"> </w:t>
            </w:r>
            <w:r>
              <w:rPr>
                <w:rFonts w:ascii="Times New Roman" w:hAnsi="Times New Roman" w:eastAsia="Times New Roman" w:cs="Times New Roman"/>
                <w:color w:val="000000" w:themeColor="text1"/>
                <w:sz w:val="24"/>
                <w:szCs w:val="24"/>
                <w:lang w:val="fr-FR"/>
              </w:rPr>
              <w:t xml:space="preserve">   </w:t>
            </w:r>
            <w:r>
              <w:rPr>
                <w:rFonts w:ascii="Times New Roman" w:hAnsi="Times New Roman" w:eastAsia="Times New Roman" w:cs="Times New Roman"/>
                <w:color w:val="000000" w:themeColor="text1"/>
                <w:sz w:val="24"/>
                <w:szCs w:val="24"/>
                <w:lang w:val="fr-FR"/>
              </w:rPr>
              <w:t xml:space="preserve"> </w:t>
            </w:r>
            <w:r>
              <w:rPr>
                <w:rFonts w:ascii="Times New Roman" w:hAnsi="Times New Roman" w:eastAsia="Times New Roman" w:cs="Times New Roman"/>
                <w:color w:val="000000" w:themeColor="text1"/>
                <w:sz w:val="24"/>
                <w:szCs w:val="24"/>
                <w:lang w:val="da-DK"/>
              </w:rPr>
              <w:t xml:space="preserve">Website: ilotus.com.vn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gridBefore w:val="1"/>
          <w:trHeight w:val="457"/>
        </w:trPr>
        <w:tc>
          <w:tcPr>
            <w:gridSpan w:val="2"/>
            <w:shd w:val="clear" w:color="auto" w:fill="auto"/>
            <w:tcBorders/>
            <w:tcMar>
              <w:left w:w="108" w:type="dxa"/>
              <w:top w:w="0" w:type="dxa"/>
              <w:right w:w="108" w:type="dxa"/>
              <w:bottom w:w="0" w:type="dxa"/>
            </w:tcMar>
            <w:tcW w:w="9371" w:type="dxa"/>
            <w:textDirection w:val="lrTb"/>
            <w:noWrap w:val="false"/>
          </w:tcPr>
          <w:p>
            <w:pPr>
              <w:pStyle w:val="1050"/>
              <w:pBdr/>
              <w:spacing w:after="60"/>
              <w:ind/>
              <w:rPr>
                <w:rFonts w:ascii="Times New Roman" w:hAnsi="Times New Roman" w:cs="Times New Roman"/>
                <w:color w:val="000000" w:themeColor="text1"/>
                <w:sz w:val="24"/>
                <w:szCs w:val="24"/>
              </w:rPr>
            </w:pPr>
            <w:r>
              <w:rPr>
                <w:rStyle w:val="1049"/>
                <w:rFonts w:ascii="Times New Roman" w:hAnsi="Times New Roman" w:eastAsia="Times New Roman" w:cs="Times New Roman"/>
                <w:color w:val="000000" w:themeColor="text1"/>
                <w:sz w:val="24"/>
                <w:szCs w:val="24"/>
                <w:lang w:val="pt-BR"/>
              </w:rPr>
              <w:t xml:space="preserve">Số: </w:t>
            </w:r>
            <w:r>
              <w:rPr>
                <w:rFonts w:ascii="Times New Roman" w:hAnsi="Times New Roman" w:eastAsia="Times New Roman" w:cs="Times New Roman"/>
                <w:color w:val="000000" w:themeColor="text1"/>
                <w:sz w:val="24"/>
                <w:szCs w:val="24"/>
              </w:rPr>
              <w:t xml:space="preserve">275/2026/1026/VFI-BC.53.A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50"/>
              <w:pBdr/>
              <w:spacing w:after="60"/>
              <w:ind w:right="-56"/>
              <w:jc w:val="center"/>
              <w:rPr>
                <w:rFonts w:ascii="Times New Roman" w:hAnsi="Times New Roman" w:cs="Times New Roman"/>
                <w:color w:val="000000" w:themeColor="text1"/>
                <w:sz w:val="24"/>
                <w:szCs w:val="24"/>
              </w:rPr>
            </w:pPr>
            <w:r>
              <w:rPr>
                <w:rStyle w:val="1049"/>
                <w:rFonts w:ascii="Times New Roman" w:hAnsi="Times New Roman" w:eastAsia="Times New Roman" w:cs="Times New Roman"/>
                <w:i/>
                <w:color w:val="000000" w:themeColor="text1"/>
                <w:sz w:val="24"/>
                <w:szCs w:val="24"/>
              </w:rPr>
              <w:t xml:space="preserve">                                                                            TP. Hà Nội</w:t>
            </w:r>
            <w:r>
              <w:rPr>
                <w:rStyle w:val="1049"/>
                <w:rFonts w:ascii="Times New Roman" w:hAnsi="Times New Roman" w:eastAsia="Times New Roman" w:cs="Times New Roman"/>
                <w:i/>
                <w:color w:val="000000" w:themeColor="text1"/>
                <w:sz w:val="24"/>
                <w:szCs w:val="24"/>
                <w:lang w:val="vi-VN"/>
              </w:rPr>
              <w:t xml:space="preserve">, </w:t>
            </w:r>
            <w:r>
              <w:rPr>
                <w:rStyle w:val="1049"/>
                <w:rFonts w:ascii="Times New Roman" w:hAnsi="Times New Roman" w:eastAsia="Times New Roman" w:cs="Times New Roman"/>
                <w:i/>
                <w:color w:val="000000" w:themeColor="text1"/>
                <w:sz w:val="24"/>
                <w:szCs w:val="24"/>
                <w:lang w:val="vi-VN"/>
              </w:rPr>
              <w:t xml:space="preserve">ngày 7 tháng 7 năm 2026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gridBefore w:val="1"/>
          <w:trHeight w:val="84"/>
        </w:trPr>
        <w:tc>
          <w:tcPr>
            <w:shd w:val="clear" w:color="auto" w:fill="auto"/>
            <w:tcBorders/>
            <w:tcMar>
              <w:left w:w="108" w:type="dxa"/>
              <w:top w:w="0" w:type="dxa"/>
              <w:right w:w="108" w:type="dxa"/>
              <w:bottom w:w="0" w:type="dxa"/>
            </w:tcMar>
            <w:tcW w:w="1183" w:type="dxa"/>
            <w:textDirection w:val="lrTb"/>
            <w:noWrap w:val="false"/>
          </w:tcPr>
          <w:p>
            <w:pPr>
              <w:pStyle w:val="1050"/>
              <w:pBdr/>
              <w:spacing w:after="60"/>
              <w:ind/>
              <w:rPr>
                <w:rStyle w:val="1049"/>
                <w:rFonts w:ascii="Times New Roman" w:hAnsi="Times New Roman" w:cs="Times New Roman"/>
                <w:color w:val="000000" w:themeColor="text1"/>
                <w:sz w:val="24"/>
                <w:szCs w:val="24"/>
              </w:rPr>
            </w:pPr>
            <w:r>
              <w:rPr>
                <w:rStyle w:val="1049"/>
                <w:rFonts w:ascii="Times New Roman" w:hAnsi="Times New Roman" w:eastAsia="Times New Roman" w:cs="Times New Roman"/>
                <w:color w:val="000000" w:themeColor="text1"/>
                <w:sz w:val="24"/>
                <w:szCs w:val="24"/>
                <w:lang w:val="pt-BR"/>
              </w:rPr>
            </w:r>
            <w:r>
              <w:rPr>
                <w:rStyle w:val="1049"/>
                <w:rFonts w:ascii="Times New Roman" w:hAnsi="Times New Roman" w:cs="Times New Roman"/>
                <w:color w:val="000000" w:themeColor="text1"/>
                <w:sz w:val="24"/>
                <w:szCs w:val="24"/>
              </w:rPr>
            </w:r>
            <w:r>
              <w:rPr>
                <w:rStyle w:val="1049"/>
                <w:rFonts w:ascii="Times New Roman" w:hAnsi="Times New Roman" w:cs="Times New Roman"/>
                <w:color w:val="000000" w:themeColor="text1"/>
                <w:sz w:val="24"/>
                <w:szCs w:val="24"/>
              </w:rPr>
            </w:r>
          </w:p>
        </w:tc>
        <w:tc>
          <w:tcPr>
            <w:shd w:val="clear" w:color="auto" w:fill="auto"/>
            <w:tcBorders/>
            <w:tcMar>
              <w:left w:w="108" w:type="dxa"/>
              <w:top w:w="0" w:type="dxa"/>
              <w:right w:w="108" w:type="dxa"/>
              <w:bottom w:w="0" w:type="dxa"/>
            </w:tcMar>
            <w:tcW w:w="8188" w:type="dxa"/>
            <w:textDirection w:val="lrTb"/>
            <w:noWrap w:val="false"/>
          </w:tcPr>
          <w:p>
            <w:pPr>
              <w:pStyle w:val="1050"/>
              <w:pBdr/>
              <w:spacing w:after="60"/>
              <w:ind w:right="-56"/>
              <w:rPr>
                <w:rStyle w:val="1049"/>
                <w:rFonts w:ascii="Times New Roman" w:hAnsi="Times New Roman" w:cs="Times New Roman"/>
                <w:i/>
                <w:color w:val="000000" w:themeColor="text1"/>
                <w:sz w:val="24"/>
                <w:szCs w:val="24"/>
              </w:rPr>
            </w:pPr>
            <w:r>
              <w:rPr>
                <w:rFonts w:ascii="Times New Roman" w:hAnsi="Times New Roman" w:eastAsia="Times New Roman" w:cs="Times New Roman"/>
                <w:i/>
                <w:color w:val="000000" w:themeColor="text1"/>
                <w:sz w:val="24"/>
                <w:szCs w:val="24"/>
              </w:rPr>
            </w:r>
            <w:r>
              <w:rPr>
                <w:rStyle w:val="1049"/>
                <w:rFonts w:ascii="Times New Roman" w:hAnsi="Times New Roman" w:cs="Times New Roman"/>
                <w:i/>
                <w:color w:val="000000" w:themeColor="text1"/>
                <w:sz w:val="24"/>
                <w:szCs w:val="24"/>
              </w:rPr>
            </w:r>
            <w:r>
              <w:rPr>
                <w:rStyle w:val="1049"/>
                <w:rFonts w:ascii="Times New Roman" w:hAnsi="Times New Roman" w:cs="Times New Roman"/>
                <w:i/>
                <w:color w:val="000000" w:themeColor="text1"/>
                <w:sz w:val="24"/>
                <w:szCs w:val="24"/>
              </w:rPr>
            </w:r>
          </w:p>
        </w:tc>
      </w:tr>
    </w:tbl>
    <w:p>
      <w:pPr>
        <w:pStyle w:val="1050"/>
        <w:pBdr/>
        <w:tabs>
          <w:tab w:val="left" w:leader="none" w:pos="5103"/>
        </w:tabs>
        <w:spacing w:before="200" w:line="340" w:lineRule="atLeast"/>
        <w:ind/>
        <w:jc w:val="center"/>
        <w:rPr>
          <w:rFonts w:ascii="Times New Roman" w:hAnsi="Times New Roman" w:cs="Times New Roman"/>
          <w:i/>
          <w:iCs/>
          <w:color w:val="000000" w:themeColor="text1"/>
          <w:sz w:val="24"/>
          <w:szCs w:val="24"/>
        </w:rPr>
      </w:pPr>
      <w:r>
        <w:rPr>
          <w:rFonts w:ascii="Times New Roman" w:hAnsi="Times New Roman" w:eastAsia="Times New Roman" w:cs="Times New Roman"/>
          <w:b/>
          <w:color w:val="000000" w:themeColor="text1"/>
          <w:sz w:val="24"/>
          <w:szCs w:val="24"/>
          <w:lang w:val="pt-BR"/>
        </w:rPr>
        <w:t xml:space="preserve">BÁO CÁO KẾT QUẢ THẨM ĐỊNH GIÁ</w:t>
      </w:r>
      <w:r>
        <w:rPr>
          <w:rFonts w:ascii="Times New Roman" w:hAnsi="Times New Roman" w:cs="Times New Roman"/>
          <w:i/>
          <w:iCs/>
          <w:color w:val="000000" w:themeColor="text1"/>
          <w:sz w:val="24"/>
          <w:szCs w:val="24"/>
        </w:rPr>
      </w:r>
      <w:r>
        <w:rPr>
          <w:rFonts w:ascii="Times New Roman" w:hAnsi="Times New Roman" w:cs="Times New Roman"/>
          <w:i/>
          <w:iCs/>
          <w:color w:val="000000" w:themeColor="text1"/>
          <w:sz w:val="24"/>
          <w:szCs w:val="24"/>
        </w:rPr>
      </w:r>
    </w:p>
    <w:p>
      <w:pPr>
        <w:pStyle w:val="1030"/>
        <w:pBdr/>
        <w:tabs>
          <w:tab w:val="left" w:leader="none" w:pos="0"/>
          <w:tab w:val="left" w:leader="none" w:pos="4820"/>
        </w:tabs>
        <w:spacing w:after="200" w:before="100" w:line="340" w:lineRule="atLeast"/>
        <w:ind w:hanging="180"/>
        <w:rPr>
          <w:rFonts w:ascii="Times New Roman" w:hAnsi="Times New Roman" w:cs="Times New Roman"/>
          <w:b w:val="0"/>
          <w:i/>
          <w:color w:val="000000" w:themeColor="text1"/>
          <w:spacing w:val="-6"/>
          <w:sz w:val="24"/>
          <w:szCs w:val="24"/>
        </w:rPr>
      </w:pPr>
      <w:r>
        <w:rPr>
          <w:rFonts w:ascii="Times New Roman" w:hAnsi="Times New Roman" w:eastAsia="Times New Roman" w:cs="Times New Roman"/>
          <w:b w:val="0"/>
          <w:i/>
          <w:color w:val="000000" w:themeColor="text1"/>
          <w:spacing w:val="-6"/>
          <w:sz w:val="24"/>
          <w:szCs w:val="24"/>
          <w:lang w:val="pt-BR"/>
        </w:rPr>
        <w:t xml:space="preserve">(Kèm t</w:t>
      </w:r>
      <w:r>
        <w:rPr>
          <w:rFonts w:ascii="Times New Roman" w:hAnsi="Times New Roman" w:eastAsia="Times New Roman" w:cs="Times New Roman"/>
          <w:b w:val="0"/>
          <w:i/>
          <w:color w:val="000000" w:themeColor="text1"/>
          <w:spacing w:val="-6"/>
          <w:sz w:val="24"/>
          <w:szCs w:val="24"/>
          <w:lang w:val="pt-BR"/>
        </w:rPr>
        <w:t xml:space="preserve">heo Chứng thư thẩm định giá số:</w:t>
      </w:r>
      <w:r>
        <w:rPr>
          <w:rFonts w:ascii="Times New Roman" w:hAnsi="Times New Roman" w:eastAsia="Times New Roman" w:cs="Times New Roman"/>
          <w:b w:val="0"/>
          <w:bCs w:val="0"/>
          <w:color w:val="000000" w:themeColor="text1"/>
          <w:sz w:val="24"/>
          <w:szCs w:val="24"/>
        </w:rPr>
        <w:t xml:space="preserve">275/2026/1026/VFI-CT.53.A</w:t>
      </w:r>
      <w:r>
        <w:rPr>
          <w:rFonts w:ascii="Times New Roman" w:hAnsi="Times New Roman" w:eastAsia="Times New Roman" w:cs="Times New Roman"/>
          <w:b w:val="0"/>
          <w:i/>
          <w:color w:val="000000" w:themeColor="text1"/>
          <w:spacing w:val="-6"/>
          <w:sz w:val="24"/>
          <w:szCs w:val="24"/>
          <w:lang w:val="pt-BR"/>
        </w:rPr>
        <w:t xml:space="preserve"> </w:t>
      </w:r>
      <w:r>
        <w:rPr>
          <w:rFonts w:ascii="Times New Roman" w:hAnsi="Times New Roman" w:eastAsia="Times New Roman" w:cs="Times New Roman"/>
          <w:b w:val="0"/>
          <w:i/>
          <w:color w:val="000000" w:themeColor="text1"/>
          <w:spacing w:val="-6"/>
          <w:sz w:val="24"/>
          <w:szCs w:val="24"/>
          <w:lang w:val="pt-BR"/>
        </w:rPr>
        <w:t xml:space="preserve">ngày 7 tháng 7 năm 2026</w:t>
      </w:r>
      <w:r>
        <w:rPr>
          <w:rFonts w:ascii="Times New Roman" w:hAnsi="Times New Roman" w:eastAsia="Times New Roman" w:cs="Times New Roman"/>
          <w:b w:val="0"/>
          <w:i/>
          <w:color w:val="000000" w:themeColor="text1"/>
          <w:spacing w:val="-6"/>
          <w:sz w:val="24"/>
          <w:szCs w:val="24"/>
          <w:lang w:val="pt-BR"/>
        </w:rPr>
        <w:t xml:space="preserve">)</w:t>
      </w:r>
      <w:r>
        <w:rPr>
          <w:rFonts w:ascii="Times New Roman" w:hAnsi="Times New Roman" w:cs="Times New Roman"/>
          <w:b w:val="0"/>
          <w:i/>
          <w:color w:val="000000" w:themeColor="text1"/>
          <w:spacing w:val="-6"/>
          <w:sz w:val="24"/>
          <w:szCs w:val="24"/>
        </w:rPr>
      </w:r>
      <w:r>
        <w:rPr>
          <w:rFonts w:ascii="Times New Roman" w:hAnsi="Times New Roman" w:cs="Times New Roman"/>
          <w:b w:val="0"/>
          <w:i/>
          <w:color w:val="000000" w:themeColor="text1"/>
          <w:spacing w:val="-6"/>
          <w:sz w:val="24"/>
          <w:szCs w:val="24"/>
        </w:rPr>
      </w:r>
    </w:p>
    <w:p>
      <w:pPr>
        <w:pStyle w:val="103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5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Style w:val="1051"/>
        <w:numPr>
          <w:ilvl w:val="0"/>
          <w:numId w:val="41"/>
        </w:numPr>
        <w:pBdr/>
        <w:tabs>
          <w:tab w:val="left" w:leader="none" w:pos="284"/>
        </w:tabs>
        <w:spacing w:after="120" w:before="120" w:line="320" w:lineRule="atLeast"/>
        <w:ind/>
        <w:jc w:val="both"/>
        <w:rPr>
          <w:b/>
          <w:bCs/>
          <w:lang w:val="pt-BR"/>
        </w:rPr>
      </w:pPr>
      <w:r>
        <w:rPr>
          <w:b/>
          <w:bCs/>
          <w:lang w:val="pt-BR"/>
        </w:rPr>
        <w:t xml:space="preserve">Thông tin cơ bản về cuộc thẩm định giá:</w:t>
      </w:r>
      <w:r>
        <w:rPr>
          <w:b/>
          <w:bCs/>
          <w:lang w:val="pt-BR"/>
        </w:rPr>
      </w:r>
      <w:r>
        <w:rPr>
          <w:b/>
          <w:bCs/>
          <w:lang w:val="pt-BR"/>
        </w:rPr>
      </w:r>
    </w:p>
    <w:tbl>
      <w:tblPr>
        <w:tblW w:w="9747" w:type="dxa"/>
        <w:tblBorders/>
        <w:tblLayout w:type="fixed"/>
        <w:tblLook w:val="04A0" w:firstRow="1" w:lastRow="0" w:firstColumn="1" w:lastColumn="0" w:noHBand="0" w:noVBand="1"/>
      </w:tblPr>
      <w:tblGrid>
        <w:gridCol w:w="2518"/>
        <w:gridCol w:w="311"/>
        <w:gridCol w:w="6918"/>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31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1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NGÂN HÀNG NÔNG NGHIỆP VÀ PHÁT TRIỂN NÔNG THÔN VIỆT NAM (AGRIBANK)- CHI NHÁNH UÔNG BÍ TÂY QUẢNG NINH</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w:t>
            </w:r>
            <w:r/>
          </w:p>
        </w:tc>
        <w:tc>
          <w:tcPr>
            <w:tcBorders/>
            <w:tcW w:w="31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0100686174-232</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31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Phường Uông Bí, tỉnh Quảng Ninh</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W w:w="31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Ông Nguyễn</w:t>
            </w:r>
            <w:r>
              <w:rPr>
                <w:rFonts w:ascii="Times New Roman" w:hAnsi="Times New Roman" w:eastAsia="Times New Roman" w:cs="Times New Roman"/>
                <w:color w:val="000000"/>
                <w:sz w:val="24"/>
              </w:rPr>
              <w:t xml:space="preserve"> Bá Q</w:t>
            </w:r>
            <w:r>
              <w:rPr>
                <w:rFonts w:ascii="Times New Roman" w:hAnsi="Times New Roman" w:eastAsia="Times New Roman" w:cs="Times New Roman"/>
                <w:color w:val="000000"/>
                <w:sz w:val="24"/>
              </w:rPr>
              <w:t xml:space="preserve">uyết          Chức vụ: Giám đốc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311" w:type="dxa"/>
            <w:vAlign w:val="center"/>
            <w:textDirection w:val="lrTb"/>
            <w:noWrap w:val="false"/>
          </w:tcPr>
          <w:p>
            <w:pPr>
              <w:pStyle w:val="1051"/>
              <w:pBdr/>
              <w:spacing w:after="60" w:before="60" w:line="276" w:lineRule="auto"/>
              <w:ind w:left="0"/>
              <w:rPr>
                <w:bCs/>
                <w:lang w:val="pt-BR"/>
              </w:rPr>
            </w:pPr>
            <w:r>
              <w:rPr>
                <w:bCs/>
                <w:lang w:val="pt-BR"/>
              </w:rPr>
              <w:t xml:space="preserve">:</w:t>
            </w:r>
            <w:r>
              <w:rPr>
                <w:bCs/>
                <w:lang w:val="pt-BR"/>
              </w:rPr>
            </w:r>
            <w:r>
              <w:rPr>
                <w:bCs/>
                <w:lang w:val="pt-BR"/>
              </w:rPr>
            </w:r>
          </w:p>
        </w:tc>
        <w:tc>
          <w:tcPr>
            <w:tcBorders/>
            <w:tcW w:w="6918" w:type="dxa"/>
            <w:vAlign w:val="center"/>
            <w:textDirection w:val="lrTb"/>
            <w:noWrap w:val="false"/>
          </w:tcPr>
          <w:p>
            <w:pPr>
              <w:pBdr/>
              <w:spacing w:after="120" w:before="120" w:line="288" w:lineRule="auto"/>
              <w:ind/>
              <w:jc w:val="both"/>
              <w:rPr>
                <w:bCs/>
              </w:rPr>
            </w:pPr>
            <w:r>
              <w:rPr>
                <w:bCs/>
              </w:rPr>
            </w:r>
            <w:r>
              <w:rPr>
                <w:rFonts w:ascii="Times New Roman" w:hAnsi="Times New Roman" w:eastAsia="Times New Roman" w:cs="Times New Roman"/>
                <w:b/>
                <w:color w:val="000000"/>
                <w:sz w:val="24"/>
              </w:rPr>
              <w:t xml:space="preserve">Tài sản 01:</w:t>
            </w:r>
            <w:r>
              <w:rPr>
                <w:rFonts w:ascii="Times New Roman" w:hAnsi="Times New Roman" w:eastAsia="Times New Roman" w:cs="Times New Roman"/>
                <w:color w:val="000000"/>
                <w:sz w:val="24"/>
              </w:rPr>
              <w:t xml:space="preserve">  Quyền sử dụng đất và tài sản gắn liền với đất tại thửa đất có địa chỉ: Ô đất số TT-40, Lô OTM1-1, khu Sun Premier Village, Phường Bãi Cháy, Thành phố Hạ Long</w:t>
            </w:r>
            <w:r>
              <w:rPr>
                <w:rFonts w:ascii="Times New Roman" w:hAnsi="Times New Roman" w:eastAsia="Times New Roman" w:cs="Times New Roman"/>
                <w:color w:val="000000"/>
                <w:sz w:val="24"/>
              </w:rPr>
              <w:t xml:space="preserve"> (Nay là phường Bãi Cháy, tỉnh Quảng Ninh)</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CO 020865, số vào sổ cấp GCN: CH 31117 do Uỷ ban Nhân dân Thành phố Hạ Long cấp ngày 21/05/2019 cho Ông Nguyễn Đình Tuấn và Bà Đoàn Thị Mai Thắm</w:t>
            </w:r>
            <w:r>
              <w:rPr>
                <w:bCs/>
              </w:rPr>
            </w:r>
            <w:r>
              <w:rPr>
                <w:bCs/>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pPr>
            <w:r>
              <w:rPr>
                <w:rFonts w:ascii="Times New Roman" w:hAnsi="Times New Roman" w:eastAsia="Times New Roman" w:cs="Times New Roman"/>
                <w:b/>
                <w:color w:val="000000"/>
                <w:sz w:val="24"/>
              </w:rPr>
              <w:t xml:space="preserve">Tài sản 02:</w:t>
            </w:r>
            <w:r>
              <w:rPr>
                <w:rFonts w:ascii="Times New Roman" w:hAnsi="Times New Roman" w:eastAsia="Times New Roman" w:cs="Times New Roman"/>
                <w:color w:val="000000"/>
                <w:sz w:val="24"/>
              </w:rPr>
              <w:t xml:space="preserve">  Quyền sử dụng đất và tài sản gắn liền với đất tại thửa đất có địa chỉ: Ô đất số TT-41, Lô OTM1-1, khu Sun Premier Village, Phường Bãi Cháy, Thành phố Hạ Long </w:t>
            </w:r>
            <w:r>
              <w:rPr>
                <w:rFonts w:ascii="Times New Roman" w:hAnsi="Times New Roman" w:eastAsia="Times New Roman" w:cs="Times New Roman"/>
                <w:color w:val="000000"/>
                <w:sz w:val="24"/>
              </w:rPr>
              <w:t xml:space="preserve"> (Nay là phường Bãi Cháy, tỉnh Quảng Ninh)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CO 020864, số vào sổ cấp GCN: CH 31116 do Uỷ ban Nhân dân Thành phố Hạ Long cấp ngày 21/05/2019 cho Ông Nguyễn Đình Tuấn và Bà Đoàn Thị Mai Thắm</w:t>
            </w:r>
            <w:r>
              <w:rPr>
                <w:rFonts w:ascii="Times New Roman" w:hAnsi="Times New Roman" w:eastAsia="Times New Roman" w:cs="Times New Roman"/>
                <w:sz w:val="24"/>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311" w:type="dxa"/>
            <w:vAlign w:val="center"/>
            <w:textDirection w:val="lrTb"/>
            <w:noWrap w:val="false"/>
          </w:tcPr>
          <w:p>
            <w:pPr>
              <w:pStyle w:val="1051"/>
              <w:pBdr/>
              <w:spacing w:after="60" w:before="60" w:line="276" w:lineRule="auto"/>
              <w:ind w:left="0"/>
              <w:rPr>
                <w:bCs/>
                <w:lang w:val="pt-BR"/>
              </w:rPr>
            </w:pPr>
            <w:r>
              <w:rPr>
                <w:bCs/>
                <w:lang w:val="pt-BR"/>
              </w:rPr>
              <w:t xml:space="preserve">:</w:t>
            </w:r>
            <w:r>
              <w:rPr>
                <w:bCs/>
                <w:lang w:val="pt-BR"/>
              </w:rPr>
            </w:r>
            <w:r>
              <w:rPr>
                <w:bCs/>
                <w:lang w:val="pt-BR"/>
              </w:rPr>
            </w:r>
          </w:p>
        </w:tc>
        <w:tc>
          <w:tcPr>
            <w:tcBorders/>
            <w:tcW w:w="6918"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311" w:type="dxa"/>
            <w:vAlign w:val="center"/>
            <w:textDirection w:val="lrTb"/>
            <w:noWrap w:val="false"/>
          </w:tcPr>
          <w:p>
            <w:pPr>
              <w:pStyle w:val="1051"/>
              <w:pBdr/>
              <w:spacing w:after="60" w:before="60" w:line="276" w:lineRule="auto"/>
              <w:ind w:left="0"/>
              <w:rPr>
                <w:bCs/>
                <w:lang w:val="pt-BR"/>
              </w:rPr>
            </w:pPr>
            <w:r>
              <w:rPr>
                <w:bCs/>
                <w:lang w:val="pt-BR"/>
              </w:rPr>
              <w:t xml:space="preserve">:</w:t>
            </w:r>
            <w:r>
              <w:rPr>
                <w:bCs/>
                <w:lang w:val="pt-BR"/>
              </w:rPr>
            </w:r>
            <w:r>
              <w:rPr>
                <w:bCs/>
                <w:lang w:val="pt-BR"/>
              </w:rPr>
            </w:r>
          </w:p>
        </w:tc>
        <w:tc>
          <w:tcPr>
            <w:tcBorders/>
            <w:tcW w:w="6918"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311" w:type="dxa"/>
            <w:vAlign w:val="center"/>
            <w:textDirection w:val="lrTb"/>
            <w:noWrap w:val="false"/>
          </w:tcPr>
          <w:p>
            <w:pPr>
              <w:pStyle w:val="1051"/>
              <w:pBdr/>
              <w:spacing w:after="60" w:before="60" w:line="276" w:lineRule="auto"/>
              <w:ind w:left="0"/>
              <w:rPr>
                <w:bCs/>
                <w:lang w:val="pt-BR"/>
              </w:rPr>
            </w:pPr>
            <w:r>
              <w:rPr>
                <w:bCs/>
                <w:lang w:val="pt-BR"/>
              </w:rPr>
              <w:t xml:space="preserve">:</w:t>
            </w:r>
            <w:r>
              <w:rPr>
                <w:bCs/>
                <w:lang w:val="pt-BR"/>
              </w:rPr>
            </w:r>
            <w:r>
              <w:rPr>
                <w:bCs/>
                <w:lang w:val="pt-BR"/>
              </w:rPr>
            </w:r>
          </w:p>
        </w:tc>
        <w:tc>
          <w:tcPr>
            <w:tcBorders/>
            <w:tcW w:w="6918"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311" w:type="dxa"/>
            <w:vAlign w:val="center"/>
            <w:textDirection w:val="lrTb"/>
            <w:noWrap w:val="false"/>
          </w:tcPr>
          <w:p>
            <w:pPr>
              <w:pStyle w:val="1051"/>
              <w:pBdr/>
              <w:spacing w:after="60" w:before="60" w:line="276" w:lineRule="auto"/>
              <w:ind w:left="0"/>
              <w:rPr>
                <w:bCs/>
                <w:lang w:val="pt-BR"/>
              </w:rPr>
            </w:pPr>
            <w:r>
              <w:rPr>
                <w:bCs/>
                <w:lang w:val="pt-BR"/>
              </w:rPr>
              <w:t xml:space="preserve">:</w:t>
            </w:r>
            <w:r>
              <w:rPr>
                <w:bCs/>
                <w:lang w:val="pt-BR"/>
              </w:rPr>
            </w:r>
            <w:r>
              <w:rPr>
                <w:bCs/>
                <w:lang w:val="pt-BR"/>
              </w:rPr>
            </w:r>
          </w:p>
        </w:tc>
        <w:tc>
          <w:tcPr>
            <w:tcBorders/>
            <w:tcW w:w="6918" w:type="dxa"/>
            <w:vAlign w:val="center"/>
            <w:textDirection w:val="lrTb"/>
            <w:noWrap w:val="false"/>
          </w:tcPr>
          <w:p>
            <w:pPr>
              <w:pBdr/>
              <w:spacing w:after="60" w:before="60" w:line="276" w:lineRule="auto"/>
              <w:ind/>
              <w:jc w:val="both"/>
              <w:rPr>
                <w:lang w:val="pt-BR"/>
              </w:rPr>
            </w:pPr>
            <w:r>
              <w:rPr>
                <w:color w:val="000000" w:themeColor="text1"/>
                <w:lang w:val="pt-BR"/>
              </w:rPr>
            </w:r>
            <w:r>
              <w:rPr>
                <w:rFonts w:ascii="Times New Roman" w:hAnsi="Times New Roman" w:eastAsia="Times New Roman" w:cs="Times New Roman"/>
                <w:color w:val="000000"/>
                <w:sz w:val="24"/>
              </w:rPr>
              <w:t xml:space="preserve">Phường Bãi Cháy, tỉnh Quảng Ninh </w:t>
            </w:r>
            <w:r>
              <w:rPr>
                <w:lang w:val="pt-BR"/>
              </w:rPr>
            </w:r>
            <w:r>
              <w:rPr>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311" w:type="dxa"/>
            <w:vAlign w:val="center"/>
            <w:textDirection w:val="lrTb"/>
            <w:noWrap w:val="false"/>
          </w:tcPr>
          <w:p>
            <w:pPr>
              <w:pStyle w:val="1051"/>
              <w:pBdr/>
              <w:spacing w:after="60" w:before="60" w:line="276" w:lineRule="auto"/>
              <w:ind w:left="0"/>
              <w:rPr>
                <w:bCs/>
                <w:lang w:val="pt-BR"/>
              </w:rPr>
            </w:pPr>
            <w:r>
              <w:rPr>
                <w:bCs/>
                <w:lang w:val="pt-BR"/>
              </w:rPr>
              <w:t xml:space="preserve">:</w:t>
            </w:r>
            <w:r>
              <w:rPr>
                <w:bCs/>
                <w:lang w:val="pt-BR"/>
              </w:rPr>
            </w:r>
            <w:r>
              <w:rPr>
                <w:bCs/>
                <w:lang w:val="pt-BR"/>
              </w:rPr>
            </w:r>
          </w:p>
        </w:tc>
        <w:tc>
          <w:tcPr>
            <w:tcBorders/>
            <w:tcW w:w="6918" w:type="dxa"/>
            <w:vAlign w:val="center"/>
            <w:textDirection w:val="lrTb"/>
            <w:noWrap w:val="false"/>
          </w:tcPr>
          <w:p>
            <w:pPr>
              <w:pBdr/>
              <w:spacing w:after="60" w:before="60" w:line="276" w:lineRule="auto"/>
              <w:ind/>
              <w:jc w:val="both"/>
              <w:rPr>
                <w:lang w:val="pt-BR"/>
              </w:rPr>
            </w:pPr>
            <w:r>
              <w:rPr>
                <w:lang w:val="pt-BR"/>
              </w:rPr>
              <w:t xml:space="preserve">Ngày 06/ 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5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5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5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Luật Giá số 16/2023/QH15 ngày 19/6/2023;</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5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5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5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5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5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numPr>
          <w:ilvl w:val="0"/>
          <w:numId w:val="42"/>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văn số 1326/BXD-QLN của Bộ Xây dựng ban hành ngày 08/8/2011 về việc hướng dẫn kiểm kê, đánh giá lại giá trị tài sản cố định là nhà, vật kiến trúc;</w:t>
      </w:r>
      <w:r>
        <w:rPr>
          <w:rFonts w:ascii="Times New Roman" w:hAnsi="Times New Roman" w:eastAsia="Times New Roman" w:cs="Times New Roman"/>
          <w:sz w:val="24"/>
        </w:rPr>
      </w:r>
      <w:r/>
    </w:p>
    <w:p>
      <w:pPr>
        <w:pStyle w:val="105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5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5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color w:val="000000"/>
          <w:sz w:val="24"/>
          <w:szCs w:val="24"/>
          <w:highlight w:val="white"/>
        </w:rPr>
      </w:pPr>
      <w:r>
        <w:rPr>
          <w:bCs/>
          <w:highlight w:val="white"/>
        </w:rPr>
        <w:t xml:space="preserve">-  </w:t>
      </w:r>
      <w:r>
        <w:rPr>
          <w:rFonts w:ascii="Times New Roman" w:hAnsi="Times New Roman" w:eastAsia="Times New Roman" w:cs="Times New Roman"/>
          <w:color w:val="000000"/>
          <w:sz w:val="24"/>
          <w:highlight w:val="white"/>
        </w:rPr>
        <w:t xml:space="preserve">Giấy chứng nhận quyền sử </w:t>
      </w:r>
      <w:r>
        <w:rPr>
          <w:rFonts w:ascii="Times New Roman" w:hAnsi="Times New Roman" w:eastAsia="Times New Roman" w:cs="Times New Roman"/>
          <w:color w:val="000000"/>
          <w:sz w:val="24"/>
          <w:highlight w:val="white"/>
        </w:rPr>
        <w:t xml:space="preserve">dụng đấ</w:t>
      </w:r>
      <w:r>
        <w:rPr>
          <w:rFonts w:ascii="Times New Roman" w:hAnsi="Times New Roman" w:eastAsia="Times New Roman" w:cs="Times New Roman"/>
          <w:color w:val="000000"/>
          <w:sz w:val="24"/>
          <w:highlight w:val="white"/>
        </w:rPr>
        <w:t xml:space="preserve">t, quyền sở hữu nhà ở và tài sản khác gắn liền với đất số: CO 020865, số vào sổ cấp GCN: CH 31117 do Uỷ ban Nhân dân Thành phố Hạ Long cấp ngày 21/05/2019 cho Ông Nguyễn Đình Tuấn và Bà Đoàn Thị Mai Thắm.</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highlight w:val="white"/>
        </w:rPr>
      </w:pP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highlight w:val="white"/>
        </w:rPr>
        <w:t xml:space="preserve">Giấy chứng nhận quyền sử d</w:t>
      </w:r>
      <w:r>
        <w:rPr>
          <w:rFonts w:ascii="Times New Roman" w:hAnsi="Times New Roman" w:eastAsia="Times New Roman" w:cs="Times New Roman"/>
          <w:color w:val="000000"/>
          <w:sz w:val="24"/>
          <w:highlight w:val="white"/>
        </w:rPr>
        <w:t xml:space="preserve">ụng đất, qu</w:t>
      </w:r>
      <w:r>
        <w:rPr>
          <w:rFonts w:ascii="Times New Roman" w:hAnsi="Times New Roman" w:eastAsia="Times New Roman" w:cs="Times New Roman"/>
          <w:color w:val="000000"/>
          <w:sz w:val="24"/>
          <w:highlight w:val="white"/>
        </w:rPr>
        <w:t xml:space="preserve">yền sở hữu nhà ở và tài sản khác gắn liền với đất số: CO 020864, số vào sổ cấp GCN: CH 31116 do Uỷ ban Nhân dân Thành phố Hạ Long cấp ngày 21/05/2019 cho Ông Nguyễn Đình Tuấn và Bà Đoàn Thị Mai Thắm.</w:t>
      </w:r>
      <w:r>
        <w:rPr>
          <w:highlight w:val="white"/>
        </w:rPr>
      </w:r>
      <w:r>
        <w:rPr>
          <w:highlight w:val="white"/>
        </w:rPr>
      </w:r>
    </w:p>
    <w:p>
      <w:pPr>
        <w:pBdr>
          <w:top w:val="none" w:color="000000" w:sz="4" w:space="0"/>
          <w:left w:val="none" w:color="000000" w:sz="4" w:space="0"/>
          <w:bottom w:val="none" w:color="000000" w:sz="4" w:space="0"/>
          <w:right w:val="none" w:color="000000" w:sz="4" w:space="0"/>
        </w:pBdr>
        <w:spacing w:line="360"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spacing w:after="120" w:before="120" w:line="276" w:lineRule="auto"/>
        <w:ind/>
        <w:jc w:val="both"/>
        <w:rPr/>
      </w:pPr>
      <w:r>
        <w:rPr>
          <w:b/>
          <w:lang w:val="pt-BR"/>
        </w:rPr>
        <w:t xml:space="preserve">b. Hồ sơ khác</w:t>
      </w:r>
      <w:r>
        <w:rPr>
          <w:b/>
          <w:lang w:val="vi-VN"/>
        </w:rPr>
        <w:t xml:space="preserve">:</w:t>
      </w:r>
      <w:r/>
    </w:p>
    <w:p>
      <w:pPr>
        <w:pStyle w:val="1051"/>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lang w:val="pt-BR"/>
          <w14:ligatures w14:val="none"/>
        </w:rPr>
      </w:pPr>
      <w:r>
        <w:rPr>
          <w:highlight w:val="white"/>
          <w:lang w:val="pt-BR"/>
        </w:rPr>
        <w:t xml:space="preserve">Hợp đồng s</w:t>
      </w:r>
      <w:r>
        <w:rPr>
          <w:highlight w:val="white"/>
          <w:lang w:val="pt-BR"/>
        </w:rPr>
        <w:t xml:space="preserve">ố </w:t>
      </w:r>
      <w:r>
        <w:rPr>
          <w:highlight w:val="white"/>
          <w:lang w:val="pt-BR"/>
        </w:rPr>
        <w:t xml:space="preserve">275/2026/1026/VFI-HĐTĐ.</w:t>
      </w:r>
      <w:r>
        <w:rPr>
          <w:highlight w:val="white"/>
          <w:lang w:val="pt-BR"/>
        </w:rPr>
        <w:t xml:space="preserve">5</w:t>
      </w:r>
      <w:r>
        <w:rPr>
          <w:highlight w:val="white"/>
          <w:lang w:val="pt-BR"/>
        </w:rPr>
        <w:t xml:space="preserve">3.A</w:t>
      </w:r>
      <w:r>
        <w:rPr>
          <w:highlight w:val="white"/>
          <w:lang w:val="pt-BR"/>
        </w:rPr>
        <w:t xml:space="preserve"> ngày 06/07/2026 gi</w:t>
      </w:r>
      <w:r>
        <w:rPr>
          <w:highlight w:val="white"/>
          <w:lang w:val="pt-BR"/>
        </w:rPr>
        <w:t xml:space="preserve">ữa</w:t>
      </w:r>
      <w:r>
        <w:rPr>
          <w:highlight w:val="white"/>
          <w:lang w:val="pt-BR"/>
        </w:rPr>
        <w:t xml:space="preserve"> </w:t>
      </w:r>
      <w:r>
        <w:rPr>
          <w:highlight w:val="white"/>
          <w:lang w:val="pt-BR"/>
        </w:rPr>
        <w:t xml:space="preserve">NGÂN </w:t>
      </w:r>
      <w:r>
        <w:rPr>
          <w:highlight w:val="white"/>
          <w:lang w:val="pt-BR"/>
        </w:rPr>
        <w:t xml:space="preserve">HÀNG NÔNG NGHIỆP VÀ PHÁT Triển Nông THÔN VIỆT NAM (AGRIBANK)- CHI NHÁNH UÔNG BÍ TÂY QUẢNG NINH</w:t>
      </w:r>
      <w:r>
        <w:rPr>
          <w:highlight w:val="white"/>
          <w:lang w:val="pt-BR"/>
        </w:rPr>
        <w:t xml:space="preserve"> với Công ty Cổ phần Thẩm định và Đầu tư Tài chính Hoa S</w:t>
      </w:r>
      <w:r>
        <w:rPr>
          <w:lang w:val="pt-BR"/>
        </w:rPr>
        <w:t xml:space="preserve">en.</w:t>
      </w:r>
      <w:r>
        <w:rPr>
          <w:lang w:val="pt-BR"/>
          <w14:ligatures w14:val="none"/>
        </w:rPr>
      </w:r>
      <w:r>
        <w:rPr>
          <w:lang w:val="pt-BR"/>
          <w14:ligatures w14:val="none"/>
        </w:rPr>
      </w:r>
    </w:p>
    <w:p>
      <w:pPr>
        <w:pStyle w:val="105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shd w:val="clear" w:color="auto" w:fill="ffffff"/>
        <w:spacing w:after="120" w:before="120" w:line="276" w:lineRule="auto"/>
        <w:ind/>
        <w:rPr>
          <w:rFonts w:ascii="Times New Roman" w:hAnsi="Times New Roman" w:cs="Times New Roman"/>
          <w:i/>
          <w:iCs/>
          <w:color w:val="000000" w:themeColor="text1"/>
          <w:sz w:val="24"/>
          <w:szCs w:val="24"/>
          <w:highlight w:val="none"/>
        </w:rPr>
      </w:pPr>
      <w:r>
        <w:rPr>
          <w:rFonts w:ascii="Times New Roman" w:hAnsi="Times New Roman" w:eastAsia="Times New Roman" w:cs="Times New Roman"/>
          <w:color w:val="000000" w:themeColor="text1"/>
          <w:sz w:val="24"/>
          <w:szCs w:val="24"/>
          <w:shd w:val="clear" w:color="auto" w:fill="ffffff"/>
        </w:rPr>
      </w:r>
      <w:r>
        <w:rPr>
          <w:rFonts w:ascii="Times New Roman" w:hAnsi="Times New Roman" w:eastAsia="Times New Roman" w:cs="Times New Roman"/>
          <w:color w:val="000000" w:themeColor="text1"/>
          <w:sz w:val="24"/>
          <w:szCs w:val="24"/>
        </w:rPr>
        <w:t xml:space="preserve">Quảng Ninh, với tiềm năng phát triển vượt trội về kinh tế và du lịch, đang trở thành một trong những điểm đến hấp dẫn đối với các nhà đầu tư bất động sản. Trong những năm gần đây, thị trường đất nền Quảng Ninh ghi nhận nhiều chuyển biến tích cực với sự gia</w:t>
      </w:r>
      <w:r>
        <w:rPr>
          <w:rFonts w:ascii="Times New Roman" w:hAnsi="Times New Roman" w:eastAsia="Times New Roman" w:cs="Times New Roman"/>
          <w:color w:val="000000" w:themeColor="text1"/>
          <w:sz w:val="24"/>
          <w:szCs w:val="24"/>
        </w:rPr>
        <w:t xml:space="preserve"> tăng đáng kể về dự án hạ tầng lớn như cao tốc, sân bay và cảng biển. Bài viết sau sẽ cung cấp cái nhìn tổng quan về tình hình thị trường đất nền Quảng Ninh hiện nay, giúp nhà đầu tư nắm bắt được cơ hội và xu hướng mới nhất.</w:t>
      </w:r>
      <w:r>
        <w:rPr>
          <w:rFonts w:ascii="Times New Roman" w:hAnsi="Times New Roman" w:cs="Times New Roman"/>
          <w:i/>
          <w:iCs/>
          <w:color w:val="000000" w:themeColor="text1"/>
          <w:sz w:val="24"/>
          <w:szCs w:val="24"/>
          <w:highlight w:val="none"/>
        </w:rPr>
      </w:r>
      <w:r>
        <w:rPr>
          <w:rFonts w:ascii="Times New Roman" w:hAnsi="Times New Roman" w:cs="Times New Roman"/>
          <w:i/>
          <w:iCs/>
          <w:color w:val="000000" w:themeColor="text1"/>
          <w:sz w:val="24"/>
          <w:szCs w:val="24"/>
          <w:highlight w:val="none"/>
        </w:rPr>
      </w:r>
    </w:p>
    <w:p>
      <w:pPr>
        <w:pBdr/>
        <w:shd w:val="clear" w:color="auto" w:fill="ffffff"/>
        <w:spacing w:after="120" w:before="120" w:line="276" w:lineRule="auto"/>
        <w:ind/>
        <w:rPr>
          <w:rFonts w:ascii="Times New Roman" w:hAnsi="Times New Roman" w:cs="Times New Roman"/>
          <w:bCs/>
          <w:i/>
          <w:color w:val="000000" w:themeColor="text1"/>
          <w:sz w:val="24"/>
          <w:szCs w:val="24"/>
          <w:highlight w:val="none"/>
        </w:rPr>
      </w:pPr>
      <w:r>
        <w:rPr>
          <w:rFonts w:ascii="Times New Roman" w:hAnsi="Times New Roman" w:eastAsia="Times New Roman" w:cs="Times New Roman"/>
          <w:i/>
          <w:iCs/>
          <w:color w:val="000000" w:themeColor="text1"/>
          <w:sz w:val="24"/>
          <w:szCs w:val="24"/>
          <w:highlight w:val="none"/>
        </w:rPr>
      </w:r>
      <w:r>
        <w:rPr>
          <w:rFonts w:ascii="Times New Roman" w:hAnsi="Times New Roman" w:eastAsia="Times New Roman" w:cs="Times New Roman"/>
          <w:color w:val="000000" w:themeColor="text1"/>
          <w:sz w:val="24"/>
          <w:szCs w:val="24"/>
        </w:rPr>
        <w:t xml:space="preserve">Thị trường đất nền Quảng Ninh đang trở thành điểm nóng khu vực miền Bắc nhờ sự phát triển vượt bậc về hạ tầng, du lịch và công nghiệp. Với vị trí chiến lược và mạng lưới giao thông hiện đại, bao gồm các tuyến cao tốc và sân bay quốc tế Vân Đồn, Quảng Ninh </w:t>
      </w:r>
      <w:r>
        <w:rPr>
          <w:rFonts w:ascii="Times New Roman" w:hAnsi="Times New Roman" w:eastAsia="Times New Roman" w:cs="Times New Roman"/>
          <w:color w:val="000000" w:themeColor="text1"/>
          <w:sz w:val="24"/>
          <w:szCs w:val="24"/>
        </w:rPr>
        <w:t xml:space="preserve">không chỉ thu hút nhà đầu tư trong nước mà còn là điểm đến của các tập đoàn quốc tế.</w:t>
      </w:r>
      <w:r>
        <w:rPr>
          <w:rFonts w:ascii="Times New Roman" w:hAnsi="Times New Roman" w:cs="Times New Roman"/>
          <w:bCs/>
          <w:i/>
          <w:color w:val="000000" w:themeColor="text1"/>
          <w:sz w:val="24"/>
          <w:szCs w:val="24"/>
          <w:highlight w:val="none"/>
        </w:rPr>
      </w:r>
      <w:r>
        <w:rPr>
          <w:rFonts w:ascii="Times New Roman" w:hAnsi="Times New Roman" w:cs="Times New Roman"/>
          <w:bCs/>
          <w:i/>
          <w:color w:val="000000" w:themeColor="text1"/>
          <w:sz w:val="24"/>
          <w:szCs w:val="24"/>
          <w:highlight w:val="none"/>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Thị trường đất nền Quảng Ninh đóng vai trò quan trọng trong nền kinh tế của tỉnh và vùng Đông Bắc Việt Nam. Với sự phát triển mạnh mẽ của cơ sở hạ tầng, các dự án khu đô thị và khu công nghiệp, nhu cầu về đất nền và bất động sản tại Quảng Ninh đang tăng ca</w:t>
      </w:r>
      <w:r>
        <w:rPr>
          <w:rFonts w:ascii="Times New Roman" w:hAnsi="Times New Roman" w:eastAsia="Times New Roman" w:cs="Times New Roman"/>
          <w:color w:val="000000" w:themeColor="text1"/>
          <w:sz w:val="24"/>
          <w:szCs w:val="24"/>
        </w:rPr>
        <w:t xml:space="preserve">o, góp phần vào việc phát triển kinh tế, tạo việc làm và đáp ứng nhu cầu nhà ở ngày càng lớn.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51"/>
        <w:numPr>
          <w:ilvl w:val="0"/>
          <w:numId w:val="44"/>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Động lực từ quy hoạch và phát triển đô thị: Quy hoạch phát triển Quảng Ninh thành trung tâm công nghiệp, du lịch và kinh tế biển đã thúc đẩy nhu cầu đất nền.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51"/>
        <w:numPr>
          <w:ilvl w:val="0"/>
          <w:numId w:val="44"/>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Nhu cầu nhà ở: Với tốc độ đô thị hóa nhanh chóng và sự gia tăng dân số, nhu cầu về đất nền để xây dựng nhà ở, cơ sở thương mại ngày càng lớn. Đặc biệt tại các khu vực như Hạ Long, Vân Đồn và Móng Cái, nhu cầu này ngày càng tăng cao, thu hút sự quan tâm của</w:t>
      </w:r>
      <w:r>
        <w:rPr>
          <w:rFonts w:ascii="Times New Roman" w:hAnsi="Times New Roman" w:eastAsia="Times New Roman" w:cs="Times New Roman"/>
          <w:color w:val="000000" w:themeColor="text1"/>
          <w:sz w:val="24"/>
          <w:szCs w:val="24"/>
        </w:rPr>
        <w:t xml:space="preserve"> nhiều nhà đầu tư trong và ngoài nước.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51"/>
        <w:numPr>
          <w:ilvl w:val="0"/>
          <w:numId w:val="44"/>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Kinh tế biển và du lịch: Quảng Ninh là một trong những trung tâm du lịch lớn của Việt Nam với nhiều bãi biển đẹp và di sản thiên nhiên phong phú. Việc phát triển các khu du lịch ven biển đã kéo theo nhu cầu sử dụng đất nền cho các dự án nghỉ dưỡng, resort </w:t>
      </w:r>
      <w:r>
        <w:rPr>
          <w:rFonts w:ascii="Times New Roman" w:hAnsi="Times New Roman" w:eastAsia="Times New Roman" w:cs="Times New Roman"/>
          <w:color w:val="000000" w:themeColor="text1"/>
          <w:sz w:val="24"/>
          <w:szCs w:val="24"/>
        </w:rPr>
        <w:t xml:space="preserve">và dịch vụ du lịch.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Theo nhận định của các chuyên gia, xu hướng “săn” đất nền tại các khu vực ven đô thị lớn, nơi hạ tầng giao thông được cải thiện và tốc độ đô thị hóa cao, sẽ tiếp tục là tâm điểm của giới đầu tư. Với mức giá hiện tại còn tương đối hợp lý so với tiềm năng tă</w:t>
      </w:r>
      <w:r>
        <w:rPr>
          <w:rFonts w:ascii="Times New Roman" w:hAnsi="Times New Roman" w:eastAsia="Times New Roman" w:cs="Times New Roman"/>
          <w:color w:val="000000" w:themeColor="text1"/>
          <w:sz w:val="24"/>
          <w:szCs w:val="24"/>
        </w:rPr>
        <w:t xml:space="preserve">ng trưởng trong tương lai, Quảng Ninh có khả năng trở thành một trong những thị trường đất nền sôi động nhất miền Bắc.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Những năm tới, Quảng Ninh sẽ tiếp tục là thị trường tiềm năng cho các nhà đầu tư bất động sản, đặc biệt ở phân khúc đất nền. Tuy nhiên, để tối ưu hóa lợi nhuận, các nhà đầu tư nên cân nhắc kỹ về vị trí và tiềm năng phát triển của từng khu vực. Đặc biệt, sự</w:t>
      </w:r>
      <w:r>
        <w:rPr>
          <w:rFonts w:ascii="Times New Roman" w:hAnsi="Times New Roman" w:eastAsia="Times New Roman" w:cs="Times New Roman"/>
          <w:color w:val="000000" w:themeColor="text1"/>
          <w:sz w:val="24"/>
          <w:szCs w:val="24"/>
        </w:rPr>
        <w:t xml:space="preserve"> tham gia của các "ông lớn" trong lĩnh vực bất động sản sẽ giúp Quảng Ninh thu hút ngày càng nhiều nhà đầu tư, tạo ra một môi trường cạnh tranh lành mạnh và hứa hẹn đem lại lợi nhuận ổn định.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thể thấy, thị trường đất nền Quảng Ninh vẫn còn nhiều tiềm năng phát triển. Tuy nhiên, để tận dụng được những cơ hội này, nhà đầu tư cần trang bị cho mình những kiến thức cần thiết và lựa chọn những dự án phù hợp. Với sự phát triển bền vững và sự quan t</w:t>
      </w:r>
      <w:r>
        <w:rPr>
          <w:rFonts w:ascii="Times New Roman" w:hAnsi="Times New Roman" w:eastAsia="Times New Roman" w:cs="Times New Roman"/>
          <w:color w:val="000000" w:themeColor="text1"/>
          <w:sz w:val="24"/>
          <w:szCs w:val="24"/>
        </w:rPr>
        <w:t xml:space="preserve">âm từ phía chính quyền, thị trường đất nền Quảng Ninh hứa hẹn sẽ tiếp tục là điểm đến lý tưởng cho các nhà đầu tư trong tương lai.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shd w:val="clear" w:color="auto" w:fill="ffffff"/>
        <w:spacing w:after="120" w:before="120" w:line="276" w:lineRule="auto"/>
        <w:ind/>
        <w:rPr>
          <w:bCs/>
          <w:i/>
          <w:color w:val="000000" w:themeColor="text1"/>
          <w:u w:val="single"/>
        </w:rPr>
      </w:pPr>
      <w:r>
        <w:rPr>
          <w:i/>
          <w:iCs/>
          <w:color w:val="000000" w:themeColor="text1"/>
          <w:highlight w:val="none"/>
          <w:u w:val="single"/>
        </w:rPr>
        <w:t xml:space="preserve">(Nguồn:</w:t>
      </w:r>
      <w:r>
        <w:rPr>
          <w:i/>
          <w:iCs/>
          <w:color w:val="000000" w:themeColor="text1"/>
          <w:highlight w:val="none"/>
          <w:u w:val="single"/>
        </w:rPr>
        <w:t xml:space="preserve">https://onehousing.vn/blog/tong-quan-tinh-hinh-thi-truong-dat-nen-quang-ninh-cap-nhat-moi-nhat-n17t</w:t>
      </w:r>
      <w:r>
        <w:rPr>
          <w:i/>
          <w:iCs/>
          <w:color w:val="000000" w:themeColor="text1"/>
          <w:highlight w:val="none"/>
          <w:u w:val="single"/>
        </w:rPr>
        <w:t xml:space="preserve">)</w:t>
      </w:r>
      <w:r>
        <w:rPr>
          <w:bCs/>
          <w:i/>
          <w:color w:val="000000" w:themeColor="text1"/>
          <w:u w:val="single"/>
        </w:rPr>
      </w:r>
      <w:r>
        <w:rPr>
          <w:bCs/>
          <w:i/>
          <w:color w:val="000000" w:themeColor="text1"/>
          <w:u w:val="single"/>
        </w:rPr>
      </w:r>
    </w:p>
    <w:p>
      <w:pPr>
        <w:pStyle w:val="105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pStyle w:val="1051"/>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1:</w:t>
      </w:r>
      <w:r>
        <w:rPr>
          <w:b/>
          <w:bCs/>
          <w:i/>
          <w:iCs/>
          <w:lang w:val="pt-BR"/>
        </w:rPr>
      </w:r>
      <w:r>
        <w:rPr>
          <w:b/>
          <w:bCs/>
          <w:i/>
          <w:iCs/>
          <w:lang w:val="pt-BR"/>
        </w:rPr>
      </w:r>
    </w:p>
    <w:tbl>
      <w:tblPr>
        <w:tblStyle w:val="105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5"/>
        <w:gridCol w:w="2044"/>
        <w:gridCol w:w="2443"/>
        <w:gridCol w:w="2396"/>
      </w:tblGrid>
      <w:tr>
        <w:trPr>
          <w:trHeight w:val="1821"/>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 tờ bản đồ số ./. có địa chỉ: Ô đất số TT-40, Lô OTM-1, khu Sun Premier Villages, Phường Bãi Cháy- Thành phố Hạ Long, Quảng Ninh.(Nay là phường Bãi Cháy, tỉnh Quảng Ninh) theo Giấy chứng nh</w:t>
            </w:r>
            <w:r>
              <w:rPr>
                <w:rFonts w:ascii="Times New Roman" w:hAnsi="Times New Roman" w:eastAsia="Times New Roman" w:cs="Times New Roman"/>
                <w:b/>
                <w:color w:val="000000"/>
                <w:sz w:val="24"/>
              </w:rPr>
              <w:t xml:space="preserve">ận quyền sử dụng đất, quyền sở hữu nhà ở và tài sản khác gắn liền với đất  số: CO 020865, số vào sổ cấp GCN: CH 31117 do Ủy ban Nhân dân Thành phố Hạ Long  cấp ngày 21/05/2019; Chủ sử dụng đất là Ông Nguyễn Đình Tuấn và bà Đoàn Thị Mai Thắm</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960"/>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Địa chỉ:</w:t>
            </w:r>
            <w:r>
              <w:rPr>
                <w:highlight w:val="white"/>
              </w:rPr>
            </w:r>
            <w:r>
              <w:rPr>
                <w:highlight w:val="white"/>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3"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Ô đất </w:t>
            </w:r>
            <w:r>
              <w:rPr>
                <w:rFonts w:ascii="Times New Roman" w:hAnsi="Times New Roman" w:eastAsia="Times New Roman" w:cs="Times New Roman"/>
                <w:color w:val="000000"/>
                <w:sz w:val="24"/>
                <w:highlight w:val="white"/>
              </w:rPr>
              <w:t xml:space="preserve">số TT-</w:t>
            </w:r>
            <w:r>
              <w:rPr>
                <w:rFonts w:ascii="Times New Roman" w:hAnsi="Times New Roman" w:eastAsia="Times New Roman" w:cs="Times New Roman"/>
                <w:color w:val="000000"/>
                <w:sz w:val="24"/>
                <w:highlight w:val="white"/>
              </w:rPr>
              <w:t xml:space="preserve">40, Lô OTM-1, khu Sun Premier Villages, Phường Bãi Cháy- Thành phố Hạ Long, Quảng Ninh.(Nay là phường Bãi Cháy, tỉnh Quảng Ninh)</w:t>
            </w:r>
            <w:r>
              <w:rPr>
                <w:highlight w:val="white"/>
              </w:rPr>
            </w:r>
            <w:r>
              <w:rPr>
                <w:highlight w:val="white"/>
              </w:rP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112,5</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 112,5 m2 </w:t>
            </w:r>
            <w:r/>
          </w:p>
        </w:tc>
      </w:tr>
      <w:tr>
        <w:trPr>
          <w:trHeight w:val="401"/>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  </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Nhận quyền sử dụng đất do chuyển nhượng quyền sử dụng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 có vỉa hè </w:t>
            </w:r>
            <w:r/>
          </w:p>
        </w:tc>
        <w:tc>
          <w:tcPr>
            <w:tcBorders>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1248"/>
        </w:trPr>
        <w:tc>
          <w:tcPr>
            <w:tcBorders>
              <w:left w:val="single" w:color="000000" w:sz="5" w:space="0"/>
              <w:bottom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7,7m+ vỉa hè 2 bên </w:t>
            </w:r>
            <w:r/>
          </w:p>
        </w:tc>
        <w:tc>
          <w:tcPr>
            <w:tcBorders>
              <w:top w:val="single" w:color="000000" w:sz="5" w:space="0"/>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7,7m+ vỉa hè 2 bên </w:t>
            </w:r>
            <w:r/>
          </w:p>
        </w:tc>
      </w:tr>
      <w:tr>
        <w:trPr>
          <w:trHeight w:val="720"/>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8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tiếp giáp mặt đường nội khu, nằm trong khu Sun Premier Villages.</w:t>
            </w:r>
            <w:r/>
          </w:p>
        </w:tc>
      </w:tr>
      <w:tr>
        <w:trPr>
          <w:trHeight w:val="1236"/>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8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Đông Bắc : Tiếp giáp mặt đường nội khu khu Sun Premier Villages.</w:t>
              <w:br/>
              <w:t xml:space="preserve">Các hướng khác: Tiếp giáp các thửa đất khác.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Vị trí trên bản đồ vệ tinh: </w:t>
            </w:r>
            <w:r>
              <w:rPr>
                <w:rFonts w:ascii="Times New Roman" w:hAnsi="Times New Roman" w:eastAsia="Times New Roman" w:cs="Times New Roman"/>
                <w:color w:val="000000"/>
                <w:sz w:val="24"/>
                <w:highlight w:val="white"/>
              </w:rPr>
              <w:t xml:space="preserve">20.947843393810277, 107.02884039588483</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 </w:t>
            </w:r>
            <w:r>
              <w:rPr>
                <w:highlight w:val="white"/>
              </w:rPr>
              <mc:AlternateContent>
                <mc:Choice Requires="wpg">
                  <w:drawing>
                    <wp:inline xmlns:wp="http://schemas.openxmlformats.org/drawingml/2006/wordprocessingDrawing" distT="0" distB="0" distL="0" distR="0">
                      <wp:extent cx="5043448" cy="269107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54093" name=""/>
                              <pic:cNvPicPr>
                                <a:picLocks noChangeAspect="1"/>
                              </pic:cNvPicPr>
                              <pic:nvPr/>
                            </pic:nvPicPr>
                            <pic:blipFill rotWithShape="1">
                              <a:blip r:embed="rId17"/>
                              <a:stretch/>
                            </pic:blipFill>
                            <pic:spPr bwMode="auto">
                              <a:xfrm flipH="0" flipV="0">
                                <a:off x="0" y="0"/>
                                <a:ext cx="5043448" cy="2691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7.12pt;height:211.90pt;mso-wrap-distance-left:0.00pt;mso-wrap-distance-top:0.00pt;mso-wrap-distance-right:0.00pt;mso-wrap-distance-bottom:0.00pt;z-index:1;" stroked="false">
                      <v:imagedata r:id="rId17" o:title=""/>
                      <o:lock v:ext="edit" rotation="t"/>
                    </v:shape>
                  </w:pict>
                </mc:Fallback>
              </mc:AlternateConten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112,5</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7,5</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Chiều sâu (m): </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15,00</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Hình chữ nhật </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Hướng:</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Đông Bắc</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Điều kiện kinh doanh; Hạ tầng nội bộ; Hạ tầng xung quanh</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Cấp điện, cấp nước sạch, mạng internet,…hoàn thiện</w:t>
            </w:r>
            <w:r>
              <w:rPr>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Môi trường trong lành, an ninh đảm bảo, dân trí tốt</w:t>
            </w:r>
            <w:r>
              <w:rPr>
                <w:highlight w:val="white"/>
              </w:rPr>
            </w:r>
            <w:r>
              <w:rPr>
                <w:highlight w:val="white"/>
              </w:rPr>
            </w:r>
          </w:p>
        </w:tc>
      </w:tr>
      <w:tr>
        <w:trPr>
          <w:trHeight w:val="615"/>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20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39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996"/>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208"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5 tầng, tổng diện tích sàn là 487,5m2, đang</w:t>
            </w:r>
            <w:r>
              <w:rPr>
                <w:rFonts w:ascii="Times New Roman" w:hAnsi="Times New Roman" w:eastAsia="Times New Roman" w:cs="Times New Roman"/>
                <w:color w:val="ff0000"/>
                <w:sz w:val="24"/>
              </w:rPr>
              <w:t xml:space="preserve"> kinh doanh</w:t>
            </w:r>
            <w:r>
              <w:rPr>
                <w:rFonts w:ascii="Times New Roman" w:hAnsi="Times New Roman" w:eastAsia="Times New Roman" w:cs="Times New Roman"/>
                <w:color w:val="000000"/>
                <w:sz w:val="24"/>
              </w:rPr>
              <w:t xml:space="preserve"> khách sạn. Công trình xây dựng năm 2018.</w:t>
              <w:br/>
              <w:t xml:space="preserve">+ Công trình đã được chứng nhận trên GCN số CO 020865.</w:t>
            </w:r>
            <w:r/>
          </w:p>
        </w:tc>
      </w:tr>
    </w:tbl>
    <w:p>
      <w:pPr>
        <w:pBdr/>
        <w:spacing/>
        <w:ind/>
        <w:rPr>
          <w:b/>
          <w:bCs/>
        </w:rPr>
      </w:pPr>
      <w:r>
        <w:rPr>
          <w:b/>
          <w:bCs/>
          <w:shd w:val="clear" w:color="auto" w:fill="ffffff"/>
        </w:rPr>
      </w:r>
      <w:r>
        <w:rPr>
          <w:b/>
          <w:bCs/>
        </w:rPr>
      </w:r>
      <w:r>
        <w:rPr>
          <w:b/>
          <w:bCs/>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55"/>
        <w:jc w:val="center"/>
        <w:tblW w:w="0" w:type="auto"/>
        <w:tblBorders/>
        <w:tblLook w:val="04A0" w:firstRow="1" w:lastRow="0" w:firstColumn="1" w:lastColumn="0" w:noHBand="0" w:noVBand="1"/>
      </w:tblPr>
      <w:tblGrid>
        <w:gridCol w:w="1488"/>
        <w:gridCol w:w="1839"/>
        <w:gridCol w:w="1287"/>
        <w:gridCol w:w="1306"/>
        <w:gridCol w:w="1839"/>
        <w:gridCol w:w="1982"/>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highlight w:val="white"/>
              </w:rPr>
            </w:pPr>
            <w:r>
              <w:rPr>
                <w:highlight w:val="white"/>
              </w:rPr>
              <w:t xml:space="preserve">Ô ĐẤT </w:t>
            </w:r>
            <w:r>
              <w:rPr>
                <w:highlight w:val="white"/>
              </w:rPr>
              <w:t xml:space="preserve">TT4</w:t>
            </w:r>
            <w:r>
              <w:rPr>
                <w:highlight w:val="white"/>
              </w:rPr>
              <w:t xml:space="preserve">0</w:t>
            </w:r>
            <w:r>
              <w:rPr>
                <w:highlight w:val="white"/>
              </w:rPr>
              <w:t xml:space="preserve">, LÔ OTM1-1 KHU SUN PREMIER VILLAGAGE, PHƯỜNG BÃI CHÁY ✔</w:t>
            </w:r>
            <w:r>
              <w:rPr>
                <w:highlight w:val="white"/>
              </w:rPr>
            </w:r>
            <w:r>
              <w:rPr>
                <w:highlight w:val="white"/>
              </w:rPr>
            </w:r>
          </w:p>
        </w:tc>
        <w:tc>
          <w:tcPr>
            <w:tcBorders/>
            <w:tcW w:w="1605" w:type="dxa"/>
            <w:vAlign w:val="center"/>
            <w:textDirection w:val="lrTb"/>
            <w:noWrap w:val="false"/>
          </w:tcPr>
          <w:p>
            <w:pPr>
              <w:pBdr/>
              <w:spacing/>
              <w:ind/>
              <w:jc w:val="center"/>
              <w:rPr>
                <w:highlight w:val="white"/>
              </w:rPr>
            </w:pPr>
            <w:r>
              <w:rPr>
                <w:highlight w:val="white"/>
              </w:rPr>
            </w:r>
            <w:r>
              <w:rPr>
                <w:color w:val="000000"/>
                <w:highlight w:val="white"/>
              </w:rPr>
              <w:t xml:space="preserve">Ô ĐẤT TT40, LÔ OTM1-1 KHU SUN PREMIER VILLAGAGE, PHƯỜNG BÃI CHÁY</w:t>
            </w:r>
            <w:r>
              <w:rPr>
                <w:highlight w:val="white"/>
              </w:rPr>
            </w:r>
            <w:r>
              <w:rPr>
                <w:highlight w:val="white"/>
              </w:rPr>
            </w:r>
          </w:p>
        </w:tc>
        <w:tc>
          <w:tcPr>
            <w:tcBorders/>
            <w:tcW w:w="1371" w:type="dxa"/>
            <w:vAlign w:val="center"/>
            <w:textDirection w:val="lrTb"/>
            <w:noWrap w:val="false"/>
          </w:tcPr>
          <w:p>
            <w:pPr>
              <w:pBdr/>
              <w:spacing/>
              <w:ind/>
              <w:jc w:val="center"/>
              <w:rPr>
                <w:highlight w:val="white"/>
              </w:rPr>
            </w:pPr>
            <w:r>
              <w:rPr>
                <w:highlight w:val="white"/>
              </w:rPr>
              <w:t xml:space="preserve">Không</w:t>
            </w:r>
            <w:r>
              <w:rPr>
                <w:highlight w:val="white"/>
              </w:rPr>
            </w:r>
            <w:r>
              <w:rPr>
                <w:highlight w:val="white"/>
              </w:rPr>
            </w:r>
          </w:p>
        </w:tc>
        <w:tc>
          <w:tcPr>
            <w:tcBorders/>
            <w:tcW w:w="2149" w:type="dxa"/>
            <w:vAlign w:val="center"/>
            <w:textDirection w:val="lrTb"/>
            <w:noWrap w:val="false"/>
          </w:tcPr>
          <w:p>
            <w:pPr>
              <w:pBdr/>
              <w:spacing/>
              <w:ind/>
              <w:jc w:val="center"/>
              <w:rPr>
                <w:highlight w:val="white"/>
              </w:rPr>
            </w:pPr>
            <w:r>
              <w:rPr>
                <w:highlight w:val="white"/>
              </w:rPr>
            </w:r>
            <w:r>
              <w:rPr>
                <w:highlight w:val="white"/>
              </w:rPr>
            </w:r>
            <w:r>
              <w:rPr>
                <w:highlight w:val="white"/>
              </w:rP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112,5</w:t>
            </w:r>
            <w:r/>
          </w:p>
        </w:tc>
        <w:tc>
          <w:tcPr>
            <w:tcBorders/>
            <w:tcW w:w="1605" w:type="dxa"/>
            <w:vAlign w:val="center"/>
            <w:textDirection w:val="lrTb"/>
            <w:noWrap w:val="false"/>
          </w:tcPr>
          <w:p>
            <w:pPr>
              <w:pBdr/>
              <w:spacing/>
              <w:ind/>
              <w:jc w:val="center"/>
              <w:rPr/>
            </w:pPr>
            <w:r>
              <w:t xml:space="preserve">112,5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7,5</w:t>
            </w:r>
            <w:r/>
          </w:p>
        </w:tc>
        <w:tc>
          <w:tcPr>
            <w:tcBorders/>
            <w:tcW w:w="1605" w:type="dxa"/>
            <w:vAlign w:val="center"/>
            <w:textDirection w:val="lrTb"/>
            <w:noWrap w:val="false"/>
          </w:tcPr>
          <w:p>
            <w:pPr>
              <w:pBdr/>
              <w:spacing/>
              <w:ind/>
              <w:jc w:val="center"/>
              <w:rPr/>
            </w:pPr>
            <w:r>
              <w:t xml:space="preserve">7,5 ✔</w:t>
            </w:r>
            <w:r/>
          </w:p>
        </w:tc>
        <w:tc>
          <w:tcPr>
            <w:tcBorders/>
            <w:tcW w:w="1371" w:type="dxa"/>
            <w:vAlign w:val="center"/>
            <w:textDirection w:val="lrTb"/>
            <w:noWrap w:val="false"/>
          </w:tcPr>
          <w:p>
            <w:pPr>
              <w:pBdr/>
              <w:spacing/>
              <w:ind/>
              <w:jc w:val="left"/>
              <w:rPr/>
            </w:pPr>
            <w:r>
              <w:t xml:space="preserve">     Không</w:t>
            </w:r>
            <w:r/>
          </w:p>
        </w:tc>
        <w:tc>
          <w:tcPr>
            <w:tcBorders/>
            <w:tcW w:w="2149" w:type="dxa"/>
            <w:vAlign w:val="center"/>
            <w:textDirection w:val="lrTb"/>
            <w:noWrap w:val="false"/>
          </w:tcPr>
          <w:p>
            <w:pPr>
              <w:pBdr/>
              <w:spacing/>
              <w:ind/>
              <w:jc w:val="center"/>
              <w:rPr/>
            </w:pPr>
            <w:r/>
            <w:r/>
          </w:p>
        </w:tc>
      </w:tr>
    </w:tbl>
    <w:p>
      <w:pPr>
        <w:pStyle w:val="1051"/>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51"/>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after="120" w:before="120" w:line="276" w:lineRule="auto"/>
        <w:ind w:left="284"/>
        <w:jc w:val="both"/>
        <w:rPr>
          <w:b/>
          <w:bCs/>
          <w:u w:val="single"/>
        </w:rPr>
      </w:pPr>
      <w:r>
        <w:rPr>
          <w:b/>
          <w:bCs/>
          <w:u w:val="single"/>
        </w:rPr>
      </w:r>
      <w:r>
        <w:rPr>
          <w:b/>
          <w:bCs/>
          <w:u w:val="single"/>
        </w:rPr>
      </w:r>
      <w:r>
        <w:rPr>
          <w:b/>
          <w:bCs/>
          <w:u w:val="single"/>
        </w:rPr>
      </w:r>
    </w:p>
    <w:p>
      <w:pPr>
        <w:pStyle w:val="1051"/>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2</w:t>
      </w:r>
      <w:r>
        <w:rPr>
          <w:b/>
          <w:bCs/>
          <w:i/>
          <w:iCs/>
          <w:lang w:val="pt-BR"/>
        </w:rPr>
        <w:t xml:space="preserve">:</w:t>
      </w:r>
      <w:r>
        <w:rPr>
          <w:b/>
          <w:bCs/>
          <w:i/>
          <w:iCs/>
          <w:lang w:val="pt-BR"/>
        </w:rPr>
      </w:r>
      <w:r>
        <w:rPr>
          <w:b/>
          <w:bCs/>
          <w:i/>
          <w:iCs/>
          <w:lang w:val="pt-BR"/>
        </w:rPr>
      </w:r>
    </w:p>
    <w:tbl>
      <w:tblPr>
        <w:tblStyle w:val="105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42"/>
        <w:gridCol w:w="1950"/>
        <w:gridCol w:w="2032"/>
        <w:gridCol w:w="2429"/>
        <w:gridCol w:w="2382"/>
      </w:tblGrid>
      <w:tr>
        <w:trPr>
          <w:trHeight w:val="1821"/>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93"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both"/>
              <w:rPr>
                <w:b/>
                <w:bCs/>
              </w:rPr>
            </w:pPr>
            <w:r>
              <w:rPr>
                <w:rFonts w:ascii="Times New Roman" w:hAnsi="Times New Roman" w:eastAsia="Times New Roman" w:cs="Times New Roman"/>
                <w:b/>
                <w:bCs/>
                <w:color w:val="000000"/>
                <w:sz w:val="24"/>
              </w:rPr>
              <w:t xml:space="preserve">Quyền sử dụng đất và tài sản gắn liền với đất tại thửa đất có địa chỉ: Ô đất số TT-41, Lô OTM1-1, khu Sun Premier Village, Phường Bãi Cháy, Thành phố Hạ Long (Nay là phường Bãi Cháy, tỉnh Quảng Ninh) theo Giấy chứng nhận quyền sử dụng dất, quyền sở hữu nhà</w:t>
            </w:r>
            <w:r>
              <w:rPr>
                <w:rFonts w:ascii="Times New Roman" w:hAnsi="Times New Roman" w:eastAsia="Times New Roman" w:cs="Times New Roman"/>
                <w:b/>
                <w:bCs/>
                <w:color w:val="000000"/>
                <w:sz w:val="24"/>
              </w:rPr>
              <w:t xml:space="preserve"> ở và tài sản khác gắn liền với đất số: CO 020864, số vào sổ cấp GCN: CH 31116 do Uỷ ban Nhân dân Thành phố Hạ Long cấp ngày 21/05/2019 cho Ông Nguyễn Đình Tuấn và Bà Đoàn Thị Mai Thắm.</w:t>
            </w:r>
            <w:r>
              <w:rPr>
                <w:b/>
                <w:bCs/>
              </w:rPr>
            </w:r>
            <w:r>
              <w:rPr>
                <w:b/>
                <w:bCs/>
              </w:rP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96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4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Ô đất số TT-41, Lô OTM-1, khu Sun Premier Villages, Phường Bãi Cháy- Thành phố Hạ Long, Quảng Ninh.(Nay là phường Bãi Cháy, tỉnh Quảng Ninh)</w:t>
            </w: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112,5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 112,5 m2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4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Nhận quyền sử dụng đất do chuyển nhượng quyền sử dụng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 có vỉa hè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1248"/>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7,7m+ vỉa hè 2 bên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2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7,7m+ vỉa hè 2 bên </w:t>
            </w:r>
            <w:r/>
          </w:p>
        </w:tc>
      </w:tr>
      <w:tr>
        <w:trPr>
          <w:trHeight w:val="7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4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tiếp giáp mặt đường nội khu, nằm trong khu Sun Premier Villages.</w:t>
            </w:r>
            <w:r/>
          </w:p>
        </w:tc>
      </w:tr>
      <w:tr>
        <w:trPr>
          <w:trHeight w:val="123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4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Đông Bắc : Tiếp giáp mặt đường nội khu khu Sun Premier Villages.</w:t>
              <w:br/>
              <w:t xml:space="preserve">Các hướng khác: Tiếp giáp các thửa đất khác.</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9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Vị trí trên bản đồ vệ tinh: </w:t>
            </w:r>
            <w:r>
              <w:rPr>
                <w:rFonts w:ascii="Times New Roman" w:hAnsi="Times New Roman" w:eastAsia="Times New Roman" w:cs="Times New Roman"/>
                <w:color w:val="000000"/>
                <w:sz w:val="24"/>
                <w:highlight w:val="white"/>
              </w:rPr>
              <w:t xml:space="preserve">20.947685041572, 107.02883199171664</w: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9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 </w:t>
            </w:r>
            <w:r>
              <w:rPr>
                <w:highlight w:val="white"/>
              </w:rPr>
              <mc:AlternateContent>
                <mc:Choice Requires="wpg">
                  <w:drawing>
                    <wp:inline xmlns:wp="http://schemas.openxmlformats.org/drawingml/2006/wordprocessingDrawing" distT="0" distB="0" distL="0" distR="0">
                      <wp:extent cx="6048375" cy="318983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928368" name=""/>
                              <pic:cNvPicPr>
                                <a:picLocks noChangeAspect="1"/>
                              </pic:cNvPicPr>
                              <pic:nvPr/>
                            </pic:nvPicPr>
                            <pic:blipFill rotWithShape="1">
                              <a:blip r:embed="rId18"/>
                              <a:stretch/>
                            </pic:blipFill>
                            <pic:spPr bwMode="auto">
                              <a:xfrm>
                                <a:off x="0" y="0"/>
                                <a:ext cx="6048374" cy="31898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251.17pt;mso-wrap-distance-left:0.00pt;mso-wrap-distance-top:0.00pt;mso-wrap-distance-right:0.00pt;mso-wrap-distance-bottom:0.00pt;z-index:1;" stroked="false">
                      <v:imagedata r:id="rId18" o:title=""/>
                      <o:lock v:ext="edit" rotation="t"/>
                    </v:shape>
                  </w:pict>
                </mc:Fallback>
              </mc:AlternateConten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sử dụng riêng thực tế (m²):</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112,5</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2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Diện tích sử dụng chung thực tế (m²):</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Mặt tiền (m):</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7,5</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2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Chiều sâu (m): </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15,00</w: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0"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Hình dáng: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Hình chữ nhật </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2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Hướng: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Đông Bắc</w: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93"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b/>
                <w:color w:val="000000"/>
                <w:sz w:val="24"/>
                <w:highlight w:val="white"/>
              </w:rPr>
              <w:t xml:space="preserve">Điều kiện kinh doanh; Hạ tầng nội bộ; Hạ tầng xung quanh</w: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5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3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2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8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9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91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93"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5 tầng, tổng diện tích sàn là 487,5m2, đang </w:t>
            </w:r>
            <w:r>
              <w:rPr>
                <w:rFonts w:ascii="Times New Roman" w:hAnsi="Times New Roman" w:eastAsia="Times New Roman" w:cs="Times New Roman"/>
                <w:color w:val="ff0000"/>
                <w:sz w:val="24"/>
              </w:rPr>
              <w:t xml:space="preserve">kinh doanh </w:t>
            </w:r>
            <w:r>
              <w:rPr>
                <w:rFonts w:ascii="Times New Roman" w:hAnsi="Times New Roman" w:eastAsia="Times New Roman" w:cs="Times New Roman"/>
                <w:color w:val="000000"/>
                <w:sz w:val="24"/>
              </w:rPr>
              <w:t xml:space="preserve">khách sạn. Công trình xây dựng năm 2018.</w:t>
              <w:br/>
              <w:t xml:space="preserve">+ Công trình đã được chứng nhận trên GCN số CO 020864.  </w:t>
            </w:r>
            <w:r>
              <w:rPr>
                <w:rFonts w:ascii="Times New Roman" w:hAnsi="Times New Roman" w:eastAsia="Times New Roman" w:cs="Times New Roman"/>
                <w:color w:val="000000"/>
                <w:sz w:val="24"/>
              </w:rPr>
              <w:t xml:space="preserve">                                      </w:t>
            </w:r>
            <w:r/>
          </w:p>
        </w:tc>
      </w:tr>
    </w:tbl>
    <w:p>
      <w:pPr>
        <w:pStyle w:val="1051"/>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55"/>
        <w:jc w:val="center"/>
        <w:tblW w:w="0" w:type="auto"/>
        <w:tblBorders/>
        <w:tblLook w:val="04A0" w:firstRow="1" w:lastRow="0" w:firstColumn="1" w:lastColumn="0" w:noHBand="0" w:noVBand="1"/>
      </w:tblPr>
      <w:tblGrid>
        <w:gridCol w:w="1488"/>
        <w:gridCol w:w="1839"/>
        <w:gridCol w:w="1287"/>
        <w:gridCol w:w="1306"/>
        <w:gridCol w:w="1839"/>
        <w:gridCol w:w="1982"/>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highlight w:val="yellow"/>
              </w:rPr>
            </w:pPr>
            <w:r>
              <w:rPr>
                <w:highlight w:val="yellow"/>
              </w:rPr>
            </w:r>
            <w:r>
              <w:rPr>
                <w:color w:val="000000"/>
              </w:rPr>
              <w:t xml:space="preserve">Ô ĐẤT TT41, LÔ OTM1-1 KHU SUN PREMIER VILLAGAGE, PHƯỜNG BÃI CHÁY</w:t>
            </w:r>
            <w:r>
              <w:rPr>
                <w:highlight w:val="yellow"/>
              </w:rPr>
            </w:r>
            <w:r>
              <w:rPr>
                <w:highlight w:val="yellow"/>
              </w:rPr>
            </w:r>
          </w:p>
        </w:tc>
        <w:tc>
          <w:tcPr>
            <w:tcBorders/>
            <w:tcW w:w="1605" w:type="dxa"/>
            <w:vAlign w:val="center"/>
            <w:textDirection w:val="lrTb"/>
            <w:noWrap w:val="false"/>
          </w:tcPr>
          <w:p>
            <w:pPr>
              <w:pBdr/>
              <w:spacing/>
              <w:ind/>
              <w:jc w:val="center"/>
              <w:rPr>
                <w:highlight w:val="yellow"/>
              </w:rPr>
            </w:pPr>
            <w:r>
              <w:rPr>
                <w:highlight w:val="yellow"/>
              </w:rPr>
            </w:r>
            <w:r>
              <w:rPr>
                <w:color w:val="000000"/>
              </w:rPr>
              <w:t xml:space="preserve">Ô ĐẤT TT41, LÔ OTM1-1 KHU SUN PREMIER VILLAGAGE, PHƯỜNG BÃI CHÁY</w:t>
            </w:r>
            <w:r>
              <w:rPr>
                <w:highlight w:val="yellow"/>
              </w:rPr>
            </w:r>
            <w:r>
              <w:rPr>
                <w:highlight w:val="yellow"/>
              </w:rPr>
            </w:r>
          </w:p>
        </w:tc>
        <w:tc>
          <w:tcPr>
            <w:tcBorders/>
            <w:tcW w:w="1371" w:type="dxa"/>
            <w:vAlign w:val="center"/>
            <w:textDirection w:val="lrTb"/>
            <w:noWrap w:val="false"/>
          </w:tcPr>
          <w:p>
            <w:pPr>
              <w:pBdr/>
              <w:spacing/>
              <w:ind/>
              <w:jc w:val="center"/>
              <w:rPr>
                <w:highlight w:val="yellow"/>
              </w:rPr>
            </w:pPr>
            <w:r>
              <w:rPr>
                <w:highlight w:val="none"/>
              </w:rPr>
              <w:t xml:space="preserve">Không</w:t>
            </w:r>
            <w:r>
              <w:rPr>
                <w:highlight w:val="yellow"/>
              </w:rPr>
            </w:r>
            <w:r>
              <w:rPr>
                <w:highlight w:val="yellow"/>
              </w:rPr>
            </w:r>
          </w:p>
        </w:tc>
        <w:tc>
          <w:tcPr>
            <w:tcBorders/>
            <w:tcW w:w="2149" w:type="dxa"/>
            <w:vAlign w:val="center"/>
            <w:textDirection w:val="lrTb"/>
            <w:noWrap w:val="false"/>
          </w:tcPr>
          <w:p>
            <w:pPr>
              <w:pBdr/>
              <w:spacing/>
              <w:ind/>
              <w:jc w:val="center"/>
              <w:rPr>
                <w:highlight w:val="yellow"/>
              </w:rPr>
            </w:pPr>
            <w:r>
              <w:rPr>
                <w:highlight w:val="yellow"/>
              </w:rPr>
            </w:r>
            <w:r>
              <w:rPr>
                <w:highlight w:val="yellow"/>
              </w:rPr>
            </w:r>
            <w:r>
              <w:rPr>
                <w:highlight w:val="yellow"/>
              </w:rP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 5</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112,5</w:t>
            </w:r>
            <w:r/>
          </w:p>
        </w:tc>
        <w:tc>
          <w:tcPr>
            <w:tcBorders/>
            <w:tcW w:w="1605" w:type="dxa"/>
            <w:vAlign w:val="center"/>
            <w:textDirection w:val="lrTb"/>
            <w:noWrap w:val="false"/>
          </w:tcPr>
          <w:p>
            <w:pPr>
              <w:pBdr/>
              <w:spacing/>
              <w:ind/>
              <w:jc w:val="center"/>
              <w:rPr/>
            </w:pPr>
            <w:r>
              <w:t xml:space="preserve">112,5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 6</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7,5</w:t>
            </w:r>
            <w:r/>
          </w:p>
        </w:tc>
        <w:tc>
          <w:tcPr>
            <w:tcBorders/>
            <w:tcW w:w="1605" w:type="dxa"/>
            <w:vAlign w:val="center"/>
            <w:textDirection w:val="lrTb"/>
            <w:noWrap w:val="false"/>
          </w:tcPr>
          <w:p>
            <w:pPr>
              <w:pBdr/>
              <w:spacing/>
              <w:ind/>
              <w:jc w:val="center"/>
              <w:rPr/>
            </w:pPr>
            <w:r>
              <w:t xml:space="preserve">7,5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Style w:val="1051"/>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51"/>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51"/>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Style w:val="105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51"/>
        <w:numPr>
          <w:ilvl w:val="0"/>
          <w:numId w:val="3"/>
        </w:numPr>
        <w:pBdr/>
        <w:tabs>
          <w:tab w:val="left" w:leader="none" w:pos="993"/>
        </w:tabs>
        <w:spacing w:after="120" w:before="120" w:line="264"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w:t>
      </w:r>
      <w:r>
        <w:rPr>
          <w:lang w:val="pt-BR"/>
        </w:rPr>
        <w:t xml:space="preserve"> được hoàn toàn miễn trừ mọi trách nhiệm phát </w:t>
      </w:r>
      <w:r>
        <w:rPr>
          <w:lang w:val="pt-BR"/>
        </w:rPr>
        <w:t xml:space="preserve">sinh, liên đới (nếu có) trong trường hợp này.</w:t>
      </w:r>
      <w:r>
        <w:rPr>
          <w:lang w:val="pt-BR"/>
        </w:rPr>
      </w:r>
      <w:r>
        <w:rPr>
          <w:lang w:val="pt-BR"/>
        </w:rPr>
      </w:r>
    </w:p>
    <w:p>
      <w:pPr>
        <w:pStyle w:val="1051"/>
        <w:pBdr/>
        <w:tabs>
          <w:tab w:val="left" w:leader="none" w:pos="993"/>
        </w:tabs>
        <w:spacing w:after="120" w:before="120" w:line="276" w:lineRule="auto"/>
        <w:ind w:left="360"/>
        <w:jc w:val="both"/>
        <w:rPr>
          <w:lang w:val="pt-BR"/>
        </w:rPr>
      </w:pPr>
      <w:r>
        <w:rPr>
          <w:lang w:val="pt-BR"/>
        </w:rPr>
        <w:t xml:space="preserve">Tổ thẩm định cũng không nhận được bất kì hồ sơ pháp lí nào liên quan tới </w:t>
      </w:r>
      <w:r>
        <w:rPr>
          <w:lang w:val="pt-BR"/>
        </w:rPr>
        <w:t xml:space="preserve">các </w:t>
      </w:r>
      <w:r>
        <w:rPr>
          <w:lang w:val="pt-BR"/>
        </w:rPr>
        <w:t xml:space="preserve">CTXD hiện có</w:t>
      </w:r>
      <w:r>
        <w:rPr>
          <w:lang w:val="pt-BR"/>
        </w:rPr>
        <w:t xml:space="preserve"> trên. Đồng thời, tài sản đang trong quá trình xử lý tài sản tại Ngân hàng, Tổ thẩm định không nhận được sự phối hợp </w:t>
      </w:r>
      <w:r>
        <w:rPr>
          <w:lang w:val="pt-BR"/>
        </w:rPr>
        <w:t xml:space="preserve">một cách đầy đủ</w:t>
      </w:r>
      <w:r>
        <w:rPr>
          <w:lang w:val="pt-BR"/>
        </w:rPr>
        <w:t xml:space="preserve"> của các bên liên quan để thực hiện đầy đủ các thủ </w:t>
      </w:r>
      <w:r>
        <w:rPr>
          <w:lang w:val="pt-BR"/>
        </w:rPr>
        <w:t xml:space="preserve">tục khảo sát, đo đạc.</w:t>
      </w:r>
      <w:r>
        <w:rPr>
          <w:lang w:val="pt-BR"/>
        </w:rPr>
        <w:t xml:space="preserve"> </w:t>
      </w:r>
      <w:r>
        <w:rPr>
          <w:lang w:val="pt-BR"/>
        </w:rPr>
        <w:t xml:space="preserve">D</w:t>
      </w:r>
      <w:r>
        <w:rPr>
          <w:lang w:val="pt-BR"/>
        </w:rPr>
        <w:t xml:space="preserve">o vậy, theo đề nghị của Khách hàng/Ngân hàng, tổ thẩm định xác định giá trị </w:t>
      </w:r>
      <w:r>
        <w:rPr>
          <w:lang w:val="pt-BR"/>
        </w:rPr>
        <w:t xml:space="preserve">công trình theo hiện trạng</w:t>
      </w:r>
      <w:r>
        <w:rPr>
          <w:lang w:val="pt-BR"/>
        </w:rPr>
        <w:t xml:space="preserve"> với giả định thông số Khách hàng cung cấp là chính xác</w:t>
      </w:r>
      <w:r>
        <w:rPr>
          <w:lang w:val="pt-BR"/>
        </w:rPr>
        <w:t xml:space="preserve">, </w:t>
      </w:r>
      <w:r>
        <w:rPr>
          <w:lang w:val="nl-NL"/>
        </w:rPr>
        <w:t xml:space="preserve">giá trị công trình xây dựng chỉ mang tính chất tham khảo. Ngoài ra, Tổ thẩm định không có trách nhiệm xác minh chủ sở hữu công trình xây dựng trên. Kính đề nghị đơn vị sử dụng kết quả lưu ý.</w:t>
      </w:r>
      <w:r>
        <w:rPr>
          <w:lang w:val="pt-BR"/>
        </w:rPr>
      </w:r>
      <w:r>
        <w:rPr>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5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5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5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5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5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rPr>
          <w:lang w:val="vi-VN"/>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5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là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5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5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spacing w:val="-4"/>
          <w:lang w:val="pt-BR"/>
        </w:rPr>
        <w:t xml:space="preserve"> quyền sử dụng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5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5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5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w:t>
      </w:r>
      <w:r>
        <w:rPr>
          <w:b/>
          <w:lang w:val="pt-BR"/>
        </w:rPr>
        <w:t xml:space="preserve">n giá</w:t>
      </w:r>
      <w:r>
        <w:rPr>
          <w:b/>
          <w:lang w:val="pt-BR"/>
        </w:rPr>
        <w:t xml:space="preserve"> quyền sử dụng đấ</w:t>
      </w:r>
      <w:r>
        <w:rPr>
          <w:b/>
          <w:lang w:val="pt-BR"/>
        </w:rPr>
        <w:t xml:space="preserve">t</w:t>
      </w:r>
      <w:r>
        <w:rPr>
          <w:b/>
          <w:lang w:val="pt-BR"/>
        </w:rPr>
        <w:t xml:space="preserve"> nằm ngoài quy hoạch</w:t>
      </w:r>
      <w:r>
        <w:rPr>
          <w:b/>
          <w:lang w:val="pt-BR"/>
        </w:rPr>
        <w:t xml:space="preserve">:</w:t>
      </w:r>
      <w:r>
        <w:rPr>
          <w:b/>
          <w:lang w:val="pt-BR"/>
        </w:rPr>
      </w:r>
      <w:r>
        <w:rPr>
          <w:b/>
          <w:lang w:val="pt-BR"/>
        </w:rPr>
      </w:r>
    </w:p>
    <w:p>
      <w:pPr>
        <w:pStyle w:val="1051"/>
        <w:numPr>
          <w:ilvl w:val="0"/>
          <w:numId w:val="39"/>
        </w:numPr>
        <w:pBdr/>
        <w:spacing w:after="120" w:before="120" w:line="276" w:lineRule="auto"/>
        <w:ind w:hanging="426" w:left="426"/>
        <w:jc w:val="both"/>
        <w:rPr>
          <w:b/>
          <w:i/>
          <w:iCs/>
          <w:lang w:val="pt-BR"/>
        </w:rPr>
      </w:pPr>
      <w:r>
        <w:rPr>
          <w:b/>
          <w:i/>
          <w:iCs/>
          <w:lang w:val="pt-BR"/>
        </w:rPr>
        <w:t xml:space="preserve">Tài sản 01:</w:t>
      </w:r>
      <w:r>
        <w:rPr>
          <w:b/>
          <w:i/>
          <w:iCs/>
          <w:lang w:val="pt-BR"/>
        </w:rPr>
      </w:r>
      <w:r>
        <w:rPr>
          <w:b/>
          <w:i/>
          <w:iCs/>
          <w:lang w:val="pt-BR"/>
        </w:rPr>
      </w:r>
    </w:p>
    <w:p>
      <w:pPr>
        <w:pStyle w:val="105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5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59"/>
        <w:gridCol w:w="1742"/>
        <w:gridCol w:w="1809"/>
        <w:gridCol w:w="1809"/>
        <w:gridCol w:w="1809"/>
        <w:gridCol w:w="1809"/>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59"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STT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42"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ĐẶC ĐIỂM BĐS</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09"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TSTĐ</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09"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09"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TSSS3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A</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top"/>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Thông tin về tài sản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top"/>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154"/>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Địa chỉ</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Dự án Sun Premier Villages Hạ Long, Tỉnh Quảng Ninh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Dự án Sun Premier Villages Hạ Long, Tỉnh Quảng Ninh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Dự án Sun Premier Villages Hạ Long, Tỉnh Quảng Ninh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Dự án Sun Premier Villages Hạ Long, Tỉnh Quảng Ninh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756"/>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Nguồn tham khảo</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Liên hệ trực tiếp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Liên hệ trực tiếp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Liên hệ trực tiếp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Thông tin liên lạc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SDT: 0968951336</w:t>
              <w:br/>
              <w:t xml:space="preserve">(Sale Thùy Dương)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SDT: 0966282468</w:t>
              <w:br/>
              <w:t xml:space="preserve">(Sale Vũ Hà)</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SDT: 0966282468</w:t>
              <w:br/>
              <w:t xml:space="preserve">(Sale Vũ Hà)</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Tình trạng giao dịch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Đang giao dịch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điểm thu thập thông tin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7/2026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7/2027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Tháng 7/2028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Tính chất giao dịch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Giao dịch bình thường trên thị trường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33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Có Giấy chứng nhận Quyền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Mục đích sử dụng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tại đô thị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Đất ở đô thị</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Thời hạn sử dụng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82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Tại Phường Bãi Cháy, Thành phố Hạ Long, Tỉnh Quảng Ninh, Nằm trong ô TT-40, Lô OTM1-1, khu Sun Premier Village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Bãi Cháy, Thành phố Hạ Long, Tỉnh Quảng Ninh. Tài sản nằm trong khu Sun Premier Village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Bãi Cháy, Thành phố Hạ Long, Tỉnh Quảng Ninh,  Tài sản nằm trong ô đất số TT-11 , Khu Sun Premier Village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Bãi Cháy, Thành phố Hạ Long, Tỉnh Quảng Ninh, Tài sản tại ô đất số LT-3, Khu Sun Premier Village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có vỉa hè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có vỉa hè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có vỉa hè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Đường nhựa có vỉa hè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7,7m+ vỉa hè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7,7m+ vỉa hè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7,7m+ vỉa hè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7,7m+ vỉa hè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112,5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112,5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108,75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108,75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Tiếp giáp góc 2 mặt đường, phố</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89"/>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chữ nhật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cơ sở hạ tầng kỹ thuật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Hệ thống cấp điện, cấp thoát nước đầy đủ</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môi trường an ninh</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Tốt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trên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Nhà 5 tầng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Nhà 5 tầng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Nhà 5 tầng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Nhà 5 tầng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36"/>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tầng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636"/>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sàn sử dụng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550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487,5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487,5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rao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19.500.000.000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19.000.000.000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23.000.000.000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thương lượng/bán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18.525.000.000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17.100.000.000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20.700.000.000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B</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Chi tiết tính toán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Giá trị tài sản trên đất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3.182.625.600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2.820.963.600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2.820.963.600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1380"/>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Đơn giá xây dựng theo Quyết định số 425/QĐ-BXD ngày 30/3/2026 của Bộ Xây Dựng (đồng/m²)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7.233.240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7.233.240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7.233.240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420"/>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Tỷ lệ % CLCL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Giá trị đất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15.342.374.400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14.279.036.400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17.879.036.400</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Đơn giá QSDĐ (đồng/m²)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136.376.661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131.301.484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164.404.932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C</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b/>
                <w:color w:val="000000" w:themeColor="text1"/>
                <w:sz w:val="22"/>
                <w:szCs w:val="22"/>
              </w:rPr>
              <w:t xml:space="preserve">NHẬN XÉT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Pháp lý</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Vị trí</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Giao thông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Diện tích đất (m²)</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420"/>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Mặt tiền (m)</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Số lượng mặt tiếp giáp</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Lợi thế hơn</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Hình dáng thửa đất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5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9</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Điều kiện cơ sở hạ tầng kỹ thuật</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c>
          <w:tcPr>
            <w:tcBorders>
              <w:bottom w:val="single" w:color="000000" w:sz="5" w:space="0"/>
              <w:right w:val="single" w:color="000000" w:sz="5" w:space="0"/>
            </w:tcBorders>
            <w:tcMar>
              <w:left w:w="0" w:type="dxa"/>
              <w:top w:w="0" w:type="dxa"/>
              <w:right w:w="0" w:type="dxa"/>
              <w:bottom w:w="0" w:type="dxa"/>
            </w:tcMar>
            <w:tcW w:w="1809"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Tương đồng</w:t>
            </w:r>
            <w:r>
              <w:rPr>
                <w:rFonts w:ascii="Times New Roman" w:hAnsi="Times New Roman" w:cs="Times New Roman"/>
                <w:color w:val="000000" w:themeColor="text1"/>
                <w:sz w:val="22"/>
                <w:szCs w:val="22"/>
              </w:rPr>
            </w:r>
            <w:r>
              <w:rPr>
                <w:rFonts w:ascii="Times New Roman" w:hAnsi="Times New Roman" w:cs="Times New Roman"/>
                <w:color w:val="000000" w:themeColor="text1"/>
                <w:sz w:val="22"/>
                <w:szCs w:val="22"/>
              </w:rP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tabs>
          <w:tab w:val="left" w:leader="none" w:pos="90"/>
          <w:tab w:val="left" w:leader="none" w:pos="180"/>
        </w:tabs>
        <w:spacing w:after="120" w:before="120" w:line="264" w:lineRule="auto"/>
        <w:ind/>
        <w:jc w:val="both"/>
        <w:rPr>
          <w:b/>
          <w:lang w:val="de-DE"/>
        </w:rPr>
      </w:pPr>
      <w:r>
        <w:rPr>
          <w:lang w:val="it-IT"/>
        </w:rPr>
        <w:t xml:space="preserve"> </w:t>
      </w: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5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5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3"/>
        <w:gridCol w:w="1895"/>
        <w:gridCol w:w="937"/>
        <w:gridCol w:w="2210"/>
        <w:gridCol w:w="2222"/>
        <w:gridCol w:w="2222"/>
        <w:gridCol w:w="2223"/>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15.342.374.400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14.279.036.400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17.879.036.400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136.376.661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131.301.484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164.404.932</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136.376.661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131.301.484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164.404.932 </w:t>
            </w:r>
            <w:r>
              <w:rPr>
                <w:color w:val="000000" w:themeColor="text1"/>
              </w:rPr>
            </w:r>
            <w:r>
              <w:rPr>
                <w:color w:val="000000" w:themeColor="text1"/>
              </w:rPr>
            </w:r>
          </w:p>
        </w:tc>
      </w:tr>
      <w:tr>
        <w:trPr>
          <w:trHeight w:val="18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Tại Phường Bãi Cháy, Thành phố Hạ Long, Tỉnh Quảng Ninh, Nằm trong ô TT-40, Lô OTM1-1, khu Sun Premier Village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Bãi Cháy, Thành phố Hạ Long, Tỉnh Quảng Ninh. Tài sản nằm trong khu Sun Premier Village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Bãi Cháy, Thành phố Hạ Long, Tỉnh Quảng Ninh,  Tài sản nằm trong ô đất số TT-11 , Khu Sun Premier Village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Bãi Cháy, Thành phố Hạ Long, Tỉnh Quảng Ninh, Tài sản tại ô đất số LT-3, Khu Sun Premier Village</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136.376.661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131.301.484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164.404.932 </w:t>
            </w:r>
            <w:r>
              <w:rPr>
                <w:color w:val="000000" w:themeColor="text1"/>
              </w:rPr>
            </w:r>
            <w:r>
              <w:rPr>
                <w:color w:val="000000" w:themeColor="text1"/>
              </w:rPr>
            </w:r>
          </w:p>
        </w:tc>
      </w:tr>
      <w:tr>
        <w:trPr>
          <w:trHeight w:val="80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136.376.661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131.301.484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164.404.932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7,7m+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7,7m+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7,7m+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7,7m+ vỉa hè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136.376.661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131.301.484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164.404.932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112,5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112,5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108,75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108,75</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-3.939.045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-4.932.148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136.376.661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127.362.440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159.472.784 </w:t>
            </w:r>
            <w:r>
              <w:rPr>
                <w:color w:val="000000" w:themeColor="text1"/>
              </w:rPr>
            </w:r>
            <w:r>
              <w:rPr>
                <w:color w:val="000000" w:themeColor="text1"/>
              </w:rPr>
            </w:r>
          </w:p>
        </w:tc>
      </w:tr>
      <w:tr>
        <w:trPr>
          <w:trHeight w:val="44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7,5</w:t>
            </w:r>
            <w:r>
              <w:rPr>
                <w:color w:val="000000" w:themeColor="text1"/>
              </w:rPr>
            </w:r>
            <w:r>
              <w:rPr>
                <w:color w:val="000000" w:themeColor="text1"/>
              </w:rPr>
            </w:r>
          </w:p>
        </w:tc>
      </w:tr>
      <w:tr>
        <w:trPr>
          <w:trHeight w:val="33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8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5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136.376.661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127.362.440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159.472.784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góc 2 mặt đường, phố</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-8.220.247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136.376.661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127.362.440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151.252.538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136.376.661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127.362.440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151.252.538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136.376.661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127.362.440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151.252.538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136.376.661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127.362.440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151.252.538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138.330.546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3.939.045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13.152.395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- 3%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- 5%</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3.939.045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13.152.395 </w:t>
            </w:r>
            <w:r>
              <w:rPr>
                <w:color w:val="000000" w:themeColor="text1"/>
              </w:rPr>
            </w:r>
            <w:r>
              <w:rPr>
                <w:color w:val="000000" w:themeColor="text1"/>
              </w:rP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-7,9</w:t>
      </w:r>
      <w:r>
        <w:t xml:space="preserve">% đến </w:t>
      </w:r>
      <w:r>
        <w:t xml:space="preserve">9,3%,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highlight w:val="none"/>
          <w:u w:val="single"/>
        </w:rPr>
      </w:r>
      <w:r>
        <w:rPr>
          <w:b/>
          <w:bCs/>
          <w:i/>
          <w:iCs/>
          <w:highlight w:val="none"/>
          <w:u w:val="single"/>
        </w:rPr>
      </w:r>
    </w:p>
    <w:p>
      <w:pPr>
        <w:pBdr/>
        <w:spacing w:after="120" w:before="120" w:line="276" w:lineRule="auto"/>
        <w:ind/>
        <w:rPr>
          <w:b w:val="0"/>
          <w:bCs w:val="0"/>
          <w:i/>
          <w:sz w:val="24"/>
          <w:szCs w:val="24"/>
          <w:u w:val="none"/>
        </w:rPr>
      </w:pPr>
      <w:r>
        <w:rPr>
          <w:b/>
          <w:bCs/>
          <w:i/>
          <w:iCs/>
          <w:highlight w:val="none"/>
          <w:u w:val="none"/>
        </w:rPr>
      </w:r>
      <w:r>
        <w:rPr>
          <w:b/>
          <w:bCs/>
          <w:i/>
          <w:iCs/>
          <w:highlight w:val="none"/>
          <w:u w:val="none"/>
        </w:rPr>
        <w:t xml:space="preserve">                                                                                                                      </w:t>
      </w:r>
      <w:r>
        <w:rPr>
          <w:b w:val="0"/>
          <w:bCs w:val="0"/>
          <w:i/>
          <w:iCs/>
          <w:sz w:val="24"/>
          <w:szCs w:val="24"/>
          <w:highlight w:val="none"/>
          <w:u w:val="none"/>
        </w:rPr>
        <w:t xml:space="preserve">   Đơn vị tính: Đồng/m2</w:t>
      </w:r>
      <w:r>
        <w:rPr>
          <w:b w:val="0"/>
          <w:bCs w:val="0"/>
          <w:i/>
          <w:sz w:val="24"/>
          <w:szCs w:val="24"/>
          <w:u w:val="none"/>
        </w:rPr>
      </w:r>
      <w:r>
        <w:rPr>
          <w:b w:val="0"/>
          <w:bCs w:val="0"/>
          <w:i/>
          <w:sz w:val="24"/>
          <w:szCs w:val="24"/>
          <w:u w:val="non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136.376.661</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45.458.887</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127.362.440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42.454.147</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151.252.538</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50.417.513</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138.330.546</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138.000.000</w:t>
            </w:r>
            <w:r/>
          </w:p>
        </w:tc>
      </w:tr>
    </w:tbl>
    <w:p>
      <w:pPr>
        <w:pBdr/>
        <w:spacing w:after="120" w:before="120" w:line="276" w:lineRule="auto"/>
        <w:ind/>
        <w:rPr>
          <w:b/>
          <w:bCs/>
          <w:i/>
          <w:iCs/>
          <w:u w:val="single"/>
        </w:rPr>
      </w:pPr>
      <w:r>
        <w:rPr>
          <w:b/>
          <w:bCs/>
          <w:i/>
          <w:iCs/>
          <w:u w:val="single"/>
        </w:rPr>
      </w:r>
      <w:r>
        <w:rPr>
          <w:b/>
          <w:bCs/>
          <w:i/>
          <w:iCs/>
          <w:u w:val="single"/>
        </w:rPr>
      </w:r>
      <w:r>
        <w:rPr>
          <w:b/>
          <w:bCs/>
          <w:i/>
          <w:iCs/>
          <w:u w:val="single"/>
        </w:rPr>
      </w:r>
    </w:p>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giá, tương ứng là</w:t>
      </w:r>
      <w:r>
        <w:t xml:space="preserve">:</w:t>
      </w:r>
      <w:r>
        <w:t xml:space="preserve"> </w:t>
      </w:r>
      <w:r>
        <w:rPr>
          <w:b/>
          <w:bCs/>
          <w:color w:val="000000" w:themeColor="text1"/>
        </w:rPr>
        <w:t xml:space="preserve">138.000.000</w:t>
      </w:r>
      <w:r>
        <w:rPr>
          <w:b/>
          <w:bCs/>
          <w:color w:val="000000" w:themeColor="text1"/>
        </w:rPr>
        <w:t xml:space="preserve"> </w:t>
      </w:r>
      <w:r>
        <w:rPr>
          <w:b/>
          <w:bCs/>
        </w:rPr>
        <w:t xml:space="preserve">đồng/m².</w:t>
      </w:r>
      <w:r>
        <w:rPr>
          <w:b/>
          <w:bCs/>
        </w:rPr>
      </w:r>
      <w:r>
        <w:rPr>
          <w:b/>
          <w:bCs/>
        </w:rPr>
      </w:r>
    </w:p>
    <w:p>
      <w:pPr>
        <w:pStyle w:val="1051"/>
        <w:numPr>
          <w:ilvl w:val="0"/>
          <w:numId w:val="39"/>
        </w:numPr>
        <w:pBdr/>
        <w:spacing w:after="120" w:before="120" w:line="276" w:lineRule="auto"/>
        <w:ind w:hanging="426" w:left="426"/>
        <w:jc w:val="both"/>
        <w:rPr>
          <w:b/>
          <w:bCs/>
        </w:rPr>
      </w:pPr>
      <w:r>
        <w:rPr>
          <w:b/>
          <w:i/>
          <w:iCs/>
          <w:lang w:val="pt-BR"/>
        </w:rPr>
      </w:r>
      <w:r>
        <w:rPr>
          <w:b/>
          <w:i/>
          <w:iCs/>
          <w:lang w:val="pt-BR"/>
        </w:rPr>
        <w:t xml:space="preserve">Tài sản 02:</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Qua khảo sát hiện trạng tài sản thẩm định, tổ thẩm định nhận thấy  ô đất số</w:t>
      </w:r>
      <w:r>
        <w:rPr>
          <w:rFonts w:ascii="Times New Roman" w:hAnsi="Times New Roman" w:eastAsia="Times New Roman" w:cs="Times New Roman"/>
          <w:color w:val="000000"/>
          <w:sz w:val="24"/>
        </w:rPr>
        <w:t xml:space="preserve"> TT41 </w:t>
      </w:r>
      <w:r>
        <w:rPr>
          <w:rFonts w:ascii="Times New Roman" w:hAnsi="Times New Roman" w:eastAsia="Times New Roman" w:cs="Times New Roman"/>
          <w:color w:val="000000"/>
          <w:sz w:val="24"/>
        </w:rPr>
        <w:t xml:space="preserve">nằm liền kề với ô đất số TT40, cùng thuộc </w:t>
      </w:r>
      <w:r>
        <w:rPr>
          <w:rFonts w:ascii="Times New Roman" w:hAnsi="Times New Roman" w:eastAsia="Times New Roman" w:cs="Times New Roman"/>
          <w:color w:val="000000"/>
          <w:sz w:val="24"/>
        </w:rPr>
        <w:t xml:space="preserve">LÔ OTM1-1 KHU SUN PREMIER VILLAGAGE,</w:t>
      </w:r>
      <w:r>
        <w:rPr>
          <w:rFonts w:ascii="Times New Roman" w:hAnsi="Times New Roman" w:eastAsia="Times New Roman" w:cs="Times New Roman"/>
          <w:color w:val="000000"/>
          <w:sz w:val="24"/>
        </w:rPr>
        <w:t xml:space="preserve"> có diện tích, hình dáng, mặt tiền tương đồng với tài sản số 01. Do đó, tổ thẩm đị</w:t>
      </w:r>
      <w:r>
        <w:rPr>
          <w:rFonts w:ascii="Times New Roman" w:hAnsi="Times New Roman" w:eastAsia="Times New Roman" w:cs="Times New Roman"/>
          <w:color w:val="000000"/>
          <w:sz w:val="24"/>
        </w:rPr>
        <w:t xml:space="preserve">nh xác định đơn giá của tài sản  02, bằng với đơn giá của tài sản 01 là </w:t>
      </w:r>
      <w:r>
        <w:rPr>
          <w:rFonts w:ascii="Times New Roman" w:hAnsi="Times New Roman" w:eastAsia="Times New Roman" w:cs="Times New Roman"/>
          <w:b/>
          <w:color w:val="000000"/>
          <w:sz w:val="24"/>
        </w:rPr>
        <w:t xml:space="preserve">138.000.000 đồng/m².</w:t>
      </w:r>
      <w:r/>
    </w:p>
    <w:p>
      <w:pPr>
        <w:pBdr/>
        <w:spacing w:after="120" w:before="120" w:line="276" w:lineRule="auto"/>
        <w:ind/>
        <w:jc w:val="both"/>
        <w:rPr>
          <w:b/>
          <w:bCs/>
        </w:rPr>
      </w:pPr>
      <w:r>
        <w:rPr>
          <w:b/>
          <w:bCs/>
          <w:highlight w:val="none"/>
        </w:rPr>
      </w:r>
      <w:r>
        <w:rPr>
          <w:b/>
          <w:bCs/>
        </w:rPr>
      </w:r>
      <w:r>
        <w:rPr>
          <w:b/>
          <w:bCs/>
        </w:rPr>
      </w:r>
    </w:p>
    <w:p>
      <w:pPr>
        <w:pStyle w:val="1051"/>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Bdr/>
        <w:spacing w:after="120" w:before="120" w:line="276" w:lineRule="auto"/>
        <w:ind w:firstLine="0" w:left="357"/>
        <w:jc w:val="both"/>
        <w:rPr>
          <w:b/>
          <w:bCs/>
          <w:highlight w:val="none"/>
        </w:rPr>
      </w:pPr>
      <w:r>
        <w:rPr>
          <w:b/>
          <w:bCs/>
          <w:highlight w:val="none"/>
        </w:rPr>
        <w:t xml:space="preserve">Tài sản 01:</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w:t>
      </w:r>
      <w:r/>
      <w:r>
        <w:rPr>
          <w:rFonts w:ascii="Times New Roman" w:hAnsi="Times New Roman" w:eastAsia="Times New Roman" w:cs="Times New Roman"/>
          <w:b/>
          <w:color w:val="000000"/>
          <w:sz w:val="24"/>
        </w:rPr>
        <w:t xml:space="preserve">Xác định đơn giá của công trình xây dựng</w:t>
      </w:r>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color w:val="000000"/>
          <w:sz w:val="24"/>
          <w:highlight w:val="white"/>
        </w:rPr>
        <w:t xml:space="preserve">Qua tham khảo thị trường về đơn giá xây dựng mới đối với công trình Nhà 05 tầng, cân nhắc và xem xét với mức độ hoàn thiện của công trình xây dựng hiện có, Tổ thẩm định nhận thấy đơn giá vận dụng theo Quyết định số 425/QĐ-BXD ngày 30/3/2026 của Bộ Xây dựng</w:t>
      </w:r>
      <w:r>
        <w:rPr>
          <w:rFonts w:ascii="Times New Roman" w:hAnsi="Times New Roman" w:eastAsia="Times New Roman" w:cs="Times New Roman"/>
          <w:color w:val="000000"/>
          <w:sz w:val="24"/>
          <w:highlight w:val="white"/>
        </w:rPr>
        <w:t xml:space="preserve"> về việc Công bố suất vốn đầu tư xây dựng công trình và giá xây dựng tổng hợp bộ phận kết cấu công trình năm 2025 là khá phù hợp với thị trường, theo đó:</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highlight w:val="white"/>
        </w:rPr>
        <w:t xml:space="preserve">“Suất vốn đầu tư xây dựng Nhà từ 4 đến 5 tầng, kết cấu khung chịu lực BTCT; tường bao xây gạch; sàn, mái BTCT đổ tại chỗ, không có tầng hầm, diện tích xây dựng từ 90 – dưới 140m² có đơn giá là </w:t>
      </w:r>
      <w:r>
        <w:rPr>
          <w:rFonts w:ascii="Times New Roman" w:hAnsi="Times New Roman" w:eastAsia="Times New Roman" w:cs="Times New Roman"/>
          <w:b/>
          <w:i/>
          <w:color w:val="000000"/>
          <w:sz w:val="24"/>
          <w:highlight w:val="white"/>
        </w:rPr>
        <w:t xml:space="preserve">7.630.000 </w:t>
      </w:r>
      <w:r>
        <w:rPr>
          <w:rFonts w:ascii="Times New Roman" w:hAnsi="Times New Roman" w:eastAsia="Times New Roman" w:cs="Times New Roman"/>
          <w:i/>
          <w:color w:val="000000"/>
          <w:sz w:val="24"/>
          <w:highlight w:val="white"/>
        </w:rPr>
        <w:t xml:space="preserve">đồng/m² sàn.”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Hệ số điều chỉnh vùng cho Suất đầu tư: Tỉnh Bắc Ninh thuộc vùng 2 có hệ số điều chỉnh là </w:t>
      </w:r>
      <w:r>
        <w:rPr>
          <w:rFonts w:ascii="Times New Roman" w:hAnsi="Times New Roman" w:eastAsia="Times New Roman" w:cs="Times New Roman"/>
          <w:b/>
          <w:i/>
          <w:color w:val="000000"/>
          <w:sz w:val="24"/>
        </w:rPr>
        <w:t xml:space="preserve">0,948</w:t>
      </w:r>
      <w:r>
        <w:rPr>
          <w:rFonts w:ascii="Times New Roman" w:hAnsi="Times New Roman" w:eastAsia="Times New Roman" w:cs="Times New Roman"/>
          <w:i/>
          <w:color w:val="000000"/>
          <w:sz w:val="24"/>
        </w:rPr>
        <w:t xml:space="preserve">.”</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i/>
          <w:color w:val="000000"/>
          <w:sz w:val="24"/>
        </w:rPr>
        <w:t xml:space="preserve">Do đó, Tổ thẩm định xác định đơn giá xây mới của công trình xây dựng là: (Suất đầu tư xây dựng) x (Hệ số vùng) = 7.630.000 x 0,948 = </w:t>
      </w:r>
      <w:r>
        <w:rPr>
          <w:rFonts w:ascii="Times New Roman" w:hAnsi="Times New Roman" w:eastAsia="Times New Roman" w:cs="Times New Roman"/>
          <w:b/>
          <w:i/>
          <w:color w:val="000000"/>
          <w:sz w:val="24"/>
        </w:rPr>
        <w:t xml:space="preserve">7.233.240</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đồng</w:t>
      </w:r>
      <w:r>
        <w:rPr>
          <w:rFonts w:ascii="Times New Roman" w:hAnsi="Times New Roman" w:eastAsia="Times New Roman" w:cs="Times New Roman"/>
          <w:i/>
          <w:color w:val="000000"/>
          <w:sz w:val="24"/>
        </w:rPr>
        <w:t xml:space="preserve">/m² sàn. </w:t>
      </w:r>
      <w:r/>
    </w:p>
    <w:p>
      <w:pPr>
        <w:numPr>
          <w:ilvl w:val="0"/>
          <w:numId w:val="47"/>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highlight w:val="white"/>
        </w:rPr>
      </w:pPr>
      <w:r>
        <w:rPr>
          <w:rFonts w:ascii="Times New Roman" w:hAnsi="Times New Roman" w:eastAsia="Times New Roman" w:cs="Times New Roman"/>
          <w:color w:val="000000"/>
          <w:spacing w:val="2"/>
          <w:sz w:val="24"/>
        </w:rPr>
        <w:t xml:space="preserve">Tổ thẩm định giả định rằng công trình xây dựng trong khoảng thời gian trích khấu hao được duy tu, sửa chữa định kỳ và đúng quy trình nên tuổi đời </w:t>
      </w:r>
      <w:r>
        <w:rPr>
          <w:rFonts w:ascii="Times New Roman" w:hAnsi="Times New Roman" w:eastAsia="Times New Roman" w:cs="Times New Roman"/>
          <w:color w:val="000000"/>
          <w:spacing w:val="2"/>
          <w:sz w:val="24"/>
          <w:highlight w:val="white"/>
        </w:rPr>
        <w:t xml:space="preserve">hiệu quả bằng tuổi đời thực tế. Theo thông tin khách hàng cung cấp, công trình xây dựng được ho</w:t>
      </w:r>
      <w:r>
        <w:rPr>
          <w:rFonts w:ascii="Times New Roman" w:hAnsi="Times New Roman" w:eastAsia="Times New Roman" w:cs="Times New Roman"/>
          <w:color w:val="000000"/>
          <w:spacing w:val="2"/>
          <w:sz w:val="24"/>
          <w:highlight w:val="white"/>
        </w:rPr>
        <w:t xml:space="preserve">àn thành năm 2018</w:t>
      </w:r>
      <w:r>
        <w:rPr>
          <w:rFonts w:ascii="Times New Roman" w:hAnsi="Times New Roman" w:eastAsia="Times New Roman" w:cs="Times New Roman"/>
          <w:color w:val="000000"/>
          <w:spacing w:val="2"/>
          <w:sz w:val="24"/>
          <w:highlight w:val="white"/>
        </w:rPr>
        <w:t xml:space="preserve">, do đó, Tổ thẩm định ước tính tuổi đời hiệu quả của công trình là khoảng 8 năm</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pPr>
      <w:r>
        <w:rPr>
          <w:rFonts w:ascii="Times New Roman" w:hAnsi="Times New Roman" w:eastAsia="Times New Roman" w:cs="Times New Roman"/>
          <w:color w:val="000000"/>
          <w:sz w:val="24"/>
          <w:highlight w:val="white"/>
        </w:rPr>
        <w:t xml:space="preserve">Vận dụng khung thời gian trích khấu hao TSCĐ tại Thông tư</w:t>
      </w:r>
      <w:r>
        <w:rPr>
          <w:rFonts w:ascii="Times New Roman" w:hAnsi="Times New Roman" w:eastAsia="Times New Roman" w:cs="Times New Roman"/>
          <w:color w:val="000000"/>
          <w:sz w:val="24"/>
        </w:rPr>
        <w:t xml:space="preserve"> 45/2013/TT-BTC ngày 25/4/2013 của Bộ Tài chính về việc hướng dẫn chế độ quản lý, sử dụng và trích khấu hao tài sản cố định, kết hợp với khảo sát thông tin thị trường và quan sát hiện trạng thực tế c</w:t>
      </w:r>
      <w:r>
        <w:rPr>
          <w:rFonts w:ascii="Times New Roman" w:hAnsi="Times New Roman" w:eastAsia="Times New Roman" w:cs="Times New Roman"/>
          <w:color w:val="000000"/>
          <w:sz w:val="24"/>
        </w:rPr>
        <w:t xml:space="preserve">ông trình, Tổ thẩm định xác định tuổi đời kinh tế của tài sản thẩm định là 50 năm. </w:t>
      </w:r>
      <w:r/>
    </w:p>
    <w:tbl>
      <w:tblPr>
        <w:tblStyle w:val="105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67"/>
        <w:gridCol w:w="1868"/>
        <w:gridCol w:w="2085"/>
        <w:gridCol w:w="2086"/>
        <w:gridCol w:w="2086"/>
        <w:gridCol w:w="2085"/>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8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Tên tài sản</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6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Năm xây dựng hoàn thành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Thời điểm thẩm định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Tuổi đời kinh tế (năm)</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Tuổi đời hiệu quả (năm)</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Tỉ lệ hao mòn (%)</w:t>
            </w:r>
            <w:r>
              <w:rPr>
                <w:color w:val="000000" w:themeColor="text1"/>
              </w:rPr>
            </w:r>
            <w:r>
              <w:rPr>
                <w:color w:val="000000" w:themeColor="text1"/>
              </w:rP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18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Nhà 5 tầng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86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2018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2026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16%</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bl>
      <w:tblPr>
        <w:tblStyle w:val="105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2160"/>
      </w:tblGrid>
      <w:tr>
        <w:trPr>
          <w:trHeight w:val="312"/>
        </w:trPr>
        <w:tc>
          <w:tcPr>
            <w:tcBorders/>
            <w:tcMar>
              <w:left w:w="0" w:type="dxa"/>
              <w:top w:w="0" w:type="dxa"/>
              <w:right w:w="0" w:type="dxa"/>
              <w:bottom w:w="0" w:type="dxa"/>
            </w:tcMar>
            <w:tcW w:w="12160" w:type="dxa"/>
            <w:vAlign w:val="center"/>
            <w:textDirection w:val="lrTb"/>
            <w:noWrap/>
          </w:tcPr>
          <w:p>
            <w:pPr>
              <w:pBdr/>
              <w:shd w:val="nil" w:color="auto"/>
              <w:spacing/>
              <w:ind/>
              <w:rPr>
                <w:color w:val="000000" w:themeColor="text1"/>
                <w14:ligatures w14:val="none"/>
              </w:rPr>
            </w:pPr>
            <w:r>
              <w:rPr>
                <w:color w:val="000000" w:themeColor="text1"/>
              </w:rPr>
              <w:t xml:space="preserve">Tổ thẩm định xác định tỉ lệ hao mòn của tài sản thẩm định là: 16%, tương đương tỷ lệ chất lượng còn lại của tài sản là: 84%</w:t>
            </w:r>
            <w:r>
              <w:rPr>
                <w:color w:val="000000" w:themeColor="text1"/>
                <w14:ligatures w14:val="none"/>
              </w:rPr>
            </w:r>
            <w:r>
              <w:rPr>
                <w:color w:val="000000" w:themeColor="text1"/>
                <w14:ligatures w14:val="none"/>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numPr>
          <w:ilvl w:val="0"/>
          <w:numId w:val="48"/>
        </w:numPr>
        <w:pBdr>
          <w:top w:val="none" w:color="000000" w:sz="4" w:space="0"/>
          <w:left w:val="none" w:color="000000" w:sz="4" w:space="0"/>
          <w:bottom w:val="none" w:color="000000" w:sz="4" w:space="0"/>
          <w:right w:val="none" w:color="000000" w:sz="4" w:space="0"/>
        </w:pBdr>
        <w:spacing w:after="120" w:before="120" w:line="276"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của công trình xây dựng trên đất:</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Công thức:</w:t>
      </w:r>
      <w:r>
        <w:rPr>
          <w:color w:val="000000" w:themeColor="text1"/>
        </w:rPr>
      </w:r>
      <w:r>
        <w:rPr>
          <w:color w:val="000000" w:themeColor="text1"/>
        </w:rPr>
      </w:r>
    </w:p>
    <w:tbl>
      <w:tblPr>
        <w:tblStyle w:val="1055"/>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2"/>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Giá trị ước tính của tài sản</w:t>
            </w:r>
            <w:r>
              <w:rPr>
                <w:color w:val="000000" w:themeColor="text1"/>
              </w:rPr>
            </w:r>
            <w:r>
              <w:rPr>
                <w:color w:val="000000" w:themeColor="text1"/>
              </w:rP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36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Chi phí thay thế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color w:val="000000" w:themeColor="text1"/>
              </w:rPr>
            </w:pPr>
            <w:r>
              <w:rPr>
                <w:rFonts w:ascii="Times New Roman" w:hAnsi="Times New Roman" w:eastAsia="Times New Roman" w:cs="Times New Roman"/>
                <w:color w:val="000000" w:themeColor="text1"/>
                <w:sz w:val="24"/>
              </w:rPr>
              <w:t xml:space="preserve">(Giá trị xây mới tài sản-đã bao gồm lợi nhuận của nhà sản xuất/nhà đầu tư)</w:t>
            </w:r>
            <w:r>
              <w:rPr>
                <w:color w:val="000000" w:themeColor="text1"/>
              </w:rPr>
            </w:r>
            <w:r>
              <w:rPr>
                <w:color w:val="000000" w:themeColor="text1"/>
              </w:rP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Tổng giá trị hao mòn </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bl>
      <w:tblPr>
        <w:tblStyle w:val="105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451"/>
        <w:gridCol w:w="1276"/>
        <w:gridCol w:w="1510"/>
        <w:gridCol w:w="1991"/>
        <w:gridCol w:w="1602"/>
        <w:gridCol w:w="1708"/>
      </w:tblGrid>
      <w:tr>
        <w:trPr>
          <w:trHeight w:val="936"/>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45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Diện tích sàn</w:t>
              <w:br/>
              <w:t xml:space="preserve"> (m²</w:t>
            </w:r>
            <w:r>
              <w:rPr>
                <w:rFonts w:ascii="Times New Roman" w:hAnsi="Times New Roman" w:eastAsia="Times New Roman" w:cs="Times New Roman"/>
                <w:b/>
                <w:color w:val="000000" w:themeColor="text1"/>
                <w:sz w:val="28"/>
              </w:rPr>
              <w:t xml:space="preserve">)</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Đơn giá xây dựng mới (đồng/m²)</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9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Chi phí thay thế (đồng)</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hao mòn (đồng)</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0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thẩm định tại thời điểm thẩm định giá (đồng)</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145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1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 = (2) * (3)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0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 = (4) - (5)</w:t>
            </w:r>
            <w:r>
              <w:rPr>
                <w:color w:val="000000" w:themeColor="text1"/>
              </w:rPr>
            </w:r>
            <w:r>
              <w:rPr>
                <w:color w:val="000000" w:themeColor="text1"/>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5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Nhà 5 tầng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487,50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51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7.233.240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99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3.526.204.500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60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564.192.720</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70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2.962.011.780</w:t>
            </w:r>
            <w:r>
              <w:rPr>
                <w:color w:val="000000" w:themeColor="text1"/>
              </w:rPr>
            </w:r>
            <w:r>
              <w:rPr>
                <w:color w:val="000000" w:themeColor="text1"/>
              </w:rPr>
            </w:r>
          </w:p>
        </w:tc>
      </w:tr>
    </w:tbl>
    <w:p>
      <w:pPr>
        <w:pStyle w:val="1051"/>
        <w:pBdr/>
        <w:spacing w:after="120" w:before="120" w:line="276" w:lineRule="auto"/>
        <w:ind w:left="0"/>
        <w:jc w:val="both"/>
        <w:rPr>
          <w:b/>
          <w:bCs/>
          <w:color w:val="000000" w:themeColor="text1"/>
          <w:highlight w:val="none"/>
        </w:rPr>
      </w:pPr>
      <w:r>
        <w:rPr>
          <w:b/>
          <w:bCs/>
          <w:color w:val="000000" w:themeColor="text1"/>
        </w:rPr>
        <w:t xml:space="preserve">Tài sản 02</w:t>
      </w:r>
      <w:r>
        <w:rPr>
          <w:b/>
          <w:bCs/>
          <w:color w:val="000000" w:themeColor="text1"/>
        </w:rPr>
        <w:t xml:space="preserve">:</w:t>
      </w:r>
      <w:r>
        <w:rPr>
          <w:b/>
          <w:bCs/>
          <w:color w:val="000000" w:themeColor="text1"/>
          <w:highlight w:val="none"/>
        </w:rPr>
      </w:r>
      <w:r>
        <w:rPr>
          <w:b/>
          <w:bCs/>
          <w:color w:val="000000" w:themeColor="text1"/>
          <w:highlight w:val="none"/>
        </w:rPr>
      </w:r>
    </w:p>
    <w:p>
      <w:pPr>
        <w:numPr>
          <w:ilvl w:val="0"/>
          <w:numId w:val="49"/>
        </w:numPr>
        <w:pBdr>
          <w:top w:val="none" w:color="000000" w:sz="4" w:space="0"/>
          <w:left w:val="none" w:color="000000" w:sz="4" w:space="0"/>
          <w:bottom w:val="none" w:color="000000" w:sz="4" w:space="0"/>
          <w:right w:val="none" w:color="000000" w:sz="4" w:space="0"/>
        </w:pBdr>
        <w:spacing w:after="120" w:before="120" w:line="312" w:lineRule="auto"/>
        <w:ind/>
        <w:jc w:val="both"/>
        <w:rPr>
          <w:color w:val="000000" w:themeColor="text1"/>
        </w:rPr>
      </w:pPr>
      <w:r>
        <w:rPr>
          <w:rFonts w:ascii="Times New Roman" w:hAnsi="Times New Roman" w:eastAsia="Times New Roman" w:cs="Times New Roman"/>
          <w:b/>
          <w:color w:val="000000" w:themeColor="text1"/>
          <w:sz w:val="24"/>
        </w:rPr>
        <w:t xml:space="preserve">Xác định đơn giá của công trình xây dựng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color w:val="000000" w:themeColor="text1"/>
          <w:sz w:val="24"/>
          <w:highlight w:val="white"/>
        </w:rPr>
        <w:t xml:space="preserve">Qua tham khảo thị trường về đơn giá xây dựng mới đối với công trình Nhà 05 tầng, cân nhắc và xem xét với mức độ hoà</w:t>
      </w:r>
      <w:r>
        <w:rPr>
          <w:rFonts w:ascii="Times New Roman" w:hAnsi="Times New Roman" w:eastAsia="Times New Roman" w:cs="Times New Roman"/>
          <w:color w:val="000000"/>
          <w:sz w:val="24"/>
          <w:highlight w:val="white"/>
        </w:rPr>
        <w:t xml:space="preserve">n thiện của công trình xây dựng hiện có, Tổ thẩm định nhận thấy đơn giá vận dụng theo Quyết định số 425/QĐ-BXD ngày 30/3/2026 của Bộ Xây dựng</w:t>
      </w:r>
      <w:r>
        <w:rPr>
          <w:rFonts w:ascii="Times New Roman" w:hAnsi="Times New Roman" w:eastAsia="Times New Roman" w:cs="Times New Roman"/>
          <w:color w:val="000000"/>
          <w:sz w:val="24"/>
          <w:highlight w:val="white"/>
        </w:rPr>
        <w:t xml:space="preserve"> về việc Công bố suất vốn đầu tư xây dựng công trình và giá xây dựng tổng hợp bộ phận kết cấu công trình năm 2025 là khá phù hợp với thị trường, theo đó:</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highlight w:val="white"/>
        </w:rPr>
        <w:t xml:space="preserve">“Suất vốn đầu tư xây dựng Nhà từ 4 đến 5 tầng, kết cấu khung chịu lực BTCT; tường bao xây gạch; sàn, mái BTCT đổ tại chỗ, không có tầng hầm, diện tích xây dựng từ 90 – dưới 140m² có đơn giá là </w:t>
      </w:r>
      <w:r>
        <w:rPr>
          <w:rFonts w:ascii="Times New Roman" w:hAnsi="Times New Roman" w:eastAsia="Times New Roman" w:cs="Times New Roman"/>
          <w:b/>
          <w:i/>
          <w:color w:val="000000"/>
          <w:sz w:val="24"/>
          <w:highlight w:val="white"/>
        </w:rPr>
        <w:t xml:space="preserve">7.630.000 </w:t>
      </w:r>
      <w:r>
        <w:rPr>
          <w:rFonts w:ascii="Times New Roman" w:hAnsi="Times New Roman" w:eastAsia="Times New Roman" w:cs="Times New Roman"/>
          <w:i/>
          <w:color w:val="000000"/>
          <w:sz w:val="24"/>
          <w:highlight w:val="white"/>
        </w:rPr>
        <w:t xml:space="preserve">đồng/m² sàn.”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Hệ số điều chỉnh vùng cho Suất đầu tư: Tỉnh Bắc Ninh thuộc vùng 2 có hệ số điều chỉnh là </w:t>
      </w:r>
      <w:r>
        <w:rPr>
          <w:rFonts w:ascii="Times New Roman" w:hAnsi="Times New Roman" w:eastAsia="Times New Roman" w:cs="Times New Roman"/>
          <w:b/>
          <w:i/>
          <w:color w:val="000000"/>
          <w:sz w:val="24"/>
        </w:rPr>
        <w:t xml:space="preserve">0,948</w:t>
      </w:r>
      <w:r>
        <w:rPr>
          <w:rFonts w:ascii="Times New Roman" w:hAnsi="Times New Roman" w:eastAsia="Times New Roman" w:cs="Times New Roman"/>
          <w:i/>
          <w:color w:val="000000"/>
          <w:sz w:val="24"/>
        </w:rPr>
        <w:t xml:space="preserve">.”</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i/>
          <w:color w:val="000000"/>
          <w:sz w:val="24"/>
        </w:rPr>
        <w:t xml:space="preserve">Do đó, Tổ thẩm định xác định đơn giá xây mới của công trình xây dựng là: (Suất đầu tư xây dựng) x (Hệ số vùng) = 7.630.000 x 0,948 = </w:t>
      </w:r>
      <w:r>
        <w:rPr>
          <w:rFonts w:ascii="Times New Roman" w:hAnsi="Times New Roman" w:eastAsia="Times New Roman" w:cs="Times New Roman"/>
          <w:b/>
          <w:i/>
          <w:color w:val="000000"/>
          <w:sz w:val="24"/>
        </w:rPr>
        <w:t xml:space="preserve">7.233.240</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đồng</w:t>
      </w:r>
      <w:r>
        <w:rPr>
          <w:rFonts w:ascii="Times New Roman" w:hAnsi="Times New Roman" w:eastAsia="Times New Roman" w:cs="Times New Roman"/>
          <w:i/>
          <w:color w:val="000000"/>
          <w:sz w:val="24"/>
        </w:rPr>
        <w:t xml:space="preserve">/m² sàn. </w:t>
      </w:r>
      <w:r/>
    </w:p>
    <w:p>
      <w:pPr>
        <w:numPr>
          <w:ilvl w:val="0"/>
          <w:numId w:val="5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highlight w:val="yellow"/>
        </w:rPr>
      </w:pPr>
      <w:r>
        <w:rPr>
          <w:rFonts w:ascii="Times New Roman" w:hAnsi="Times New Roman" w:eastAsia="Times New Roman" w:cs="Times New Roman"/>
          <w:color w:val="000000"/>
          <w:spacing w:val="2"/>
          <w:sz w:val="24"/>
        </w:rPr>
        <w:t xml:space="preserve">Tổ thẩm định giả định rằng công trình xây dựng trong khoảng thời gian trích khấu hao được </w:t>
      </w:r>
      <w:r>
        <w:rPr>
          <w:rFonts w:ascii="Times New Roman" w:hAnsi="Times New Roman" w:eastAsia="Times New Roman" w:cs="Times New Roman"/>
          <w:color w:val="000000"/>
          <w:spacing w:val="2"/>
          <w:sz w:val="24"/>
          <w:highlight w:val="white"/>
        </w:rPr>
        <w:t xml:space="preserve">duy tu, sửa chữa định kỳ và đúng quy trình nên tuổi đời hiệu quả bằng tuổi đời thực tế. Theo thông tin khách hàng cung cấp, công trình xây dựng đư</w:t>
      </w:r>
      <w:r>
        <w:rPr>
          <w:rFonts w:ascii="Times New Roman" w:hAnsi="Times New Roman" w:eastAsia="Times New Roman" w:cs="Times New Roman"/>
          <w:color w:val="000000"/>
          <w:spacing w:val="2"/>
          <w:sz w:val="24"/>
          <w:highlight w:val="white"/>
        </w:rPr>
        <w:t xml:space="preserve">ợc hoàn thành năm 2018</w:t>
      </w:r>
      <w:r>
        <w:rPr>
          <w:rFonts w:ascii="Times New Roman" w:hAnsi="Times New Roman" w:eastAsia="Times New Roman" w:cs="Times New Roman"/>
          <w:color w:val="000000"/>
          <w:spacing w:val="2"/>
          <w:sz w:val="24"/>
          <w:highlight w:val="white"/>
        </w:rPr>
        <w:t xml:space="preserve">, do đó, Tổ thẩm định ước tính tuổi đời hiệu quả của công trình là khoảng 8 năm</w:t>
      </w:r>
      <w:r>
        <w:rPr>
          <w:highlight w:val="yellow"/>
        </w:rPr>
      </w:r>
      <w:r>
        <w:rPr>
          <w:highlight w:val="yellow"/>
        </w:rPr>
      </w:r>
    </w:p>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pPr>
      <w:r>
        <w:rPr>
          <w:rFonts w:ascii="Times New Roman" w:hAnsi="Times New Roman" w:eastAsia="Times New Roman" w:cs="Times New Roman"/>
          <w:color w:val="000000"/>
          <w:sz w:val="24"/>
        </w:rPr>
        <w:t xml:space="preserve">Vận dụng khung thời gian trích khấu hao TSCĐ tại Thông tư 45/2013/TT-BTC ngày 25/4/2013 của Bộ Tài chính về việc hướng dẫn chế độ quản lý, sử dụng và trích khấu hao tài sản cố định, kết hợp với khảo sát thông tin thị trường và quan sát hiện trạng thực tế c</w:t>
      </w:r>
      <w:r>
        <w:rPr>
          <w:rFonts w:ascii="Times New Roman" w:hAnsi="Times New Roman" w:eastAsia="Times New Roman" w:cs="Times New Roman"/>
          <w:color w:val="000000"/>
          <w:sz w:val="24"/>
        </w:rPr>
        <w:t xml:space="preserve">ông trình, Tổ thẩm định xác định tuổi đời kinh tế của tài sản thẩm định là 50 năm. </w:t>
      </w:r>
      <w:r/>
    </w:p>
    <w:tbl>
      <w:tblPr>
        <w:tblStyle w:val="105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67"/>
        <w:gridCol w:w="1868"/>
        <w:gridCol w:w="2085"/>
        <w:gridCol w:w="2086"/>
        <w:gridCol w:w="2086"/>
        <w:gridCol w:w="2085"/>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8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Tên tài sản</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6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Năm xây dựng hoàn thành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Thời điểm thẩm định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Tuổi đời kinh tế (năm)</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Tuổi đời hiệu quả (năm)</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Tỉ lệ hao mòn (%)</w:t>
            </w:r>
            <w:r>
              <w:rPr>
                <w:color w:val="000000" w:themeColor="text1"/>
              </w:rPr>
            </w:r>
            <w:r>
              <w:rPr>
                <w:color w:val="000000" w:themeColor="text1"/>
              </w:rP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186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Nhà 5 tầng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86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2018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2026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08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16%</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60" w:before="60" w:line="360" w:lineRule="auto"/>
        <w:ind w:right="0" w:firstLine="426" w:left="0"/>
        <w:jc w:val="both"/>
        <w:rPr/>
      </w:pPr>
      <w:r>
        <w:rPr>
          <w:rFonts w:ascii="Times New Roman" w:hAnsi="Times New Roman" w:eastAsia="Times New Roman" w:cs="Times New Roman"/>
          <w:color w:val="000000"/>
          <w:sz w:val="24"/>
          <w:highlight w:val="white"/>
        </w:rPr>
        <w:t xml:space="preserve">Tổ thẩm định xác định tỉ lệ hao mòn của tài sản thẩm định là: 16%, theo đó tỷ lệ chất lượng còn lại của tài sản là: </w:t>
      </w:r>
      <w:r>
        <w:rPr>
          <w:rFonts w:ascii="Times New Roman" w:hAnsi="Times New Roman" w:eastAsia="Times New Roman" w:cs="Times New Roman"/>
          <w:b/>
          <w:color w:val="000000"/>
          <w:sz w:val="24"/>
          <w:highlight w:val="white"/>
        </w:rPr>
        <w:t xml:space="preserve">84%</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rPr>
      </w:r>
      <w:r/>
    </w:p>
    <w:p>
      <w:pPr>
        <w:numPr>
          <w:ilvl w:val="0"/>
          <w:numId w:val="5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55"/>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2"/>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5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162"/>
        <w:gridCol w:w="1427"/>
        <w:gridCol w:w="1644"/>
        <w:gridCol w:w="1890"/>
        <w:gridCol w:w="1701"/>
        <w:gridCol w:w="1702"/>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42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Diện tích sàn</w:t>
              <w:br/>
              <w:t xml:space="preserve"> (m²</w:t>
            </w:r>
            <w:r>
              <w:rPr>
                <w:rFonts w:ascii="Times New Roman" w:hAnsi="Times New Roman" w:eastAsia="Times New Roman" w:cs="Times New Roman"/>
                <w:b/>
                <w:color w:val="000000" w:themeColor="text1"/>
                <w:sz w:val="28"/>
              </w:rPr>
              <w:t xml:space="preserve">)</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64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Đơn giá xây dựng mới (đồng/m²)</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Chi phí thay thế (đồng)</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hao mòn (đồng)</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thẩm định tại thời điểm thẩm định giá (đồng)</w:t>
            </w:r>
            <w:r>
              <w:rPr>
                <w:color w:val="000000" w:themeColor="text1"/>
              </w:rPr>
            </w:r>
            <w:r>
              <w:rPr>
                <w:color w:val="000000" w:themeColor="text1"/>
              </w:rPr>
            </w:r>
          </w:p>
        </w:tc>
      </w:tr>
      <w:tr>
        <w:trPr>
          <w:trHeight w:val="30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0" w:type="dxa"/>
              <w:top w:w="0" w:type="dxa"/>
              <w:right w:w="0" w:type="dxa"/>
              <w:bottom w:w="0" w:type="dxa"/>
            </w:tcMar>
            <w:tcW w:w="142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0" w:type="dxa"/>
              <w:top w:w="0" w:type="dxa"/>
              <w:right w:w="0" w:type="dxa"/>
              <w:bottom w:w="0" w:type="dxa"/>
            </w:tcMar>
            <w:tcW w:w="164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 = (2) * (3)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 = (4) - (5)</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1162"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Nhà 5 tầng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27" w:type="dxa"/>
            <w:vAlign w:val="center"/>
            <w:textDirection w:val="lrTb"/>
            <w:noWrap/>
          </w:tcPr>
          <w:p>
            <w:pPr>
              <w:pBdr/>
              <w:spacing w:after="0" w:before="0" w:line="276" w:lineRule="auto"/>
              <w:ind/>
              <w:jc w:val="left"/>
              <w:rPr>
                <w:color w:val="000000" w:themeColor="text1"/>
              </w:rPr>
            </w:pPr>
            <w:r>
              <w:rPr>
                <w:rFonts w:ascii="Times New Roman" w:hAnsi="Times New Roman" w:eastAsia="Times New Roman" w:cs="Times New Roman"/>
                <w:color w:val="000000" w:themeColor="text1"/>
                <w:sz w:val="24"/>
              </w:rPr>
              <w:t xml:space="preserve">     487,50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644"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7.233.240</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890"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3.526.204.500</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701" w:type="dxa"/>
            <w:vAlign w:val="center"/>
            <w:textDirection w:val="lrTb"/>
            <w:noWrap/>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564.192.720</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spacing w:after="0" w:before="0" w:line="276" w:lineRule="auto"/>
              <w:ind/>
              <w:jc w:val="center"/>
              <w:rPr>
                <w:color w:val="000000" w:themeColor="text1"/>
              </w:rPr>
            </w:pPr>
            <w:r>
              <w:rPr>
                <w:rFonts w:ascii="Times New Roman" w:hAnsi="Times New Roman" w:eastAsia="Times New Roman" w:cs="Times New Roman"/>
                <w:color w:val="000000" w:themeColor="text1"/>
                <w:sz w:val="24"/>
              </w:rPr>
              <w:t xml:space="preserve">2.962.011.780</w:t>
            </w:r>
            <w:r>
              <w:rPr>
                <w:color w:val="000000" w:themeColor="text1"/>
              </w:rPr>
            </w:r>
            <w:r>
              <w:rPr>
                <w:color w:val="000000" w:themeColor="text1"/>
              </w:rPr>
            </w:r>
          </w:p>
        </w:tc>
      </w:tr>
    </w:tbl>
    <w:p>
      <w:pPr>
        <w:pStyle w:val="1051"/>
        <w:pBdr/>
        <w:spacing w:after="120" w:before="120" w:line="276" w:lineRule="auto"/>
        <w:ind w:left="0"/>
        <w:jc w:val="both"/>
        <w:rPr>
          <w:b/>
          <w:bCs/>
        </w:rPr>
      </w:pPr>
      <w:r>
        <w:rPr>
          <w:b/>
          <w:bCs/>
          <w:highlight w:val="none"/>
        </w:rPr>
      </w:r>
      <w:r>
        <w:rPr>
          <w:b/>
          <w:bCs/>
        </w:rPr>
      </w:r>
      <w:r>
        <w:rPr>
          <w:b/>
          <w:bCs/>
        </w:rPr>
      </w:r>
    </w:p>
    <w:p>
      <w:pPr>
        <w:pStyle w:val="105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5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07/2026</w:t>
      </w:r>
      <w:r>
        <w:t xml:space="preserve"> </w:t>
      </w:r>
      <w:r>
        <w:t xml:space="preserve">ước tính </w:t>
      </w:r>
      <w:r>
        <w:t xml:space="preserve">như sau</w:t>
      </w:r>
      <w:r>
        <w:t xml:space="preserve">:</w:t>
      </w:r>
      <w:r/>
    </w:p>
    <w:tbl>
      <w:tblPr>
        <w:tblStyle w:val="105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2212"/>
        <w:gridCol w:w="1429"/>
        <w:gridCol w:w="2223"/>
        <w:gridCol w:w="1193"/>
        <w:gridCol w:w="1756"/>
      </w:tblGrid>
      <w:tr>
        <w:trPr>
          <w:trHeight w:val="86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CLCL </w:t>
              <w:br/>
              <w:t xml:space="preserve">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18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7057" w:type="dxa"/>
            <w:vAlign w:val="bottom"/>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có địa chỉ: Ô đất số TT-40, Lô OTM1-1, khu Sun Premier Village, Phường Bãi Cháy, Thành phố Hạ Long theo Giấy chứng nhận quyền sử dụng dất, quyền sở hữu nhà ở và tài sản khác gắn liền với đất số: CO</w:t>
            </w:r>
            <w:r>
              <w:rPr>
                <w:rFonts w:ascii="Times New Roman" w:hAnsi="Times New Roman" w:eastAsia="Times New Roman" w:cs="Times New Roman"/>
                <w:b/>
                <w:color w:val="000000"/>
                <w:sz w:val="24"/>
              </w:rPr>
              <w:t xml:space="preserve"> 020865, số vào sổ cấp GCN: CH 31117 do Uỷ ban Nhân dân Thành phố Hạ Long cấp ngày 21/05/2019 cho Ông Nguyễn Đình Tuấn và Bà Đoàn Thị Mai Thắm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8" w:space="0"/>
              <w:right w:val="single" w:color="000000" w:sz="8" w:space="0"/>
            </w:tcBorders>
            <w:tcMar>
              <w:left w:w="108" w:type="dxa"/>
              <w:top w:w="0" w:type="dxa"/>
              <w:right w:w="108" w:type="dxa"/>
              <w:bottom w:w="0" w:type="dxa"/>
            </w:tcMar>
            <w:tcW w:w="14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138.000.000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15.525.000.000</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5 tầng </w:t>
            </w:r>
            <w:r/>
          </w:p>
        </w:tc>
        <w:tc>
          <w:tcPr>
            <w:tcBorders>
              <w:bottom w:val="single" w:color="000000" w:sz="8" w:space="0"/>
              <w:right w:val="single" w:color="000000" w:sz="8" w:space="0"/>
            </w:tcBorders>
            <w:tcMar>
              <w:left w:w="108" w:type="dxa"/>
              <w:top w:w="0" w:type="dxa"/>
              <w:right w:w="108" w:type="dxa"/>
              <w:bottom w:w="0" w:type="dxa"/>
            </w:tcMar>
            <w:tcW w:w="14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487,5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7.233.240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2.962.011.780</w:t>
            </w:r>
            <w:r/>
          </w:p>
        </w:tc>
      </w:tr>
      <w:tr>
        <w:trPr>
          <w:trHeight w:val="160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705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có địa chỉ: Ô đất số TT-41, Lô OTM1-1, khu Sun Premier Village, Phường Bãi Cháy, Thành phố Hạ Long theo Giấy chứng nhận quyền sử dụng dất, quyền sở hữu nhà ở và tài sản khác gắn liền với đất số: CO</w:t>
            </w:r>
            <w:r>
              <w:rPr>
                <w:rFonts w:ascii="Times New Roman" w:hAnsi="Times New Roman" w:eastAsia="Times New Roman" w:cs="Times New Roman"/>
                <w:b/>
                <w:color w:val="000000"/>
                <w:sz w:val="24"/>
              </w:rPr>
              <w:t xml:space="preserve"> 020864, số vào sổ cấp GCN: CH 31116 do Uỷ ban Nhân dân Thành phố Hạ Long cấp ngày 21/05/2019 cho Ông Nguyễn Đình Tuấn và Bà Đoàn Thị Mai Thắm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0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8" w:space="0"/>
              <w:right w:val="single" w:color="000000" w:sz="8" w:space="0"/>
            </w:tcBorders>
            <w:tcMar>
              <w:left w:w="108" w:type="dxa"/>
              <w:top w:w="0" w:type="dxa"/>
              <w:right w:w="108" w:type="dxa"/>
              <w:bottom w:w="0" w:type="dxa"/>
            </w:tcMar>
            <w:tcW w:w="14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138.000.000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15.525.000.000</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5 tầng </w:t>
            </w:r>
            <w:r/>
          </w:p>
        </w:tc>
        <w:tc>
          <w:tcPr>
            <w:tcBorders>
              <w:bottom w:val="single" w:color="000000" w:sz="8" w:space="0"/>
              <w:right w:val="single" w:color="000000" w:sz="8" w:space="0"/>
            </w:tcBorders>
            <w:tcMar>
              <w:left w:w="108" w:type="dxa"/>
              <w:top w:w="0" w:type="dxa"/>
              <w:right w:w="108" w:type="dxa"/>
              <w:bottom w:w="0" w:type="dxa"/>
            </w:tcMar>
            <w:tcW w:w="14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487,5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7.233.240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2.962.011.780</w:t>
            </w:r>
            <w:r/>
          </w:p>
        </w:tc>
      </w:tr>
      <w:tr>
        <w:trPr>
          <w:trHeight w:val="312"/>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5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5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36.974.023.560</w:t>
            </w:r>
            <w:r/>
          </w:p>
        </w:tc>
      </w:tr>
      <w:tr>
        <w:trPr>
          <w:trHeight w:val="312"/>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59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5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36.974.000.000</w:t>
            </w:r>
            <w:r/>
          </w:p>
        </w:tc>
      </w:tr>
      <w:tr>
        <w:trPr>
          <w:trHeight w:val="324"/>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3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Ba mươi sáu tỷ chín trăm bảy mươi bốn triệu đồng chẵn./.)</w:t>
            </w:r>
            <w:r/>
          </w:p>
        </w:tc>
      </w:tr>
    </w:tbl>
    <w:p>
      <w:pPr>
        <w:pStyle w:val="1051"/>
        <w:pBdr/>
        <w:tabs>
          <w:tab w:val="left" w:leader="none" w:pos="993"/>
        </w:tabs>
        <w:spacing w:after="120" w:before="120" w:line="276" w:lineRule="auto"/>
        <w:ind w:left="0"/>
        <w:jc w:val="both"/>
        <w:rPr/>
      </w:pPr>
      <w:r/>
      <w:r/>
    </w:p>
    <w:p>
      <w:pPr>
        <w:pStyle w:val="1051"/>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51"/>
        <w:numPr>
          <w:ilvl w:val="0"/>
          <w:numId w:val="4"/>
        </w:numPr>
        <w:pBdr/>
        <w:tabs>
          <w:tab w:val="left" w:leader="none" w:pos="993"/>
        </w:tabs>
        <w:spacing w:after="120" w:before="120" w:line="305"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51"/>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51"/>
        <w:numPr>
          <w:ilvl w:val="0"/>
          <w:numId w:val="5"/>
        </w:numPr>
        <w:pBdr/>
        <w:tabs>
          <w:tab w:val="left" w:leader="none" w:pos="993"/>
        </w:tabs>
        <w:spacing w:after="120" w:before="120" w:line="305"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51"/>
        <w:numPr>
          <w:ilvl w:val="0"/>
          <w:numId w:val="5"/>
        </w:numPr>
        <w:pBdr/>
        <w:tabs>
          <w:tab w:val="left" w:leader="none" w:pos="993"/>
        </w:tabs>
        <w:spacing w:after="120" w:before="120" w:line="305"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51"/>
        <w:numPr>
          <w:ilvl w:val="0"/>
          <w:numId w:val="5"/>
        </w:numPr>
        <w:pBdr/>
        <w:tabs>
          <w:tab w:val="left" w:leader="none" w:pos="993"/>
        </w:tabs>
        <w:spacing w:after="120" w:before="120" w:line="305"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51"/>
        <w:numPr>
          <w:ilvl w:val="0"/>
          <w:numId w:val="5"/>
        </w:numPr>
        <w:pBdr/>
        <w:tabs>
          <w:tab w:val="left" w:leader="none" w:pos="993"/>
        </w:tabs>
        <w:spacing w:after="120" w:before="120" w:line="305"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51"/>
        <w:numPr>
          <w:ilvl w:val="0"/>
          <w:numId w:val="10"/>
        </w:numPr>
        <w:pBdr/>
        <w:spacing w:after="120" w:before="120" w:line="305"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51"/>
        <w:numPr>
          <w:ilvl w:val="0"/>
          <w:numId w:val="10"/>
        </w:numPr>
        <w:pBdr/>
        <w:spacing w:after="120" w:before="120" w:line="305"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51"/>
        <w:numPr>
          <w:ilvl w:val="0"/>
          <w:numId w:val="10"/>
        </w:numPr>
        <w:pBdr/>
        <w:spacing w:after="120" w:before="120" w:line="305"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51"/>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51"/>
        <w:numPr>
          <w:ilvl w:val="0"/>
          <w:numId w:val="5"/>
        </w:numPr>
        <w:pBdr/>
        <w:tabs>
          <w:tab w:val="left" w:leader="none" w:pos="993"/>
        </w:tabs>
        <w:spacing w:after="120" w:before="120" w:line="305"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51"/>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51"/>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51"/>
        <w:numPr>
          <w:ilvl w:val="0"/>
          <w:numId w:val="5"/>
        </w:numPr>
        <w:pBdr/>
        <w:tabs>
          <w:tab w:val="left" w:leader="none" w:pos="993"/>
        </w:tabs>
        <w:spacing w:after="120" w:before="120" w:line="305"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51"/>
        <w:numPr>
          <w:ilvl w:val="0"/>
          <w:numId w:val="5"/>
        </w:numPr>
        <w:pBdr/>
        <w:tabs>
          <w:tab w:val="left" w:leader="none" w:pos="993"/>
        </w:tabs>
        <w:spacing w:after="120" w:before="120" w:line="305"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51"/>
        <w:numPr>
          <w:ilvl w:val="0"/>
          <w:numId w:val="5"/>
        </w:numPr>
        <w:pBdr/>
        <w:tabs>
          <w:tab w:val="left" w:leader="none" w:pos="993"/>
        </w:tabs>
        <w:spacing w:after="120" w:before="120" w:line="305"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51"/>
        <w:numPr>
          <w:ilvl w:val="0"/>
          <w:numId w:val="5"/>
        </w:numPr>
        <w:pBdr/>
        <w:spacing w:after="120" w:before="120" w:line="305"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51"/>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51"/>
        <w:numPr>
          <w:ilvl w:val="0"/>
          <w:numId w:val="5"/>
        </w:numPr>
        <w:pBdr/>
        <w:tabs>
          <w:tab w:val="left" w:leader="none" w:pos="993"/>
        </w:tabs>
        <w:spacing w:after="120" w:before="120" w:line="305"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 được hoàn toàn miễn trừ mọi trách nhiệm phát sinh, liên đới (nếu có) trong trường hợp này.</w:t>
      </w:r>
      <w:r>
        <w:rPr>
          <w:lang w:val="pt-BR"/>
        </w:rPr>
      </w:r>
      <w:r>
        <w:rPr>
          <w:lang w:val="pt-BR"/>
        </w:rPr>
      </w:r>
    </w:p>
    <w:p>
      <w:pPr>
        <w:pStyle w:val="1051"/>
        <w:pBdr/>
        <w:tabs>
          <w:tab w:val="left" w:leader="none" w:pos="993"/>
        </w:tabs>
        <w:spacing w:after="120" w:before="120" w:line="305" w:lineRule="auto"/>
        <w:ind w:left="360"/>
        <w:jc w:val="both"/>
        <w:rPr>
          <w:lang w:val="pt-BR"/>
        </w:rPr>
      </w:pPr>
      <w:r>
        <w:rPr>
          <w:lang w:val="pt-BR"/>
        </w:rPr>
        <w:t xml:space="preserve">T</w:t>
      </w:r>
      <w:r>
        <w:rPr>
          <w:lang w:val="pt-BR"/>
        </w:rPr>
        <w:t xml:space="preserve">ổ thẩm định cũng không nhận được bất kì hồ sơ pháp lí nào liên quan tới </w:t>
      </w:r>
      <w:r>
        <w:rPr>
          <w:lang w:val="pt-BR"/>
        </w:rPr>
        <w:t xml:space="preserve">các </w:t>
      </w:r>
      <w:r>
        <w:rPr>
          <w:lang w:val="pt-BR"/>
        </w:rPr>
        <w:t xml:space="preserve">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Pr>
          <w:lang w:val="pt-BR"/>
        </w:rPr>
        <w:t xml:space="preserve"> </w:t>
      </w:r>
      <w:r>
        <w:rPr>
          <w:lang w:val="pt-BR"/>
        </w:rPr>
        <w:t xml:space="preserve">D</w:t>
      </w:r>
      <w:r>
        <w:rPr>
          <w:lang w:val="pt-BR"/>
        </w:rPr>
        <w:t xml:space="preserve">o vậy, theo đề nghị của Khách hàng/Ngân hàng, tổ thẩm định xác định giá trị </w:t>
      </w:r>
      <w:r>
        <w:rPr>
          <w:lang w:val="pt-BR"/>
        </w:rPr>
        <w:t xml:space="preserve">công trình theo hiện trạng</w:t>
      </w:r>
      <w:r>
        <w:rPr>
          <w:lang w:val="pt-BR"/>
        </w:rPr>
        <w:t xml:space="preserve"> với giả định thông số </w:t>
      </w:r>
      <w:r>
        <w:rPr>
          <w:lang w:val="pt-BR"/>
        </w:rPr>
        <w:t xml:space="preserve">Khách hàng cung cấp </w:t>
      </w:r>
      <w:r>
        <w:rPr>
          <w:lang w:val="pt-BR"/>
        </w:rPr>
        <w:t xml:space="preserve">là chính xác</w:t>
      </w:r>
      <w:r>
        <w:rPr>
          <w:lang w:val="pt-BR"/>
        </w:rPr>
        <w:t xml:space="preserve">, </w:t>
      </w:r>
      <w:r>
        <w:rPr>
          <w:lang w:val="nl-NL"/>
        </w:rPr>
        <w:t xml:space="preserve">giá trị công trình xây dựng chỉ mang tính chất tham khảo. Ngoài ra, Tổ thẩm định không có trách nhiệm xác </w:t>
      </w:r>
      <w:r>
        <w:rPr>
          <w:lang w:val="nl-NL"/>
        </w:rPr>
        <w:t xml:space="preserve">minh chủ sở hữu công trình xây dựng trên. Kính đề nghị đơn vị sử dụng kết quả lưu ý</w:t>
      </w:r>
      <w:r>
        <w:rPr>
          <w:lang w:val="nl-NL"/>
        </w:rPr>
        <w:t xml:space="preserve">.</w:t>
      </w:r>
      <w:r>
        <w:rPr>
          <w:lang w:val="pt-BR"/>
        </w:rPr>
      </w:r>
      <w:r>
        <w:rPr>
          <w:lang w:val="pt-BR"/>
        </w:rPr>
      </w:r>
    </w:p>
    <w:p>
      <w:pPr>
        <w:pStyle w:val="1051"/>
        <w:numPr>
          <w:ilvl w:val="0"/>
          <w:numId w:val="5"/>
        </w:numPr>
        <w:pBdr/>
        <w:tabs>
          <w:tab w:val="left" w:leader="none" w:pos="993"/>
        </w:tabs>
        <w:spacing w:after="120" w:before="120" w:line="305" w:lineRule="auto"/>
        <w:ind/>
        <w:jc w:val="both"/>
        <w:rPr>
          <w:bCs/>
          <w:spacing w:val="-2"/>
          <w:lang w:val="pt-BR"/>
        </w:rPr>
      </w:pPr>
      <w:r>
        <w:rPr>
          <w:bCs/>
          <w:spacing w:val="-2"/>
          <w:lang w:val="pt-BR"/>
        </w:rPr>
        <w:t xml:space="preserve">Tại ngày phát hành chứng thư thẩm định giá, Chúng tôi không </w:t>
      </w:r>
      <w:r>
        <w:rPr>
          <w:bCs/>
          <w:spacing w:val="-2"/>
          <w:lang w:val="pt-BR"/>
        </w:rPr>
        <w:t xml:space="preserve">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w:t>
      </w:r>
      <w:r>
        <w:rPr>
          <w:bCs/>
          <w:spacing w:val="-2"/>
          <w:lang w:val="pt-BR"/>
        </w:rPr>
        <w:t xml:space="preserve">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w:t>
      </w:r>
      <w:r>
        <w:rPr>
          <w:bCs/>
          <w:spacing w:val="-2"/>
          <w:lang w:val="pt-BR"/>
        </w:rPr>
        <w:t xml:space="preserve">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r>
        <w:rPr>
          <w:bCs/>
          <w:spacing w:val="-2"/>
          <w:lang w:val="pt-BR"/>
        </w:rPr>
      </w:r>
      <w:r>
        <w:rPr>
          <w:bCs/>
          <w:spacing w:val="-2"/>
          <w:lang w:val="pt-BR"/>
        </w:rPr>
      </w:r>
    </w:p>
    <w:p>
      <w:pPr>
        <w:pStyle w:val="1051"/>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51"/>
        <w:numPr>
          <w:ilvl w:val="0"/>
          <w:numId w:val="5"/>
        </w:numPr>
        <w:pBdr/>
        <w:tabs>
          <w:tab w:val="left" w:leader="none" w:pos="993"/>
        </w:tabs>
        <w:spacing w:after="120" w:before="120" w:line="305"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51"/>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51"/>
        <w:pBdr/>
        <w:tabs>
          <w:tab w:val="left" w:leader="none" w:pos="993"/>
        </w:tabs>
        <w:spacing w:after="120" w:before="120" w:line="305"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51"/>
        <w:pBdr/>
        <w:tabs>
          <w:tab w:val="left" w:leader="none" w:pos="993"/>
        </w:tabs>
        <w:spacing w:after="120" w:before="120" w:line="305"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pacing w:after="200" w:line="276" w:lineRule="auto"/>
        <w:ind/>
        <w:rPr>
          <w:rFonts w:ascii="Times New Roman" w:hAnsi="Times New Roman" w:cs="Times New Roman"/>
          <w:color w:val="000000" w:themeColor="text1"/>
        </w:rPr>
      </w:pPr>
      <w:r>
        <w:rPr>
          <w:lang w:val="vi-VN"/>
        </w:rPr>
        <w:t xml:space="preserve">Báo cáo kết quả thẩm định giá được phát hành 03</w:t>
      </w:r>
      <w:r>
        <w:rPr>
          <w:lang w:val="vi-VN"/>
        </w:rPr>
        <w:t xml:space="preserve"> (ba) bản chín</w:t>
      </w:r>
      <w:r>
        <w:rPr>
          <w:rFonts w:ascii="Times New Roman" w:hAnsi="Times New Roman" w:eastAsia="Times New Roman" w:cs="Times New Roman"/>
          <w:color w:val="000000" w:themeColor="text1"/>
          <w:lang w:val="vi-VN"/>
        </w:rPr>
        <w:t xml:space="preserve">h bằng tiếng Việt</w:t>
      </w:r>
      <w:r>
        <w:rPr>
          <w:rFonts w:ascii="Times New Roman" w:hAnsi="Times New Roman" w:eastAsia="Times New Roman" w:cs="Times New Roman"/>
          <w:color w:val="000000" w:themeColor="text1"/>
          <w:lang w:val="vi-VN"/>
        </w:rPr>
        <w:t xml:space="preserve"> kèm theo Chứng thư thẩm định giá số</w:t>
      </w:r>
      <w:r>
        <w:rPr>
          <w:rFonts w:ascii="Times New Roman" w:hAnsi="Times New Roman" w:eastAsia="Times New Roman" w:cs="Times New Roman"/>
          <w:color w:val="000000" w:themeColor="text1"/>
          <w:sz w:val="24"/>
        </w:rPr>
        <w:t xml:space="preserve"> 275/2026/1026/VFI-HĐTĐ.53.A </w:t>
      </w:r>
      <w:r>
        <w:rPr>
          <w:rFonts w:ascii="Times New Roman" w:hAnsi="Times New Roman" w:eastAsia="Times New Roman" w:cs="Times New Roman"/>
          <w:color w:val="000000" w:themeColor="text1"/>
          <w:lang w:val="vi-VN"/>
        </w:rPr>
        <w:t xml:space="preserve">ngày </w:t>
      </w:r>
      <w:r>
        <w:rPr>
          <w:rFonts w:ascii="Times New Roman" w:hAnsi="Times New Roman" w:eastAsia="Times New Roman" w:cs="Times New Roman"/>
          <w:color w:val="000000" w:themeColor="text1"/>
        </w:rPr>
        <w:t xml:space="preserve">ngày 07 tháng 7 năm 2026</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vi-VN"/>
        </w:rPr>
        <w:t xml:space="preserve">tại</w:t>
      </w:r>
      <w:r>
        <w:rPr>
          <w:rFonts w:ascii="Times New Roman" w:hAnsi="Times New Roman" w:eastAsia="Times New Roman" w:cs="Times New Roman"/>
          <w:color w:val="000000" w:themeColor="text1"/>
          <w:lang w:val="vi-VN"/>
        </w:rPr>
        <w:t xml:space="preserve"> </w:t>
      </w:r>
      <w:r>
        <w:rPr>
          <w:rFonts w:ascii="Times New Roman" w:hAnsi="Times New Roman" w:eastAsia="Times New Roman" w:cs="Times New Roman"/>
          <w:color w:val="000000" w:themeColor="text1"/>
          <w:lang w:val="vi-VN"/>
        </w:rPr>
        <w:t xml:space="preserve">Công ty Cổ phần Thẩm định và Đầu tư Tài chính Hoa Sen</w:t>
      </w:r>
      <w:r>
        <w:rPr>
          <w:rFonts w:ascii="Times New Roman" w:hAnsi="Times New Roman" w:eastAsia="Times New Roman" w:cs="Times New Roman"/>
          <w:color w:val="000000" w:themeColor="text1"/>
          <w:lang w:val="vi-VN"/>
        </w:rPr>
        <w:t xml:space="preserve">.</w:t>
      </w:r>
      <w:r>
        <w:rPr>
          <w:rFonts w:ascii="Times New Roman" w:hAnsi="Times New Roman" w:cs="Times New Roman"/>
          <w:color w:val="000000" w:themeColor="text1"/>
        </w:rPr>
      </w:r>
      <w:r>
        <w:rPr>
          <w:rFonts w:ascii="Times New Roman" w:hAnsi="Times New Roman" w:cs="Times New Roman"/>
          <w:color w:val="000000" w:themeColor="text1"/>
        </w:rPr>
      </w:r>
    </w:p>
    <w:tbl>
      <w:tblPr>
        <w:tblW w:w="4806" w:type="pct"/>
        <w:tblBorders/>
        <w:tblLayout w:type="fixed"/>
        <w:tblLook w:val="01E0" w:firstRow="1" w:lastRow="1" w:firstColumn="1" w:lastColumn="1" w:noHBand="0" w:noVBand="0"/>
      </w:tblPr>
      <w:tblGrid>
        <w:gridCol w:w="4955"/>
        <w:gridCol w:w="4408"/>
      </w:tblGrid>
      <w:tr>
        <w:trPr>
          <w:trHeight w:val="20"/>
        </w:trPr>
        <w:tc>
          <w:tcPr>
            <w:tcBorders/>
            <w:tcW w:w="4955"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408"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955"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408"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955" w:type="dxa"/>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r>
              <w:rPr>
                <w:rFonts w:eastAsia="Calibri"/>
                <w:b/>
                <w:lang w:val="pt-BR"/>
              </w:rPr>
            </w:r>
          </w:p>
          <w:p>
            <w:pPr>
              <w:pBdr/>
              <w:spacing w:line="276" w:lineRule="auto"/>
              <w:ind/>
              <w:jc w:val="center"/>
              <w:rPr>
                <w:rFonts w:eastAsia="Calibri"/>
                <w:bCs/>
                <w:lang w:val="pt-BR"/>
              </w:rPr>
            </w:pPr>
            <w:r>
              <w:rPr>
                <w:rFonts w:eastAsia="Calibri"/>
                <w:lang w:val="pt-BR"/>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4408"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rFonts w:ascii="Times New Roman" w:hAnsi="Times New Roman" w:cs="Times New Roman"/>
          <w:i/>
          <w:color w:val="000000" w:themeColor="text1"/>
        </w:rPr>
      </w:pPr>
      <w:r>
        <w:rPr>
          <w:i/>
          <w:lang w:val="pt-BR"/>
        </w:rPr>
        <w:t xml:space="preserve">(Kèm theo Báo cáo thẩm định s</w:t>
      </w:r>
      <w:r>
        <w:rPr>
          <w:rFonts w:ascii="Times New Roman" w:hAnsi="Times New Roman" w:eastAsia="Times New Roman" w:cs="Times New Roman"/>
          <w:i/>
          <w:color w:val="000000" w:themeColor="text1"/>
          <w:lang w:val="pt-BR"/>
        </w:rPr>
        <w:t xml:space="preserve">ố</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color w:val="000000" w:themeColor="text1"/>
          <w:sz w:val="24"/>
        </w:rPr>
        <w:t xml:space="preserve">275/2026/1026/VFI-HĐTĐ.53.A</w:t>
      </w:r>
      <w:r>
        <w:rPr>
          <w:rFonts w:ascii="Times New Roman" w:hAnsi="Times New Roman" w:eastAsia="Times New Roman" w:cs="Times New Roman"/>
          <w:i/>
          <w:color w:val="000000" w:themeColor="text1"/>
        </w:rPr>
        <w:t xml:space="preserve"> </w:t>
      </w:r>
      <w:r>
        <w:rPr>
          <w:rFonts w:ascii="Times New Roman" w:hAnsi="Times New Roman" w:eastAsia="Times New Roman" w:cs="Times New Roman"/>
          <w:i/>
          <w:color w:val="000000" w:themeColor="text1"/>
          <w:lang w:val="pt-BR"/>
        </w:rPr>
        <w:t xml:space="preserve">ngày </w:t>
      </w:r>
      <w:r>
        <w:rPr>
          <w:rFonts w:ascii="Times New Roman" w:hAnsi="Times New Roman" w:eastAsia="Times New Roman" w:cs="Times New Roman"/>
          <w:i/>
          <w:color w:val="000000" w:themeColor="text1"/>
          <w:lang w:val="pt-BR"/>
        </w:rPr>
        <w:t xml:space="preserve">07 tháng 7 năm 2026</w:t>
      </w:r>
      <w:r>
        <w:rPr>
          <w:rFonts w:ascii="Times New Roman" w:hAnsi="Times New Roman" w:eastAsia="Times New Roman" w:cs="Times New Roman"/>
          <w:i/>
          <w:color w:val="000000" w:themeColor="text1"/>
          <w:lang w:val="pt-BR"/>
        </w:rPr>
        <w:t xml:space="preserve"> </w:t>
      </w:r>
      <w:r>
        <w:rPr>
          <w:rFonts w:ascii="Times New Roman" w:hAnsi="Times New Roman" w:eastAsia="Times New Roman" w:cs="Times New Roman"/>
          <w:i/>
          <w:color w:val="000000" w:themeColor="text1"/>
          <w:lang w:val="pt-BR"/>
        </w:rPr>
        <w:t xml:space="preserve">của </w:t>
      </w:r>
      <w:r>
        <w:rPr>
          <w:rFonts w:ascii="Times New Roman" w:hAnsi="Times New Roman" w:cs="Times New Roman"/>
          <w:i/>
          <w:color w:val="000000" w:themeColor="text1"/>
        </w:rPr>
      </w:r>
      <w:r>
        <w:rPr>
          <w:rFonts w:ascii="Times New Roman" w:hAnsi="Times New Roman" w:cs="Times New Roman"/>
          <w:i/>
          <w:color w:val="000000" w:themeColor="text1"/>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i/>
          <w:lang w:val="pt-BR"/>
        </w:rPr>
      </w:pPr>
      <w:r>
        <w:rPr>
          <w:b/>
          <w:bCs/>
          <w:i/>
          <w:lang w:val="pt-BR"/>
        </w:rPr>
        <w:t xml:space="preserve">Tài </w:t>
      </w:r>
      <w:r>
        <w:rPr>
          <w:b/>
          <w:bCs/>
          <w:i/>
          <w:lang w:val="pt-BR"/>
        </w:rPr>
        <w:t xml:space="preserve">sản </w:t>
      </w:r>
      <w:r>
        <w:rPr>
          <w:b/>
          <w:bCs/>
          <w:i/>
          <w:lang w:val="pt-BR"/>
        </w:rPr>
        <w:t xml:space="preserve">0</w:t>
      </w:r>
      <w:r>
        <w:rPr>
          <w:b/>
          <w:bCs/>
          <w:i/>
          <w:lang w:val="pt-BR"/>
        </w:rPr>
        <w:t xml:space="preserve">1: </w:t>
      </w:r>
      <w:r>
        <w:rPr>
          <w:i/>
          <w:lang w:val="pt-BR"/>
        </w:rPr>
      </w:r>
      <w:r>
        <w:rPr>
          <w:i/>
          <w:lang w:val="pt-BR"/>
        </w:rPr>
      </w:r>
    </w:p>
    <w:tbl>
      <w:tblPr>
        <w:tblStyle w:val="105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718255" cy="229312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64763" name=""/>
                              <pic:cNvPicPr>
                                <a:picLocks noChangeAspect="1"/>
                              </pic:cNvPicPr>
                              <pic:nvPr/>
                            </pic:nvPicPr>
                            <pic:blipFill rotWithShape="1">
                              <a:blip r:embed="rId19"/>
                              <a:stretch/>
                            </pic:blipFill>
                            <pic:spPr bwMode="auto">
                              <a:xfrm flipH="0" flipV="0">
                                <a:off x="0" y="0"/>
                                <a:ext cx="1718253" cy="22931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35.30pt;height:180.56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873286" cy="249771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73377" name=""/>
                              <pic:cNvPicPr>
                                <a:picLocks noChangeAspect="1"/>
                              </pic:cNvPicPr>
                              <pic:nvPr/>
                            </pic:nvPicPr>
                            <pic:blipFill rotWithShape="1">
                              <a:blip r:embed="rId20"/>
                              <a:stretch/>
                            </pic:blipFill>
                            <pic:spPr bwMode="auto">
                              <a:xfrm flipH="0" flipV="0">
                                <a:off x="0" y="0"/>
                                <a:ext cx="1873285" cy="24977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7.50pt;height:196.67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33651" cy="197317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77081" name=""/>
                              <pic:cNvPicPr>
                                <a:picLocks noChangeAspect="1"/>
                              </pic:cNvPicPr>
                              <pic:nvPr/>
                            </pic:nvPicPr>
                            <pic:blipFill rotWithShape="1">
                              <a:blip r:embed="rId21"/>
                              <a:stretch/>
                            </pic:blipFill>
                            <pic:spPr bwMode="auto">
                              <a:xfrm flipH="0" flipV="0">
                                <a:off x="0" y="0"/>
                                <a:ext cx="2633650" cy="1973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7.37pt;height:155.37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65673" cy="192425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727609" name=""/>
                              <pic:cNvPicPr>
                                <a:picLocks noChangeAspect="1"/>
                              </pic:cNvPicPr>
                              <pic:nvPr/>
                            </pic:nvPicPr>
                            <pic:blipFill rotWithShape="1">
                              <a:blip r:embed="rId22"/>
                              <a:stretch/>
                            </pic:blipFill>
                            <pic:spPr bwMode="auto">
                              <a:xfrm flipH="0" flipV="0">
                                <a:off x="0" y="0"/>
                                <a:ext cx="2565672" cy="19242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2.02pt;height:151.52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08115" cy="195608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786213" name=""/>
                              <pic:cNvPicPr>
                                <a:picLocks noChangeAspect="1"/>
                              </pic:cNvPicPr>
                              <pic:nvPr/>
                            </pic:nvPicPr>
                            <pic:blipFill rotWithShape="1">
                              <a:blip r:embed="rId23"/>
                              <a:stretch/>
                            </pic:blipFill>
                            <pic:spPr bwMode="auto">
                              <a:xfrm flipH="0" flipV="0">
                                <a:off x="0" y="0"/>
                                <a:ext cx="2608114" cy="19560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5.36pt;height:154.0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97586" cy="21259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36533" name=""/>
                              <pic:cNvPicPr>
                                <a:picLocks noChangeAspect="1"/>
                              </pic:cNvPicPr>
                              <pic:nvPr/>
                            </pic:nvPicPr>
                            <pic:blipFill rotWithShape="1">
                              <a:blip r:embed="rId24"/>
                              <a:stretch/>
                            </pic:blipFill>
                            <pic:spPr bwMode="auto">
                              <a:xfrm flipH="0" flipV="0">
                                <a:off x="0" y="0"/>
                                <a:ext cx="2297586" cy="21259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0.91pt;height:167.3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r>
        <w:trPr>
          <w:gridAfter w:val="1"/>
        </w:trPr>
        <w:tc>
          <w:tcPr>
            <w:gridSpan w:val="3"/>
            <w:tcBorders/>
            <w:tcW w:w="9515" w:type="dxa"/>
            <w:vAlign w:val="center"/>
            <w:textDirection w:val="lrTb"/>
            <w:noWrap w:val="false"/>
          </w:tcPr>
          <w:p>
            <w:pPr>
              <w:pBdr/>
              <w:spacing w:after="120"/>
              <w:ind/>
              <w:rPr>
                <w:b/>
                <w:bCs/>
                <w:i/>
                <w:lang w:val="pt-BR"/>
              </w:rPr>
            </w:pPr>
            <w:r>
              <w:rPr>
                <w:b/>
                <w:bCs/>
                <w:i/>
                <w:lang w:val="pt-BR"/>
              </w:rPr>
            </w:r>
            <w:r>
              <w:rPr>
                <w:b/>
                <w:bCs/>
                <w:i/>
                <w:lang w:val="pt-BR"/>
              </w:rPr>
            </w:r>
            <w:r>
              <w:rPr>
                <w:b/>
                <w:bCs/>
                <w:i/>
                <w:lang w:val="pt-BR"/>
              </w:rPr>
            </w:r>
          </w:p>
        </w:tc>
      </w:tr>
    </w:tbl>
    <w:p>
      <w:pPr>
        <w:pBdr/>
        <w:spacing/>
        <w:ind/>
        <w:rPr/>
      </w:pPr>
      <w:r/>
      <w:r/>
    </w:p>
    <w:p>
      <w:pPr>
        <w:pBdr/>
        <w:spacing w:after="200" w:line="276" w:lineRule="auto"/>
        <w:ind w:firstLine="720"/>
        <w:jc w:val="center"/>
        <w:rPr/>
      </w:pPr>
      <w:r>
        <w:br w:type="page" w:clear="all"/>
      </w:r>
      <w:r>
        <w:rPr>
          <w:b/>
          <w:bCs/>
          <w:i/>
          <w:lang w:val="pt-BR"/>
        </w:rPr>
        <w:t xml:space="preserve">Tài </w:t>
      </w:r>
      <w:r>
        <w:rPr>
          <w:b/>
          <w:bCs/>
          <w:i/>
          <w:lang w:val="pt-BR"/>
        </w:rPr>
        <w:t xml:space="preserve">sản </w:t>
      </w:r>
      <w:r>
        <w:rPr>
          <w:b/>
          <w:bCs/>
          <w:i/>
          <w:lang w:val="pt-BR"/>
        </w:rPr>
        <w:t xml:space="preserve">02</w:t>
      </w:r>
      <w:r>
        <w:rPr>
          <w:b/>
          <w:bCs/>
          <w:i/>
          <w:lang w:val="pt-BR"/>
        </w:rPr>
        <w:t xml:space="preserve">:</w:t>
      </w:r>
      <w:r/>
    </w:p>
    <w:tbl>
      <w:tblPr>
        <w:tblStyle w:val="105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975840" cy="256563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091693" name=""/>
                              <pic:cNvPicPr>
                                <a:picLocks noChangeAspect="1"/>
                              </pic:cNvPicPr>
                              <pic:nvPr/>
                            </pic:nvPicPr>
                            <pic:blipFill rotWithShape="1">
                              <a:blip r:embed="rId25"/>
                              <a:stretch/>
                            </pic:blipFill>
                            <pic:spPr bwMode="auto">
                              <a:xfrm flipH="0" flipV="0">
                                <a:off x="0" y="0"/>
                                <a:ext cx="1975840" cy="25656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55.58pt;height:202.02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094221" cy="279229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04794" name=""/>
                              <pic:cNvPicPr>
                                <a:picLocks noChangeAspect="1"/>
                              </pic:cNvPicPr>
                              <pic:nvPr/>
                            </pic:nvPicPr>
                            <pic:blipFill rotWithShape="1">
                              <a:blip r:embed="rId26"/>
                              <a:stretch/>
                            </pic:blipFill>
                            <pic:spPr bwMode="auto">
                              <a:xfrm flipH="0" flipV="0">
                                <a:off x="0" y="0"/>
                                <a:ext cx="2094220" cy="27922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64.90pt;height:219.87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323885" cy="249030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417044" name=""/>
                              <pic:cNvPicPr>
                                <a:picLocks noChangeAspect="1"/>
                              </pic:cNvPicPr>
                              <pic:nvPr/>
                            </pic:nvPicPr>
                            <pic:blipFill rotWithShape="1">
                              <a:blip r:embed="rId27"/>
                              <a:stretch/>
                            </pic:blipFill>
                            <pic:spPr bwMode="auto">
                              <a:xfrm flipH="0" flipV="0">
                                <a:off x="0" y="0"/>
                                <a:ext cx="3323884" cy="24903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61.72pt;height:196.09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04761" cy="202857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535037" name=""/>
                              <pic:cNvPicPr>
                                <a:picLocks noChangeAspect="1"/>
                              </pic:cNvPicPr>
                              <pic:nvPr/>
                            </pic:nvPicPr>
                            <pic:blipFill rotWithShape="1">
                              <a:blip r:embed="rId28"/>
                              <a:stretch/>
                            </pic:blipFill>
                            <pic:spPr bwMode="auto">
                              <a:xfrm flipH="0" flipV="0">
                                <a:off x="0" y="0"/>
                                <a:ext cx="2704760" cy="20285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2.97pt;height:159.73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08995" cy="203174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295020" name=""/>
                              <pic:cNvPicPr>
                                <a:picLocks noChangeAspect="1"/>
                              </pic:cNvPicPr>
                              <pic:nvPr/>
                            </pic:nvPicPr>
                            <pic:blipFill rotWithShape="1">
                              <a:blip r:embed="rId29"/>
                              <a:stretch/>
                            </pic:blipFill>
                            <pic:spPr bwMode="auto">
                              <a:xfrm flipH="0" flipV="0">
                                <a:off x="0" y="0"/>
                                <a:ext cx="2708994" cy="20317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3.31pt;height:159.98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76150" cy="223211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253353" name=""/>
                              <pic:cNvPicPr>
                                <a:picLocks noChangeAspect="1"/>
                              </pic:cNvPicPr>
                              <pic:nvPr/>
                            </pic:nvPicPr>
                            <pic:blipFill rotWithShape="1">
                              <a:blip r:embed="rId30"/>
                              <a:stretch/>
                            </pic:blipFill>
                            <pic:spPr bwMode="auto">
                              <a:xfrm flipH="0" flipV="0">
                                <a:off x="0" y="0"/>
                                <a:ext cx="2976150" cy="22321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4.34pt;height:175.76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r>
      <w:tr>
        <w:trPr>
          <w:gridAfter w:val="1"/>
        </w:trPr>
        <w:tc>
          <w:tcPr>
            <w:gridSpan w:val="3"/>
            <w:tcBorders/>
            <w:tcW w:w="9515" w:type="dxa"/>
            <w:vAlign w:val="center"/>
            <w:textDirection w:val="lrTb"/>
            <w:noWrap w:val="false"/>
          </w:tcPr>
          <w:p>
            <w:pPr>
              <w:pBdr/>
              <w:spacing w:after="120"/>
              <w:ind/>
              <w:rPr>
                <w:b/>
                <w:bCs/>
                <w:i/>
                <w:lang w:val="pt-BR"/>
              </w:rPr>
            </w:pPr>
            <w:r>
              <w:rPr>
                <w:b/>
                <w:bCs/>
                <w:i/>
                <w:lang w:val="pt-BR"/>
              </w:rPr>
            </w:r>
            <w:r>
              <w:rPr>
                <w:b/>
                <w:bCs/>
                <w:i/>
                <w:lang w:val="pt-BR"/>
              </w:rPr>
            </w:r>
            <w:r>
              <w:rPr>
                <w:b/>
                <w:bCs/>
                <w:i/>
                <w:lang w:val="pt-BR"/>
              </w:rPr>
            </w:r>
          </w:p>
        </w:tc>
      </w:tr>
    </w:tbl>
    <w:p>
      <w:pPr>
        <w:pBdr/>
        <w:spacing w:after="200" w:line="276" w:lineRule="auto"/>
        <w:ind/>
        <w:rPr>
          <w:b/>
          <w:bCs/>
          <w:highlight w:val="none"/>
          <w:u w:val="single"/>
          <w:lang w:val="vi-VN"/>
        </w:rPr>
      </w:pPr>
      <w:r>
        <w:rPr>
          <w:b/>
          <w:u w:val="single"/>
          <w:lang w:val="vi-VN"/>
        </w:rPr>
      </w:r>
      <w:r>
        <w:rPr>
          <w:b/>
          <w:u w:val="single"/>
          <w:lang w:val="vi-VN"/>
        </w:rPr>
        <w:br w:type="page" w:clear="all"/>
      </w:r>
      <w:r>
        <w:rPr>
          <w:b/>
          <w:bCs/>
          <w:u w:val="none"/>
          <w:lang w:val="vi-VN"/>
        </w:rPr>
        <w:t xml:space="preserve">                                 </w:t>
      </w:r>
      <w:r>
        <w:rPr>
          <w:b/>
          <w:bCs/>
          <w:u w:val="none"/>
          <w:lang w:val="vi-VN"/>
        </w:rPr>
        <w:t xml:space="preserve">PHỤ LỤC</w:t>
      </w:r>
      <w:r>
        <w:rPr>
          <w:b/>
          <w:bCs/>
          <w:u w:val="none"/>
          <w:lang w:val="pt-BR"/>
        </w:rPr>
        <w:t xml:space="preserve"> </w:t>
      </w:r>
      <w:r>
        <w:rPr>
          <w:b/>
          <w:bCs/>
          <w:u w:val="none"/>
          <w:lang w:val="pt-BR"/>
        </w:rPr>
        <w:t xml:space="preserve">0</w:t>
      </w:r>
      <w:r>
        <w:rPr>
          <w:b/>
          <w:bCs/>
          <w:u w:val="none"/>
          <w:lang w:val="pt-BR"/>
        </w:rPr>
        <w:t xml:space="preserve">2</w:t>
      </w:r>
      <w:r>
        <w:rPr>
          <w:b/>
          <w:bCs/>
          <w:u w:val="none"/>
          <w:lang w:val="vi-VN"/>
        </w:rPr>
        <w:t xml:space="preserve">: THÔNG TIN THU THẬP THỊ TRƯỜN</w:t>
      </w:r>
      <w:r>
        <w:rPr>
          <w:b/>
          <w:bCs/>
          <w:u w:val="none"/>
        </w:rPr>
        <w:t xml:space="preserve">G</w:t>
      </w:r>
      <w:r>
        <w:rPr>
          <w:b/>
          <w:bCs/>
          <w:highlight w:val="none"/>
          <w:u w:val="single"/>
          <w:lang w:val="vi-VN"/>
        </w:rPr>
      </w:r>
      <w:r>
        <w:rPr>
          <w:b/>
          <w:bCs/>
          <w:highlight w:val="none"/>
          <w:u w:val="single"/>
          <w:lang w:val="vi-VN"/>
        </w:rPr>
      </w:r>
    </w:p>
    <w:p>
      <w:pPr>
        <w:pBdr/>
        <w:spacing/>
        <w:ind/>
        <w:jc w:val="center"/>
        <w:rPr>
          <w:i/>
          <w:lang w:val="pt-BR"/>
        </w:rPr>
      </w:pPr>
      <w:r>
        <w:rPr>
          <w:i/>
          <w:lang w:val="pt-BR"/>
        </w:rPr>
        <w:t xml:space="preserve">(Kèm theo Báo cáo thẩm định s</w:t>
      </w:r>
      <w:r>
        <w:rPr>
          <w:i/>
          <w:lang w:val="pt-BR"/>
        </w:rPr>
        <w:t xml:space="preserve">ố </w:t>
      </w:r>
      <w:r>
        <w:rPr>
          <w:i/>
        </w:rPr>
        <w:t xml:space="preserve">275/2026/022/VFI-BC.53.A </w:t>
      </w:r>
      <w:r>
        <w:rPr>
          <w:i/>
        </w:rPr>
        <w:t xml:space="preserve">ngày</w:t>
      </w:r>
      <w:r>
        <w:rPr>
          <w:i/>
        </w:rPr>
        <w:t xml:space="preserve"> </w:t>
      </w:r>
      <w:r>
        <w:rPr>
          <w:i/>
          <w:lang w:val="pt-BR"/>
        </w:rPr>
        <w:t xml:space="preserve">07 tháng 7 năm 2026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i/>
          <w:iCs/>
          <w:lang w:val="pt-BR"/>
        </w:rPr>
      </w:pPr>
      <w:r>
        <w:rPr>
          <w:b/>
          <w:i/>
          <w:iCs/>
          <w:lang w:val="pt-BR"/>
        </w:rPr>
        <w:t xml:space="preserve">Tài sản so</w:t>
      </w:r>
      <w:r>
        <w:rPr>
          <w:b/>
          <w:i/>
          <w:iCs/>
          <w:lang w:val="pt-BR"/>
        </w:rPr>
        <w:t xml:space="preserve"> sánh cho </w:t>
      </w:r>
      <w:r>
        <w:rPr>
          <w:b/>
          <w:i/>
          <w:iCs/>
          <w:lang w:val="pt-BR"/>
        </w:rPr>
        <w:t xml:space="preserve">Tài sản 01: </w:t>
      </w:r>
      <w:r>
        <w:rPr>
          <w:b/>
          <w:i/>
          <w:iCs/>
          <w:lang w:val="pt-BR"/>
        </w:rPr>
      </w:r>
      <w:r>
        <w:rPr>
          <w:b/>
          <w:i/>
          <w:iCs/>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0968951336</w:t>
            </w:r>
            <w:r>
              <w:rPr>
                <w:sz w:val="22"/>
                <w:szCs w:val="22"/>
              </w:rPr>
              <w:t xml:space="preserve"> </w:t>
            </w:r>
            <w:r>
              <w:rPr>
                <w:sz w:val="22"/>
                <w:szCs w:val="22"/>
              </w:rPr>
              <w:br/>
              <w:t xml:space="preserve">(</w:t>
            </w:r>
            <w:r>
              <w:rPr>
                <w:color w:val="000000" w:themeColor="text1"/>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18.525.000.000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r>
            <w:r>
              <w:rPr>
                <w:rFonts w:ascii="Times New Roman" w:hAnsi="Times New Roman" w:eastAsia="Times New Roman" w:cs="Times New Roman"/>
                <w:b w:val="0"/>
                <w:bCs w:val="0"/>
                <w:color w:val="000000"/>
                <w:sz w:val="22"/>
              </w:rPr>
              <w:t xml:space="preserve">Tài sản tại: Phường Bãi Cháy, Thành phố Hạ Long, Tỉnh Quảng Ninh. Tài sản nằm trong khu Sun Premier Village</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Đường nhựa có vỉa hè</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112,5</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6</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Tiếp giáp 1 mặt tiền</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Hình chữ nhật</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color w:val="000000" w:themeColor="text1"/>
                <w:sz w:val="22"/>
                <w:szCs w:val="22"/>
              </w:rPr>
            </w:pPr>
            <w:r>
              <w:rPr>
                <w:b w:val="0"/>
                <w:bCs w:val="0"/>
                <w:color w:val="000000" w:themeColor="text1"/>
                <w:sz w:val="22"/>
                <w:szCs w:val="22"/>
              </w:rPr>
              <w:t xml:space="preserve">Nhà 5 tầng</w:t>
            </w:r>
            <w:r>
              <w:rPr>
                <w:b w:val="0"/>
                <w:bCs w:val="0"/>
                <w:color w:val="000000" w:themeColor="text1"/>
                <w:sz w:val="22"/>
                <w:szCs w:val="22"/>
              </w:rPr>
            </w:r>
            <w:r>
              <w:rPr>
                <w:b w:val="0"/>
                <w:bCs w:val="0"/>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sz w:val="22"/>
                <w:szCs w:val="22"/>
              </w:rPr>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4861"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648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5.34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4861"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4648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5.3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486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648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5.34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Trần Thị Thanh Tâm</w:t>
            </w:r>
            <w:r>
              <w:rPr>
                <w:b/>
                <w:bCs/>
              </w:rPr>
            </w:r>
            <w:r>
              <w:rPr>
                <w:b/>
                <w:bCs/>
              </w:rPr>
            </w:r>
          </w:p>
          <w:p>
            <w:pPr>
              <w:pBdr/>
              <w:spacing/>
              <w:ind/>
              <w:jc w:val="center"/>
              <w:rPr>
                <w:b/>
                <w:bCs/>
              </w:rPr>
            </w:pPr>
            <w:r>
              <w:rPr>
                <w:b/>
                <w:bCs/>
              </w:rPr>
            </w:r>
            <w:r>
              <w:rPr>
                <w:b/>
                <w:bCs/>
              </w:rPr>
            </w:r>
            <w:r>
              <w:rPr>
                <w:b/>
                <w:bCs/>
              </w:rPr>
            </w:r>
          </w:p>
        </w:tc>
      </w:tr>
    </w:tbl>
    <w:p>
      <w:pPr>
        <w:pBdr/>
        <w:spacing w:after="120"/>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120"/>
        <w:ind/>
        <w:jc w:val="center"/>
        <w:rPr>
          <w:b/>
          <w:bCs/>
          <w:iCs/>
          <w:lang w:val="pt-BR"/>
        </w:rPr>
      </w:pPr>
      <w:r>
        <w:rPr>
          <w:b/>
          <w:bCs/>
          <w:iCs/>
          <w:lang w:val="pt-BR"/>
        </w:rPr>
        <w:br/>
      </w: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0966282468</w:t>
            </w:r>
            <w:r>
              <w:rPr>
                <w:sz w:val="22"/>
                <w:szCs w:val="22"/>
              </w:rPr>
              <w:t xml:space="preserve"> </w:t>
            </w:r>
            <w:r>
              <w:rPr>
                <w:sz w:val="22"/>
                <w:szCs w:val="22"/>
              </w:rPr>
              <w:br/>
              <w:t xml:space="preserve">(</w:t>
            </w:r>
            <w:r>
              <w:rPr>
                <w:color w:val="000000" w:themeColor="text1"/>
                <w:sz w:val="22"/>
                <w:szCs w:val="22"/>
              </w:rPr>
              <w:t xml:space="preserve">Vũ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Phường Bãi Cháy, Thành phố Hạ Long, Tỉnh Quảng Ninh,  Tài sản nằm trong ô đất số TT-11 , Khu Sun Premier Village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Nhà 5 tầng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5614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45614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50.88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170621"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61706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85.88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280778"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62807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94.55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Trần Thị Thanh Tâm</w:t>
            </w:r>
            <w:r>
              <w:rPr>
                <w:b/>
                <w:bCs/>
              </w:rPr>
            </w:r>
            <w:r>
              <w:rPr>
                <w:b/>
                <w:bCs/>
              </w:rPr>
            </w:r>
          </w:p>
        </w:tc>
      </w:tr>
    </w:tbl>
    <w:p>
      <w:pPr>
        <w:pBdr/>
        <w:spacing w:after="120"/>
        <w:ind/>
        <w:rPr>
          <w:b/>
          <w:bCs/>
        </w:rPr>
      </w:pPr>
      <w:r>
        <w:rPr>
          <w:b/>
          <w:bCs/>
        </w:rPr>
      </w:r>
      <w:r>
        <w:rPr>
          <w:b/>
          <w:bCs/>
        </w:rPr>
      </w:r>
      <w:r>
        <w:rPr>
          <w:b/>
          <w:bCs/>
        </w:rPr>
      </w:r>
    </w:p>
    <w:p>
      <w:pPr>
        <w:pBdr/>
        <w:spacing w:after="200" w:line="276" w:lineRule="auto"/>
        <w:ind/>
        <w:rPr>
          <w:b/>
          <w:bCs/>
        </w:rPr>
      </w:pPr>
      <w:r>
        <w:rPr>
          <w:b/>
          <w:bCs/>
        </w:rPr>
        <w:br w:type="page" w:clear="all"/>
        <w:t xml:space="preserve">                                                                        </w:t>
      </w:r>
      <w:r>
        <w:rPr>
          <w:b/>
          <w:bCs/>
          <w:iCs/>
          <w:lang w:val="pt-BR"/>
        </w:rPr>
        <w:t xml:space="preserve">TSSS</w:t>
      </w:r>
      <w:r>
        <w:rPr>
          <w:b/>
          <w:bCs/>
          <w:iCs/>
          <w:lang w:val="pt-BR"/>
        </w:rPr>
        <w:t xml:space="preserve">3</w:t>
      </w:r>
      <w:r>
        <w:rPr>
          <w:b/>
          <w:bCs/>
        </w:rPr>
      </w:r>
      <w:r>
        <w:rPr>
          <w:b/>
          <w:b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0966282468</w:t>
            </w:r>
            <w:r>
              <w:rPr>
                <w:sz w:val="22"/>
                <w:szCs w:val="22"/>
              </w:rPr>
              <w:t xml:space="preserve"> </w:t>
            </w:r>
            <w:r>
              <w:rPr>
                <w:sz w:val="22"/>
                <w:szCs w:val="22"/>
              </w:rPr>
              <w:br/>
              <w:t xml:space="preserve">(</w:t>
            </w:r>
            <w:r>
              <w:rPr>
                <w:color w:val="000000" w:themeColor="text1"/>
                <w:sz w:val="22"/>
                <w:szCs w:val="22"/>
              </w:rPr>
              <w:t xml:space="preserve">Vũ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Phường Bãi Cháy, Thành phố Hạ Long, Tỉnh Quảng Ninh, Tài sản tại ô đất số LT-3, Khu Sun Premier Village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108,75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Nhà 5 tầng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40802"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584080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59.91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87.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87.50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t xml:space="preserve">Trần Thị Thanh Tâm</w:t>
            </w:r>
            <w:r>
              <w:rPr>
                <w:b/>
                <w:bCs/>
              </w:rPr>
            </w:r>
            <w:r>
              <w:rPr>
                <w:b/>
                <w:bCs/>
              </w:rPr>
            </w:r>
          </w:p>
        </w:tc>
      </w:tr>
    </w:tbl>
    <w:p>
      <w:pPr>
        <w:pBdr/>
        <w:spacing w:after="200" w:line="276" w:lineRule="auto"/>
        <w:ind/>
        <w:rPr>
          <w:b/>
          <w:bCs/>
        </w:rPr>
      </w:pPr>
      <w:r>
        <w:rPr>
          <w:b/>
          <w:bCs/>
        </w:rPr>
      </w:r>
      <w:r>
        <w:rPr>
          <w:b/>
          <w:bCs/>
        </w:rPr>
      </w:r>
      <w:r>
        <w:rPr>
          <w:b/>
          <w:bCs/>
        </w:rPr>
      </w:r>
    </w:p>
    <w:p>
      <w:pPr>
        <w:pBdr/>
        <w:spacing w:after="200" w:line="276" w:lineRule="auto"/>
        <w:ind/>
        <w:rPr>
          <w:b/>
          <w:bCs/>
          <w:i/>
          <w:lang w:val="pt-BR"/>
        </w:rPr>
      </w:pPr>
      <w:r>
        <w:rPr>
          <w:b/>
          <w:bCs/>
          <w:i/>
          <w:iCs/>
          <w:lang w:val="pt-BR"/>
        </w:rPr>
      </w:r>
      <w:r>
        <w:rPr>
          <w:b/>
          <w:bCs/>
          <w:i/>
          <w:lang w:val="pt-BR"/>
        </w:rPr>
      </w:r>
      <w:r>
        <w:rPr>
          <w:b/>
          <w:bCs/>
          <w:i/>
          <w:lang w:val="pt-BR"/>
        </w:rPr>
      </w:r>
    </w:p>
    <w:p>
      <w:pPr>
        <w:pBdr/>
        <w:spacing w:after="200" w:line="276" w:lineRule="auto"/>
        <w:ind/>
        <w:jc w:val="center"/>
        <w:rPr>
          <w:b/>
          <w:bCs w:val="0"/>
          <w:i w:val="0"/>
          <w:highlight w:val="none"/>
        </w:rPr>
      </w:pPr>
      <w:r>
        <w:rPr>
          <w:b/>
          <w:bCs/>
          <w:i w:val="0"/>
          <w:iCs w:val="0"/>
          <w:lang w:val="pt-BR"/>
        </w:rPr>
        <w:t xml:space="preserve">HỒ SƠ PHÁP LÝ </w:t>
      </w:r>
      <w:r>
        <w:rPr>
          <w:b/>
          <w:bCs w:val="0"/>
          <w:i w:val="0"/>
          <w:highlight w:val="none"/>
        </w:rPr>
      </w:r>
      <w:r>
        <w:rPr>
          <w:b/>
          <w:bCs w:val="0"/>
          <w:i w:val="0"/>
          <w:highlight w:val="none"/>
        </w:rPr>
      </w:r>
    </w:p>
    <w:p>
      <w:pPr>
        <w:pBdr/>
        <w:spacing w:after="200" w:line="276" w:lineRule="auto"/>
        <w:ind/>
        <w:jc w:val="center"/>
        <w:rPr>
          <w:b/>
          <w:bCs w:val="0"/>
          <w:i w:val="0"/>
        </w:rPr>
      </w:pPr>
      <w:r>
        <w:rPr>
          <w:b/>
          <w:bCs/>
          <w:i w:val="0"/>
          <w:iCs w:val="0"/>
          <w:highlight w:val="none"/>
          <w:lang w:val="pt-BR" w:bidi="pt-BR"/>
        </w:rPr>
        <w:t xml:space="preserve">Tài sản 01</w:t>
      </w:r>
      <w:r>
        <w:rPr>
          <w:b/>
          <w:bCs w:val="0"/>
          <w:i w:val="0"/>
        </w:rPr>
      </w:r>
      <w:r>
        <w:rPr>
          <w:b/>
          <w:bCs w:val="0"/>
          <w:i w:val="0"/>
        </w:rPr>
      </w:r>
    </w:p>
    <w:p>
      <w:pPr>
        <w:pBdr/>
        <w:spacing w:after="200" w:line="276" w:lineRule="auto"/>
        <w:ind/>
        <w:rPr>
          <w:b/>
          <w:bCs/>
          <w:i/>
          <w:lang w:val="pt-BR"/>
        </w:rPr>
      </w:pPr>
      <w:r>
        <w:rPr>
          <w:b/>
          <w:bCs/>
          <w:i/>
          <w:iCs/>
          <w:lang w:val="pt-BR"/>
        </w:rPr>
      </w:r>
      <w:r>
        <mc:AlternateContent>
          <mc:Choice Requires="wpg">
            <w:drawing>
              <wp:inline xmlns:wp="http://schemas.openxmlformats.org/drawingml/2006/wordprocessingDrawing" distT="0" distB="0" distL="0" distR="0">
                <wp:extent cx="8056034" cy="544864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54117" name=""/>
                        <pic:cNvPicPr>
                          <a:picLocks noChangeAspect="1"/>
                        </pic:cNvPicPr>
                        <pic:nvPr/>
                      </pic:nvPicPr>
                      <pic:blipFill rotWithShape="1">
                        <a:blip r:embed="rId40"/>
                        <a:stretch/>
                      </pic:blipFill>
                      <pic:spPr bwMode="auto">
                        <a:xfrm rot="5399976" flipH="0" flipV="0">
                          <a:off x="0" y="0"/>
                          <a:ext cx="8056033" cy="54486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634.33pt;height:429.03pt;mso-wrap-distance-left:0.00pt;mso-wrap-distance-top:0.00pt;mso-wrap-distance-right:0.00pt;mso-wrap-distance-bottom:0.00pt;rotation:89;z-index:1;" stroked="false">
                <v:imagedata r:id="rId40" o:title=""/>
                <o:lock v:ext="edit" rotation="t"/>
              </v:shape>
            </w:pict>
          </mc:Fallback>
        </mc:AlternateContent>
      </w:r>
      <w:r>
        <w:rPr>
          <w:b/>
          <w:bCs/>
          <w:i/>
          <w:lang w:val="pt-BR"/>
        </w:rPr>
      </w:r>
      <w:r>
        <w:rPr>
          <w:b/>
          <w:bCs/>
          <w:i/>
          <w:lang w:val="pt-BR"/>
        </w:rPr>
      </w:r>
    </w:p>
    <w:p>
      <w:pPr>
        <w:pBdr/>
        <w:spacing w:after="200" w:line="276" w:lineRule="auto"/>
        <w:ind/>
        <w:rPr>
          <w:b/>
          <w:bCs/>
          <w:i/>
          <w:lang w:val="pt-BR"/>
        </w:rPr>
      </w:pPr>
      <w:r>
        <w:rPr>
          <w:b/>
          <w:bCs/>
          <w:i/>
          <w:iCs/>
          <w:lang w:val="pt-BR"/>
        </w:rPr>
      </w:r>
      <w:r>
        <w:rPr>
          <w:b/>
          <w:bCs/>
          <w:i/>
          <w:lang w:val="pt-BR"/>
        </w:rPr>
      </w:r>
      <w:r>
        <w:rPr>
          <w:b/>
          <w:bCs/>
          <w:i/>
          <w:lang w:val="pt-BR"/>
        </w:rPr>
      </w:r>
    </w:p>
    <w:p>
      <w:pPr>
        <w:pBdr/>
        <w:spacing w:after="200" w:line="276" w:lineRule="auto"/>
        <w:ind/>
        <w:rPr>
          <w:b/>
          <w:bCs/>
          <w:i/>
          <w:lang w:val="pt-BR"/>
        </w:rPr>
      </w:pPr>
      <w:r>
        <w:rPr>
          <w:b/>
          <w:bCs/>
          <w:i/>
          <w:iCs/>
          <w:lang w:val="pt-BR"/>
        </w:rPr>
      </w:r>
      <w:r>
        <mc:AlternateContent>
          <mc:Choice Requires="wpg">
            <w:drawing>
              <wp:inline xmlns:wp="http://schemas.openxmlformats.org/drawingml/2006/wordprocessingDrawing" distT="0" distB="0" distL="0" distR="0">
                <wp:extent cx="9159086" cy="553436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51167" name=""/>
                        <pic:cNvPicPr>
                          <a:picLocks noChangeAspect="1"/>
                        </pic:cNvPicPr>
                        <pic:nvPr/>
                      </pic:nvPicPr>
                      <pic:blipFill rotWithShape="1">
                        <a:blip r:embed="rId41"/>
                        <a:stretch/>
                      </pic:blipFill>
                      <pic:spPr bwMode="auto">
                        <a:xfrm rot="5399976" flipH="0" flipV="0">
                          <a:off x="0" y="0"/>
                          <a:ext cx="9159085" cy="55343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721.19pt;height:435.78pt;mso-wrap-distance-left:0.00pt;mso-wrap-distance-top:0.00pt;mso-wrap-distance-right:0.00pt;mso-wrap-distance-bottom:0.00pt;rotation:89;z-index:1;" stroked="false">
                <v:imagedata r:id="rId41" o:title=""/>
                <o:lock v:ext="edit" rotation="t"/>
              </v:shape>
            </w:pict>
          </mc:Fallback>
        </mc:AlternateContent>
      </w:r>
      <w:r>
        <w:rPr>
          <w:b/>
          <w:bCs/>
          <w:i/>
          <w:lang w:val="pt-BR"/>
        </w:rPr>
      </w:r>
      <w:r>
        <w:rPr>
          <w:b/>
          <w:bCs/>
          <w:i/>
          <w:lang w:val="pt-BR"/>
        </w:rPr>
      </w:r>
    </w:p>
    <w:p>
      <w:pPr>
        <w:pBdr/>
        <w:spacing w:after="200" w:line="276" w:lineRule="auto"/>
        <w:ind/>
        <w:rPr>
          <w:b/>
          <w:bCs/>
          <w:i/>
          <w:lang w:val="pt-BR"/>
        </w:rPr>
      </w:pPr>
      <w:r>
        <w:rPr>
          <w:b/>
          <w:bCs/>
          <w:i/>
          <w:iCs/>
          <w:lang w:val="pt-BR"/>
        </w:rPr>
      </w:r>
      <w:r>
        <mc:AlternateContent>
          <mc:Choice Requires="wpg">
            <w:drawing>
              <wp:inline xmlns:wp="http://schemas.openxmlformats.org/drawingml/2006/wordprocessingDrawing" distT="0" distB="0" distL="0" distR="0">
                <wp:extent cx="8514810" cy="576296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818342" name=""/>
                        <pic:cNvPicPr>
                          <a:picLocks noChangeAspect="1"/>
                        </pic:cNvPicPr>
                        <pic:nvPr/>
                      </pic:nvPicPr>
                      <pic:blipFill rotWithShape="1">
                        <a:blip r:embed="rId42"/>
                        <a:stretch/>
                      </pic:blipFill>
                      <pic:spPr bwMode="auto">
                        <a:xfrm rot="5399976" flipH="0" flipV="0">
                          <a:off x="0" y="0"/>
                          <a:ext cx="8514809" cy="57629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670.46pt;height:453.78pt;mso-wrap-distance-left:0.00pt;mso-wrap-distance-top:0.00pt;mso-wrap-distance-right:0.00pt;mso-wrap-distance-bottom:0.00pt;rotation:89;z-index:1;" stroked="false">
                <v:imagedata r:id="rId42" o:title=""/>
                <o:lock v:ext="edit" rotation="t"/>
              </v:shape>
            </w:pict>
          </mc:Fallback>
        </mc:AlternateContent>
      </w:r>
      <w:r>
        <w:rPr>
          <w:b/>
          <w:bCs/>
          <w:i/>
          <w:lang w:val="pt-BR"/>
        </w:rPr>
      </w:r>
      <w:r>
        <w:rPr>
          <w:b/>
          <w:bCs/>
          <w:i/>
          <w:lang w:val="pt-BR"/>
        </w:rPr>
      </w:r>
    </w:p>
    <w:p>
      <w:pPr>
        <w:pBdr/>
        <w:spacing w:after="200" w:line="276" w:lineRule="auto"/>
        <w:ind/>
        <w:rPr>
          <w:b/>
          <w:bCs/>
          <w:i/>
          <w:lang w:val="pt-BR"/>
        </w:rPr>
      </w:pPr>
      <w:r>
        <w:rPr>
          <w:b/>
          <w:bCs/>
          <w:i/>
          <w:lang w:val="pt-BR"/>
        </w:rPr>
      </w:r>
      <w:r>
        <w:rPr>
          <w:b/>
          <w:bCs/>
          <w:i/>
          <w:lang w:val="pt-BR"/>
        </w:rPr>
      </w:r>
      <w:r>
        <w:rPr>
          <w:b/>
          <w:bCs/>
          <w:i/>
          <w:lang w:val="pt-BR"/>
        </w:rPr>
      </w:r>
    </w:p>
    <w:p>
      <w:pPr>
        <w:pBdr/>
        <w:spacing w:after="200" w:line="276" w:lineRule="auto"/>
        <w:ind/>
        <w:rPr>
          <w:b/>
          <w:bCs/>
          <w:i/>
          <w:lang w:val="pt-BR"/>
        </w:rPr>
      </w:pPr>
      <w:r>
        <w:rPr>
          <w:b/>
          <w:bCs/>
          <w:i/>
          <w:lang w:val="pt-BR"/>
        </w:rPr>
      </w:r>
      <w:r>
        <w:rPr>
          <w:b/>
          <w:bCs/>
          <w:i/>
          <w:lang w:val="pt-BR"/>
        </w:rPr>
      </w:r>
      <w:r>
        <w:rPr>
          <w:b/>
          <w:bCs/>
          <w:i/>
          <w:lang w:val="pt-BR"/>
        </w:rPr>
      </w:r>
    </w:p>
    <w:p>
      <w:pPr>
        <w:pBdr/>
        <w:spacing w:after="200" w:line="276" w:lineRule="auto"/>
        <w:ind/>
        <w:jc w:val="center"/>
        <w:rPr>
          <w:b/>
          <w:bCs/>
          <w:i/>
          <w:highlight w:val="none"/>
          <w:lang w:val="pt-BR"/>
        </w:rPr>
      </w:pPr>
      <w:r>
        <w:rPr>
          <w:b/>
          <w:bCs/>
          <w:i/>
          <w:iCs/>
          <w:lang w:val="pt-BR"/>
        </w:rPr>
        <w:t xml:space="preserve">Tài sản 02</w:t>
      </w:r>
      <w:r>
        <w:rPr>
          <w:b/>
          <w:bCs/>
          <w:i/>
          <w:highlight w:val="none"/>
          <w:lang w:val="pt-BR"/>
        </w:rPr>
      </w:r>
      <w:r>
        <w:rPr>
          <w:b/>
          <w:bCs/>
          <w:i/>
          <w:highlight w:val="none"/>
          <w:lang w:val="pt-BR"/>
        </w:rPr>
      </w:r>
    </w:p>
    <w:p>
      <w:pPr>
        <w:pBdr/>
        <w:spacing w:after="200" w:line="276" w:lineRule="auto"/>
        <w:ind/>
        <w:jc w:val="center"/>
        <w:rPr>
          <w:b/>
          <w:bCs/>
          <w:i/>
          <w:highlight w:val="none"/>
          <w:lang w:val="pt-BR" w:bidi="pt-BR"/>
        </w:rPr>
      </w:pPr>
      <w:r>
        <w:rPr>
          <w:b/>
          <w:bCs/>
          <w:i/>
          <w:iCs/>
          <w:highlight w:val="none"/>
          <w:lang w:val="pt-BR" w:bidi="pt-BR"/>
        </w:rPr>
      </w:r>
      <w:r>
        <mc:AlternateContent>
          <mc:Choice Requires="wpg">
            <w:drawing>
              <wp:inline xmlns:wp="http://schemas.openxmlformats.org/drawingml/2006/wordprocessingDrawing" distT="0" distB="0" distL="0" distR="0">
                <wp:extent cx="8529178" cy="5201070"/>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80617" name=""/>
                        <pic:cNvPicPr>
                          <a:picLocks noChangeAspect="1"/>
                        </pic:cNvPicPr>
                        <pic:nvPr/>
                      </pic:nvPicPr>
                      <pic:blipFill rotWithShape="1">
                        <a:blip r:embed="rId43"/>
                        <a:stretch/>
                      </pic:blipFill>
                      <pic:spPr bwMode="auto">
                        <a:xfrm rot="5399976" flipH="0" flipV="0">
                          <a:off x="0" y="0"/>
                          <a:ext cx="8529177" cy="52010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671.59pt;height:409.53pt;mso-wrap-distance-left:0.00pt;mso-wrap-distance-top:0.00pt;mso-wrap-distance-right:0.00pt;mso-wrap-distance-bottom:0.00pt;rotation:89;z-index:1;" stroked="false">
                <v:imagedata r:id="rId43" o:title=""/>
                <o:lock v:ext="edit" rotation="t"/>
              </v:shape>
            </w:pict>
          </mc:Fallback>
        </mc:AlternateContent>
      </w:r>
      <w:r>
        <w:rPr>
          <w:b/>
          <w:bCs/>
          <w:i/>
          <w:highlight w:val="none"/>
          <w:lang w:val="pt-BR" w:bidi="pt-BR"/>
        </w:rPr>
      </w:r>
      <w:r>
        <w:rPr>
          <w:b/>
          <w:bCs/>
          <w:i/>
          <w:highlight w:val="none"/>
          <w:lang w:val="pt-BR" w:bidi="pt-BR"/>
        </w:rPr>
      </w:r>
    </w:p>
    <w:p>
      <w:pPr>
        <w:pBdr/>
        <w:spacing w:after="200" w:line="276" w:lineRule="auto"/>
        <w:ind/>
        <w:jc w:val="center"/>
        <w:rPr>
          <w:b/>
          <w:bCs/>
          <w:i/>
          <w:lang w:val="pt-BR"/>
        </w:rPr>
      </w:pPr>
      <w:r>
        <w:rPr>
          <w:b/>
          <w:bCs/>
          <w:i/>
          <w:lang w:val="pt-BR"/>
        </w:rPr>
      </w:r>
      <w:r>
        <w:rPr>
          <w:b/>
          <w:bCs/>
          <w:i/>
          <w:lang w:val="pt-BR"/>
        </w:rPr>
      </w:r>
      <w:r>
        <w:rPr>
          <w:b/>
          <w:bCs/>
          <w:i/>
          <w:lang w:val="pt-BR"/>
        </w:rPr>
      </w:r>
    </w:p>
    <w:p>
      <w:pPr>
        <w:pBdr/>
        <w:spacing w:after="200" w:line="276" w:lineRule="auto"/>
        <w:ind/>
        <w:jc w:val="center"/>
        <w:rPr>
          <w:b/>
          <w:bCs/>
          <w:i/>
          <w:lang w:val="pt-BR"/>
        </w:rPr>
      </w:pPr>
      <w:r>
        <w:rPr>
          <w:b/>
          <w:bCs/>
          <w:i/>
          <w:iCs/>
          <w:highlight w:val="none"/>
          <w:lang w:val="pt-BR" w:bidi="pt-BR"/>
        </w:rPr>
      </w:r>
      <w:r>
        <mc:AlternateContent>
          <mc:Choice Requires="wpg">
            <w:drawing>
              <wp:inline xmlns:wp="http://schemas.openxmlformats.org/drawingml/2006/wordprocessingDrawing" distT="0" distB="0" distL="0" distR="0">
                <wp:extent cx="8386768" cy="5627579"/>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27095" name=""/>
                        <pic:cNvPicPr>
                          <a:picLocks noChangeAspect="1"/>
                        </pic:cNvPicPr>
                        <pic:nvPr/>
                      </pic:nvPicPr>
                      <pic:blipFill rotWithShape="1">
                        <a:blip r:embed="rId44"/>
                        <a:stretch/>
                      </pic:blipFill>
                      <pic:spPr bwMode="auto">
                        <a:xfrm rot="5399976" flipH="0" flipV="0">
                          <a:off x="0" y="0"/>
                          <a:ext cx="8386768" cy="56275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660.38pt;height:443.12pt;mso-wrap-distance-left:0.00pt;mso-wrap-distance-top:0.00pt;mso-wrap-distance-right:0.00pt;mso-wrap-distance-bottom:0.00pt;rotation:89;z-index:1;" stroked="false">
                <v:imagedata r:id="rId44" o:title=""/>
                <o:lock v:ext="edit" rotation="t"/>
              </v:shape>
            </w:pict>
          </mc:Fallback>
        </mc:AlternateContent>
      </w:r>
      <w:r>
        <w:rPr>
          <w:b/>
          <w:bCs/>
          <w:i/>
          <w:lang w:val="pt-BR"/>
        </w:rPr>
      </w:r>
      <w:r>
        <w:rPr>
          <w:b/>
          <w:bCs/>
          <w:i/>
          <w:lang w:val="pt-BR"/>
        </w:rPr>
      </w:r>
    </w:p>
    <w:p>
      <w:pPr>
        <w:pBdr/>
        <w:spacing w:after="200" w:line="276" w:lineRule="auto"/>
        <w:ind/>
        <w:rPr>
          <w:b/>
          <w:bCs/>
          <w:i/>
          <w:lang w:val="pt-BR"/>
        </w:rPr>
      </w:pPr>
      <w:r>
        <w:rPr>
          <w:b/>
          <w:bCs/>
          <w:i/>
          <w:iCs/>
          <w:lang w:val="pt-BR"/>
        </w:rPr>
      </w:r>
      <w:r>
        <w:rPr>
          <w:b/>
          <w:bCs/>
          <w:i/>
          <w:lang w:val="pt-BR"/>
        </w:rPr>
      </w:r>
      <w:r>
        <w:rPr>
          <w:b/>
          <w:bCs/>
          <w:i/>
          <w:lang w:val="pt-BR"/>
        </w:rPr>
      </w:r>
    </w:p>
    <w:p>
      <w:pPr>
        <w:pBdr/>
        <w:spacing w:after="200" w:line="276" w:lineRule="auto"/>
        <w:ind/>
        <w:rPr>
          <w:b/>
          <w:bCs/>
          <w:i/>
          <w:lang w:val="pt-BR"/>
        </w:rPr>
      </w:pPr>
      <w:r>
        <w:rPr>
          <w:b/>
          <w:bCs/>
          <w:i/>
          <w:iCs/>
          <w:lang w:val="pt-BR"/>
        </w:rPr>
      </w:r>
      <w:r>
        <w:rPr>
          <w:b/>
          <w:bCs/>
          <w:i/>
          <w:lang w:val="pt-BR"/>
        </w:rPr>
      </w:r>
      <w:r>
        <w:rPr>
          <w:b/>
          <w:bCs/>
          <w:i/>
          <w:lang w:val="pt-BR"/>
        </w:rPr>
      </w:r>
    </w:p>
    <w:p>
      <w:pPr>
        <w:pBdr/>
        <w:spacing w:after="200" w:line="276" w:lineRule="auto"/>
        <w:ind/>
        <w:rPr>
          <w:b/>
          <w:bCs/>
          <w:i/>
          <w:iCs/>
          <w:highlight w:val="none"/>
          <w:lang w:val="pt-BR"/>
        </w:rPr>
      </w:pPr>
      <w:r>
        <w:rPr>
          <w:b/>
          <w:i/>
          <w:iCs/>
          <w:lang w:val="pt-BR"/>
        </w:rPr>
      </w:r>
      <w:r>
        <mc:AlternateContent>
          <mc:Choice Requires="wpg">
            <w:drawing>
              <wp:inline xmlns:wp="http://schemas.openxmlformats.org/drawingml/2006/wordprocessingDrawing" distT="0" distB="0" distL="0" distR="0">
                <wp:extent cx="10543635" cy="6285472"/>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4323" name=""/>
                        <pic:cNvPicPr>
                          <a:picLocks noChangeAspect="1"/>
                        </pic:cNvPicPr>
                        <pic:nvPr/>
                      </pic:nvPicPr>
                      <pic:blipFill rotWithShape="1">
                        <a:blip r:embed="rId45"/>
                        <a:stretch/>
                      </pic:blipFill>
                      <pic:spPr bwMode="auto">
                        <a:xfrm rot="5399976" flipH="0" flipV="0">
                          <a:off x="0" y="0"/>
                          <a:ext cx="10543635" cy="62854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830.21pt;height:494.92pt;mso-wrap-distance-left:0.00pt;mso-wrap-distance-top:0.00pt;mso-wrap-distance-right:0.00pt;mso-wrap-distance-bottom:0.00pt;rotation:89;z-index:1;" stroked="false">
                <v:imagedata r:id="rId45" o:title=""/>
                <o:lock v:ext="edit" rotation="t"/>
              </v:shape>
            </w:pict>
          </mc:Fallback>
        </mc:AlternateContent>
      </w:r>
      <w:r>
        <w:rPr>
          <w:b/>
          <w:bCs/>
          <w:i/>
          <w:iCs/>
          <w:highlight w:val="none"/>
          <w:lang w:val="pt-BR"/>
        </w:rPr>
      </w:r>
      <w:r>
        <w:rPr>
          <w:b/>
          <w:bCs/>
          <w:i/>
          <w:iCs/>
          <w:highlight w:val="none"/>
          <w:lang w:val="pt-BR"/>
        </w:rPr>
      </w:r>
    </w:p>
    <w:p>
      <w:pPr>
        <w:pBdr/>
        <w:spacing w:after="200" w:line="276" w:lineRule="auto"/>
        <w:ind/>
        <w:jc w:val="center"/>
        <w:rPr>
          <w:b/>
          <w:bCs w:val="0"/>
          <w:i w:val="0"/>
          <w:highlight w:val="none"/>
          <w:lang w:val="pt-BR" w:bidi="pt-BR"/>
        </w:rPr>
      </w:pPr>
      <w:r>
        <w:rPr>
          <w:b/>
          <w:i w:val="0"/>
          <w:iCs w:val="0"/>
          <w:highlight w:val="none"/>
          <w:lang w:val="pt-BR" w:bidi="pt-BR"/>
        </w:rPr>
        <w:t xml:space="preserve">BIÊN BẢN KHÁO SÁT </w:t>
      </w:r>
      <w:r>
        <w:rPr>
          <w:b/>
          <w:bCs w:val="0"/>
          <w:i w:val="0"/>
          <w:highlight w:val="none"/>
          <w:lang w:val="pt-BR" w:bidi="pt-BR"/>
        </w:rPr>
      </w:r>
      <w:r>
        <w:rPr>
          <w:b/>
          <w:bCs w:val="0"/>
          <w:i w:val="0"/>
          <w:highlight w:val="none"/>
          <w:lang w:val="pt-BR" w:bidi="pt-BR"/>
        </w:rPr>
      </w:r>
    </w:p>
    <w:p>
      <w:pPr>
        <w:pBdr/>
        <w:spacing w:after="200" w:line="276" w:lineRule="auto"/>
        <w:ind/>
        <w:jc w:val="center"/>
        <w:rPr>
          <w:highlight w:val="none"/>
        </w:rPr>
      </w:pPr>
      <w:r>
        <w:rPr>
          <w:b/>
          <w:i w:val="0"/>
          <w:iCs w:val="0"/>
          <w:highlight w:val="none"/>
          <w:lang w:val="pt-BR" w:bidi="pt-BR"/>
        </w:rPr>
      </w:r>
      <w:r>
        <mc:AlternateContent>
          <mc:Choice Requires="wpg">
            <w:drawing>
              <wp:inline xmlns:wp="http://schemas.openxmlformats.org/drawingml/2006/wordprocessingDrawing" distT="0" distB="0" distL="0" distR="0">
                <wp:extent cx="6048375" cy="8064500"/>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9172" name=""/>
                        <pic:cNvPicPr>
                          <a:picLocks noChangeAspect="1"/>
                        </pic:cNvPicPr>
                        <pic:nvPr/>
                      </pic:nvPicPr>
                      <pic:blipFill rotWithShape="1">
                        <a:blip r:embed="rId4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476.25pt;height:635.00pt;mso-wrap-distance-left:0.00pt;mso-wrap-distance-top:0.00pt;mso-wrap-distance-right:0.00pt;mso-wrap-distance-bottom:0.00pt;z-index:1;" stroked="false">
                <v:imagedata r:id="rId46" o:title=""/>
                <o:lock v:ext="edit" rotation="t"/>
              </v:shape>
            </w:pict>
          </mc:Fallback>
        </mc:AlternateContent>
      </w:r>
      <w:r>
        <w:rPr>
          <w:highlight w:val="none"/>
        </w:rPr>
      </w:r>
      <w:r>
        <w:rPr>
          <w:highlight w:val="none"/>
        </w:rPr>
      </w:r>
    </w:p>
    <w:p>
      <w:pPr>
        <w:pBdr/>
        <w:spacing w:after="200" w:line="276" w:lineRule="auto"/>
        <w:ind/>
        <w:jc w:val="center"/>
        <w:rPr>
          <w:b/>
          <w:bCs w:val="0"/>
          <w:i w:val="0"/>
        </w:rPr>
      </w:pPr>
      <w:r>
        <w:rPr>
          <w:b/>
          <w:bCs w:val="0"/>
          <w:i w:val="0"/>
        </w:rPr>
      </w:r>
      <w:r>
        <w:rPr>
          <w:b/>
          <w:bCs w:val="0"/>
          <w:i w:val="0"/>
        </w:rPr>
      </w:r>
      <w:r>
        <w:rPr>
          <w:b/>
          <w:bCs w:val="0"/>
          <w:i w:val="0"/>
        </w:rPr>
      </w:r>
    </w:p>
    <w:p>
      <w:pPr>
        <w:pBdr/>
        <w:spacing w:after="200" w:line="276" w:lineRule="auto"/>
        <w:ind/>
        <w:jc w:val="center"/>
        <w:rPr>
          <w:b/>
          <w:bCs w:val="0"/>
          <w:i w:val="0"/>
        </w:rPr>
      </w:pPr>
      <w:r>
        <w:rPr>
          <w:b/>
          <w:bCs w:val="0"/>
          <w:i w:val="0"/>
        </w:rPr>
      </w:r>
      <w:r>
        <w:rPr>
          <w:b/>
          <w:bCs w:val="0"/>
          <w:i w:val="0"/>
        </w:rPr>
      </w:r>
      <w:r>
        <w:rPr>
          <w:b/>
          <w:bCs w:val="0"/>
          <w:i w:val="0"/>
        </w:rPr>
      </w:r>
    </w:p>
    <w:p>
      <w:pPr>
        <w:pBdr/>
        <w:spacing w:after="200" w:line="276" w:lineRule="auto"/>
        <w:ind/>
        <w:jc w:val="center"/>
        <w:rPr>
          <w:b/>
          <w:bCs w:val="0"/>
          <w:i w:val="0"/>
        </w:rPr>
      </w:pPr>
      <w:r>
        <w:rPr>
          <w:highlight w:val="none"/>
        </w:rPr>
      </w:r>
      <w:r>
        <mc:AlternateContent>
          <mc:Choice Requires="wpg">
            <w:drawing>
              <wp:inline xmlns:wp="http://schemas.openxmlformats.org/drawingml/2006/wordprocessingDrawing" distT="0" distB="0" distL="0" distR="0">
                <wp:extent cx="6048375" cy="8064500"/>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234863" name=""/>
                        <pic:cNvPicPr>
                          <a:picLocks noChangeAspect="1"/>
                        </pic:cNvPicPr>
                        <pic:nvPr/>
                      </pic:nvPicPr>
                      <pic:blipFill rotWithShape="1">
                        <a:blip r:embed="rId4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476.25pt;height:635.00pt;mso-wrap-distance-left:0.00pt;mso-wrap-distance-top:0.00pt;mso-wrap-distance-right:0.00pt;mso-wrap-distance-bottom:0.00pt;z-index:1;" stroked="false">
                <v:imagedata r:id="rId47" o:title=""/>
                <o:lock v:ext="edit" rotation="t"/>
              </v:shape>
            </w:pict>
          </mc:Fallback>
        </mc:AlternateContent>
      </w:r>
      <w:r>
        <w:rPr>
          <w:b/>
          <w:bCs w:val="0"/>
          <w:i w:val="0"/>
        </w:rPr>
      </w:r>
      <w:r>
        <w:rPr>
          <w:b/>
          <w:bCs w:val="0"/>
          <w:i w:val="0"/>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4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482CBAE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3D32194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0DE9A9EB"/>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39C4967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5134DD2A"/>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5">
    <w:nsid w:val="6F7579F8"/>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6">
    <w:nsid w:val="68D661DA"/>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7">
    <w:nsid w:val="751EB19C"/>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8">
    <w:nsid w:val="19C5AC06"/>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9">
    <w:nsid w:val="51D83FB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63">
    <w:name w:val="Table Grid Light"/>
    <w:basedOn w:val="103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Plain Table 1"/>
    <w:basedOn w:val="103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Plain Table 2"/>
    <w:basedOn w:val="103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Plain Table 3"/>
    <w:basedOn w:val="103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Plain Table 4"/>
    <w:basedOn w:val="103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Plain Table 5"/>
    <w:basedOn w:val="103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w:basedOn w:val="103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 Accent 1"/>
    <w:basedOn w:val="103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1 Light - Accent 2"/>
    <w:basedOn w:val="103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1 Light - Accent 3"/>
    <w:basedOn w:val="103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1 Light - Accent 4"/>
    <w:basedOn w:val="103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1 Light - Accent 5"/>
    <w:basedOn w:val="103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1 Light - Accent 6"/>
    <w:basedOn w:val="103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w:basedOn w:val="103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 Accent 1"/>
    <w:basedOn w:val="103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2 - Accent 2"/>
    <w:basedOn w:val="103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2 - Accent 3"/>
    <w:basedOn w:val="103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2 - Accent 4"/>
    <w:basedOn w:val="103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2 - Accent 5"/>
    <w:basedOn w:val="103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2 - Accent 6"/>
    <w:basedOn w:val="103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w:basedOn w:val="103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 Accent 1"/>
    <w:basedOn w:val="103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3 - Accent 2"/>
    <w:basedOn w:val="103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3 - Accent 3"/>
    <w:basedOn w:val="103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3 - Accent 4"/>
    <w:basedOn w:val="103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3 - Accent 5"/>
    <w:basedOn w:val="103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3 - Accent 6"/>
    <w:basedOn w:val="103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w:basedOn w:val="103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 Accent 1"/>
    <w:basedOn w:val="103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4 - Accent 2"/>
    <w:basedOn w:val="103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4 - Accent 3"/>
    <w:basedOn w:val="103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4 - Accent 4"/>
    <w:basedOn w:val="103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4 - Accent 5"/>
    <w:basedOn w:val="103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4 - Accent 6"/>
    <w:basedOn w:val="103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Accent 1"/>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5 Dark - Accent 2"/>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5 Dark - Accent 3"/>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5 Dark- Accent 4"/>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5 Dark - Accent 5"/>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5 Dark - Accent 6"/>
    <w:basedOn w:val="10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6 Colorful"/>
    <w:basedOn w:val="103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5">
    <w:name w:val="Grid Table 6 Colorful - Accent 1"/>
    <w:basedOn w:val="103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6">
    <w:name w:val="Grid Table 6 Colorful - Accent 2"/>
    <w:basedOn w:val="103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7">
    <w:name w:val="Grid Table 6 Colorful - Accent 3"/>
    <w:basedOn w:val="103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8">
    <w:name w:val="Grid Table 6 Colorful - Accent 4"/>
    <w:basedOn w:val="103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9">
    <w:name w:val="Grid Table 6 Colorful - Accent 5"/>
    <w:basedOn w:val="103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0">
    <w:name w:val="Grid Table 6 Colorful - Accent 6"/>
    <w:basedOn w:val="103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1">
    <w:name w:val="Grid Table 7 Colorful"/>
    <w:basedOn w:val="103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7 Colorful - Accent 1"/>
    <w:basedOn w:val="103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7 Colorful - Accent 2"/>
    <w:basedOn w:val="103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7 Colorful - Accent 3"/>
    <w:basedOn w:val="103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Grid Table 7 Colorful - Accent 4"/>
    <w:basedOn w:val="103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7 Colorful - Accent 5"/>
    <w:basedOn w:val="103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Grid Table 7 Colorful - Accent 6"/>
    <w:basedOn w:val="103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 Accent 1"/>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1 Light - Accent 2"/>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1 Light - Accent 3"/>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1 Light - Accent 4"/>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1 Light - Accent 5"/>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1 Light - Accent 6"/>
    <w:basedOn w:val="10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w:basedOn w:val="103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 Accent 1"/>
    <w:basedOn w:val="103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2 - Accent 2"/>
    <w:basedOn w:val="103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2 - Accent 3"/>
    <w:basedOn w:val="103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2 - Accent 4"/>
    <w:basedOn w:val="103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2 - Accent 5"/>
    <w:basedOn w:val="103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2 - Accent 6"/>
    <w:basedOn w:val="103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w:basedOn w:val="103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 Accent 1"/>
    <w:basedOn w:val="103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3 - Accent 2"/>
    <w:basedOn w:val="103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3 - Accent 3"/>
    <w:basedOn w:val="103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3 - Accent 4"/>
    <w:basedOn w:val="103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3 - Accent 5"/>
    <w:basedOn w:val="103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3 - Accent 6"/>
    <w:basedOn w:val="103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w:basedOn w:val="103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 Accent 1"/>
    <w:basedOn w:val="103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4 - Accent 2"/>
    <w:basedOn w:val="103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4 - Accent 3"/>
    <w:basedOn w:val="103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4 - Accent 4"/>
    <w:basedOn w:val="103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4 - Accent 5"/>
    <w:basedOn w:val="103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4 - Accent 6"/>
    <w:basedOn w:val="103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5 Dark"/>
    <w:basedOn w:val="103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5 Dark - Accent 1"/>
    <w:basedOn w:val="103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5 Dark - Accent 2"/>
    <w:basedOn w:val="103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9">
    <w:name w:val="List Table 5 Dark - Accent 3"/>
    <w:basedOn w:val="103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0">
    <w:name w:val="List Table 5 Dark - Accent 4"/>
    <w:basedOn w:val="103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1">
    <w:name w:val="List Table 5 Dark - Accent 5"/>
    <w:basedOn w:val="103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2">
    <w:name w:val="List Table 5 Dark - Accent 6"/>
    <w:basedOn w:val="103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3">
    <w:name w:val="List Table 6 Colorful"/>
    <w:basedOn w:val="103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6 Colorful - Accent 1"/>
    <w:basedOn w:val="103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6 Colorful - Accent 2"/>
    <w:basedOn w:val="103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6 Colorful - Accent 3"/>
    <w:basedOn w:val="103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6 Colorful - Accent 4"/>
    <w:basedOn w:val="103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6 Colorful - Accent 5"/>
    <w:basedOn w:val="103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st Table 6 Colorful - Accent 6"/>
    <w:basedOn w:val="103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st Table 7 Colorful"/>
    <w:basedOn w:val="103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61">
    <w:name w:val="List Table 7 Colorful - Accent 1"/>
    <w:basedOn w:val="103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62">
    <w:name w:val="List Table 7 Colorful - Accent 2"/>
    <w:basedOn w:val="103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63">
    <w:name w:val="List Table 7 Colorful - Accent 3"/>
    <w:basedOn w:val="103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4">
    <w:name w:val="List Table 7 Colorful - Accent 4"/>
    <w:basedOn w:val="103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5">
    <w:name w:val="List Table 7 Colorful - Accent 5"/>
    <w:basedOn w:val="103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6">
    <w:name w:val="List Table 7 Colorful - Accent 6"/>
    <w:basedOn w:val="103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7">
    <w:name w:val="Lined - Accent"/>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ned - Accent 1"/>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ned - Accent 2"/>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ned - Accent 3"/>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Lined - Accent 4"/>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ned - Accent 5"/>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Lined - Accent 6"/>
    <w:basedOn w:val="10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w:basedOn w:val="103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1"/>
    <w:basedOn w:val="103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amp; Lined - Accent 2"/>
    <w:basedOn w:val="103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amp; Lined - Accent 3"/>
    <w:basedOn w:val="103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amp; Lined - Accent 4"/>
    <w:basedOn w:val="103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amp; Lined - Accent 5"/>
    <w:basedOn w:val="103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amp; Lined - Accent 6"/>
    <w:basedOn w:val="103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w:basedOn w:val="103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 Accent 1"/>
    <w:basedOn w:val="103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 Accent 2"/>
    <w:basedOn w:val="103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 Accent 3"/>
    <w:basedOn w:val="103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Bordered - Accent 4"/>
    <w:basedOn w:val="103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Bordered - Accent 5"/>
    <w:basedOn w:val="103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Bordered - Accent 6"/>
    <w:basedOn w:val="103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8">
    <w:name w:val="Heading 5"/>
    <w:basedOn w:val="1029"/>
    <w:next w:val="1029"/>
    <w:link w:val="99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9">
    <w:name w:val="Heading 6"/>
    <w:basedOn w:val="1029"/>
    <w:next w:val="1029"/>
    <w:link w:val="99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90">
    <w:name w:val="Heading 7"/>
    <w:basedOn w:val="1029"/>
    <w:next w:val="1029"/>
    <w:link w:val="99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91">
    <w:name w:val="Heading 8"/>
    <w:basedOn w:val="1029"/>
    <w:next w:val="1029"/>
    <w:link w:val="99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92">
    <w:name w:val="Heading 9"/>
    <w:basedOn w:val="1029"/>
    <w:next w:val="1029"/>
    <w:link w:val="99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93">
    <w:name w:val="Heading 5 Char"/>
    <w:basedOn w:val="1034"/>
    <w:link w:val="988"/>
    <w:uiPriority w:val="9"/>
    <w:pPr>
      <w:pBdr/>
      <w:spacing/>
      <w:ind/>
    </w:pPr>
    <w:rPr>
      <w:rFonts w:ascii="Arial" w:hAnsi="Arial" w:eastAsia="Arial" w:cs="Arial"/>
      <w:color w:val="0f4761" w:themeColor="accent1" w:themeShade="BF"/>
    </w:rPr>
  </w:style>
  <w:style w:type="character" w:styleId="994">
    <w:name w:val="Heading 6 Char"/>
    <w:basedOn w:val="1034"/>
    <w:link w:val="989"/>
    <w:uiPriority w:val="9"/>
    <w:pPr>
      <w:pBdr/>
      <w:spacing/>
      <w:ind/>
    </w:pPr>
    <w:rPr>
      <w:rFonts w:ascii="Arial" w:hAnsi="Arial" w:eastAsia="Arial" w:cs="Arial"/>
      <w:i/>
      <w:iCs/>
      <w:color w:val="595959" w:themeColor="text1" w:themeTint="A6"/>
    </w:rPr>
  </w:style>
  <w:style w:type="character" w:styleId="995">
    <w:name w:val="Heading 7 Char"/>
    <w:basedOn w:val="1034"/>
    <w:link w:val="990"/>
    <w:uiPriority w:val="9"/>
    <w:pPr>
      <w:pBdr/>
      <w:spacing/>
      <w:ind/>
    </w:pPr>
    <w:rPr>
      <w:rFonts w:ascii="Arial" w:hAnsi="Arial" w:eastAsia="Arial" w:cs="Arial"/>
      <w:color w:val="595959" w:themeColor="text1" w:themeTint="A6"/>
    </w:rPr>
  </w:style>
  <w:style w:type="character" w:styleId="996">
    <w:name w:val="Heading 8 Char"/>
    <w:basedOn w:val="1034"/>
    <w:link w:val="991"/>
    <w:uiPriority w:val="9"/>
    <w:pPr>
      <w:pBdr/>
      <w:spacing/>
      <w:ind/>
    </w:pPr>
    <w:rPr>
      <w:rFonts w:ascii="Arial" w:hAnsi="Arial" w:eastAsia="Arial" w:cs="Arial"/>
      <w:i/>
      <w:iCs/>
      <w:color w:val="272727" w:themeColor="text1" w:themeTint="D8"/>
    </w:rPr>
  </w:style>
  <w:style w:type="character" w:styleId="997">
    <w:name w:val="Heading 9 Char"/>
    <w:basedOn w:val="1034"/>
    <w:link w:val="992"/>
    <w:uiPriority w:val="9"/>
    <w:pPr>
      <w:pBdr/>
      <w:spacing/>
      <w:ind/>
    </w:pPr>
    <w:rPr>
      <w:rFonts w:ascii="Arial" w:hAnsi="Arial" w:eastAsia="Arial" w:cs="Arial"/>
      <w:i/>
      <w:iCs/>
      <w:color w:val="272727" w:themeColor="text1" w:themeTint="D8"/>
    </w:rPr>
  </w:style>
  <w:style w:type="paragraph" w:styleId="998">
    <w:name w:val="Subtitle"/>
    <w:basedOn w:val="1029"/>
    <w:next w:val="1029"/>
    <w:link w:val="999"/>
    <w:uiPriority w:val="11"/>
    <w:qFormat/>
    <w:pPr>
      <w:numPr>
        <w:ilvl w:val="1"/>
      </w:numPr>
      <w:pBdr/>
      <w:spacing/>
      <w:ind/>
    </w:pPr>
    <w:rPr>
      <w:color w:val="595959" w:themeColor="text1" w:themeTint="A6"/>
      <w:spacing w:val="15"/>
      <w:sz w:val="28"/>
      <w:szCs w:val="28"/>
    </w:rPr>
  </w:style>
  <w:style w:type="character" w:styleId="999">
    <w:name w:val="Subtitle Char"/>
    <w:basedOn w:val="1034"/>
    <w:link w:val="998"/>
    <w:uiPriority w:val="11"/>
    <w:pPr>
      <w:pBdr/>
      <w:spacing/>
      <w:ind/>
    </w:pPr>
    <w:rPr>
      <w:color w:val="595959" w:themeColor="text1" w:themeTint="A6"/>
      <w:spacing w:val="15"/>
      <w:sz w:val="28"/>
      <w:szCs w:val="28"/>
    </w:rPr>
  </w:style>
  <w:style w:type="paragraph" w:styleId="1000">
    <w:name w:val="Quote"/>
    <w:basedOn w:val="1029"/>
    <w:next w:val="1029"/>
    <w:link w:val="1001"/>
    <w:uiPriority w:val="29"/>
    <w:qFormat/>
    <w:pPr>
      <w:pBdr/>
      <w:spacing w:before="160"/>
      <w:ind/>
      <w:jc w:val="center"/>
    </w:pPr>
    <w:rPr>
      <w:i/>
      <w:iCs/>
      <w:color w:val="404040" w:themeColor="text1" w:themeTint="BF"/>
    </w:rPr>
  </w:style>
  <w:style w:type="character" w:styleId="1001">
    <w:name w:val="Quote Char"/>
    <w:basedOn w:val="1034"/>
    <w:link w:val="1000"/>
    <w:uiPriority w:val="29"/>
    <w:pPr>
      <w:pBdr/>
      <w:spacing/>
      <w:ind/>
    </w:pPr>
    <w:rPr>
      <w:i/>
      <w:iCs/>
      <w:color w:val="404040" w:themeColor="text1" w:themeTint="BF"/>
    </w:rPr>
  </w:style>
  <w:style w:type="character" w:styleId="1002">
    <w:name w:val="Intense Emphasis"/>
    <w:basedOn w:val="1034"/>
    <w:uiPriority w:val="21"/>
    <w:qFormat/>
    <w:pPr>
      <w:pBdr/>
      <w:spacing/>
      <w:ind/>
    </w:pPr>
    <w:rPr>
      <w:i/>
      <w:iCs/>
      <w:color w:val="0f4761" w:themeColor="accent1" w:themeShade="BF"/>
    </w:rPr>
  </w:style>
  <w:style w:type="paragraph" w:styleId="1003">
    <w:name w:val="Intense Quote"/>
    <w:basedOn w:val="1029"/>
    <w:next w:val="1029"/>
    <w:link w:val="100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4">
    <w:name w:val="Intense Quote Char"/>
    <w:basedOn w:val="1034"/>
    <w:link w:val="1003"/>
    <w:uiPriority w:val="30"/>
    <w:pPr>
      <w:pBdr/>
      <w:spacing/>
      <w:ind/>
    </w:pPr>
    <w:rPr>
      <w:i/>
      <w:iCs/>
      <w:color w:val="0f4761" w:themeColor="accent1" w:themeShade="BF"/>
    </w:rPr>
  </w:style>
  <w:style w:type="character" w:styleId="1005">
    <w:name w:val="Intense Reference"/>
    <w:basedOn w:val="1034"/>
    <w:uiPriority w:val="32"/>
    <w:qFormat/>
    <w:pPr>
      <w:pBdr/>
      <w:spacing/>
      <w:ind/>
    </w:pPr>
    <w:rPr>
      <w:b/>
      <w:bCs/>
      <w:smallCaps/>
      <w:color w:val="0f4761" w:themeColor="accent1" w:themeShade="BF"/>
      <w:spacing w:val="5"/>
    </w:rPr>
  </w:style>
  <w:style w:type="paragraph" w:styleId="1006">
    <w:name w:val="No Spacing"/>
    <w:basedOn w:val="1029"/>
    <w:uiPriority w:val="1"/>
    <w:qFormat/>
    <w:pPr>
      <w:pBdr/>
      <w:spacing w:after="0" w:line="240" w:lineRule="auto"/>
      <w:ind/>
    </w:pPr>
  </w:style>
  <w:style w:type="character" w:styleId="1007">
    <w:name w:val="Subtle Emphasis"/>
    <w:basedOn w:val="1034"/>
    <w:uiPriority w:val="19"/>
    <w:qFormat/>
    <w:pPr>
      <w:pBdr/>
      <w:spacing/>
      <w:ind/>
    </w:pPr>
    <w:rPr>
      <w:i/>
      <w:iCs/>
      <w:color w:val="404040" w:themeColor="text1" w:themeTint="BF"/>
    </w:rPr>
  </w:style>
  <w:style w:type="character" w:styleId="1008">
    <w:name w:val="Subtle Reference"/>
    <w:basedOn w:val="1034"/>
    <w:uiPriority w:val="31"/>
    <w:qFormat/>
    <w:pPr>
      <w:pBdr/>
      <w:spacing/>
      <w:ind/>
    </w:pPr>
    <w:rPr>
      <w:smallCaps/>
      <w:color w:val="5a5a5a" w:themeColor="text1" w:themeTint="A5"/>
    </w:rPr>
  </w:style>
  <w:style w:type="character" w:styleId="1009">
    <w:name w:val="Book Title"/>
    <w:basedOn w:val="1034"/>
    <w:uiPriority w:val="33"/>
    <w:qFormat/>
    <w:pPr>
      <w:pBdr/>
      <w:spacing/>
      <w:ind/>
    </w:pPr>
    <w:rPr>
      <w:b/>
      <w:bCs/>
      <w:i/>
      <w:iCs/>
      <w:spacing w:val="5"/>
    </w:rPr>
  </w:style>
  <w:style w:type="paragraph" w:styleId="1010">
    <w:name w:val="Caption"/>
    <w:basedOn w:val="1029"/>
    <w:next w:val="1029"/>
    <w:uiPriority w:val="35"/>
    <w:unhideWhenUsed/>
    <w:qFormat/>
    <w:pPr>
      <w:pBdr/>
      <w:spacing w:after="200" w:line="240" w:lineRule="auto"/>
      <w:ind/>
    </w:pPr>
    <w:rPr>
      <w:i/>
      <w:iCs/>
      <w:color w:val="0e2841" w:themeColor="text2"/>
      <w:sz w:val="18"/>
      <w:szCs w:val="18"/>
    </w:rPr>
  </w:style>
  <w:style w:type="paragraph" w:styleId="1011">
    <w:name w:val="footnote text"/>
    <w:basedOn w:val="1029"/>
    <w:link w:val="1012"/>
    <w:uiPriority w:val="99"/>
    <w:semiHidden/>
    <w:unhideWhenUsed/>
    <w:pPr>
      <w:pBdr/>
      <w:spacing w:after="0" w:line="240" w:lineRule="auto"/>
      <w:ind/>
    </w:pPr>
    <w:rPr>
      <w:sz w:val="20"/>
      <w:szCs w:val="20"/>
    </w:rPr>
  </w:style>
  <w:style w:type="character" w:styleId="1012">
    <w:name w:val="Footnote Text Char"/>
    <w:basedOn w:val="1034"/>
    <w:link w:val="1011"/>
    <w:uiPriority w:val="99"/>
    <w:semiHidden/>
    <w:pPr>
      <w:pBdr/>
      <w:spacing/>
      <w:ind/>
    </w:pPr>
    <w:rPr>
      <w:sz w:val="20"/>
      <w:szCs w:val="20"/>
    </w:rPr>
  </w:style>
  <w:style w:type="character" w:styleId="1013">
    <w:name w:val="footnote reference"/>
    <w:basedOn w:val="1034"/>
    <w:uiPriority w:val="99"/>
    <w:semiHidden/>
    <w:unhideWhenUsed/>
    <w:pPr>
      <w:pBdr/>
      <w:spacing/>
      <w:ind/>
    </w:pPr>
    <w:rPr>
      <w:vertAlign w:val="superscript"/>
    </w:rPr>
  </w:style>
  <w:style w:type="paragraph" w:styleId="1014">
    <w:name w:val="endnote text"/>
    <w:basedOn w:val="1029"/>
    <w:link w:val="1015"/>
    <w:uiPriority w:val="99"/>
    <w:semiHidden/>
    <w:unhideWhenUsed/>
    <w:pPr>
      <w:pBdr/>
      <w:spacing w:after="0" w:line="240" w:lineRule="auto"/>
      <w:ind/>
    </w:pPr>
    <w:rPr>
      <w:sz w:val="20"/>
      <w:szCs w:val="20"/>
    </w:rPr>
  </w:style>
  <w:style w:type="character" w:styleId="1015">
    <w:name w:val="Endnote Text Char"/>
    <w:basedOn w:val="1034"/>
    <w:link w:val="1014"/>
    <w:uiPriority w:val="99"/>
    <w:semiHidden/>
    <w:pPr>
      <w:pBdr/>
      <w:spacing/>
      <w:ind/>
    </w:pPr>
    <w:rPr>
      <w:sz w:val="20"/>
      <w:szCs w:val="20"/>
    </w:rPr>
  </w:style>
  <w:style w:type="character" w:styleId="1016">
    <w:name w:val="endnote reference"/>
    <w:basedOn w:val="1034"/>
    <w:uiPriority w:val="99"/>
    <w:semiHidden/>
    <w:unhideWhenUsed/>
    <w:pPr>
      <w:pBdr/>
      <w:spacing/>
      <w:ind/>
    </w:pPr>
    <w:rPr>
      <w:vertAlign w:val="superscript"/>
    </w:rPr>
  </w:style>
  <w:style w:type="paragraph" w:styleId="1017">
    <w:name w:val="toc 1"/>
    <w:basedOn w:val="1029"/>
    <w:next w:val="1029"/>
    <w:uiPriority w:val="39"/>
    <w:unhideWhenUsed/>
    <w:pPr>
      <w:pBdr/>
      <w:spacing w:after="100"/>
      <w:ind/>
    </w:pPr>
  </w:style>
  <w:style w:type="paragraph" w:styleId="1018">
    <w:name w:val="toc 2"/>
    <w:basedOn w:val="1029"/>
    <w:next w:val="1029"/>
    <w:uiPriority w:val="39"/>
    <w:unhideWhenUsed/>
    <w:pPr>
      <w:pBdr/>
      <w:spacing w:after="100"/>
      <w:ind w:left="220"/>
    </w:pPr>
  </w:style>
  <w:style w:type="paragraph" w:styleId="1019">
    <w:name w:val="toc 3"/>
    <w:basedOn w:val="1029"/>
    <w:next w:val="1029"/>
    <w:uiPriority w:val="39"/>
    <w:unhideWhenUsed/>
    <w:pPr>
      <w:pBdr/>
      <w:spacing w:after="100"/>
      <w:ind w:left="440"/>
    </w:pPr>
  </w:style>
  <w:style w:type="paragraph" w:styleId="1020">
    <w:name w:val="toc 4"/>
    <w:basedOn w:val="1029"/>
    <w:next w:val="1029"/>
    <w:uiPriority w:val="39"/>
    <w:unhideWhenUsed/>
    <w:pPr>
      <w:pBdr/>
      <w:spacing w:after="100"/>
      <w:ind w:left="660"/>
    </w:pPr>
  </w:style>
  <w:style w:type="paragraph" w:styleId="1021">
    <w:name w:val="toc 5"/>
    <w:basedOn w:val="1029"/>
    <w:next w:val="1029"/>
    <w:uiPriority w:val="39"/>
    <w:unhideWhenUsed/>
    <w:pPr>
      <w:pBdr/>
      <w:spacing w:after="100"/>
      <w:ind w:left="880"/>
    </w:pPr>
  </w:style>
  <w:style w:type="paragraph" w:styleId="1022">
    <w:name w:val="toc 6"/>
    <w:basedOn w:val="1029"/>
    <w:next w:val="1029"/>
    <w:uiPriority w:val="39"/>
    <w:unhideWhenUsed/>
    <w:pPr>
      <w:pBdr/>
      <w:spacing w:after="100"/>
      <w:ind w:left="1100"/>
    </w:pPr>
  </w:style>
  <w:style w:type="paragraph" w:styleId="1023">
    <w:name w:val="toc 7"/>
    <w:basedOn w:val="1029"/>
    <w:next w:val="1029"/>
    <w:uiPriority w:val="39"/>
    <w:unhideWhenUsed/>
    <w:pPr>
      <w:pBdr/>
      <w:spacing w:after="100"/>
      <w:ind w:left="1320"/>
    </w:pPr>
  </w:style>
  <w:style w:type="paragraph" w:styleId="1024">
    <w:name w:val="toc 8"/>
    <w:basedOn w:val="1029"/>
    <w:next w:val="1029"/>
    <w:uiPriority w:val="39"/>
    <w:unhideWhenUsed/>
    <w:pPr>
      <w:pBdr/>
      <w:spacing w:after="100"/>
      <w:ind w:left="1540"/>
    </w:pPr>
  </w:style>
  <w:style w:type="paragraph" w:styleId="1025">
    <w:name w:val="toc 9"/>
    <w:basedOn w:val="1029"/>
    <w:next w:val="1029"/>
    <w:uiPriority w:val="39"/>
    <w:unhideWhenUsed/>
    <w:pPr>
      <w:pBdr/>
      <w:spacing w:after="100"/>
      <w:ind w:left="1760"/>
    </w:pPr>
  </w:style>
  <w:style w:type="character" w:styleId="1026">
    <w:name w:val="Placeholder Text"/>
    <w:basedOn w:val="1034"/>
    <w:uiPriority w:val="99"/>
    <w:semiHidden/>
    <w:pPr>
      <w:pBdr/>
      <w:spacing/>
      <w:ind/>
    </w:pPr>
    <w:rPr>
      <w:color w:val="666666"/>
    </w:rPr>
  </w:style>
  <w:style w:type="paragraph" w:styleId="1027">
    <w:name w:val="TOC Heading"/>
    <w:uiPriority w:val="39"/>
    <w:unhideWhenUsed/>
    <w:pPr>
      <w:pBdr/>
      <w:spacing/>
      <w:ind/>
    </w:pPr>
  </w:style>
  <w:style w:type="paragraph" w:styleId="1028">
    <w:name w:val="table of figures"/>
    <w:basedOn w:val="1029"/>
    <w:next w:val="1029"/>
    <w:uiPriority w:val="99"/>
    <w:unhideWhenUsed/>
    <w:pPr>
      <w:pBdr/>
      <w:spacing w:after="0" w:afterAutospacing="0"/>
      <w:ind/>
    </w:pPr>
  </w:style>
  <w:style w:type="paragraph" w:styleId="1029" w:default="1">
    <w:name w:val="Normal"/>
    <w:qFormat/>
    <w:pPr>
      <w:pBdr/>
      <w:spacing w:after="0" w:line="240" w:lineRule="auto"/>
      <w:ind/>
    </w:pPr>
    <w:rPr>
      <w:rFonts w:ascii="Times New Roman" w:hAnsi="Times New Roman" w:eastAsia="Times New Roman" w:cs="Times New Roman"/>
      <w:sz w:val="24"/>
      <w:szCs w:val="24"/>
    </w:rPr>
  </w:style>
  <w:style w:type="paragraph" w:styleId="1030">
    <w:name w:val="Heading 1"/>
    <w:basedOn w:val="1029"/>
    <w:next w:val="1029"/>
    <w:link w:val="1037"/>
    <w:qFormat/>
    <w:pPr>
      <w:keepNext w:val="true"/>
      <w:pBdr/>
      <w:spacing w:after="120" w:before="120"/>
      <w:ind/>
      <w:jc w:val="center"/>
      <w:outlineLvl w:val="0"/>
    </w:pPr>
    <w:rPr>
      <w:b/>
      <w:bCs/>
      <w:sz w:val="27"/>
      <w:szCs w:val="27"/>
    </w:rPr>
  </w:style>
  <w:style w:type="paragraph" w:styleId="1031">
    <w:name w:val="Heading 2"/>
    <w:basedOn w:val="1029"/>
    <w:next w:val="1029"/>
    <w:link w:val="103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32">
    <w:name w:val="Heading 3"/>
    <w:basedOn w:val="1029"/>
    <w:next w:val="1029"/>
    <w:link w:val="1039"/>
    <w:qFormat/>
    <w:pPr>
      <w:keepNext w:val="true"/>
      <w:pBdr/>
      <w:spacing w:before="60"/>
      <w:ind/>
      <w:outlineLvl w:val="2"/>
    </w:pPr>
    <w:rPr>
      <w:sz w:val="28"/>
      <w:szCs w:val="28"/>
    </w:rPr>
  </w:style>
  <w:style w:type="paragraph" w:styleId="1033">
    <w:name w:val="Heading 4"/>
    <w:basedOn w:val="1029"/>
    <w:next w:val="1029"/>
    <w:link w:val="1040"/>
    <w:qFormat/>
    <w:pPr>
      <w:keepNext w:val="true"/>
      <w:pBdr/>
      <w:spacing/>
      <w:ind/>
      <w:jc w:val="center"/>
      <w:outlineLvl w:val="3"/>
    </w:pPr>
    <w:rPr>
      <w:b/>
      <w:bCs/>
    </w:rPr>
  </w:style>
  <w:style w:type="character" w:styleId="1034" w:default="1">
    <w:name w:val="Default Paragraph Font"/>
    <w:uiPriority w:val="1"/>
    <w:semiHidden/>
    <w:unhideWhenUsed/>
    <w:pPr>
      <w:pBdr/>
      <w:spacing/>
      <w:ind/>
    </w:pPr>
  </w:style>
  <w:style w:type="table" w:styleId="103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6" w:default="1">
    <w:name w:val="No List"/>
    <w:uiPriority w:val="99"/>
    <w:semiHidden/>
    <w:unhideWhenUsed/>
    <w:pPr>
      <w:pBdr/>
      <w:spacing/>
      <w:ind/>
    </w:pPr>
  </w:style>
  <w:style w:type="character" w:styleId="1037" w:customStyle="1">
    <w:name w:val="Heading 1 Char"/>
    <w:basedOn w:val="1034"/>
    <w:link w:val="1030"/>
    <w:pPr>
      <w:pBdr/>
      <w:spacing/>
      <w:ind/>
    </w:pPr>
    <w:rPr>
      <w:rFonts w:ascii="Times New Roman" w:hAnsi="Times New Roman" w:eastAsia="Times New Roman" w:cs="Times New Roman"/>
      <w:b/>
      <w:bCs/>
      <w:sz w:val="27"/>
      <w:szCs w:val="27"/>
    </w:rPr>
  </w:style>
  <w:style w:type="character" w:styleId="1038" w:customStyle="1">
    <w:name w:val="Heading 2 Char"/>
    <w:basedOn w:val="1034"/>
    <w:link w:val="1031"/>
    <w:uiPriority w:val="9"/>
    <w:pPr>
      <w:pBdr/>
      <w:spacing/>
      <w:ind/>
    </w:pPr>
    <w:rPr>
      <w:rFonts w:asciiTheme="majorHAnsi" w:hAnsiTheme="majorHAnsi" w:eastAsiaTheme="majorEastAsia" w:cstheme="majorBidi"/>
      <w:color w:val="365f91" w:themeColor="accent1" w:themeShade="BF"/>
      <w:sz w:val="26"/>
      <w:szCs w:val="26"/>
    </w:rPr>
  </w:style>
  <w:style w:type="character" w:styleId="1039" w:customStyle="1">
    <w:name w:val="Heading 3 Char"/>
    <w:basedOn w:val="1034"/>
    <w:link w:val="1032"/>
    <w:pPr>
      <w:pBdr/>
      <w:spacing/>
      <w:ind/>
    </w:pPr>
    <w:rPr>
      <w:rFonts w:ascii="Times New Roman" w:hAnsi="Times New Roman" w:eastAsia="Times New Roman" w:cs="Times New Roman"/>
      <w:sz w:val="28"/>
      <w:szCs w:val="28"/>
    </w:rPr>
  </w:style>
  <w:style w:type="character" w:styleId="1040" w:customStyle="1">
    <w:name w:val="Heading 4 Char"/>
    <w:basedOn w:val="1034"/>
    <w:link w:val="1033"/>
    <w:pPr>
      <w:pBdr/>
      <w:spacing/>
      <w:ind/>
    </w:pPr>
    <w:rPr>
      <w:rFonts w:ascii="Times New Roman" w:hAnsi="Times New Roman" w:eastAsia="Times New Roman" w:cs="Times New Roman"/>
      <w:b/>
      <w:bCs/>
      <w:sz w:val="24"/>
      <w:szCs w:val="24"/>
    </w:rPr>
  </w:style>
  <w:style w:type="character" w:styleId="1041">
    <w:name w:val="Hyperlink"/>
    <w:uiPriority w:val="99"/>
    <w:pPr>
      <w:pBdr/>
      <w:spacing/>
      <w:ind/>
    </w:pPr>
    <w:rPr>
      <w:color w:val="000000"/>
      <w:u w:val="single"/>
    </w:rPr>
  </w:style>
  <w:style w:type="character" w:styleId="1042">
    <w:name w:val="Strong"/>
    <w:uiPriority w:val="22"/>
    <w:qFormat/>
    <w:pPr>
      <w:pBdr/>
      <w:spacing/>
      <w:ind/>
    </w:pPr>
    <w:rPr>
      <w:b/>
      <w:bCs/>
    </w:rPr>
  </w:style>
  <w:style w:type="paragraph" w:styleId="1043">
    <w:name w:val="Balloon Text"/>
    <w:basedOn w:val="1029"/>
    <w:link w:val="1044"/>
    <w:uiPriority w:val="99"/>
    <w:semiHidden/>
    <w:unhideWhenUsed/>
    <w:pPr>
      <w:pBdr/>
      <w:spacing/>
      <w:ind/>
    </w:pPr>
    <w:rPr>
      <w:rFonts w:ascii="Tahoma" w:hAnsi="Tahoma" w:cs="Tahoma"/>
      <w:sz w:val="16"/>
      <w:szCs w:val="16"/>
    </w:rPr>
  </w:style>
  <w:style w:type="character" w:styleId="1044" w:customStyle="1">
    <w:name w:val="Balloon Text Char"/>
    <w:basedOn w:val="1034"/>
    <w:link w:val="1043"/>
    <w:uiPriority w:val="99"/>
    <w:semiHidden/>
    <w:pPr>
      <w:pBdr/>
      <w:spacing/>
      <w:ind/>
    </w:pPr>
    <w:rPr>
      <w:rFonts w:ascii="Tahoma" w:hAnsi="Tahoma" w:eastAsia="Times New Roman" w:cs="Tahoma"/>
      <w:sz w:val="16"/>
      <w:szCs w:val="16"/>
    </w:rPr>
  </w:style>
  <w:style w:type="paragraph" w:styleId="1045">
    <w:name w:val="Header"/>
    <w:basedOn w:val="1029"/>
    <w:link w:val="1046"/>
    <w:unhideWhenUsed/>
    <w:pPr>
      <w:pBdr/>
      <w:tabs>
        <w:tab w:val="center" w:leader="none" w:pos="4680"/>
        <w:tab w:val="right" w:leader="none" w:pos="9360"/>
      </w:tabs>
      <w:spacing/>
      <w:ind/>
    </w:pPr>
  </w:style>
  <w:style w:type="character" w:styleId="1046" w:customStyle="1">
    <w:name w:val="Header Char"/>
    <w:basedOn w:val="1034"/>
    <w:link w:val="1045"/>
    <w:pPr>
      <w:pBdr/>
      <w:spacing/>
      <w:ind/>
    </w:pPr>
    <w:rPr>
      <w:rFonts w:ascii="Times New Roman" w:hAnsi="Times New Roman" w:eastAsia="Times New Roman" w:cs="Times New Roman"/>
      <w:sz w:val="24"/>
      <w:szCs w:val="24"/>
    </w:rPr>
  </w:style>
  <w:style w:type="paragraph" w:styleId="1047">
    <w:name w:val="Footer"/>
    <w:basedOn w:val="1029"/>
    <w:link w:val="1048"/>
    <w:uiPriority w:val="99"/>
    <w:unhideWhenUsed/>
    <w:pPr>
      <w:pBdr/>
      <w:tabs>
        <w:tab w:val="center" w:leader="none" w:pos="4680"/>
        <w:tab w:val="right" w:leader="none" w:pos="9360"/>
      </w:tabs>
      <w:spacing/>
      <w:ind/>
    </w:pPr>
  </w:style>
  <w:style w:type="character" w:styleId="1048" w:customStyle="1">
    <w:name w:val="Footer Char"/>
    <w:basedOn w:val="1034"/>
    <w:link w:val="1047"/>
    <w:uiPriority w:val="99"/>
    <w:pPr>
      <w:pBdr/>
      <w:spacing/>
      <w:ind/>
    </w:pPr>
    <w:rPr>
      <w:rFonts w:ascii="Times New Roman" w:hAnsi="Times New Roman" w:eastAsia="Times New Roman" w:cs="Times New Roman"/>
      <w:sz w:val="24"/>
      <w:szCs w:val="24"/>
    </w:rPr>
  </w:style>
  <w:style w:type="character" w:styleId="1049" w:customStyle="1">
    <w:name w:val="normal-h1"/>
    <w:pPr>
      <w:pBdr/>
      <w:spacing/>
      <w:ind/>
    </w:pPr>
    <w:rPr>
      <w:rFonts w:hint="default" w:ascii=".VnTime" w:hAnsi=".VnTime"/>
      <w:color w:val="0000ff"/>
      <w:sz w:val="24"/>
      <w:szCs w:val="24"/>
    </w:rPr>
  </w:style>
  <w:style w:type="paragraph" w:styleId="1050" w:customStyle="1">
    <w:name w:val="normal-p"/>
    <w:basedOn w:val="1029"/>
    <w:pPr>
      <w:pBdr/>
      <w:spacing/>
      <w:ind/>
      <w:jc w:val="both"/>
    </w:pPr>
    <w:rPr>
      <w:sz w:val="20"/>
      <w:szCs w:val="20"/>
    </w:rPr>
  </w:style>
  <w:style w:type="paragraph" w:styleId="1051">
    <w:name w:val="List Paragraph"/>
    <w:basedOn w:val="1029"/>
    <w:link w:val="1138"/>
    <w:uiPriority w:val="34"/>
    <w:qFormat/>
    <w:pPr>
      <w:pBdr/>
      <w:spacing/>
      <w:ind w:left="720"/>
    </w:pPr>
  </w:style>
  <w:style w:type="paragraph" w:styleId="1052">
    <w:name w:val="Normal (Web)"/>
    <w:basedOn w:val="1029"/>
    <w:uiPriority w:val="99"/>
    <w:pPr>
      <w:pBdr/>
      <w:spacing w:after="100" w:afterAutospacing="1" w:before="100" w:beforeAutospacing="1"/>
      <w:ind/>
    </w:pPr>
  </w:style>
  <w:style w:type="paragraph" w:styleId="1053">
    <w:name w:val="Body Text"/>
    <w:basedOn w:val="1029"/>
    <w:link w:val="1054"/>
    <w:pPr>
      <w:pBdr/>
      <w:spacing w:after="120"/>
      <w:ind/>
      <w:jc w:val="both"/>
    </w:pPr>
  </w:style>
  <w:style w:type="character" w:styleId="1054" w:customStyle="1">
    <w:name w:val="Body Text Char"/>
    <w:basedOn w:val="1034"/>
    <w:link w:val="1053"/>
    <w:pPr>
      <w:pBdr/>
      <w:spacing/>
      <w:ind/>
    </w:pPr>
    <w:rPr>
      <w:rFonts w:ascii="Times New Roman" w:hAnsi="Times New Roman" w:eastAsia="Times New Roman" w:cs="Times New Roman"/>
      <w:sz w:val="24"/>
      <w:szCs w:val="24"/>
    </w:rPr>
  </w:style>
  <w:style w:type="table" w:styleId="1055">
    <w:name w:val="Table Grid"/>
    <w:basedOn w:val="103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7">
    <w:name w:val="annotation reference"/>
    <w:basedOn w:val="1034"/>
    <w:uiPriority w:val="99"/>
    <w:semiHidden/>
    <w:unhideWhenUsed/>
    <w:pPr>
      <w:pBdr/>
      <w:spacing/>
      <w:ind/>
    </w:pPr>
    <w:rPr>
      <w:sz w:val="16"/>
      <w:szCs w:val="16"/>
    </w:rPr>
  </w:style>
  <w:style w:type="paragraph" w:styleId="1058">
    <w:name w:val="annotation text"/>
    <w:basedOn w:val="1029"/>
    <w:link w:val="1059"/>
    <w:uiPriority w:val="99"/>
    <w:unhideWhenUsed/>
    <w:pPr>
      <w:pBdr/>
      <w:spacing/>
      <w:ind/>
    </w:pPr>
    <w:rPr>
      <w:sz w:val="20"/>
      <w:szCs w:val="20"/>
    </w:rPr>
  </w:style>
  <w:style w:type="character" w:styleId="1059" w:customStyle="1">
    <w:name w:val="Comment Text Char"/>
    <w:basedOn w:val="1034"/>
    <w:link w:val="1058"/>
    <w:uiPriority w:val="99"/>
    <w:pPr>
      <w:pBdr/>
      <w:spacing/>
      <w:ind/>
    </w:pPr>
    <w:rPr>
      <w:rFonts w:ascii="Times New Roman" w:hAnsi="Times New Roman" w:eastAsia="Times New Roman" w:cs="Times New Roman"/>
      <w:sz w:val="20"/>
      <w:szCs w:val="20"/>
    </w:rPr>
  </w:style>
  <w:style w:type="paragraph" w:styleId="1060">
    <w:name w:val="annotation subject"/>
    <w:basedOn w:val="1058"/>
    <w:next w:val="1058"/>
    <w:link w:val="1061"/>
    <w:uiPriority w:val="99"/>
    <w:semiHidden/>
    <w:unhideWhenUsed/>
    <w:pPr>
      <w:pBdr/>
      <w:spacing/>
      <w:ind/>
    </w:pPr>
    <w:rPr>
      <w:b/>
      <w:bCs/>
    </w:rPr>
  </w:style>
  <w:style w:type="character" w:styleId="1061" w:customStyle="1">
    <w:name w:val="Comment Subject Char"/>
    <w:basedOn w:val="1059"/>
    <w:link w:val="1060"/>
    <w:uiPriority w:val="99"/>
    <w:semiHidden/>
    <w:pPr>
      <w:pBdr/>
      <w:spacing/>
      <w:ind/>
    </w:pPr>
    <w:rPr>
      <w:rFonts w:ascii="Times New Roman" w:hAnsi="Times New Roman" w:eastAsia="Times New Roman" w:cs="Times New Roman"/>
      <w:b/>
      <w:bCs/>
      <w:sz w:val="20"/>
      <w:szCs w:val="20"/>
    </w:rPr>
  </w:style>
  <w:style w:type="paragraph" w:styleId="1062" w:customStyle="1">
    <w:name w:val="font5"/>
    <w:basedOn w:val="1029"/>
    <w:pPr>
      <w:pBdr/>
      <w:spacing w:after="100" w:afterAutospacing="1" w:before="100" w:beforeAutospacing="1"/>
      <w:ind/>
    </w:pPr>
    <w:rPr>
      <w:rFonts w:ascii="Tahoma" w:hAnsi="Tahoma" w:cs="Tahoma"/>
      <w:color w:val="000000"/>
      <w:sz w:val="18"/>
      <w:szCs w:val="18"/>
    </w:rPr>
  </w:style>
  <w:style w:type="paragraph" w:styleId="1063" w:customStyle="1">
    <w:name w:val="font6"/>
    <w:basedOn w:val="1029"/>
    <w:pPr>
      <w:pBdr/>
      <w:spacing w:after="100" w:afterAutospacing="1" w:before="100" w:beforeAutospacing="1"/>
      <w:ind/>
    </w:pPr>
    <w:rPr>
      <w:rFonts w:ascii="Tahoma" w:hAnsi="Tahoma" w:cs="Tahoma"/>
      <w:b/>
      <w:bCs/>
      <w:color w:val="000000"/>
      <w:sz w:val="18"/>
      <w:szCs w:val="18"/>
    </w:rPr>
  </w:style>
  <w:style w:type="paragraph" w:styleId="1064" w:customStyle="1">
    <w:name w:val="xl233"/>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34"/>
    <w:basedOn w:val="1029"/>
    <w:pPr>
      <w:pBdr/>
      <w:spacing w:after="100" w:afterAutospacing="1" w:before="100" w:beforeAutospacing="1"/>
      <w:ind/>
      <w:jc w:val="center"/>
    </w:pPr>
  </w:style>
  <w:style w:type="paragraph" w:styleId="1066" w:customStyle="1">
    <w:name w:val="xl235"/>
    <w:basedOn w:val="1029"/>
    <w:pPr>
      <w:pBdr/>
      <w:spacing w:after="100" w:afterAutospacing="1" w:before="100" w:beforeAutospacing="1"/>
      <w:ind/>
      <w:jc w:val="center"/>
    </w:pPr>
    <w:rPr>
      <w:b/>
      <w:bCs/>
    </w:rPr>
  </w:style>
  <w:style w:type="paragraph" w:styleId="1067" w:customStyle="1">
    <w:name w:val="xl236"/>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37"/>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38"/>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0" w:customStyle="1">
    <w:name w:val="xl239"/>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1" w:customStyle="1">
    <w:name w:val="xl240"/>
    <w:basedOn w:val="1029"/>
    <w:pPr>
      <w:pBdr/>
      <w:spacing w:after="100" w:afterAutospacing="1" w:before="100" w:beforeAutospacing="1"/>
      <w:ind/>
    </w:pPr>
  </w:style>
  <w:style w:type="paragraph" w:styleId="1072" w:customStyle="1">
    <w:name w:val="xl241"/>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42"/>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43"/>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44"/>
    <w:basedOn w:val="1029"/>
    <w:pPr>
      <w:pBdr/>
      <w:spacing w:after="100" w:afterAutospacing="1" w:before="100" w:beforeAutospacing="1"/>
      <w:ind/>
    </w:pPr>
    <w:rPr>
      <w:b/>
      <w:bCs/>
    </w:rPr>
  </w:style>
  <w:style w:type="paragraph" w:styleId="1076" w:customStyle="1">
    <w:name w:val="xl245"/>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46"/>
    <w:basedOn w:val="102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47"/>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48"/>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49"/>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50"/>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51"/>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52"/>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3"/>
    <w:basedOn w:val="102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54"/>
    <w:basedOn w:val="102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55"/>
    <w:basedOn w:val="102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56"/>
    <w:basedOn w:val="102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8" w:customStyle="1">
    <w:name w:val="xl257"/>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58"/>
    <w:basedOn w:val="102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59"/>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1" w:customStyle="1">
    <w:name w:val="xl260"/>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61"/>
    <w:basedOn w:val="102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3" w:customStyle="1">
    <w:name w:val="xl262"/>
    <w:basedOn w:val="102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63"/>
    <w:basedOn w:val="1029"/>
    <w:pPr>
      <w:pBdr/>
      <w:shd w:val="clear" w:color="000000" w:fill="ffffff"/>
      <w:spacing w:after="100" w:afterAutospacing="1" w:before="100" w:beforeAutospacing="1"/>
      <w:ind/>
    </w:pPr>
  </w:style>
  <w:style w:type="paragraph" w:styleId="1095" w:customStyle="1">
    <w:name w:val="xl264"/>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65"/>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66"/>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8" w:customStyle="1">
    <w:name w:val="xl267"/>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68"/>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0" w:customStyle="1">
    <w:name w:val="xl269"/>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1" w:customStyle="1">
    <w:name w:val="xl270"/>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71"/>
    <w:basedOn w:val="102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03" w:customStyle="1">
    <w:name w:val="xl272"/>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4" w:customStyle="1">
    <w:name w:val="xl273"/>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5" w:customStyle="1">
    <w:name w:val="xl274"/>
    <w:basedOn w:val="102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75"/>
    <w:basedOn w:val="1029"/>
    <w:pPr>
      <w:pBdr/>
      <w:spacing w:after="100" w:afterAutospacing="1" w:before="100" w:beforeAutospacing="1"/>
      <w:ind/>
    </w:pPr>
  </w:style>
  <w:style w:type="paragraph" w:styleId="1107" w:customStyle="1">
    <w:name w:val="xl276"/>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8" w:customStyle="1">
    <w:name w:val="xl277"/>
    <w:basedOn w:val="102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9" w:customStyle="1">
    <w:name w:val="xl278"/>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customStyle="1">
    <w:name w:val="xl279"/>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1" w:customStyle="1">
    <w:name w:val="xl280"/>
    <w:basedOn w:val="102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12" w:customStyle="1">
    <w:name w:val="xl281"/>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3" w:customStyle="1">
    <w:name w:val="xl282"/>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4" w:customStyle="1">
    <w:name w:val="xl283"/>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84"/>
    <w:basedOn w:val="1029"/>
    <w:pPr>
      <w:pBdr>
        <w:left w:val="single" w:color="000000" w:sz="4" w:space="0"/>
        <w:bottom w:val="single" w:color="000000" w:sz="4" w:space="0"/>
        <w:right w:val="single" w:color="000000" w:sz="4" w:space="0"/>
      </w:pBdr>
      <w:spacing w:after="100" w:afterAutospacing="1" w:before="100" w:beforeAutospacing="1"/>
      <w:ind/>
    </w:pPr>
  </w:style>
  <w:style w:type="paragraph" w:styleId="1116" w:customStyle="1">
    <w:name w:val="xl285"/>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7" w:customStyle="1">
    <w:name w:val="xl286"/>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8" w:customStyle="1">
    <w:name w:val="xl287"/>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88"/>
    <w:basedOn w:val="1029"/>
    <w:pPr>
      <w:pBdr>
        <w:top w:val="single" w:color="000000" w:sz="4" w:space="0"/>
        <w:left w:val="single" w:color="000000" w:sz="4" w:space="0"/>
        <w:right w:val="single" w:color="000000" w:sz="4" w:space="0"/>
      </w:pBdr>
      <w:spacing w:after="100" w:afterAutospacing="1" w:before="100" w:beforeAutospacing="1"/>
      <w:ind/>
    </w:pPr>
  </w:style>
  <w:style w:type="paragraph" w:styleId="1120" w:customStyle="1">
    <w:name w:val="xl289"/>
    <w:basedOn w:val="1029"/>
    <w:pPr>
      <w:pBdr>
        <w:left w:val="single" w:color="000000" w:sz="4" w:space="0"/>
        <w:right w:val="single" w:color="000000" w:sz="4" w:space="0"/>
      </w:pBdr>
      <w:spacing w:after="100" w:afterAutospacing="1" w:before="100" w:beforeAutospacing="1"/>
      <w:ind/>
    </w:pPr>
    <w:rPr>
      <w:b/>
      <w:bCs/>
    </w:rPr>
  </w:style>
  <w:style w:type="paragraph" w:styleId="1121" w:customStyle="1">
    <w:name w:val="xl290"/>
    <w:basedOn w:val="102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22" w:customStyle="1">
    <w:name w:val="xl291"/>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3" w:customStyle="1">
    <w:name w:val="xl292"/>
    <w:basedOn w:val="1029"/>
    <w:pPr>
      <w:pBdr>
        <w:top w:val="single" w:color="000000" w:sz="4" w:space="0"/>
        <w:left w:val="single" w:color="000000" w:sz="4" w:space="0"/>
        <w:right w:val="single" w:color="000000" w:sz="4" w:space="0"/>
      </w:pBdr>
      <w:spacing w:after="100" w:afterAutospacing="1" w:before="100" w:beforeAutospacing="1"/>
      <w:ind/>
    </w:pPr>
  </w:style>
  <w:style w:type="paragraph" w:styleId="1124" w:customStyle="1">
    <w:name w:val="xl293"/>
    <w:basedOn w:val="1029"/>
    <w:pPr>
      <w:pBdr>
        <w:left w:val="single" w:color="000000" w:sz="4" w:space="0"/>
        <w:bottom w:val="single" w:color="000000" w:sz="4" w:space="0"/>
        <w:right w:val="single" w:color="000000" w:sz="4" w:space="0"/>
      </w:pBdr>
      <w:spacing w:after="100" w:afterAutospacing="1" w:before="100" w:beforeAutospacing="1"/>
      <w:ind/>
    </w:pPr>
  </w:style>
  <w:style w:type="paragraph" w:styleId="1125" w:customStyle="1">
    <w:name w:val="xl294"/>
    <w:basedOn w:val="102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6">
    <w:name w:val="Title"/>
    <w:basedOn w:val="1029"/>
    <w:link w:val="1127"/>
    <w:qFormat/>
    <w:pPr>
      <w:pBdr/>
      <w:spacing/>
      <w:ind/>
      <w:jc w:val="center"/>
    </w:pPr>
    <w:rPr>
      <w:b/>
      <w:bCs/>
      <w:sz w:val="32"/>
      <w:szCs w:val="26"/>
    </w:rPr>
  </w:style>
  <w:style w:type="character" w:styleId="1127" w:customStyle="1">
    <w:name w:val="Title Char"/>
    <w:basedOn w:val="1034"/>
    <w:link w:val="1126"/>
    <w:pPr>
      <w:pBdr/>
      <w:spacing/>
      <w:ind/>
    </w:pPr>
    <w:rPr>
      <w:rFonts w:ascii="Times New Roman" w:hAnsi="Times New Roman" w:eastAsia="Times New Roman" w:cs="Times New Roman"/>
      <w:b/>
      <w:bCs/>
      <w:sz w:val="32"/>
      <w:szCs w:val="26"/>
    </w:rPr>
  </w:style>
  <w:style w:type="character" w:styleId="1128" w:customStyle="1">
    <w:name w:val="Unresolved Mention1"/>
    <w:basedOn w:val="1034"/>
    <w:uiPriority w:val="99"/>
    <w:semiHidden/>
    <w:unhideWhenUsed/>
    <w:pPr>
      <w:pBdr/>
      <w:spacing/>
      <w:ind/>
    </w:pPr>
    <w:rPr>
      <w:color w:val="605e5c"/>
      <w:shd w:val="clear" w:color="auto" w:fill="e1dfdd"/>
    </w:rPr>
  </w:style>
  <w:style w:type="character" w:styleId="1129" w:customStyle="1">
    <w:name w:val="Body text (3)_"/>
    <w:link w:val="1130"/>
    <w:pPr>
      <w:pBdr/>
      <w:spacing/>
      <w:ind/>
    </w:pPr>
    <w:rPr>
      <w:rFonts w:ascii="Times New Roman" w:hAnsi="Times New Roman" w:cs="Times New Roman"/>
      <w:i/>
      <w:iCs/>
      <w:spacing w:val="4"/>
      <w:shd w:val="clear" w:color="auto" w:fill="ffffff"/>
    </w:rPr>
  </w:style>
  <w:style w:type="paragraph" w:styleId="1130" w:customStyle="1">
    <w:name w:val="Body text (3)1"/>
    <w:basedOn w:val="1029"/>
    <w:link w:val="112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31" w:customStyle="1">
    <w:name w:val="t-j"/>
    <w:basedOn w:val="1029"/>
    <w:pPr>
      <w:pBdr/>
      <w:spacing w:after="100" w:afterAutospacing="1" w:before="100" w:beforeAutospacing="1"/>
      <w:ind/>
    </w:pPr>
  </w:style>
  <w:style w:type="character" w:styleId="1132" w:customStyle="1">
    <w:name w:val="Unresolved Mention2"/>
    <w:basedOn w:val="1034"/>
    <w:uiPriority w:val="99"/>
    <w:semiHidden/>
    <w:unhideWhenUsed/>
    <w:pPr>
      <w:pBdr/>
      <w:spacing/>
      <w:ind/>
    </w:pPr>
    <w:rPr>
      <w:color w:val="605e5c"/>
      <w:shd w:val="clear" w:color="auto" w:fill="e1dfdd"/>
    </w:rPr>
  </w:style>
  <w:style w:type="character" w:styleId="1133">
    <w:name w:val="FollowedHyperlink"/>
    <w:basedOn w:val="1034"/>
    <w:uiPriority w:val="99"/>
    <w:semiHidden/>
    <w:unhideWhenUsed/>
    <w:pPr>
      <w:pBdr/>
      <w:spacing/>
      <w:ind/>
    </w:pPr>
    <w:rPr>
      <w:color w:val="800080" w:themeColor="followedHyperlink"/>
      <w:u w:val="single"/>
    </w:rPr>
  </w:style>
  <w:style w:type="character" w:styleId="1134" w:customStyle="1">
    <w:name w:val="text"/>
    <w:basedOn w:val="1034"/>
    <w:pPr>
      <w:pBdr/>
      <w:spacing/>
      <w:ind/>
    </w:pPr>
  </w:style>
  <w:style w:type="character" w:styleId="1135" w:customStyle="1">
    <w:name w:val="card-send-time__sendtime"/>
    <w:basedOn w:val="1034"/>
    <w:pPr>
      <w:pBdr/>
      <w:spacing/>
      <w:ind/>
    </w:pPr>
  </w:style>
  <w:style w:type="character" w:styleId="1136" w:customStyle="1">
    <w:name w:val="Đề cập Chưa giải quyết1"/>
    <w:basedOn w:val="1034"/>
    <w:uiPriority w:val="99"/>
    <w:semiHidden/>
    <w:unhideWhenUsed/>
    <w:pPr>
      <w:pBdr/>
      <w:spacing/>
      <w:ind/>
    </w:pPr>
    <w:rPr>
      <w:color w:val="605e5c"/>
      <w:shd w:val="clear" w:color="auto" w:fill="e1dfdd"/>
    </w:rPr>
  </w:style>
  <w:style w:type="paragraph" w:styleId="1137" w:customStyle="1">
    <w:name w:val="nqtitle"/>
    <w:basedOn w:val="1029"/>
    <w:pPr>
      <w:pBdr/>
      <w:spacing w:after="100" w:afterAutospacing="1" w:before="100" w:beforeAutospacing="1"/>
      <w:ind/>
    </w:pPr>
    <w:rPr>
      <w:lang w:val="vi-VN" w:eastAsia="vi-VN"/>
    </w:rPr>
  </w:style>
  <w:style w:type="character" w:styleId="1138" w:customStyle="1">
    <w:name w:val="List Paragraph Char"/>
    <w:link w:val="1051"/>
    <w:uiPriority w:val="34"/>
    <w:qFormat/>
    <w:pPr>
      <w:pBdr/>
      <w:spacing/>
      <w:ind/>
    </w:pPr>
    <w:rPr>
      <w:rFonts w:ascii="Times New Roman" w:hAnsi="Times New Roman" w:eastAsia="Times New Roman" w:cs="Times New Roman"/>
      <w:sz w:val="24"/>
      <w:szCs w:val="24"/>
    </w:rPr>
  </w:style>
  <w:style w:type="character" w:styleId="1139" w:customStyle="1">
    <w:name w:val="Đề cập Chưa giải quyết2"/>
    <w:basedOn w:val="1034"/>
    <w:uiPriority w:val="99"/>
    <w:semiHidden/>
    <w:unhideWhenUsed/>
    <w:pPr>
      <w:pBdr/>
      <w:spacing/>
      <w:ind/>
    </w:pPr>
    <w:rPr>
      <w:color w:val="605e5c"/>
      <w:shd w:val="clear" w:color="auto" w:fill="e1dfdd"/>
    </w:rPr>
  </w:style>
  <w:style w:type="character" w:styleId="1140" w:customStyle="1">
    <w:name w:val="Unresolved Mention3"/>
    <w:basedOn w:val="1034"/>
    <w:uiPriority w:val="99"/>
    <w:semiHidden/>
    <w:unhideWhenUsed/>
    <w:pPr>
      <w:pBdr/>
      <w:spacing/>
      <w:ind/>
    </w:pPr>
    <w:rPr>
      <w:color w:val="605e5c"/>
      <w:shd w:val="clear" w:color="auto" w:fill="e1dfdd"/>
    </w:rPr>
  </w:style>
  <w:style w:type="character" w:styleId="1141" w:customStyle="1">
    <w:name w:val="copy"/>
    <w:basedOn w:val="1034"/>
    <w:pPr>
      <w:pBdr/>
      <w:spacing/>
      <w:ind/>
    </w:pPr>
  </w:style>
  <w:style w:type="paragraph" w:styleId="1142" w:customStyle="1">
    <w:name w:val="align-justify"/>
    <w:basedOn w:val="1029"/>
    <w:pPr>
      <w:pBdr/>
      <w:spacing w:after="100" w:afterAutospacing="1" w:before="100" w:beforeAutospacing="1"/>
      <w:ind/>
    </w:pPr>
  </w:style>
  <w:style w:type="character" w:styleId="1143" w:customStyle="1">
    <w:name w:val="btn"/>
    <w:basedOn w:val="1034"/>
    <w:pPr>
      <w:pBdr/>
      <w:spacing/>
      <w:ind/>
    </w:pPr>
  </w:style>
  <w:style w:type="character" w:styleId="1144" w:customStyle="1">
    <w:name w:val="hide_mobile"/>
    <w:basedOn w:val="1034"/>
    <w:pPr>
      <w:pBdr/>
      <w:spacing/>
      <w:ind/>
    </w:pPr>
  </w:style>
  <w:style w:type="character" w:styleId="1145">
    <w:name w:val="Emphasis"/>
    <w:basedOn w:val="1034"/>
    <w:uiPriority w:val="20"/>
    <w:qFormat/>
    <w:pPr>
      <w:pBdr/>
      <w:spacing/>
      <w:ind/>
    </w:pPr>
    <w:rPr>
      <w:i/>
      <w:iCs/>
    </w:rPr>
  </w:style>
  <w:style w:type="character" w:styleId="1146" w:customStyle="1">
    <w:name w:val="t1"/>
    <w:basedOn w:val="1034"/>
    <w:pPr>
      <w:pBdr/>
      <w:spacing/>
      <w:ind/>
    </w:pPr>
  </w:style>
  <w:style w:type="character" w:styleId="1147" w:customStyle="1">
    <w:name w:val="Unresolved Mention4"/>
    <w:basedOn w:val="1034"/>
    <w:uiPriority w:val="99"/>
    <w:semiHidden/>
    <w:unhideWhenUsed/>
    <w:pPr>
      <w:pBdr/>
      <w:spacing/>
      <w:ind/>
    </w:pPr>
    <w:rPr>
      <w:color w:val="605e5c"/>
      <w:shd w:val="clear" w:color="auto" w:fill="e1dfdd"/>
    </w:rPr>
  </w:style>
  <w:style w:type="character" w:styleId="1148" w:customStyle="1">
    <w:name w:val="Unresolved Mention5"/>
    <w:basedOn w:val="103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Nguyễn Thị Thùy Dương</cp:lastModifiedBy>
  <cp:revision>830</cp:revision>
  <dcterms:created xsi:type="dcterms:W3CDTF">2025-05-28T23:19:00Z</dcterms:created>
  <dcterms:modified xsi:type="dcterms:W3CDTF">2026-07-15T07:49:51Z</dcterms:modified>
</cp:coreProperties>
</file>