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69726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697262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pacing w:val="3"/>
                                <w:sz w:val="24"/>
                                <w:szCs w:val="24"/>
                                <w:highlight w:val="white"/>
                              </w:rPr>
                              <w:t xml:space="preserve">275/2026/0733/VFI-CT.53.A</w:t>
                            </w:r>
                            <w:r>
                              <w:rPr>
                                <w:rFonts w:ascii="Times New Roman" w:hAnsi="Times New Roman" w:eastAsia="Times New Roman" w:cs="Times New Roman"/>
                                <w:b/>
                                <w:color w:val="000000"/>
                                <w:spacing w:val="3"/>
                                <w:sz w:val="24"/>
                                <w:highlight w:val="white"/>
                              </w:rPr>
                              <w:t xml:space="preserve">/4543214</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PHÁT TRIỂN ĐIỀN HÀO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left"/>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b w:val="0"/>
                                <w:bCs w:val="0"/>
                                <w:highlight w:val="white"/>
                              </w:rPr>
                            </w:pPr>
                            <w:r>
                              <w:rPr>
                                <w:rFonts w:ascii="Times New Roman" w:hAnsi="Times New Roman" w:eastAsia="Times New Roman" w:cs="Times New Roman"/>
                                <w:b/>
                                <w:bCs/>
                                <w:color w:val="000000"/>
                                <w:sz w:val="24"/>
                              </w:rPr>
                              <w:t xml:space="preserve">T</w:t>
                            </w:r>
                            <w:r>
                              <w:rPr>
                                <w:rFonts w:ascii="Times New Roman" w:hAnsi="Times New Roman" w:eastAsia="Times New Roman" w:cs="Times New Roman"/>
                                <w:b/>
                                <w:bCs/>
                                <w:color w:val="000000"/>
                                <w:sz w:val="24"/>
                                <w:highlight w:val="white"/>
                              </w:rPr>
                              <w:t xml:space="preserve">ài sản 01: </w:t>
                            </w:r>
                            <w:r>
                              <w:rPr>
                                <w:rFonts w:ascii="Times New Roman" w:hAnsi="Times New Roman" w:eastAsia="Times New Roman" w:cs="Times New Roman"/>
                                <w:b w:val="0"/>
                                <w:bCs w:val="0"/>
                                <w:color w:val="000000"/>
                                <w:sz w:val="24"/>
                                <w:highlight w:val="white"/>
                              </w:rPr>
                              <w:t xml:space="preserve">Quyền sử dụng đất tại thửa đất số: 332, tờ bản đồ số 12 có địa chỉ: Tổ dân phố Sài Phi, phường Minh Đức, thị xã Mỹ Hào, tỉnh Hưng Yên (Nay là Phường Thượng Hồng, tỉnh Hưng Yên) theo Giấy chứng nhận quyền sử dụng đất quyền sở hữu nhà ở và tài sả</w:t>
                            </w:r>
                            <w:r>
                              <w:rPr>
                                <w:rFonts w:ascii="Times New Roman" w:hAnsi="Times New Roman" w:eastAsia="Times New Roman" w:cs="Times New Roman"/>
                                <w:b w:val="0"/>
                                <w:bCs w:val="0"/>
                                <w:color w:val="000000"/>
                                <w:sz w:val="24"/>
                                <w:highlight w:val="white"/>
                              </w:rPr>
                              <w:t xml:space="preserve">n khác gắn liền với đất số: CH 377828, số vào </w:t>
                            </w:r>
                            <w:r>
                              <w:rPr>
                                <w:rFonts w:ascii="Times New Roman" w:hAnsi="Times New Roman" w:eastAsia="Times New Roman" w:cs="Times New Roman"/>
                                <w:b w:val="0"/>
                                <w:bCs w:val="0"/>
                                <w:color w:val="000000"/>
                                <w:sz w:val="24"/>
                                <w:highlight w:val="white"/>
                              </w:rPr>
                              <w:t xml:space="preserve">sổ cấp GCN: CH-00504 do UBND thị xã Mỹ Hào cấp ngày 26/11/2019; Chủ sử dụng đất là Ông Nguyễn Văn Hội và Bà Trần Thị Quỳnh. </w:t>
                            </w:r>
                            <w:r>
                              <w:rPr>
                                <w:b w:val="0"/>
                                <w:bCs w:val="0"/>
                                <w:highlight w:val="white"/>
                              </w:rPr>
                            </w:r>
                            <w:r>
                              <w:rPr>
                                <w:b w:val="0"/>
                                <w:bCs w:val="0"/>
                                <w:highlight w:val="white"/>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b w:val="0"/>
                                <w:bCs w:val="0"/>
                                <w:highlight w:val="white"/>
                              </w:rPr>
                            </w:pPr>
                            <w:r>
                              <w:rPr>
                                <w:rFonts w:ascii="Times New Roman" w:hAnsi="Times New Roman" w:eastAsia="Times New Roman" w:cs="Times New Roman"/>
                                <w:b/>
                                <w:bCs/>
                                <w:color w:val="000000"/>
                                <w:sz w:val="24"/>
                                <w:highlight w:val="white"/>
                              </w:rPr>
                              <w:t xml:space="preserve">Tài sản 02:</w:t>
                            </w:r>
                            <w:r>
                              <w:rPr>
                                <w:rFonts w:ascii="Times New Roman" w:hAnsi="Times New Roman" w:eastAsia="Times New Roman" w:cs="Times New Roman"/>
                                <w:b w:val="0"/>
                                <w:bCs w:val="0"/>
                                <w:color w:val="000000"/>
                                <w:sz w:val="24"/>
                                <w:highlight w:val="white"/>
                              </w:rPr>
                              <w:t xml:space="preserve"> Quyền sử dụng đất tại thửa đất số: 333, tờ bản </w:t>
                            </w:r>
                            <w:r>
                              <w:rPr>
                                <w:rFonts w:ascii="Times New Roman" w:hAnsi="Times New Roman" w:eastAsia="Times New Roman" w:cs="Times New Roman"/>
                                <w:b w:val="0"/>
                                <w:bCs w:val="0"/>
                                <w:color w:val="000000"/>
                                <w:sz w:val="24"/>
                                <w:highlight w:val="white"/>
                              </w:rPr>
                              <w:t xml:space="preserve">đ</w:t>
                            </w:r>
                            <w:r>
                              <w:rPr>
                                <w:rFonts w:ascii="Times New Roman" w:hAnsi="Times New Roman" w:eastAsia="Times New Roman" w:cs="Times New Roman"/>
                                <w:b w:val="0"/>
                                <w:bCs w:val="0"/>
                                <w:color w:val="000000"/>
                                <w:sz w:val="24"/>
                                <w:highlight w:val="white"/>
                              </w:rPr>
                              <w:t xml:space="preserve">ồ số: 12 có địa chỉ: Tổ dân </w:t>
                            </w:r>
                            <w:r>
                              <w:rPr>
                                <w:rFonts w:ascii="Times New Roman" w:hAnsi="Times New Roman" w:eastAsia="Times New Roman" w:cs="Times New Roman"/>
                                <w:b w:val="0"/>
                                <w:bCs w:val="0"/>
                                <w:color w:val="000000"/>
                                <w:sz w:val="24"/>
                                <w:highlight w:val="white"/>
                              </w:rPr>
                              <w:t xml:space="preserve">ph</w:t>
                            </w:r>
                            <w:r>
                              <w:rPr>
                                <w:rFonts w:ascii="Times New Roman" w:hAnsi="Times New Roman" w:eastAsia="Times New Roman" w:cs="Times New Roman"/>
                                <w:b w:val="0"/>
                                <w:bCs w:val="0"/>
                                <w:color w:val="000000"/>
                                <w:sz w:val="24"/>
                                <w:highlight w:val="white"/>
                              </w:rPr>
                              <w:t xml:space="preserve">ố Sài Phi, phường Minh Đức, thị xã Mỹ Hào, tỉnh Hưng Yên (Nay là Phường Thượng Hồng, tỉnh Hưng Yên) theo Giấy chứng nhận quyền sử dụng đất, quyền sở hữu nhà ở và tài </w:t>
                            </w:r>
                            <w:r>
                              <w:rPr>
                                <w:rFonts w:ascii="Times New Roman" w:hAnsi="Times New Roman" w:eastAsia="Times New Roman" w:cs="Times New Roman"/>
                                <w:b w:val="0"/>
                                <w:bCs w:val="0"/>
                                <w:color w:val="000000"/>
                                <w:sz w:val="24"/>
                                <w:highlight w:val="white"/>
                              </w:rPr>
                              <w:t xml:space="preserve">sản khác gắn liền với đất </w:t>
                            </w:r>
                            <w:r>
                              <w:rPr>
                                <w:rFonts w:ascii="Times New Roman" w:hAnsi="Times New Roman" w:eastAsia="Times New Roman" w:cs="Times New Roman"/>
                                <w:b w:val="0"/>
                                <w:bCs w:val="0"/>
                                <w:color w:val="000000"/>
                                <w:sz w:val="24"/>
                                <w:highlight w:val="white"/>
                              </w:rPr>
                              <w:t xml:space="preserve">số: CH 377829, số vào </w:t>
                            </w:r>
                            <w:r>
                              <w:rPr>
                                <w:rFonts w:ascii="Times New Roman" w:hAnsi="Times New Roman" w:eastAsia="Times New Roman" w:cs="Times New Roman"/>
                                <w:b w:val="0"/>
                                <w:bCs w:val="0"/>
                                <w:color w:val="000000"/>
                                <w:sz w:val="24"/>
                                <w:highlight w:val="white"/>
                              </w:rPr>
                              <w:t xml:space="preserve">s</w:t>
                            </w:r>
                            <w:r>
                              <w:rPr>
                                <w:rFonts w:ascii="Times New Roman" w:hAnsi="Times New Roman" w:eastAsia="Times New Roman" w:cs="Times New Roman"/>
                                <w:b w:val="0"/>
                                <w:bCs w:val="0"/>
                                <w:color w:val="000000"/>
                                <w:sz w:val="24"/>
                                <w:highlight w:val="white"/>
                              </w:rPr>
                              <w:t xml:space="preserve">ổ cấp GCN: CH-00505 do UBND thị xã Mỹ Hào cấp ngày 26/11/2019; Chủ sử dụng đất là Ông Nguyễn Văn Hội và Bà Trần Thị Quỳnh.</w:t>
                            </w:r>
                            <w:r>
                              <w:rPr>
                                <w:b w:val="0"/>
                                <w:bCs w:val="0"/>
                                <w:highlight w:val="white"/>
                              </w:rPr>
                            </w:r>
                            <w:r>
                              <w:rPr>
                                <w:b w:val="0"/>
                                <w:bCs w:val="0"/>
                                <w:highlight w:val="white"/>
                              </w:rPr>
                            </w:r>
                          </w:p>
                          <w:p>
                            <w:pPr>
                              <w:pBdr/>
                              <w:spacing w:after="120" w:before="120" w:line="360" w:lineRule="auto"/>
                              <w:ind/>
                              <w:jc w:val="both"/>
                              <w:rPr>
                                <w:b/>
                              </w:rPr>
                            </w:pPr>
                            <w:r>
                              <w:rPr>
                                <w:color w:val="000000"/>
                              </w:rPr>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05/2026</w:t>
                            </w:r>
                            <w:r>
                              <w:rPr>
                                <w:lang w:val="pt-BR"/>
                              </w:rPr>
                              <w:t xml:space="preserve">.</w:t>
                            </w:r>
                            <w:r>
                              <w:rPr>
                                <w:lang w:val="pt-BR"/>
                              </w:rPr>
                            </w:r>
                            <w:r>
                              <w:rPr>
                                <w:lang w:val="pt-BR"/>
                              </w:rPr>
                            </w:r>
                          </w:p>
                          <w:p>
                            <w:pPr>
                              <w:pBdr/>
                              <w:spacing w:after="120" w:before="120" w:line="360" w:lineRule="auto"/>
                              <w:ind/>
                              <w:jc w:val="center"/>
                              <w:rPr>
                                <w:bCs/>
                                <w:i/>
                              </w:rPr>
                            </w:pPr>
                            <w:r>
                              <w:rPr>
                                <w:bCs/>
                                <w:i/>
                                <w:iCs/>
                              </w:rPr>
                            </w:r>
                            <w:r>
                              <w:rPr>
                                <w:bCs/>
                                <w:i/>
                                <w:iCs/>
                              </w:rPr>
                            </w:r>
                            <w:r>
                              <w:rPr>
                                <w:bCs/>
                                <w:i/>
                              </w:rPr>
                            </w:r>
                          </w:p>
                          <w:p>
                            <w:pPr>
                              <w:pBdr/>
                              <w:spacing w:after="120" w:before="120" w:line="360" w:lineRule="auto"/>
                              <w:ind/>
                              <w:jc w:val="center"/>
                              <w:rPr>
                                <w:b/>
                                <w:bCs/>
                                <w:i w:val="0"/>
                              </w:rPr>
                            </w:pPr>
                            <w:r>
                              <w:rPr>
                                <w:b/>
                                <w:bCs/>
                                <w:i w:val="0"/>
                                <w:iCs w:val="0"/>
                              </w:rPr>
                              <w:t xml:space="preserve">Mã đề nghị: </w:t>
                            </w:r>
                            <w:r>
                              <w:rPr>
                                <w:rFonts w:ascii="Times New Roman" w:hAnsi="Times New Roman" w:eastAsia="Times New Roman" w:cs="Times New Roman"/>
                                <w:b/>
                                <w:bCs/>
                                <w:i w:val="0"/>
                                <w:iCs w:val="0"/>
                                <w:color w:val="000000"/>
                                <w:spacing w:val="3"/>
                                <w:sz w:val="24"/>
                                <w:highlight w:val="white"/>
                              </w:rPr>
                              <w:t xml:space="preserve">4543214</w:t>
                            </w:r>
                            <w:r>
                              <w:rPr>
                                <w:b/>
                                <w:bCs/>
                                <w:i w:val="0"/>
                                <w:iCs w:val="0"/>
                              </w:rPr>
                            </w:r>
                            <w:r>
                              <w:rPr>
                                <w:b/>
                                <w:bCs/>
                                <w:i w:val="0"/>
                              </w:rPr>
                            </w:r>
                          </w:p>
                          <w:p>
                            <w:pPr>
                              <w:pBdr/>
                              <w:spacing w:after="120" w:before="120" w:line="360" w:lineRule="auto"/>
                              <w:ind/>
                              <w:jc w:val="center"/>
                              <w:rPr>
                                <w:i/>
                                <w:iCs/>
                              </w:rPr>
                            </w:pPr>
                            <w:r>
                              <w:rPr>
                                <w:bCs/>
                                <w:i/>
                                <w:iCs/>
                              </w:rPr>
                            </w:r>
                            <w:r>
                              <w:rPr>
                                <w:bCs/>
                                <w:i/>
                                <w:iCs/>
                              </w:rPr>
                            </w:r>
                            <w:r>
                              <w:rPr>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549.0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pacing w:val="3"/>
                          <w:sz w:val="24"/>
                          <w:szCs w:val="24"/>
                          <w:highlight w:val="white"/>
                        </w:rPr>
                        <w:t xml:space="preserve">275/2026/0733/VFI-CT.53.A</w:t>
                      </w:r>
                      <w:r>
                        <w:rPr>
                          <w:rFonts w:ascii="Times New Roman" w:hAnsi="Times New Roman" w:eastAsia="Times New Roman" w:cs="Times New Roman"/>
                          <w:b/>
                          <w:color w:val="000000"/>
                          <w:spacing w:val="3"/>
                          <w:sz w:val="24"/>
                          <w:highlight w:val="white"/>
                        </w:rPr>
                        <w:t xml:space="preserve">/4543214</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PHÁT TRIỂN ĐIỀN HÀO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left"/>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b w:val="0"/>
                          <w:bCs w:val="0"/>
                          <w:highlight w:val="white"/>
                        </w:rPr>
                      </w:pPr>
                      <w:r>
                        <w:rPr>
                          <w:rFonts w:ascii="Times New Roman" w:hAnsi="Times New Roman" w:eastAsia="Times New Roman" w:cs="Times New Roman"/>
                          <w:b/>
                          <w:bCs/>
                          <w:color w:val="000000"/>
                          <w:sz w:val="24"/>
                        </w:rPr>
                        <w:t xml:space="preserve">T</w:t>
                      </w:r>
                      <w:r>
                        <w:rPr>
                          <w:rFonts w:ascii="Times New Roman" w:hAnsi="Times New Roman" w:eastAsia="Times New Roman" w:cs="Times New Roman"/>
                          <w:b/>
                          <w:bCs/>
                          <w:color w:val="000000"/>
                          <w:sz w:val="24"/>
                          <w:highlight w:val="white"/>
                        </w:rPr>
                        <w:t xml:space="preserve">ài sản 01: </w:t>
                      </w:r>
                      <w:r>
                        <w:rPr>
                          <w:rFonts w:ascii="Times New Roman" w:hAnsi="Times New Roman" w:eastAsia="Times New Roman" w:cs="Times New Roman"/>
                          <w:b w:val="0"/>
                          <w:bCs w:val="0"/>
                          <w:color w:val="000000"/>
                          <w:sz w:val="24"/>
                          <w:highlight w:val="white"/>
                        </w:rPr>
                        <w:t xml:space="preserve">Quyền sử dụng đất tại thửa đất số: 332, tờ bản đồ số 12 có địa chỉ: Tổ dân phố Sài Phi, phường Minh Đức, thị xã Mỹ Hào, tỉnh Hưng Yên (Nay là Phường Thượng Hồng, tỉnh Hưng Yên) theo Giấy chứng nhận quyền sử dụng đất quyền sở hữu nhà ở và tài sả</w:t>
                      </w:r>
                      <w:r>
                        <w:rPr>
                          <w:rFonts w:ascii="Times New Roman" w:hAnsi="Times New Roman" w:eastAsia="Times New Roman" w:cs="Times New Roman"/>
                          <w:b w:val="0"/>
                          <w:bCs w:val="0"/>
                          <w:color w:val="000000"/>
                          <w:sz w:val="24"/>
                          <w:highlight w:val="white"/>
                        </w:rPr>
                        <w:t xml:space="preserve">n khác gắn liền với đất số: CH 377828, số vào </w:t>
                      </w:r>
                      <w:r>
                        <w:rPr>
                          <w:rFonts w:ascii="Times New Roman" w:hAnsi="Times New Roman" w:eastAsia="Times New Roman" w:cs="Times New Roman"/>
                          <w:b w:val="0"/>
                          <w:bCs w:val="0"/>
                          <w:color w:val="000000"/>
                          <w:sz w:val="24"/>
                          <w:highlight w:val="white"/>
                        </w:rPr>
                        <w:t xml:space="preserve">sổ cấp GCN: CH-00504 do UBND thị xã Mỹ Hào cấp ngày 26/11/2019; Chủ sử dụng đất là Ông Nguyễn Văn Hội và Bà Trần Thị Quỳnh. </w:t>
                      </w:r>
                      <w:r>
                        <w:rPr>
                          <w:b w:val="0"/>
                          <w:bCs w:val="0"/>
                          <w:highlight w:val="white"/>
                        </w:rPr>
                      </w:r>
                      <w:r>
                        <w:rPr>
                          <w:b w:val="0"/>
                          <w:bCs w:val="0"/>
                          <w:highlight w:val="white"/>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b w:val="0"/>
                          <w:bCs w:val="0"/>
                          <w:highlight w:val="white"/>
                        </w:rPr>
                      </w:pPr>
                      <w:r>
                        <w:rPr>
                          <w:rFonts w:ascii="Times New Roman" w:hAnsi="Times New Roman" w:eastAsia="Times New Roman" w:cs="Times New Roman"/>
                          <w:b/>
                          <w:bCs/>
                          <w:color w:val="000000"/>
                          <w:sz w:val="24"/>
                          <w:highlight w:val="white"/>
                        </w:rPr>
                        <w:t xml:space="preserve">Tài sản 02:</w:t>
                      </w:r>
                      <w:r>
                        <w:rPr>
                          <w:rFonts w:ascii="Times New Roman" w:hAnsi="Times New Roman" w:eastAsia="Times New Roman" w:cs="Times New Roman"/>
                          <w:b w:val="0"/>
                          <w:bCs w:val="0"/>
                          <w:color w:val="000000"/>
                          <w:sz w:val="24"/>
                          <w:highlight w:val="white"/>
                        </w:rPr>
                        <w:t xml:space="preserve"> Quyền sử dụng đất tại thửa đất số: 333, tờ bản </w:t>
                      </w:r>
                      <w:r>
                        <w:rPr>
                          <w:rFonts w:ascii="Times New Roman" w:hAnsi="Times New Roman" w:eastAsia="Times New Roman" w:cs="Times New Roman"/>
                          <w:b w:val="0"/>
                          <w:bCs w:val="0"/>
                          <w:color w:val="000000"/>
                          <w:sz w:val="24"/>
                          <w:highlight w:val="white"/>
                        </w:rPr>
                        <w:t xml:space="preserve">đ</w:t>
                      </w:r>
                      <w:r>
                        <w:rPr>
                          <w:rFonts w:ascii="Times New Roman" w:hAnsi="Times New Roman" w:eastAsia="Times New Roman" w:cs="Times New Roman"/>
                          <w:b w:val="0"/>
                          <w:bCs w:val="0"/>
                          <w:color w:val="000000"/>
                          <w:sz w:val="24"/>
                          <w:highlight w:val="white"/>
                        </w:rPr>
                        <w:t xml:space="preserve">ồ số: 12 có địa chỉ: Tổ dân </w:t>
                      </w:r>
                      <w:r>
                        <w:rPr>
                          <w:rFonts w:ascii="Times New Roman" w:hAnsi="Times New Roman" w:eastAsia="Times New Roman" w:cs="Times New Roman"/>
                          <w:b w:val="0"/>
                          <w:bCs w:val="0"/>
                          <w:color w:val="000000"/>
                          <w:sz w:val="24"/>
                          <w:highlight w:val="white"/>
                        </w:rPr>
                        <w:t xml:space="preserve">ph</w:t>
                      </w:r>
                      <w:r>
                        <w:rPr>
                          <w:rFonts w:ascii="Times New Roman" w:hAnsi="Times New Roman" w:eastAsia="Times New Roman" w:cs="Times New Roman"/>
                          <w:b w:val="0"/>
                          <w:bCs w:val="0"/>
                          <w:color w:val="000000"/>
                          <w:sz w:val="24"/>
                          <w:highlight w:val="white"/>
                        </w:rPr>
                        <w:t xml:space="preserve">ố Sài Phi, phường Minh Đức, thị xã Mỹ Hào, tỉnh Hưng Yên (Nay là Phường Thượng Hồng, tỉnh Hưng Yên) theo Giấy chứng nhận quyền sử dụng đất, quyền sở hữu nhà ở và tài </w:t>
                      </w:r>
                      <w:r>
                        <w:rPr>
                          <w:rFonts w:ascii="Times New Roman" w:hAnsi="Times New Roman" w:eastAsia="Times New Roman" w:cs="Times New Roman"/>
                          <w:b w:val="0"/>
                          <w:bCs w:val="0"/>
                          <w:color w:val="000000"/>
                          <w:sz w:val="24"/>
                          <w:highlight w:val="white"/>
                        </w:rPr>
                        <w:t xml:space="preserve">sản khác gắn liền với đất </w:t>
                      </w:r>
                      <w:r>
                        <w:rPr>
                          <w:rFonts w:ascii="Times New Roman" w:hAnsi="Times New Roman" w:eastAsia="Times New Roman" w:cs="Times New Roman"/>
                          <w:b w:val="0"/>
                          <w:bCs w:val="0"/>
                          <w:color w:val="000000"/>
                          <w:sz w:val="24"/>
                          <w:highlight w:val="white"/>
                        </w:rPr>
                        <w:t xml:space="preserve">số: CH 377829, số vào </w:t>
                      </w:r>
                      <w:r>
                        <w:rPr>
                          <w:rFonts w:ascii="Times New Roman" w:hAnsi="Times New Roman" w:eastAsia="Times New Roman" w:cs="Times New Roman"/>
                          <w:b w:val="0"/>
                          <w:bCs w:val="0"/>
                          <w:color w:val="000000"/>
                          <w:sz w:val="24"/>
                          <w:highlight w:val="white"/>
                        </w:rPr>
                        <w:t xml:space="preserve">s</w:t>
                      </w:r>
                      <w:r>
                        <w:rPr>
                          <w:rFonts w:ascii="Times New Roman" w:hAnsi="Times New Roman" w:eastAsia="Times New Roman" w:cs="Times New Roman"/>
                          <w:b w:val="0"/>
                          <w:bCs w:val="0"/>
                          <w:color w:val="000000"/>
                          <w:sz w:val="24"/>
                          <w:highlight w:val="white"/>
                        </w:rPr>
                        <w:t xml:space="preserve">ổ cấp GCN: CH-00505 do UBND thị xã Mỹ Hào cấp ngày 26/11/2019; Chủ sử dụng đất là Ông Nguyễn Văn Hội và Bà Trần Thị Quỳnh.</w:t>
                      </w:r>
                      <w:r>
                        <w:rPr>
                          <w:b w:val="0"/>
                          <w:bCs w:val="0"/>
                          <w:highlight w:val="white"/>
                        </w:rPr>
                      </w:r>
                      <w:r>
                        <w:rPr>
                          <w:b w:val="0"/>
                          <w:bCs w:val="0"/>
                          <w:highlight w:val="white"/>
                        </w:rPr>
                      </w:r>
                    </w:p>
                    <w:p>
                      <w:pPr>
                        <w:pBdr/>
                        <w:spacing w:after="120" w:before="120" w:line="360" w:lineRule="auto"/>
                        <w:ind/>
                        <w:jc w:val="both"/>
                        <w:rPr>
                          <w:b/>
                        </w:rPr>
                      </w:pPr>
                      <w:r>
                        <w:rPr>
                          <w:color w:val="000000"/>
                        </w:rPr>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05/2026</w:t>
                      </w:r>
                      <w:r>
                        <w:rPr>
                          <w:lang w:val="pt-BR"/>
                        </w:rPr>
                        <w:t xml:space="preserve">.</w:t>
                      </w:r>
                      <w:r>
                        <w:rPr>
                          <w:lang w:val="pt-BR"/>
                        </w:rPr>
                      </w:r>
                      <w:r>
                        <w:rPr>
                          <w:lang w:val="pt-BR"/>
                        </w:rPr>
                      </w:r>
                    </w:p>
                    <w:p>
                      <w:pPr>
                        <w:pBdr/>
                        <w:spacing w:after="120" w:before="120" w:line="360" w:lineRule="auto"/>
                        <w:ind/>
                        <w:jc w:val="center"/>
                        <w:rPr>
                          <w:bCs/>
                          <w:i/>
                        </w:rPr>
                      </w:pPr>
                      <w:r>
                        <w:rPr>
                          <w:bCs/>
                          <w:i/>
                          <w:iCs/>
                        </w:rPr>
                      </w:r>
                      <w:r>
                        <w:rPr>
                          <w:bCs/>
                          <w:i/>
                          <w:iCs/>
                        </w:rPr>
                      </w:r>
                      <w:r>
                        <w:rPr>
                          <w:bCs/>
                          <w:i/>
                        </w:rPr>
                      </w:r>
                    </w:p>
                    <w:p>
                      <w:pPr>
                        <w:pBdr/>
                        <w:spacing w:after="120" w:before="120" w:line="360" w:lineRule="auto"/>
                        <w:ind/>
                        <w:jc w:val="center"/>
                        <w:rPr>
                          <w:b/>
                          <w:bCs/>
                          <w:i w:val="0"/>
                        </w:rPr>
                      </w:pPr>
                      <w:r>
                        <w:rPr>
                          <w:b/>
                          <w:bCs/>
                          <w:i w:val="0"/>
                          <w:iCs w:val="0"/>
                        </w:rPr>
                        <w:t xml:space="preserve">Mã đề nghị: </w:t>
                      </w:r>
                      <w:r>
                        <w:rPr>
                          <w:rFonts w:ascii="Times New Roman" w:hAnsi="Times New Roman" w:eastAsia="Times New Roman" w:cs="Times New Roman"/>
                          <w:b/>
                          <w:bCs/>
                          <w:i w:val="0"/>
                          <w:iCs w:val="0"/>
                          <w:color w:val="000000"/>
                          <w:spacing w:val="3"/>
                          <w:sz w:val="24"/>
                          <w:highlight w:val="white"/>
                        </w:rPr>
                        <w:t xml:space="preserve">4543214</w:t>
                      </w:r>
                      <w:r>
                        <w:rPr>
                          <w:b/>
                          <w:bCs/>
                          <w:i w:val="0"/>
                          <w:iCs w:val="0"/>
                        </w:rPr>
                      </w:r>
                      <w:r>
                        <w:rPr>
                          <w:b/>
                          <w:bCs/>
                          <w:i w:val="0"/>
                        </w:rPr>
                      </w:r>
                    </w:p>
                    <w:p>
                      <w:pPr>
                        <w:pBdr/>
                        <w:spacing w:after="120" w:before="120" w:line="360" w:lineRule="auto"/>
                        <w:ind/>
                        <w:jc w:val="center"/>
                        <w:rPr>
                          <w:i/>
                          <w:iCs/>
                        </w:rPr>
                      </w:pPr>
                      <w:r>
                        <w:rPr>
                          <w:bCs/>
                          <w:i/>
                          <w:iCs/>
                        </w:rPr>
                      </w:r>
                      <w:r>
                        <w:rPr>
                          <w:bCs/>
                          <w:i/>
                          <w:iCs/>
                        </w:rPr>
                      </w:r>
                      <w:r>
                        <w:rPr>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19 - 36</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3952" w:type="dxa"/>
        <w:tblBorders/>
        <w:tblLayout w:type="fixed"/>
        <w:tblLook w:val="04A0" w:firstRow="1" w:lastRow="0" w:firstColumn="1" w:lastColumn="0" w:noHBand="0" w:noVBand="1"/>
      </w:tblPr>
      <w:tblGrid>
        <w:gridCol w:w="910"/>
        <w:gridCol w:w="1070"/>
        <w:gridCol w:w="11973"/>
      </w:tblGrid>
      <w:tr>
        <w:trPr>
          <w:trHeight w:val="1152"/>
        </w:trPr>
        <w:tc>
          <w:tcPr>
            <w:gridSpan w:val="2"/>
            <w:tcBorders/>
            <w:tcW w:w="197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97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042"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00000" w:themeColor="text1"/>
                <w:spacing w:val="3"/>
                <w:sz w:val="24"/>
                <w:szCs w:val="24"/>
                <w:highlight w:val="white"/>
              </w:rPr>
              <w:t xml:space="preserve">275/2026/0733/VFI-CT.53</w:t>
            </w:r>
            <w:r>
              <w:rPr>
                <w:rFonts w:ascii="Times New Roman" w:hAnsi="Times New Roman" w:eastAsia="Times New Roman" w:cs="Times New Roman"/>
                <w:b w:val="0"/>
                <w:bCs w:val="0"/>
                <w:color w:val="000000" w:themeColor="text1"/>
                <w:spacing w:val="3"/>
                <w:sz w:val="24"/>
                <w:szCs w:val="24"/>
                <w:highlight w:val="white"/>
              </w:rPr>
              <w:t xml:space="preserve">.A</w:t>
            </w:r>
            <w:r>
              <w:rPr>
                <w:rFonts w:ascii="Times New Roman" w:hAnsi="Times New Roman" w:eastAsia="Times New Roman" w:cs="Times New Roman"/>
                <w:b w:val="0"/>
                <w:bCs w:val="0"/>
                <w:color w:val="000000"/>
                <w:spacing w:val="3"/>
                <w:sz w:val="24"/>
                <w:highlight w:val="white"/>
              </w:rPr>
              <w:t xml:space="preserve">/4543214</w:t>
            </w:r>
            <w:r>
              <w:rPr>
                <w:color w:val="000000" w:themeColor="text1"/>
                <w:sz w:val="24"/>
                <w:szCs w:val="24"/>
              </w:rPr>
            </w:r>
            <w:r>
              <w:rPr>
                <w:color w:val="000000" w:themeColor="text1"/>
                <w:sz w:val="24"/>
                <w:szCs w:val="24"/>
              </w:rPr>
            </w:r>
          </w:p>
          <w:p>
            <w:pPr>
              <w:pStyle w:val="1036"/>
              <w:pBdr/>
              <w:spacing w:after="60"/>
              <w:ind w:right="-56"/>
              <w:jc w:val="center"/>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15 tháng 5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PHÁT TRIỂN ĐIỀN HÀO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275/2026/0733/VFI-HĐTĐ.53.A</w:t>
      </w:r>
      <w:r>
        <w:rPr>
          <w:rFonts w:ascii="Times New Roman" w:hAnsi="Times New Roman" w:eastAsia="Times New Roman" w:cs="Times New Roman"/>
          <w:b w:val="0"/>
          <w:bCs w:val="0"/>
          <w:color w:val="000000"/>
          <w:spacing w:val="3"/>
          <w:sz w:val="24"/>
          <w:highlight w:val="white"/>
        </w:rPr>
        <w:t xml:space="preserve">/4543214</w:t>
      </w:r>
      <w:r>
        <w:rPr>
          <w:color w:val="000000" w:themeColor="text1"/>
          <w:spacing w:val="-4"/>
        </w:rPr>
        <w:t xml:space="preserve"> </w:t>
      </w:r>
      <w:r>
        <w:rPr>
          <w:spacing w:val="-4"/>
          <w:lang w:val="vi-VN"/>
        </w:rPr>
        <w:t xml:space="preserve">ký ngày </w:t>
      </w:r>
      <w:r>
        <w:rPr>
          <w:color w:val="000000" w:themeColor="text1"/>
          <w:spacing w:val="-4"/>
        </w:rPr>
        <w:t xml:space="preserve">12 tháng 5 năm 2026</w:t>
      </w:r>
      <w:r>
        <w:rPr>
          <w:spacing w:val="-4"/>
          <w:lang w:val="vi-VN"/>
        </w:rPr>
        <w:t xml:space="preserve"> </w:t>
      </w:r>
      <w:r>
        <w:rPr>
          <w:spacing w:val="-4"/>
          <w:lang w:val="vi-VN"/>
        </w:rPr>
        <w:t xml:space="preserve">giữa </w:t>
      </w:r>
      <w:r>
        <w:rPr>
          <w:color w:val="000000" w:themeColor="text1"/>
          <w:spacing w:val="-4"/>
        </w:rPr>
        <w:t xml:space="preserve">CÔNG TY TNHH  PHÁT TRIỂN ĐIỀN HÀO NAM</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rFonts w:ascii="Times New Roman" w:hAnsi="Times New Roman" w:eastAsia="Times New Roman" w:cs="Times New Roman"/>
          <w:color w:val="000000" w:themeColor="text1"/>
          <w:spacing w:val="-2"/>
          <w:sz w:val="24"/>
          <w:szCs w:val="24"/>
          <w:lang w:val="pt-BR"/>
        </w:rPr>
        <w:t xml:space="preserve">Căn cứ Báo cáo thẩm định giá số</w:t>
      </w:r>
      <w:r>
        <w:rPr>
          <w:rFonts w:ascii="Times New Roman" w:hAnsi="Times New Roman" w:eastAsia="Times New Roman" w:cs="Times New Roman"/>
          <w:color w:val="000000" w:themeColor="text1"/>
          <w:spacing w:val="-2"/>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275/2026/0733/VFI-BC.53.A</w:t>
      </w:r>
      <w:r>
        <w:rPr>
          <w:rFonts w:ascii="Times New Roman" w:hAnsi="Times New Roman" w:eastAsia="Times New Roman" w:cs="Times New Roman"/>
          <w:b w:val="0"/>
          <w:bCs w:val="0"/>
          <w:color w:val="000000"/>
          <w:spacing w:val="3"/>
          <w:sz w:val="24"/>
          <w:highlight w:val="white"/>
        </w:rPr>
        <w:t xml:space="preserve">/4543214</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ng</w:t>
      </w:r>
      <w:r>
        <w:rPr>
          <w:spacing w:val="-2"/>
          <w:lang w:val="pt-BR"/>
        </w:rPr>
        <w:t xml:space="preserve">ày</w:t>
      </w:r>
      <w:r>
        <w:rPr>
          <w:spacing w:val="-2"/>
          <w:lang w:val="vi-VN"/>
        </w:rPr>
        <w:t xml:space="preserve"> </w:t>
      </w:r>
      <w:r>
        <w:rPr>
          <w:color w:val="000000" w:themeColor="text1"/>
          <w:spacing w:val="-2"/>
        </w:rPr>
        <w:t xml:space="preserve">15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ayout w:type="fixed"/>
        <w:tblLook w:val="04A0" w:firstRow="1" w:lastRow="0" w:firstColumn="1" w:lastColumn="0" w:noHBand="0" w:noVBand="1"/>
      </w:tblPr>
      <w:tblGrid>
        <w:gridCol w:w="2012"/>
        <w:gridCol w:w="425"/>
        <w:gridCol w:w="7089"/>
      </w:tblGrid>
      <w:tr>
        <w:trPr>
          <w:trHeight w:val="147"/>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25"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89" w:type="dxa"/>
            <w:vAlign w:val="center"/>
            <w:textDirection w:val="lrTb"/>
            <w:noWrap w:val="false"/>
          </w:tcPr>
          <w:p>
            <w:pPr>
              <w:pBdr/>
              <w:spacing/>
              <w:ind/>
              <w:rPr>
                <w:b/>
                <w:bCs/>
              </w:rPr>
            </w:pPr>
            <w:r>
              <w:rPr>
                <w:b/>
                <w:bCs/>
              </w:rPr>
              <w:t xml:space="preserve">C</w:t>
            </w:r>
            <w:r>
              <w:rPr>
                <w:b/>
                <w:bCs/>
              </w:rPr>
              <w:t xml:space="preserve">ÔNG TY TNHH PHÁT TRIẾN ĐIÊN HÀO NAM</w:t>
            </w:r>
            <w:r>
              <w:rPr>
                <w:b/>
                <w:bCs/>
              </w:rPr>
            </w:r>
            <w:r>
              <w:rPr>
                <w:b/>
                <w:bCs/>
              </w:rPr>
            </w:r>
          </w:p>
        </w:tc>
      </w:tr>
      <w:tr>
        <w:trPr>
          <w:trHeight w:val="20"/>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25"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89"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w:t>
            </w:r>
            <w:r>
              <w:t xml:space="preserve">901073483</w:t>
            </w:r>
            <w:r>
              <w:rPr>
                <w:color w:val="ff0000"/>
                <w:lang w:val="pt-BR"/>
              </w:rPr>
            </w:r>
            <w:r>
              <w:rPr>
                <w:color w:val="ff0000"/>
                <w:lang w:val="pt-BR"/>
              </w:rPr>
            </w:r>
          </w:p>
        </w:tc>
      </w:tr>
      <w:tr>
        <w:trPr>
          <w:trHeight w:val="20"/>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425"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89" w:type="dxa"/>
            <w:vAlign w:val="center"/>
            <w:textDirection w:val="lrTb"/>
            <w:noWrap w:val="false"/>
          </w:tcPr>
          <w:p>
            <w:pPr>
              <w:pBdr/>
              <w:spacing w:after="40" w:before="40" w:line="276" w:lineRule="auto"/>
              <w:ind/>
              <w:jc w:val="both"/>
              <w:rPr>
                <w:b/>
                <w:bCs/>
                <w:color w:val="ff0000"/>
              </w:rPr>
            </w:pPr>
            <w:r>
              <w:rPr>
                <w:b/>
                <w:bCs/>
                <w:color w:val="000000" w:themeColor="text1"/>
                <w:lang w:val="vi-VN"/>
              </w:rPr>
            </w:r>
            <w:r>
              <w:rPr>
                <w:b/>
                <w:bCs/>
              </w:rPr>
              <w:t xml:space="preserve">Bà Trần Thị Quỳnh</w:t>
            </w:r>
            <w:r>
              <w:rPr>
                <w:b/>
                <w:bCs/>
                <w:color w:val="ff0000"/>
              </w:rPr>
            </w:r>
            <w:r>
              <w:rPr>
                <w:b/>
                <w:bCs/>
                <w:color w:val="ff0000"/>
              </w:rPr>
            </w:r>
          </w:p>
        </w:tc>
      </w:tr>
      <w:tr>
        <w:trPr>
          <w:trHeight w:val="20"/>
        </w:trPr>
        <w:tc>
          <w:tcPr>
            <w:shd w:val="clear" w:color="ffffff" w:fill="ffffff"/>
            <w:tcBorders/>
            <w:tcW w:w="2012"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ffffff" w:fill="ffffff"/>
            <w:tcBorders/>
            <w:tcW w:w="425"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7089"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Giám đốc</w:t>
            </w:r>
            <w:r>
              <w:rPr>
                <w:b/>
                <w:bCs/>
                <w:color w:val="000000" w:themeColor="text1"/>
              </w:rPr>
            </w:r>
            <w:r>
              <w:rPr>
                <w:b/>
                <w:bCs/>
                <w:color w:val="000000" w:themeColor="text1"/>
              </w:rPr>
            </w:r>
          </w:p>
        </w:tc>
      </w:tr>
      <w:tr>
        <w:trPr>
          <w:trHeight w:val="20"/>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25"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89"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w:t>
            </w:r>
            <w:r>
              <w:t xml:space="preserve">rong khuôn viên Công ty TNHH Bao bì Thái Hà Hưng, Tổ dân phố Bến, Phường Thượng Hồng, Tỉnh Hưng Yên, Việt Nam.</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highlight w:val="none"/>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rPr>
          <w:highlight w:val="none"/>
        </w:rPr>
      </w:r>
      <w:r>
        <w:rPr>
          <w:highlight w:val="none"/>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332, tờ bản đồ số 12 có địa chỉ: Tổ dân phố Sài Phi, phường Minh Đức, thị xã Mỹ Hào, tỉnh Hưng Yên (Nay là Phường Thượng Hồng, tỉnh Hưng Yên) theo Giấy chứng nhận quyền sử dụng đất quyền sở hữu nhà ở và tài sản khác gắn </w:t>
      </w:r>
      <w:r>
        <w:rPr>
          <w:rFonts w:ascii="Times New Roman" w:hAnsi="Times New Roman" w:eastAsia="Times New Roman" w:cs="Times New Roman"/>
          <w:color w:val="000000"/>
          <w:sz w:val="24"/>
        </w:rPr>
        <w:t xml:space="preserve">liền với đất số: CH 377828, số vào sổ cấp GCN: CH-00504 do UBND thị xã Mỹ Hào cấp ngày 26/11/2019; Chủ sử dụng đất là Ông Nguyễn Văn Hội và Bà Trần Thị Quỳnh.</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rPr>
        <w:t xml:space="preserve">Tài sản 02: </w:t>
      </w:r>
      <w:r>
        <w:rPr>
          <w:rFonts w:ascii="Times New Roman" w:hAnsi="Times New Roman" w:eastAsia="Times New Roman" w:cs="Times New Roman"/>
          <w:color w:val="000000"/>
          <w:sz w:val="24"/>
        </w:rPr>
        <w:t xml:space="preserve">Quyền sử dụng đất tại thửa đất số: 333, tờ bản đồ số: 12 có địa chỉ: Tổ dân phố Sài Phi, phường Minh Đức, thị xã Mỹ Hào, tỉnh Hưng Yên (Nay là Phường Thượng Hồng, tỉnh Hưng Yên) theo Giấy chứng nhận quyền sử dụng đất, quyền sở hữu nhà ở và tài sản khác gắn</w:t>
      </w:r>
      <w:r>
        <w:rPr>
          <w:rFonts w:ascii="Times New Roman" w:hAnsi="Times New Roman" w:eastAsia="Times New Roman" w:cs="Times New Roman"/>
          <w:color w:val="000000"/>
          <w:sz w:val="24"/>
        </w:rPr>
        <w:t xml:space="preserve"> liền với đất số: CH 377829 , số vào sổ cấp GCN: CH-00505 do UBND thị xã Mỹ Hào cấp ngày 26/11/2019; Chủ sử dụng đất là Ông Nguyễn Văn Hội và Bà Trần Thị Quỳnh.</w:t>
      </w:r>
      <w:r>
        <w:rPr>
          <w:rFonts w:ascii="Times New Roman" w:hAnsi="Times New Roman" w:eastAsia="Times New Roman" w:cs="Times New Roman"/>
          <w:sz w:val="24"/>
        </w:rPr>
      </w:r>
      <w:r/>
    </w:p>
    <w:p>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Style w:val="104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172"/>
        <w:gridCol w:w="52595"/>
        <w:gridCol w:w="27424"/>
        <w:gridCol w:w="29606"/>
        <w:gridCol w:w="3053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52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w:t>
              <w:br/>
              <w:t xml:space="preserve">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w:t>
              <w:br/>
              <w:t xml:space="preserve">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w:t>
              <w:br/>
              <w:t xml:space="preserve">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9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332, tờ bản đồ số 12 có địa chỉ: Tổ dân phố Sài Phi, phường Minh Đức, thị xã Mỹ Hào, tỉnh Hưng Yên (Nay là Phường Thượng Hồng, tỉnh Hưng Yên) theo Giấy chứng nhận quyền sử dụng đất quyền sở hữu nhà ở và tài sản khác gắn l</w:t>
            </w:r>
            <w:r>
              <w:rPr>
                <w:rFonts w:ascii="Times New Roman" w:hAnsi="Times New Roman" w:eastAsia="Times New Roman" w:cs="Times New Roman"/>
                <w:b/>
                <w:color w:val="000000"/>
                <w:sz w:val="24"/>
              </w:rPr>
              <w:t xml:space="preserve">iền với đất số: CH 377828, số vào sổ cấp GCN: CH-00504 do UBND thị xã Mỹ Hào cấp ngày 26/11/2019; Chủ sử dụng đất là Ông Nguyễn Văn Hội và Bà Trần Thị Quỳnh.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2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2742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6.095.000.000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9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333, tờ bản đồ số: 12 có địa chỉ: Tổ dân phố Sài Phi, phường Minh Đức, thị xã Mỹ Hào, tỉnh Hưng Yên (Nay là Phường Thượng Hồng, tỉnh Hưng Yên) theo Giấy chứng nhận quyền sử dụng đất, quyền sở hữu nhà ở và tài sản khác gắn</w:t>
            </w:r>
            <w:r>
              <w:rPr>
                <w:rFonts w:ascii="Times New Roman" w:hAnsi="Times New Roman" w:eastAsia="Times New Roman" w:cs="Times New Roman"/>
                <w:b/>
                <w:color w:val="000000"/>
                <w:sz w:val="24"/>
              </w:rPr>
              <w:t xml:space="preserve"> liền với đất số: CH 377829 , số vào sổ cấp GCN: CH-00505  do UBND thị xã Mỹ Hào cấp ngày 26/11/2019; Chủ sử dụng đất là Ông Nguyễn Văn Hội và Bà Trần Thị Quỳnh.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2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2742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19.550.000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3.108.450.000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779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9.203.450.000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779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9.203.000.000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3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Chín tỷ hai trăm linh ba triệu đồng chẵn./.)</w:t>
            </w: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ayout w:type="fixed"/>
        <w:tblLook w:val="01E0" w:firstRow="1" w:lastRow="1" w:firstColumn="1" w:lastColumn="1" w:noHBand="0" w:noVBand="0"/>
      </w:tblPr>
      <w:tblGrid>
        <w:gridCol w:w="4671"/>
        <w:gridCol w:w="4692"/>
      </w:tblGrid>
      <w:tr>
        <w:trPr>
          <w:trHeight w:val="20"/>
        </w:trPr>
        <w:tc>
          <w:tcPr>
            <w:tcBorders/>
            <w:tcW w:w="467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692"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69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1"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left"/>
              <w:rPr>
                <w:rFonts w:eastAsia="Calibri"/>
                <w:b/>
                <w:lang w:val="pt-BR"/>
              </w:rPr>
            </w:pPr>
            <w:r>
              <w:rPr>
                <w:rFonts w:eastAsia="Calibri"/>
                <w:lang w:val="pt-BR"/>
              </w:rPr>
              <w:t xml:space="preserve">Số thẻ thẩm định viên về giá:</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69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25" w:type="dxa"/>
        <w:tblBorders/>
        <w:tblLayout w:type="fixed"/>
        <w:tblLook w:val="04A0" w:firstRow="1" w:lastRow="0" w:firstColumn="1" w:lastColumn="0" w:noHBand="0" w:noVBand="1"/>
      </w:tblPr>
      <w:tblGrid>
        <w:gridCol w:w="675"/>
        <w:gridCol w:w="1304"/>
        <w:gridCol w:w="8046"/>
      </w:tblGrid>
      <w:tr>
        <w:trPr>
          <w:trHeight w:val="1094"/>
        </w:trPr>
        <w:tc>
          <w:tcPr>
            <w:gridSpan w:val="2"/>
            <w:tcBorders/>
            <w:tcW w:w="197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0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57"/>
        </w:trPr>
        <w:tc>
          <w:tcPr>
            <w:gridSpan w:val="2"/>
            <w:shd w:val="clear" w:color="auto" w:fill="auto"/>
            <w:tcBorders/>
            <w:tcMar>
              <w:left w:w="108" w:type="dxa"/>
              <w:top w:w="0" w:type="dxa"/>
              <w:right w:w="108" w:type="dxa"/>
              <w:bottom w:w="0" w:type="dxa"/>
            </w:tcMar>
            <w:tcW w:w="9350" w:type="dxa"/>
            <w:textDirection w:val="lrTb"/>
            <w:noWrap w:val="false"/>
          </w:tcPr>
          <w:p>
            <w:pPr>
              <w:pStyle w:val="1036"/>
              <w:pBdr/>
              <w:spacing w:after="60"/>
              <w:ind/>
              <w:rPr>
                <w:color w:val="000000" w:themeColor="text1"/>
                <w:sz w:val="24"/>
                <w:szCs w:val="24"/>
                <w:highlight w:val="yellow"/>
              </w:rPr>
            </w:pPr>
            <w:r>
              <w:rPr>
                <w:rStyle w:val="1035"/>
                <w:rFonts w:ascii="Times New Roman" w:hAnsi="Times New Roman"/>
                <w:color w:val="000000" w:themeColor="text1"/>
                <w:lang w:val="pt-BR"/>
              </w:rPr>
              <w:t xml:space="preserve">Số</w:t>
            </w:r>
            <w:r>
              <w:rPr>
                <w:rStyle w:val="1035"/>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00000" w:themeColor="text1"/>
                <w:spacing w:val="3"/>
                <w:sz w:val="24"/>
                <w:szCs w:val="24"/>
                <w:highlight w:val="white"/>
              </w:rPr>
              <w:t xml:space="preserve">275/2026/0733/VFI-BC.53.A</w:t>
            </w:r>
            <w:r>
              <w:rPr>
                <w:rFonts w:ascii="Times New Roman" w:hAnsi="Times New Roman" w:eastAsia="Times New Roman" w:cs="Times New Roman"/>
                <w:color w:val="000000"/>
                <w:spacing w:val="-4"/>
                <w:sz w:val="24"/>
              </w:rPr>
              <w:t xml:space="preserve">/4543214</w:t>
            </w:r>
            <w:r>
              <w:rPr>
                <w:color w:val="000000" w:themeColor="text1"/>
                <w:sz w:val="24"/>
                <w:szCs w:val="24"/>
                <w:highlight w:val="yellow"/>
              </w:rPr>
            </w:r>
            <w:r>
              <w:rPr>
                <w:color w:val="000000" w:themeColor="text1"/>
                <w:sz w:val="24"/>
                <w:szCs w:val="24"/>
                <w:highlight w:val="yellow"/>
              </w:rPr>
            </w:r>
          </w:p>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15 tháng 5 năm 2026</w:t>
            </w:r>
            <w:r>
              <w:rPr>
                <w:color w:val="000000" w:themeColor="text1"/>
                <w:sz w:val="24"/>
                <w:szCs w:val="24"/>
                <w:lang w:val="vi-VN"/>
              </w:rPr>
            </w:r>
            <w:r>
              <w:rPr>
                <w:color w:val="000000" w:themeColor="text1"/>
                <w:sz w:val="24"/>
                <w:szCs w:val="24"/>
                <w:lang w:val="vi-VN"/>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rFonts w:ascii="Times New Roman" w:hAnsi="Times New Roman" w:eastAsia="Times New Roman" w:cs="Times New Roman"/>
          <w:b w:val="0"/>
          <w:bCs w:val="0"/>
          <w:i/>
          <w:color w:val="000000" w:themeColor="text1"/>
          <w:spacing w:val="-6"/>
          <w:sz w:val="24"/>
          <w:szCs w:val="24"/>
          <w:lang w:val="pt-BR"/>
        </w:rPr>
        <w:t xml:space="preserve"> </w:t>
      </w:r>
      <w:r>
        <w:rPr>
          <w:rFonts w:ascii="Times New Roman" w:hAnsi="Times New Roman" w:eastAsia="Times New Roman" w:cs="Times New Roman"/>
          <w:b w:val="0"/>
          <w:bCs w:val="0"/>
          <w:color w:val="000000" w:themeColor="text1"/>
          <w:spacing w:val="3"/>
          <w:sz w:val="24"/>
          <w:szCs w:val="24"/>
          <w:highlight w:val="white"/>
        </w:rPr>
        <w:t xml:space="preserve">275/2026/0733/VFI-BC.53.A</w:t>
      </w:r>
      <w:r>
        <w:rPr>
          <w:rFonts w:ascii="Times New Roman" w:hAnsi="Times New Roman" w:eastAsia="Times New Roman" w:cs="Times New Roman"/>
          <w:b w:val="0"/>
          <w:bCs w:val="0"/>
          <w:color w:val="000000"/>
          <w:spacing w:val="-4"/>
          <w:sz w:val="24"/>
        </w:rPr>
        <w:t xml:space="preserve">/4543214</w:t>
      </w:r>
      <w:r>
        <w:rPr>
          <w:rFonts w:ascii="Times New Roman" w:hAnsi="Times New Roman" w:eastAsia="Times New Roman" w:cs="Times New Roman"/>
          <w:b w:val="0"/>
          <w:bCs w:val="0"/>
          <w:i/>
          <w:color w:val="000000" w:themeColor="text1"/>
          <w:spacing w:val="-6"/>
          <w:sz w:val="24"/>
          <w:szCs w:val="24"/>
          <w:lang w:val="pt-BR"/>
        </w:rPr>
        <w:t xml:space="preserve"> </w:t>
      </w:r>
      <w:r>
        <w:rPr>
          <w:rFonts w:ascii="Times New Roman" w:hAnsi="Times New Roman" w:eastAsia="Times New Roman" w:cs="Times New Roman"/>
          <w:b w:val="0"/>
          <w:bCs w:val="0"/>
          <w:i/>
          <w:color w:val="000000" w:themeColor="text1"/>
          <w:spacing w:val="-6"/>
          <w:sz w:val="24"/>
          <w:szCs w:val="24"/>
          <w:lang w:val="pt-BR"/>
        </w:rPr>
        <w:t xml:space="preserve">n</w:t>
      </w:r>
      <w:r>
        <w:rPr>
          <w:b w:val="0"/>
          <w:i/>
          <w:color w:val="000000" w:themeColor="text1"/>
          <w:spacing w:val="-6"/>
          <w:sz w:val="24"/>
          <w:szCs w:val="24"/>
          <w:lang w:val="pt-BR"/>
        </w:rPr>
        <w:t xml:space="preserve">gày 15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highlight w:val="yellow"/>
              </w:rPr>
            </w:pPr>
            <w:r>
              <w:rPr>
                <w:bCs/>
                <w:color w:val="000000" w:themeColor="text1"/>
                <w:highlight w:val="yellow"/>
              </w:rPr>
            </w:r>
            <w:r>
              <w:rPr>
                <w:rFonts w:ascii="Times New Roman" w:hAnsi="Times New Roman" w:eastAsia="Times New Roman" w:cs="Times New Roman"/>
                <w:color w:val="000000"/>
                <w:sz w:val="24"/>
              </w:rPr>
              <w:t xml:space="preserve">275/TĐG</w:t>
            </w:r>
            <w:r>
              <w:rPr>
                <w:bCs/>
                <w:color w:val="000000" w:themeColor="text1"/>
                <w:highlight w:val="yellow"/>
              </w:rPr>
            </w:r>
            <w:r>
              <w:rPr>
                <w:rFonts w:ascii="Times New Roman" w:hAnsi="Times New Roman" w:eastAsia="Times New Roman" w:cs="Times New Roman"/>
                <w:color w:val="000000"/>
                <w:sz w:val="24"/>
              </w:rPr>
            </w:r>
            <w:r>
              <w:rPr>
                <w:bCs/>
                <w:highlight w:val="yellow"/>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37"/>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b/>
                <w:bCs/>
              </w:rPr>
            </w:pPr>
            <w:r>
              <w:rPr>
                <w:b/>
                <w:bCs/>
              </w:rPr>
              <w:t xml:space="preserve">CÔNG TY TNHH PHÁT TRIẾN ĐIÊN HÀO</w:t>
            </w:r>
            <w:r>
              <w:rPr>
                <w:b/>
                <w:bCs/>
              </w:rPr>
              <w:t xml:space="preserve"> NAM</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MST/CMTND/CCCD:</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rFonts w:ascii="Times New Roman" w:hAnsi="Times New Roman" w:eastAsia="Times New Roman" w:cs="Times New Roman"/>
                <w:sz w:val="24"/>
              </w:rPr>
            </w:r>
            <w:r>
              <w:t xml:space="preserve">Trong khuôn viên Công ty TNHH Bao bì Thái Hà Hưng, Tổ dân phố Bến, Phường Thượng Hồng, Tỉnh Hưng Yên, Việt Nam.</w:t>
            </w:r>
            <w:r>
              <w:rPr>
                <w:rFonts w:ascii="Times New Roman" w:hAnsi="Times New Roman" w:eastAsia="Times New Roman" w:cs="Times New Roman"/>
                <w:sz w:val="24"/>
              </w:rPr>
            </w:r>
            <w:r/>
          </w:p>
        </w:tc>
      </w:tr>
      <w:tr>
        <w:trPr>
          <w:trHeight w:val="20"/>
        </w:trPr>
        <w:tc>
          <w:tcPr>
            <w:tcBorders/>
            <w:tcW w:w="2518" w:type="dxa"/>
            <w:vAlign w:val="center"/>
            <w:vMerge w:val="restart"/>
            <w:textDirection w:val="lrTb"/>
            <w:noWrap w:val="false"/>
          </w:tcPr>
          <w:p>
            <w:pPr>
              <w:pBdr/>
              <w:spacing w:after="60" w:before="60" w:line="276" w:lineRule="auto"/>
              <w:ind/>
              <w:rPr>
                <w:bCs/>
                <w:lang w:val="pt-BR"/>
              </w:rPr>
            </w:pPr>
            <w:r>
              <w:rPr>
                <w:bCs/>
                <w:lang w:val="pt-BR"/>
              </w:rPr>
              <w:t xml:space="preserve">MST</w:t>
            </w:r>
            <w:r>
              <w:rPr>
                <w:bCs/>
                <w:lang w:val="pt-BR"/>
              </w:rPr>
            </w:r>
            <w:r>
              <w:rPr>
                <w:bCs/>
                <w:lang w:val="pt-BR"/>
              </w:rPr>
            </w:r>
          </w:p>
        </w:tc>
        <w:tc>
          <w:tcPr>
            <w:tcBorders/>
            <w:tcW w:w="284" w:type="dxa"/>
            <w:vAlign w:val="center"/>
            <w:vMerge w:val="restart"/>
            <w:textDirection w:val="lrTb"/>
            <w:noWrap w:val="false"/>
          </w:tcPr>
          <w:p>
            <w:pPr>
              <w:pStyle w:val="1037"/>
              <w:pBdr/>
              <w:spacing w:after="60" w:before="60" w:line="276" w:lineRule="auto"/>
              <w:ind w:left="0"/>
              <w:rPr>
                <w:bCs/>
                <w:lang w:val="pt-BR"/>
              </w:rPr>
            </w:pPr>
            <w:r>
              <w:rPr>
                <w:bCs/>
                <w:lang w:val="pt-BR"/>
              </w:rPr>
            </w:r>
            <w:r>
              <w:rPr>
                <w:bCs/>
                <w:lang w:val="pt-BR"/>
              </w:rPr>
            </w:r>
            <w:r>
              <w:rPr>
                <w:bCs/>
                <w:lang w:val="pt-BR"/>
              </w:rPr>
            </w:r>
          </w:p>
        </w:tc>
        <w:tc>
          <w:tcPr>
            <w:tcBorders/>
            <w:tcW w:w="6945" w:type="dxa"/>
            <w:vAlign w:val="center"/>
            <w:vMerge w:val="restart"/>
            <w:textDirection w:val="lrTb"/>
            <w:noWrap w:val="false"/>
          </w:tcPr>
          <w:p>
            <w:pPr>
              <w:pBdr/>
              <w:spacing w:after="120" w:before="120" w:line="288" w:lineRule="auto"/>
              <w:ind/>
              <w:jc w:val="both"/>
              <w:rPr>
                <w:bCs/>
              </w:rPr>
            </w:pPr>
            <w:r>
              <w:rPr>
                <w:bCs/>
              </w:rPr>
            </w:r>
            <w:r>
              <w:t xml:space="preserve">0901073483</w:t>
            </w:r>
            <w:r>
              <w:rPr>
                <w:bCs/>
              </w:rPr>
            </w:r>
            <w:r>
              <w:rPr>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Đại diện</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b/>
                <w:bCs/>
              </w:rPr>
            </w:pPr>
            <w:r>
              <w:rPr>
                <w:b/>
                <w:bCs/>
              </w:rPr>
            </w:r>
            <w:r>
              <w:rPr>
                <w:b/>
                <w:bCs/>
              </w:rPr>
              <w:t xml:space="preserve">Bà Trần Thị Quỳnh</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Chức vụ</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b/>
                <w:bCs/>
              </w:rPr>
            </w:pPr>
            <w:r>
              <w:rPr>
                <w:b/>
                <w:bCs/>
              </w:rPr>
              <w:t xml:space="preserve">Giám đốc</w:t>
            </w:r>
            <w:r>
              <w:rPr>
                <w:b/>
                <w:bCs/>
              </w:rPr>
            </w:r>
            <w:r>
              <w:rPr>
                <w:b/>
                <w:bCs/>
              </w:rPr>
            </w:r>
          </w:p>
        </w:tc>
      </w:tr>
      <w:tr>
        <w:trPr>
          <w:trHeight w:val="411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bCs/>
                <w:color w:val="000000"/>
                <w:sz w:val="24"/>
              </w:rPr>
              <w:t xml:space="preserve">Tài sản 01: </w:t>
            </w:r>
            <w:r>
              <w:rPr>
                <w:rFonts w:ascii="Times New Roman" w:hAnsi="Times New Roman" w:eastAsia="Times New Roman" w:cs="Times New Roman"/>
                <w:color w:val="000000"/>
                <w:sz w:val="24"/>
              </w:rPr>
              <w:t xml:space="preserve">Quyền sử dụng đất tại thửa đất số: 332, tờ bản đồ số 12 có địa chỉ: Tổ dân phố Sài Phi, phường Minh Đức, thị xã Mỹ Hào, tỉnh Hưng Yên (Nay là Phường Thượng Hồng, tỉnh Hưng Yên) theo Giấy chứng nhận quyền sử dụng đất quyền sở hữu nhà ở và tài sả</w:t>
            </w:r>
            <w:r>
              <w:rPr>
                <w:rFonts w:ascii="Times New Roman" w:hAnsi="Times New Roman" w:eastAsia="Times New Roman" w:cs="Times New Roman"/>
                <w:color w:val="000000"/>
                <w:sz w:val="24"/>
              </w:rPr>
              <w:t xml:space="preserve">n khác gắn liền với đất số: CH 377828, số vào số cấp GCN: CH-00504 do UBND thị xã Mỹ Hào cấp ngày 26/11/2019; Chủ sử dụng đất là Ông Nguyễn Văn Hội và Bà Trần Thị Quỳnh.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bCs/>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333, tờ bản đô số: 12 có địa chỉ: Tổ dân phổ Sài Phi, phường Minh Đức, thị xã Mỹ Hào, tỉnh Hưng Yên (Nay là Phường Thượng Hồng, tỉnh Hưng Yên) theo Giấy chứng nhận quyền sử dụng đất, quyền sở hữu nhà ở và tài </w:t>
            </w:r>
            <w:r>
              <w:rPr>
                <w:rFonts w:ascii="Times New Roman" w:hAnsi="Times New Roman" w:eastAsia="Times New Roman" w:cs="Times New Roman"/>
                <w:color w:val="000000"/>
                <w:sz w:val="24"/>
              </w:rPr>
              <w:t xml:space="preserve">sản khác gắn liền với đất sổ: CH 377829, số vào số cấp GCN: CH-00505 do UBND thị xã Mỹ Hào cấp ngày 26/11/2019; Chủ sử dụng đất là Ông Nguyễn Văn Hội và Bà Trần Thị Quỳnh.</w:t>
            </w:r>
            <w:r>
              <w:rPr>
                <w:bCs/>
                <w:i/>
                <w:i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color w:val="000000" w:themeColor="text1"/>
                <w:lang w:val="pt-BR"/>
              </w:rPr>
              <w:t xml:space="preserve">P</w:t>
            </w:r>
            <w:r>
              <w:t xml:space="preserve">hường Thượng Hồng, tỉnh Hưng Yên</w:t>
            </w:r>
            <w:r>
              <w:rPr>
                <w:lang w:val="pt-BR"/>
              </w:rPr>
            </w:r>
            <w:r>
              <w:rPr>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12/05/2026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nhà ở và tài sản khác gắn liền với đất số: CH 377828, số vào số cấp GCN: CH-00504 do UBND thị xã Mỹ Hào cấp ngày 26/11/2019; Chủ sử dụng đất là Ông Nguyễn Văn Hội và Bà Trần Thị Quỳnh. </w:t>
      </w:r>
      <w:r>
        <w:rPr>
          <w:lang w:val="pt-BR"/>
          <w14:ligatures w14:val="none"/>
        </w:rPr>
      </w:r>
      <w:r>
        <w:rPr>
          <w:lang w:val="pt-BR"/>
          <w14:ligatures w14:val="none"/>
        </w:rPr>
      </w:r>
    </w:p>
    <w:p>
      <w:pPr>
        <w:pStyle w:val="1037"/>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nhà ở và tài sản khác gắn liền với đất sổ: CH 377829, số vào số cấp GCN: CH-00505 do UBND thị xã Mỹ Hào cấp ngày 26/11/2019; Chủ sử dụng đất là Ông Nguyễn Văn Hội và Bà Trần Thị Quỳnh.</w:t>
      </w:r>
      <w:r>
        <w:rPr>
          <w:lang w:val="pt-BR"/>
          <w14:ligatures w14:val="none"/>
        </w:rPr>
      </w:r>
      <w:r>
        <w:rPr>
          <w:lang w:val="pt-BR"/>
          <w14:ligatures w14:val="none"/>
        </w:rPr>
      </w:r>
    </w:p>
    <w:p>
      <w:pPr>
        <w:pBdr/>
        <w:spacing w:after="120" w:before="120" w:line="276" w:lineRule="auto"/>
        <w:ind/>
        <w:jc w:val="both"/>
        <w:rPr/>
      </w:pPr>
      <w:r>
        <w:rPr>
          <w:b/>
          <w:lang w:val="pt-BR"/>
        </w:rPr>
        <w:t xml:space="preserve">b. Hồ sơ khác</w:t>
      </w:r>
      <w:r>
        <w:rPr>
          <w:b/>
          <w:lang w:val="vi-VN"/>
        </w:rPr>
        <w:t xml:space="preserve">:</w:t>
      </w: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275/2026/0733/VFI-HĐTĐ.53.A</w:t>
      </w:r>
      <w:r>
        <w:rPr>
          <w:rFonts w:ascii="Times New Roman" w:hAnsi="Times New Roman" w:eastAsia="Times New Roman" w:cs="Times New Roman"/>
          <w:color w:val="000000"/>
          <w:spacing w:val="-4"/>
          <w:sz w:val="24"/>
        </w:rPr>
        <w:t xml:space="preserve">/4543214</w:t>
      </w:r>
      <w:r>
        <w:rPr>
          <w:color w:val="000000" w:themeColor="text1"/>
          <w:lang w:val="pt-BR"/>
        </w:rPr>
        <w:t xml:space="preserve"> ngày 12/05/2026 giữa Công ty TNHH Phát triển Điền Hào Nam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shd w:val="clear" w:color="auto" w:fill="ffffff"/>
        <w:spacing w:after="120" w:before="120" w:line="276" w:lineRule="auto"/>
        <w:ind/>
        <w:jc w:val="both"/>
        <w:rPr>
          <w:iCs/>
        </w:rPr>
      </w:pPr>
      <w:r>
        <w:rPr>
          <w:shd w:val="clear" w:color="auto" w:fill="ffffff"/>
        </w:rPr>
        <w:t xml:space="preserve">H</w:t>
      </w:r>
      <w:r>
        <w:t xml:space="preserve">ưng Yên là một trong những điểm đến mới của dòng vốn bất động sản nhờ hạ tầng kết nối, đô thị hóa nhanh, quy hoạch rõ ràng trong khi quỹ đất Hà Nội dần khan hiếm, theo chuyên gia Lê Đình Chung. Ông Lê Đình Chung, thành viên Tổ công tác nghiên cứu thị trườn</w:t>
      </w:r>
      <w:r>
        <w:t xml:space="preserve">g VARS, cho biết, vai trò hạt nhân công nghiệp cùng định hướng quy hoạch bài bản là một trong những yếu tố then chốt tạo sức hút cho thị trường. Việc sáp nhập địa giới hành chính được xem là bước khởi đầu cho giai đoạn tăng trưởng mới, với sự hỗ trợ từ chí</w:t>
      </w:r>
      <w:r>
        <w:t xml:space="preserve">nh sách quy hoạch, đầu tư hạ tầng và vốn FDI. 6 Số liệu của Sở Kế hoạch &amp; Đầu tư cho thấy, 6 tháng sau hợp nhất, tỉnh thu hút 205 dự án mới với tổng vốn hơn 5,9 tỷ USD, gồm 123 dự án trong nước (4,5 tỷ USD) và 82 dự án FDI (1,4 tỷ USD).</w:t>
      </w:r>
      <w:r>
        <w:rPr>
          <w:iCs/>
        </w:rPr>
      </w:r>
      <w:r>
        <w:rPr>
          <w:iCs/>
        </w:rPr>
      </w:r>
    </w:p>
    <w:p>
      <w:pPr>
        <w:pBdr/>
        <w:shd w:val="clear" w:color="auto" w:fill="ffffff"/>
        <w:spacing w:after="120" w:before="120" w:line="276" w:lineRule="auto"/>
        <w:ind/>
        <w:jc w:val="both"/>
        <w:rPr/>
      </w:pPr>
      <w:r>
        <w:t xml:space="preserve"> Toàn tỉnh hiện có 3</w:t>
      </w:r>
      <w:r>
        <w:t xml:space="preserve">.880 dự án còn hiệu lực, tổng vốn đăng ký trên 40,8 tỷ USD. Theo ông Lê Đình Chung, dù được đánh giá là một trong những đô thị vệ tỉnh tiếm năng phía Đông Hà Nội, mặt bằng giá bất động sản tại Mỹ Hào vẫn ở mức thấp hơn khoảng 40-50% so với các khu vực như </w:t>
      </w:r>
      <w:r>
        <w:t xml:space="preserve">Gia Lâm, Đông Anh, Thanh Trì... "Sự chênh lệch này đến từ việc Mỹ Hào mới bắt đầu bước vào quá trình đô thị hóa mạnh, điều này mở ra cơ hội cho nhà đầu tư đi trước đón đầu", ông lý giải. </w:t>
      </w:r>
      <w:r/>
    </w:p>
    <w:p>
      <w:pPr>
        <w:pBdr/>
        <w:shd w:val="clear" w:color="auto" w:fill="ffffff"/>
        <w:spacing w:after="120" w:before="120" w:line="276" w:lineRule="auto"/>
        <w:ind/>
        <w:jc w:val="both"/>
        <w:rPr/>
      </w:pPr>
      <w:r>
        <w:t xml:space="preserve">Trong bối cảnh đó, dự án Majestic City tại Phố Nối được giới thiệu là</w:t>
      </w:r>
      <w:r>
        <w:t xml:space="preserve"> khu đô thị thương mại dịch vụ cao cấp, dân số nội khu dự kiến khoảng 8.000 người, thừa hưởng nguồn khách hàng từ hơn 400.000 lao động tại các khu công nghiệp lân cận như Thăng Long II, Dị Sử, Minh Đức.</w:t>
      </w:r>
      <w:r/>
    </w:p>
    <w:p>
      <w:pPr>
        <w:pBdr/>
        <w:shd w:val="clear" w:color="auto" w:fill="ffffff"/>
        <w:spacing w:after="120" w:before="120" w:line="276" w:lineRule="auto"/>
        <w:ind/>
        <w:jc w:val="both"/>
        <w:rPr/>
      </w:pPr>
      <w:r>
        <w:t xml:space="preserve"> Sản phẩm gồm hubshop, viva house và shop villa, thiết</w:t>
      </w:r>
      <w:r>
        <w:t xml:space="preserve"> kế vừa ở vừa kinh doanh. Anh Thành Nam, nhà đầu tư đến từ Hà Nội cho rằng mức giá tại dự án này vẫn còn dư địa tăng khi hạ tầng khu vực hoàn thiện. Báo cáo tháng 5 của Batdongsan cho thấy, năm ngoái Hưng Yên là thị trường được nhà đầu tư quan tâm thứ hai </w:t>
      </w:r>
      <w:r>
        <w:t xml:space="preserve">cả nước, sau Hà Nam. </w:t>
      </w:r>
      <w:r/>
    </w:p>
    <w:p>
      <w:pPr>
        <w:pBdr/>
        <w:shd w:val="clear" w:color="auto" w:fill="ffffff"/>
        <w:spacing w:after="120" w:before="120" w:line="276" w:lineRule="auto"/>
        <w:ind/>
        <w:jc w:val="both"/>
        <w:rPr/>
      </w:pPr>
      <w:r>
        <w:t xml:space="preserve">Các huyện như Văn Lâm, Mỹ Hào, Yên Mỹ, Phù Cử đang phát triển công nghiệp mạnh, kéo theo làn sóng di cư cơ học, nhất là lao động từ các tỉnh miền núi phía Bắc. Xu hướng này có thể tiếp diễn khi trung tâm hành chính - chính trị đặt tại </w:t>
      </w:r>
      <w:r>
        <w:t xml:space="preserve">Hưng Yên sau khi sáp nhập với Thái Bình. </w:t>
      </w:r>
      <w:r/>
    </w:p>
    <w:p>
      <w:pPr>
        <w:pBdr/>
        <w:shd w:val="clear" w:color="auto" w:fill="ffffff"/>
        <w:spacing w:after="120" w:before="120" w:line="276" w:lineRule="auto"/>
        <w:ind/>
        <w:jc w:val="both"/>
        <w:rPr>
          <w:bCs/>
          <w:i/>
          <w:color w:val="212529"/>
          <w:u w:val="single"/>
        </w:rPr>
      </w:pPr>
      <w:r>
        <w:rPr>
          <w:i/>
          <w:iCs/>
          <w:u w:val="single"/>
        </w:rPr>
        <w:t xml:space="preserve">(Nguồn tham khåo: https://vnexpress.net/4-yeu-to-thuc-day-trien-vong-dau-tu-bat-dong-san-hungyen-4923975.html</w:t>
      </w:r>
      <w:r>
        <w:rPr>
          <w:i/>
          <w:iCs/>
          <w:color w:val="212529"/>
          <w:u w:val="single"/>
        </w:rPr>
        <w:t xml:space="preserve">)</w:t>
      </w:r>
      <w:r>
        <w:rPr>
          <w:bCs/>
          <w:i/>
          <w:color w:val="212529"/>
          <w:u w:val="single"/>
        </w:rPr>
      </w:r>
      <w:r>
        <w:rPr>
          <w:bCs/>
          <w:i/>
          <w:color w:val="212529"/>
          <w:u w:val="single"/>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37"/>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76"/>
        <w:gridCol w:w="2509"/>
        <w:gridCol w:w="1985"/>
        <w:gridCol w:w="2127"/>
        <w:gridCol w:w="255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I.</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332, tờ bản đồ số 12 có địa chỉ: Tổ dân phố Sài Phi, phường Minh Đức, thị xã Mỹ Hào, tỉnh Hưng Yên (Nay là Phường Thượng Hồng, tỉnh Hưng Yên) theo Giấy chứng nhận quyền sử dụng đất quyền sở hữu nhà ở và tài sản khác gắn l</w:t>
            </w:r>
            <w:r>
              <w:rPr>
                <w:rFonts w:ascii="Times New Roman" w:hAnsi="Times New Roman" w:eastAsia="Times New Roman" w:cs="Times New Roman"/>
                <w:b/>
                <w:color w:val="000000"/>
                <w:sz w:val="24"/>
              </w:rPr>
              <w:t xml:space="preserve">iền với đất số: CH 377828, số vào sổ cấp GCN: CH-00504 do UBND thị xã Mỹ Hào cấp ngày 26/11/2019; Chủ sử dụng đất là Ông Nguyễn Văn Hội và Bà Trần Thị Quỳnh.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332</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Tổ dân phố Sài Phi, phường Minh Đức, thị xã Mỹ Hào, tỉnh Hưng Yên (Nay là Phường Thượng Hồng, tỉnh Hưng 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265,0</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Được tặng cho đất được Công nhận QSDĐ như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02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2,5m</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2,5 ~ 2,8m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đường Lê Quang Hoà khoảng 450m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Nam tiếp giáp với đường bê tông 2,5 ~ 2,8m;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Tiếp giáp đường bê tông 2,5m;</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20.922722, 106.127167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743575" cy="26860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28127" name=""/>
                              <pic:cNvPicPr>
                                <a:picLocks noChangeAspect="1"/>
                              </pic:cNvPicPr>
                              <pic:nvPr/>
                            </pic:nvPicPr>
                            <pic:blipFill rotWithShape="1">
                              <a:blip r:embed="rId17"/>
                              <a:stretch/>
                            </pic:blipFill>
                            <pic:spPr bwMode="auto">
                              <a:xfrm>
                                <a:off x="0" y="0"/>
                                <a:ext cx="5743574" cy="26860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2.25pt;height:211.50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265,0</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12,1</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1754"/>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II.</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333, tờ bản đồ số: 12 có địa chỉ: Tổ dân phố Sài Phi, phường Minh Đức, thị xã Mỹ Hào, tỉnh Hưng Yên (Nay là Phường Thượng Hồng, tỉnh Hưng Yên) theo Giấy chứng nhận quyền sử dụng đất, quyền sở hữu nhà ở và tài sản khác gắn</w:t>
            </w:r>
            <w:r>
              <w:rPr>
                <w:rFonts w:ascii="Times New Roman" w:hAnsi="Times New Roman" w:eastAsia="Times New Roman" w:cs="Times New Roman"/>
                <w:b/>
                <w:color w:val="000000"/>
                <w:sz w:val="24"/>
              </w:rPr>
              <w:t xml:space="preserve"> liền với đất số: CH 377829 , số vào sổ cấp GCN: CH-00505  do UBND thị xã Mỹ Hào cấp ngày 26/11/2019; Chủ sử dụng đất là Ông Nguyễn Văn Hội và Bà Trần Thị Quỳnh.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Tổ dân phố Sài Phi, phường Minh Đức, thị xã Mỹ Hào, tỉnh Hưng Yên (Nay là Phường Thượng Hồng, tỉnh Hưng 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159,0</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Được tặng cho đất được Công nhận QSDĐ như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Tổ dân phố Sài Phi, phường Minh Đức, thị xã Mỹ Hào, tỉnh Hưng Yên (Nay là Phường Thượng Hồng, tỉnh Hưng 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2,5m</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2,5 ~ 2,8m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đường Lê Quang Hoà khoảng 450m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Nam tiếp giáp với đường bê tông 2,5 ~ 2,8m;            </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20.922694, 106.127111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218367" cy="287578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76279" name=""/>
                              <pic:cNvPicPr>
                                <a:picLocks noChangeAspect="1"/>
                              </pic:cNvPicPr>
                              <pic:nvPr/>
                            </pic:nvPicPr>
                            <pic:blipFill rotWithShape="1">
                              <a:blip r:embed="rId18"/>
                              <a:stretch/>
                            </pic:blipFill>
                            <pic:spPr bwMode="auto">
                              <a:xfrm flipH="0" flipV="0">
                                <a:off x="0" y="0"/>
                                <a:ext cx="5218367" cy="28757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0.90pt;height:226.44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159,0</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12,30</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 – Thóp Hậu</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5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917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trên đất có nhà 2 tầng, mái bằng, xây gộp trên 02 thửa đất là thửa đất số 332; thửa đất số 333, có diện tích xây dựng là 87m2; tổng diện tích sàn xây dựng khoảng 174m2. Công trình thực tế chưa được chứng nhận trên GCN QSDĐ số: CH 37</w:t>
            </w:r>
            <w:r>
              <w:rPr>
                <w:rFonts w:ascii="Times New Roman" w:hAnsi="Times New Roman" w:eastAsia="Times New Roman" w:cs="Times New Roman"/>
                <w:color w:val="000000"/>
                <w:sz w:val="24"/>
              </w:rPr>
              <w:t xml:space="preserve">7828 và CH 377829. Do vậy, được sự đồng ý của Ngân hàng/ khách hàng, Tổ thẩm định không xác định giá trị của công trình xây dựng vào tổng giá trị tài sản</w:t>
            </w:r>
            <w:r/>
          </w:p>
        </w:tc>
      </w:tr>
    </w:tbl>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7"/>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b/>
          <w:bCs/>
          <w:u w:val="single"/>
        </w:rPr>
      </w:pPr>
      <w:r>
        <w:rPr>
          <w:b/>
          <w:bCs/>
          <w:highlight w:val="none"/>
          <w:u w:val="single"/>
        </w:rPr>
      </w:r>
      <w:r>
        <w:rPr>
          <w:b/>
          <w:bCs/>
          <w:u w:val="single"/>
        </w:rPr>
      </w:r>
      <w:r>
        <w:rPr>
          <w:b/>
          <w:bCs/>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khảo sát, trên đất có nhà 2 tầng, mái bằng, xây gộp trên 02 thửa đất là thửa đất số 332; thửa đất số 333, có diện tích xây dựng là 87m2; tổng diện tích sàn xây dựng khoảng 174m2. Công trình thực tế chưa được chứng nhận trên GCN QSDĐ số: CH 37</w:t>
      </w:r>
      <w:r>
        <w:rPr>
          <w:rFonts w:ascii="Times New Roman" w:hAnsi="Times New Roman" w:eastAsia="Times New Roman" w:cs="Times New Roman"/>
          <w:color w:val="000000"/>
          <w:sz w:val="24"/>
        </w:rPr>
        <w:t xml:space="preserve">7828 và CH 377829. Do vậy, được sự đồng ý của Ngân hàng/ khách hàng, Tổ thẩm định không xác định giá trị của công trình xây dựng vào tổng giá trị tài sản.</w:t>
      </w:r>
      <w:r>
        <w:rPr>
          <w:rFonts w:ascii="Times New Roman" w:hAnsi="Times New Roman" w:eastAsia="Times New Roman" w:cs="Times New Roman"/>
          <w:sz w:val="24"/>
        </w:rPr>
      </w: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theo</w:t>
      </w:r>
      <w:r>
        <w:rPr>
          <w:b/>
          <w:lang w:val="pt-BR"/>
        </w:rPr>
        <w:t xml:space="preserve"> </w:t>
      </w:r>
      <w:r>
        <w:rPr>
          <w:rFonts w:ascii="Times New Roman" w:hAnsi="Times New Roman" w:eastAsia="Times New Roman" w:cs="Times New Roman"/>
          <w:b/>
          <w:color w:val="000000"/>
          <w:sz w:val="24"/>
        </w:rPr>
        <w:t xml:space="preserve">Giấy chứng nhận số CH 377828:</w:t>
      </w:r>
      <w:r>
        <w:rPr>
          <w:b/>
          <w:lang w:val="pt-BR"/>
        </w:rPr>
      </w:r>
      <w:r>
        <w:rPr>
          <w:b/>
          <w:lang w:val="pt-BR"/>
        </w:rPr>
      </w:r>
    </w:p>
    <w:p>
      <w:pPr>
        <w:pStyle w:val="1037"/>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559"/>
        <w:gridCol w:w="1846"/>
        <w:gridCol w:w="1846"/>
        <w:gridCol w:w="1846"/>
        <w:gridCol w:w="1846"/>
      </w:tblGrid>
      <w:tr>
        <w:trPr>
          <w:trHeight w:val="3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top"/>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ĐẶC ĐIỂM BĐS</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top"/>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Thông tin về tài sản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1283"/>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Phường Thượng Hồng, tỉnh Hưng Yên</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Phường Thượng Hồng, tỉnh Hưng Yên</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Phường Thượng Hồng, tỉnh Hưng Yên</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Phường Thượng Hồng, tỉnh Hưng Yên</w:t>
            </w:r>
            <w:r>
              <w:rPr>
                <w:sz w:val="22"/>
                <w:szCs w:val="22"/>
              </w:rPr>
            </w:r>
            <w:r>
              <w:rPr>
                <w:sz w:val="22"/>
                <w:szCs w:val="22"/>
              </w:rPr>
            </w:r>
          </w:p>
        </w:tc>
      </w:tr>
      <w:tr>
        <w:trPr>
          <w:trHeight w:val="195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Nguồn tham khảo</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https://www.google.com/maps/place/20%C2%B055'08.0%22N+106%C2%B005'28.8%22E/@20.9188766,106.0906746,213m/data=!3m2!1e3!4b1!4m4!3m3!8m2!3d20.9188753!4d106.0913183!5m1!1e2?hl=vi-VN&amp;entry=ttu&amp;g_ep=EgoyMDI2MDEwNy4wIKXMDSoKLDEwMDc5MjA3M0gBUAM%3D</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r>
      <w:tr>
        <w:trPr>
          <w:trHeight w:val="9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Thông tin liên lạc</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SDT: 0386161929</w:t>
              <w:br/>
              <w:t xml:space="preserve">(Sale Diễm My)</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SDT: 0986327723</w:t>
              <w:br/>
              <w:t xml:space="preserve">(Sale Thành Đô Hoàn Mỹ)</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SDT: 0986327723</w:t>
              <w:br/>
              <w:t xml:space="preserve">(Sale Thành Đô Hoàn Mỹ)</w:t>
            </w:r>
            <w:r>
              <w:rPr>
                <w:sz w:val="22"/>
                <w:szCs w:val="22"/>
              </w:rPr>
            </w:r>
            <w:r>
              <w:rPr>
                <w:sz w:val="22"/>
                <w:szCs w:val="22"/>
              </w:rPr>
            </w:r>
          </w:p>
        </w:tc>
      </w:tr>
      <w:tr>
        <w:trPr>
          <w:trHeight w:val="63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Tình trạng giao dịch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Đang giao dịch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Đang giao dịch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Đang giao dịch  </w:t>
            </w:r>
            <w:r>
              <w:rPr>
                <w:sz w:val="22"/>
                <w:szCs w:val="22"/>
              </w:rPr>
            </w:r>
            <w:r>
              <w:rPr>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Thời điểm thu thập thông tin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5/2026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5/2026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5/2026 </w:t>
            </w:r>
            <w:r>
              <w:rPr>
                <w:sz w:val="22"/>
                <w:szCs w:val="22"/>
              </w:rPr>
            </w:r>
            <w:r>
              <w:rPr>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Tính chất giao dịch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558"/>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tại đô thị</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tại đô thị</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tại đô thị</w:t>
            </w:r>
            <w:r>
              <w:rPr>
                <w:sz w:val="22"/>
                <w:szCs w:val="22"/>
              </w:rPr>
            </w:r>
            <w:r>
              <w:rPr>
                <w:sz w:val="22"/>
                <w:szCs w:val="22"/>
              </w:rPr>
            </w:r>
          </w:p>
        </w:tc>
      </w:tr>
      <w:tr>
        <w:trPr>
          <w:trHeight w:val="715"/>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hd w:val="nil" w:color="auto"/>
              <w:spacing/>
              <w:ind/>
              <w:jc w:val="center"/>
              <w:rPr>
                <w:highlight w:val="white"/>
                <w14:ligatures w14:val="none"/>
              </w:rPr>
            </w:pPr>
            <w:r>
              <w:rPr>
                <w:highlight w:val="white"/>
              </w:rPr>
              <w:t xml:space="preserve">Thời hạn sử dụng đất</w:t>
            </w:r>
            <w:r>
              <w:rPr>
                <w:highlight w:val="white"/>
                <w14:ligatures w14:val="none"/>
              </w:rPr>
            </w:r>
            <w:r>
              <w:rPr>
                <w:highlight w:val="white"/>
                <w14:ligatures w14: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hd w:val="nil" w:color="auto"/>
              <w:spacing/>
              <w:ind/>
              <w:jc w:val="center"/>
              <w:rPr>
                <w:highlight w:val="white"/>
                <w14:ligatures w14:val="none"/>
              </w:rPr>
            </w:pPr>
            <w:r>
              <w:rPr>
                <w:highlight w:val="white"/>
              </w:rPr>
              <w:t xml:space="preserve">Lâu dài</w:t>
            </w:r>
            <w:r>
              <w:rPr>
                <w:highlight w:val="white"/>
                <w14:ligatures w14:val="none"/>
              </w:rPr>
            </w:r>
            <w:r>
              <w:rPr>
                <w:highlight w:val="white"/>
                <w14:ligatures w14: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hd w:val="nil" w:color="auto"/>
              <w:spacing/>
              <w:ind/>
              <w:jc w:val="center"/>
              <w:rPr>
                <w:highlight w:val="white"/>
                <w14:ligatures w14:val="none"/>
              </w:rPr>
            </w:pPr>
            <w:r>
              <w:rPr>
                <w:highlight w:val="white"/>
              </w:rPr>
              <w:t xml:space="preserve">Lâu dài</w:t>
            </w:r>
            <w:r>
              <w:rPr>
                <w:highlight w:val="white"/>
                <w14:ligatures w14:val="none"/>
              </w:rPr>
            </w:r>
            <w:r>
              <w:rPr>
                <w:highlight w:val="white"/>
                <w14:ligatures w14: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hd w:val="nil" w:color="auto"/>
              <w:spacing/>
              <w:ind/>
              <w:jc w:val="center"/>
              <w:rPr>
                <w:highlight w:val="white"/>
                <w14:ligatures w14:val="none"/>
              </w:rPr>
            </w:pPr>
            <w:r>
              <w:rPr>
                <w:highlight w:val="white"/>
              </w:rPr>
              <w:t xml:space="preserve">Lâu dài</w:t>
            </w:r>
            <w:r>
              <w:rPr>
                <w:highlight w:val="white"/>
                <w14:ligatures w14:val="none"/>
              </w:rPr>
            </w:r>
            <w:r>
              <w:rPr>
                <w:highlight w:val="white"/>
                <w14:ligatures w14: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hd w:val="nil" w:color="auto"/>
              <w:spacing/>
              <w:ind/>
              <w:jc w:val="center"/>
              <w:rPr>
                <w:highlight w:val="white"/>
                <w14:ligatures w14:val="none"/>
              </w:rPr>
            </w:pPr>
            <w:r>
              <w:rPr>
                <w:highlight w:val="white"/>
              </w:rPr>
              <w:t xml:space="preserve">Lâu dài</w:t>
            </w:r>
            <w:r>
              <w:rPr>
                <w:highlight w:val="white"/>
                <w14:ligatures w14:val="none"/>
              </w:rPr>
            </w:r>
            <w:r>
              <w:rPr>
                <w:highlight w:val="white"/>
                <w14:ligatures w14:val="none"/>
              </w:rPr>
            </w:r>
          </w:p>
        </w:tc>
      </w:tr>
      <w:tr>
        <w:trPr>
          <w:trHeight w:val="164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tiếp giáp đường nội xóm. Cách đường Lê Quang Hoà khoảng 450m</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tại TDP Đào Du, cách Đường Nguyễn Văn Linh khoảng 480m</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tiếp giáp đường nội xóm, nằm giữa trục chính đường TDP Sài Phi.</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tiếp giáp đường xóm, cách đường QL5 khoảng 200m</w:t>
            </w:r>
            <w:r>
              <w:rPr>
                <w:sz w:val="22"/>
                <w:szCs w:val="22"/>
              </w:rPr>
            </w:r>
            <w:r>
              <w:rPr>
                <w:sz w:val="22"/>
                <w:szCs w:val="22"/>
              </w:rPr>
            </w:r>
          </w:p>
        </w:tc>
      </w:tr>
      <w:tr>
        <w:trPr>
          <w:trHeight w:val="87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nhựa không có vỉa hè</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r>
      <w:tr>
        <w:trPr>
          <w:trHeight w:val="567"/>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Khoảng 2,5 ~ 2,8m</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r>
      <w:tr>
        <w:trPr>
          <w:trHeight w:val="72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Diện tích đất (m²)</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265</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86,8</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72</w:t>
            </w:r>
            <w:r>
              <w:rPr>
                <w:sz w:val="22"/>
                <w:szCs w:val="22"/>
              </w:rPr>
            </w:r>
            <w:r>
              <w:rPr>
                <w:sz w:val="22"/>
                <w:szCs w:val="22"/>
              </w:rPr>
            </w:r>
          </w:p>
        </w:tc>
      </w:tr>
      <w:tr>
        <w:trPr>
          <w:trHeight w:val="42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4,12</w:t>
            </w:r>
            <w:r>
              <w:rPr>
                <w:sz w:val="22"/>
                <w:szCs w:val="22"/>
              </w:rPr>
            </w:r>
            <w:r>
              <w:rPr>
                <w:sz w:val="22"/>
                <w:szCs w:val="22"/>
              </w:rPr>
            </w:r>
          </w:p>
        </w:tc>
      </w:tr>
      <w:tr>
        <w:trPr>
          <w:trHeight w:val="10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14</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góc 2 mặt đường, phố</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góc 2 mặt đường, phố</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môi trường an ninh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Tốt</w:t>
            </w:r>
            <w:r>
              <w:rPr>
                <w:color w:val="000000" w:themeColor="text1"/>
                <w:sz w:val="22"/>
                <w:szCs w:val="22"/>
                <w:highlight w:val="white"/>
              </w:rPr>
            </w:r>
            <w:r>
              <w:rPr>
                <w:color w:val="000000" w:themeColor="text1"/>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Tốt</w:t>
            </w:r>
            <w:r>
              <w:rPr>
                <w:color w:val="000000" w:themeColor="text1"/>
                <w:sz w:val="22"/>
                <w:szCs w:val="22"/>
                <w:highlight w:val="white"/>
              </w:rPr>
            </w:r>
            <w:r>
              <w:rPr>
                <w:color w:val="000000" w:themeColor="text1"/>
                <w:sz w:val="22"/>
                <w:szCs w:val="22"/>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17</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Nhà 2 tầng  </w:t>
            </w:r>
            <w:r>
              <w:rPr>
                <w:color w:val="000000" w:themeColor="text1"/>
                <w:sz w:val="22"/>
                <w:szCs w:val="22"/>
                <w:highlight w:val="white"/>
              </w:rPr>
            </w:r>
            <w:r>
              <w:rPr>
                <w:color w:val="000000" w:themeColor="text1"/>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Đất trống  </w:t>
            </w:r>
            <w:r>
              <w:rPr>
                <w:color w:val="000000" w:themeColor="text1"/>
                <w:sz w:val="22"/>
                <w:szCs w:val="22"/>
                <w:highlight w:val="white"/>
              </w:rPr>
            </w:r>
            <w:r>
              <w:rPr>
                <w:color w:val="000000" w:themeColor="text1"/>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color w:val="000000" w:themeColor="text1"/>
                <w:sz w:val="22"/>
                <w:szCs w:val="22"/>
              </w:rPr>
            </w:r>
            <w:r>
              <w:rPr>
                <w:color w:val="000000" w:themeColor="text1"/>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18</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Giá rao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4.100.000.000</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2.860.000.000</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2.170.000.000</w:t>
            </w:r>
            <w:r>
              <w:rPr>
                <w:color w:val="000000" w:themeColor="text1"/>
                <w:sz w:val="22"/>
                <w:szCs w:val="22"/>
              </w:rPr>
            </w:r>
            <w:r>
              <w:rPr>
                <w:color w:val="000000" w:themeColor="text1"/>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19</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Giá thương lượng/bán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3.485.000.000</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2.488.200.000</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1.953.000.000</w:t>
            </w:r>
            <w:r>
              <w:rPr>
                <w:color w:val="000000" w:themeColor="text1"/>
                <w:sz w:val="22"/>
                <w:szCs w:val="22"/>
              </w:rPr>
            </w:r>
            <w:r>
              <w:rPr>
                <w:color w:val="000000" w:themeColor="text1"/>
                <w:sz w:val="22"/>
                <w:szCs w:val="22"/>
              </w:rPr>
            </w:r>
          </w:p>
        </w:tc>
      </w:tr>
      <w:tr>
        <w:trPr>
          <w:trHeight w:val="31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Chi tiết tính toán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right"/>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right"/>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right"/>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r>
      <w:tr>
        <w:trPr>
          <w:trHeight w:val="801"/>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Giá trị tài sản trên đất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                               -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                                   -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                                          -   </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Giá trị đất ở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          3.485.000.000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          2.488.200.000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          1.953.000.000   </w:t>
            </w:r>
            <w:r>
              <w:rPr>
                <w:sz w:val="22"/>
                <w:szCs w:val="22"/>
              </w:rPr>
            </w:r>
            <w:r>
              <w:rPr>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Đơn giá QSDĐ (đồng/m²)</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              40.149.770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            35.045.070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             27.125.000 </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NHẬN XÉT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 </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Diện tích đất (m²)</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51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864"/>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môi trường an ninh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1"/>
        <w:gridCol w:w="1635"/>
        <w:gridCol w:w="1047"/>
        <w:gridCol w:w="1563"/>
        <w:gridCol w:w="1563"/>
        <w:gridCol w:w="1563"/>
        <w:gridCol w:w="1563"/>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3.485.000.000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2.488.200.000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1.953.000.000 </w:t>
            </w:r>
            <w:r>
              <w:rPr>
                <w:color w:val="000000" w:themeColor="text1"/>
              </w:rPr>
            </w:r>
            <w:r>
              <w:rPr>
                <w:color w:val="000000" w:themeColor="text1"/>
              </w:rPr>
            </w:r>
          </w:p>
        </w:tc>
      </w:tr>
      <w:tr>
        <w:trPr>
          <w:trHeight w:val="390"/>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40.149.770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35.045.070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27.125.000 </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936"/>
        </w:trPr>
        <w:tc>
          <w:tcPr>
            <w:shd w:val="clear" w:color="ffffff" w:fill="ffffff"/>
            <w:tcBorders>
              <w:left w:val="single" w:color="000000" w:sz="5" w:space="0"/>
              <w:bottom w:val="single" w:color="000000" w:sz="4" w:space="0"/>
              <w:right w:val="single" w:color="000000" w:sz="5" w:space="0"/>
            </w:tcBorders>
            <w:tcMar>
              <w:left w:w="15" w:type="dxa"/>
              <w:top w:w="15" w:type="dxa"/>
              <w:right w:w="15" w:type="dxa"/>
              <w:bottom w:w="0" w:type="dxa"/>
            </w:tcMar>
            <w:tcW w:w="621"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40.149.770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35.045.070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27.125.000 </w:t>
            </w:r>
            <w:r>
              <w:rPr>
                <w:color w:val="000000" w:themeColor="text1"/>
              </w:rPr>
            </w:r>
            <w:r>
              <w:rPr>
                <w:color w:val="000000" w:themeColor="text1"/>
              </w:rPr>
            </w:r>
          </w:p>
        </w:tc>
      </w:tr>
      <w:tr>
        <w:trPr>
          <w:trHeight w:val="1656"/>
        </w:trPr>
        <w:tc>
          <w:tcPr>
            <w:shd w:val="clear" w:color="ffffff" w:fill="ffffff"/>
            <w:tcBorders>
              <w:left w:val="single" w:color="000000" w:sz="5" w:space="0"/>
              <w:bottom w:val="single" w:color="000000" w:sz="4" w:space="0"/>
              <w:right w:val="single" w:color="000000" w:sz="5" w:space="0"/>
            </w:tcBorders>
            <w:tcMar>
              <w:left w:w="15" w:type="dxa"/>
              <w:top w:w="15" w:type="dxa"/>
              <w:right w:w="15" w:type="dxa"/>
              <w:bottom w:w="0" w:type="dxa"/>
            </w:tcMar>
            <w:tcW w:w="621"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xóm. Cách đường Lê Quang Hoà khoảng 450m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tại TDP Đào Du, cách Đường Nguyễn Văn Linh khoảng 480m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xóm, nằm giữa trục chính đường TDP Sài Phi.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xóm, cách đường QL5 khoảng 200m</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-4.014.977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-1.752.254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36.134.793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33.292.817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27.125.000 </w:t>
            </w:r>
            <w:r>
              <w:rPr>
                <w:color w:val="000000" w:themeColor="text1"/>
              </w:rPr>
            </w:r>
            <w:r>
              <w:rPr>
                <w:color w:val="000000" w:themeColor="text1"/>
              </w:rPr>
            </w:r>
          </w:p>
        </w:tc>
      </w:tr>
      <w:tr>
        <w:trPr>
          <w:trHeight w:val="1428"/>
        </w:trPr>
        <w:tc>
          <w:tcPr>
            <w:shd w:val="clear" w:color="ffffff" w:fill="ffffff"/>
            <w:tcBorders>
              <w:left w:val="single" w:color="000000" w:sz="5" w:space="0"/>
              <w:bottom w:val="single" w:color="000000" w:sz="4" w:space="0"/>
              <w:right w:val="single" w:color="000000" w:sz="5" w:space="0"/>
            </w:tcBorders>
            <w:tcMar>
              <w:left w:w="15" w:type="dxa"/>
              <w:top w:w="15" w:type="dxa"/>
              <w:right w:w="15" w:type="dxa"/>
              <w:bottom w:w="0" w:type="dxa"/>
            </w:tcMar>
            <w:tcW w:w="621"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-4.014.977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32.119.816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33.292.817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27.125.000 </w:t>
            </w:r>
            <w:r>
              <w:rPr>
                <w:color w:val="000000" w:themeColor="text1"/>
              </w:rPr>
            </w:r>
            <w:r>
              <w:rPr>
                <w:color w:val="000000" w:themeColor="text1"/>
              </w:rPr>
            </w:r>
          </w:p>
        </w:tc>
      </w:tr>
      <w:tr>
        <w:trPr>
          <w:trHeight w:val="612"/>
        </w:trPr>
        <w:tc>
          <w:tcPr>
            <w:shd w:val="clear" w:color="ffffff" w:fill="ffffff"/>
            <w:tcBorders>
              <w:left w:val="single" w:color="000000" w:sz="5" w:space="0"/>
              <w:bottom w:val="single" w:color="000000" w:sz="4" w:space="0"/>
              <w:right w:val="single" w:color="000000" w:sz="5" w:space="0"/>
            </w:tcBorders>
            <w:tcMar>
              <w:left w:w="15" w:type="dxa"/>
              <w:top w:w="15" w:type="dxa"/>
              <w:right w:w="15" w:type="dxa"/>
              <w:bottom w:w="0" w:type="dxa"/>
            </w:tcMar>
            <w:tcW w:w="621"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Khoảng 2,5 ~ 2,8m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-6.022.465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-5.256.761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-4.068.750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26.097.350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28.036.056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23.056.250 </w:t>
            </w:r>
            <w:r>
              <w:rPr>
                <w:color w:val="000000" w:themeColor="text1"/>
              </w:rPr>
            </w:r>
            <w:r>
              <w:rPr>
                <w:color w:val="000000" w:themeColor="text1"/>
              </w:rPr>
            </w:r>
          </w:p>
        </w:tc>
      </w:tr>
      <w:tr>
        <w:trPr>
          <w:trHeight w:val="588"/>
        </w:trPr>
        <w:tc>
          <w:tcPr>
            <w:shd w:val="clear" w:color="ffffff" w:fill="ffffff"/>
            <w:tcBorders>
              <w:left w:val="single" w:color="000000" w:sz="5" w:space="0"/>
              <w:bottom w:val="single" w:color="000000" w:sz="4" w:space="0"/>
              <w:right w:val="single" w:color="000000" w:sz="5" w:space="0"/>
            </w:tcBorders>
            <w:tcMar>
              <w:left w:w="15" w:type="dxa"/>
              <w:top w:w="15" w:type="dxa"/>
              <w:right w:w="15" w:type="dxa"/>
              <w:bottom w:w="0" w:type="dxa"/>
            </w:tcMar>
            <w:tcW w:w="621"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86,80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71,00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72,00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46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-6.022.465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-5.256.761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-4.068.750 </w:t>
            </w:r>
            <w:r>
              <w:rPr>
                <w:color w:val="000000" w:themeColor="text1"/>
              </w:rPr>
            </w:r>
            <w:r>
              <w:rPr>
                <w:color w:val="000000" w:themeColor="text1"/>
              </w:rPr>
            </w:r>
          </w:p>
        </w:tc>
      </w:tr>
      <w:tr>
        <w:trPr>
          <w:trHeight w:val="92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20.074.885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22.779.296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18.987.500 </w:t>
            </w:r>
            <w:r>
              <w:rPr>
                <w:color w:val="000000" w:themeColor="text1"/>
              </w:rPr>
            </w:r>
            <w:r>
              <w:rPr>
                <w:color w:val="000000" w:themeColor="text1"/>
              </w:rPr>
            </w:r>
          </w:p>
        </w:tc>
      </w:tr>
      <w:tr>
        <w:trPr>
          <w:trHeight w:val="480"/>
        </w:trPr>
        <w:tc>
          <w:tcPr>
            <w:shd w:val="clear" w:color="ffffff" w:fill="ffffff"/>
            <w:tcBorders>
              <w:left w:val="single" w:color="000000" w:sz="5" w:space="0"/>
              <w:bottom w:val="single" w:color="000000" w:sz="4" w:space="0"/>
              <w:right w:val="single" w:color="000000" w:sz="5" w:space="0"/>
            </w:tcBorders>
            <w:tcMar>
              <w:left w:w="15" w:type="dxa"/>
              <w:top w:w="15" w:type="dxa"/>
              <w:right w:w="15" w:type="dxa"/>
              <w:bottom w:w="0" w:type="dxa"/>
            </w:tcMar>
            <w:tcW w:w="621"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12,1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4,1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4,1 </w:t>
            </w:r>
            <w:r>
              <w:rPr>
                <w:color w:val="000000" w:themeColor="text1"/>
              </w:rPr>
            </w:r>
            <w:r>
              <w:rPr>
                <w:color w:val="000000" w:themeColor="text1"/>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3.211.982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2.803.606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2.170.000 </w:t>
            </w:r>
            <w:r>
              <w:rPr>
                <w:color w:val="000000" w:themeColor="text1"/>
              </w:rPr>
            </w:r>
            <w:r>
              <w:rPr>
                <w:color w:val="000000" w:themeColor="text1"/>
              </w:rPr>
            </w:r>
          </w:p>
        </w:tc>
      </w:tr>
      <w:tr>
        <w:trPr>
          <w:trHeight w:val="64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23.286.866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25.582.901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21.157.500 </w:t>
            </w:r>
            <w:r>
              <w:rPr>
                <w:color w:val="000000" w:themeColor="text1"/>
              </w:rPr>
            </w:r>
            <w:r>
              <w:rPr>
                <w:color w:val="000000" w:themeColor="text1"/>
              </w:rPr>
            </w:r>
          </w:p>
        </w:tc>
      </w:tr>
      <w:tr>
        <w:trPr>
          <w:trHeight w:val="960"/>
        </w:trPr>
        <w:tc>
          <w:tcPr>
            <w:shd w:val="clear" w:color="ffffff" w:fill="ffffff"/>
            <w:tcBorders>
              <w:left w:val="single" w:color="000000" w:sz="5" w:space="0"/>
              <w:bottom w:val="single" w:color="000000" w:sz="4" w:space="0"/>
              <w:right w:val="single" w:color="000000" w:sz="5" w:space="0"/>
            </w:tcBorders>
            <w:tcMar>
              <w:left w:w="15" w:type="dxa"/>
              <w:top w:w="15" w:type="dxa"/>
              <w:right w:w="15" w:type="dxa"/>
              <w:bottom w:w="0" w:type="dxa"/>
            </w:tcMar>
            <w:tcW w:w="621"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góc 2 mặt đường, phố</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góc 2 mặt đường, phố</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2.007.488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1.356.250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25.294.355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25.582.901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22.513.750 </w:t>
            </w:r>
            <w:r>
              <w:rPr>
                <w:color w:val="000000" w:themeColor="text1"/>
              </w:rPr>
            </w:r>
            <w:r>
              <w:rPr>
                <w:color w:val="000000" w:themeColor="text1"/>
              </w:rPr>
            </w:r>
          </w:p>
        </w:tc>
      </w:tr>
      <w:tr>
        <w:trPr>
          <w:trHeight w:val="852"/>
        </w:trPr>
        <w:tc>
          <w:tcPr>
            <w:shd w:val="clear" w:color="ffffff" w:fill="ffffff"/>
            <w:tcBorders>
              <w:left w:val="single" w:color="000000" w:sz="5" w:space="0"/>
              <w:bottom w:val="single" w:color="000000" w:sz="4" w:space="0"/>
              <w:right w:val="single" w:color="000000" w:sz="5" w:space="0"/>
            </w:tcBorders>
            <w:tcMar>
              <w:left w:w="15" w:type="dxa"/>
              <w:top w:w="15" w:type="dxa"/>
              <w:right w:w="15" w:type="dxa"/>
              <w:bottom w:w="0" w:type="dxa"/>
            </w:tcMar>
            <w:tcW w:w="621"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-1.605.991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-1.401.803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-1.085.000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23.688.364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24.181.099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21.428.750 </w:t>
            </w:r>
            <w:r>
              <w:rPr>
                <w:color w:val="000000" w:themeColor="text1"/>
              </w:rPr>
            </w:r>
            <w:r>
              <w:rPr>
                <w:color w:val="000000" w:themeColor="text1"/>
              </w:rPr>
            </w:r>
          </w:p>
        </w:tc>
      </w:tr>
      <w:tr>
        <w:trPr>
          <w:trHeight w:val="936"/>
        </w:trPr>
        <w:tc>
          <w:tcPr>
            <w:shd w:val="clear" w:color="ffffff" w:fill="ffffff"/>
            <w:tcBorders>
              <w:left w:val="single" w:color="000000" w:sz="5" w:space="0"/>
              <w:bottom w:val="single" w:color="000000" w:sz="4" w:space="0"/>
              <w:right w:val="single" w:color="000000" w:sz="5" w:space="0"/>
            </w:tcBorders>
            <w:tcMar>
              <w:left w:w="15" w:type="dxa"/>
              <w:top w:w="15" w:type="dxa"/>
              <w:right w:w="15" w:type="dxa"/>
              <w:bottom w:w="0" w:type="dxa"/>
            </w:tcMar>
            <w:tcW w:w="621"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môi trường an ninh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2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0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23.688.364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24.181.099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21.428.750 </w:t>
            </w:r>
            <w:r>
              <w:rPr>
                <w:color w:val="000000" w:themeColor="text1"/>
              </w:rPr>
            </w:r>
            <w:r>
              <w:rPr>
                <w:color w:val="000000" w:themeColor="text1"/>
              </w:rPr>
            </w:r>
          </w:p>
        </w:tc>
      </w:tr>
      <w:tr>
        <w:trPr>
          <w:trHeight w:val="432"/>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23.688.364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24.181.099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21.428.750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15" w:type="dxa"/>
              <w:top w:w="15" w:type="dxa"/>
              <w:right w:w="15" w:type="dxa"/>
              <w:bottom w:w="0" w:type="dxa"/>
            </w:tcMar>
            <w:tcW w:w="625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23.099.404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15" w:type="dxa"/>
              <w:top w:w="15" w:type="dxa"/>
              <w:right w:w="15" w:type="dxa"/>
              <w:bottom w:w="0" w:type="dxa"/>
            </w:tcMar>
            <w:tcW w:w="625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23.000.000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w:t>
            </w:r>
            <w:r>
              <w:rPr>
                <w:color w:val="000000" w:themeColor="text1"/>
              </w:rPr>
            </w:r>
            <w:r>
              <w:rPr>
                <w:color w:val="000000" w:themeColor="text1"/>
              </w:rPr>
            </w:r>
          </w:p>
        </w:tc>
      </w:tr>
      <w:tr>
        <w:trPr>
          <w:trHeight w:val="396"/>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5" w:space="0"/>
              <w:bottom w:val="single" w:color="000000" w:sz="5" w:space="0"/>
              <w:right w:val="single" w:color="000000" w:sz="4" w:space="0"/>
            </w:tcBorders>
            <w:tcMar>
              <w:left w:w="15" w:type="dxa"/>
              <w:top w:w="15" w:type="dxa"/>
              <w:right w:w="15" w:type="dxa"/>
              <w:bottom w:w="0" w:type="dxa"/>
            </w:tcMar>
            <w:tcW w:w="893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26.900.346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16.471.183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12.748.750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6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04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(16.461.406)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(10.863.972)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56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(5.696.250)</w:t>
            </w:r>
            <w:r>
              <w:rPr>
                <w:color w:val="000000" w:themeColor="text1"/>
              </w:rPr>
            </w:r>
            <w:r>
              <w:rPr>
                <w:color w:val="000000" w:themeColor="text1"/>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-7,2% đến 4,7%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after="120" w:before="120" w:line="276" w:lineRule="auto"/>
        <w:ind/>
        <w:rPr>
          <w:b/>
          <w:bCs/>
          <w:i/>
          <w:highlight w:val="none"/>
          <w:u w:val="single"/>
        </w:rPr>
      </w:pPr>
      <w:r>
        <w:rPr>
          <w:b/>
          <w:bCs/>
          <w:i/>
          <w:highlight w:val="none"/>
          <w:u w:val="single"/>
        </w:rPr>
      </w:r>
      <w:r>
        <w:rPr>
          <w:b/>
          <w:bCs/>
          <w:i/>
          <w:highlight w:val="none"/>
          <w:u w:val="single"/>
        </w:rPr>
      </w:r>
      <w:r>
        <w:rPr>
          <w:b/>
          <w:bCs/>
          <w:i/>
          <w:highlight w:val="none"/>
          <w:u w:val="single"/>
        </w:rPr>
      </w:r>
    </w:p>
    <w:p>
      <w:pPr>
        <w:pBdr/>
        <w:spacing w:after="120" w:before="120" w:line="276" w:lineRule="auto"/>
        <w:ind/>
        <w:rPr>
          <w:b/>
          <w:bCs/>
          <w:i/>
          <w:highlight w:val="none"/>
          <w:u w:val="single"/>
        </w:rPr>
      </w:pPr>
      <w:r>
        <w:rPr>
          <w:b/>
          <w:bCs/>
          <w:i/>
          <w:highlight w:val="none"/>
          <w:u w:val="single"/>
        </w:rPr>
      </w:r>
      <w:r>
        <w:rPr>
          <w:b/>
          <w:bCs/>
          <w:i/>
          <w:highlight w:val="none"/>
          <w:u w:val="single"/>
        </w:rPr>
      </w:r>
      <w:r>
        <w:rPr>
          <w:b/>
          <w:bCs/>
          <w:i/>
          <w:highlight w:val="none"/>
          <w:u w:val="single"/>
        </w:rPr>
      </w:r>
    </w:p>
    <w:p>
      <w:pPr>
        <w:pBdr/>
        <w:spacing w:after="120" w:before="120" w:line="276" w:lineRule="auto"/>
        <w:ind/>
        <w:rPr>
          <w:b/>
          <w:bCs/>
          <w:i/>
          <w:highlight w:val="none"/>
          <w:u w:val="single"/>
        </w:rPr>
      </w:pPr>
      <w:r>
        <w:rPr>
          <w:b/>
          <w:bCs/>
          <w:i/>
          <w:highlight w:val="none"/>
          <w:u w:val="single"/>
        </w:rPr>
      </w:r>
      <w:r>
        <w:rPr>
          <w:b/>
          <w:bCs/>
          <w:i/>
          <w:highlight w:val="none"/>
          <w:u w:val="single"/>
        </w:rPr>
      </w:r>
      <w:r>
        <w:rPr>
          <w:b/>
          <w:bCs/>
          <w:i/>
          <w:highlight w:val="none"/>
          <w:u w:val="single"/>
        </w:rPr>
      </w:r>
    </w:p>
    <w:p>
      <w:pPr>
        <w:pBdr/>
        <w:spacing w:after="120" w:before="120" w:line="276" w:lineRule="auto"/>
        <w:ind/>
        <w:rPr>
          <w:b/>
          <w:bCs/>
          <w:i/>
          <w:highlight w:val="none"/>
          <w:u w:val="single"/>
        </w:rPr>
      </w:pPr>
      <w:r>
        <w:rPr>
          <w:b/>
          <w:bCs/>
          <w:i/>
          <w:iCs/>
          <w:highlight w:val="none"/>
          <w:u w:val="single"/>
        </w:rPr>
      </w:r>
      <w:r>
        <w:rPr>
          <w:b/>
          <w:bCs/>
          <w:i/>
          <w:highlight w:val="none"/>
          <w:u w:val="single"/>
        </w:rPr>
      </w:r>
      <w:r>
        <w:rPr>
          <w:b/>
          <w:bCs/>
          <w:i/>
          <w:highlight w:val="none"/>
          <w:u w:val="single"/>
        </w:rPr>
      </w:r>
    </w:p>
    <w:tbl>
      <w:tblPr>
        <w:tblW w:w="5000" w:type="pct"/>
        <w:tblBorders/>
        <w:tblLayout w:type="fixed"/>
        <w:tblLook w:val="04A0" w:firstRow="1" w:lastRow="0" w:firstColumn="1" w:lastColumn="0" w:noHBand="0" w:noVBand="1"/>
      </w:tblPr>
      <w:tblGrid>
        <w:gridCol w:w="927"/>
        <w:gridCol w:w="2115"/>
        <w:gridCol w:w="2291"/>
        <w:gridCol w:w="1606"/>
        <w:gridCol w:w="2802"/>
      </w:tblGrid>
      <w:tr>
        <w:trPr>
          <w:trHeight w:val="936"/>
        </w:trPr>
        <w:tc>
          <w:tcPr>
            <w:tcBorders>
              <w:top w:val="single" w:color="auto" w:sz="4" w:space="0"/>
              <w:left w:val="single" w:color="auto" w:sz="4" w:space="0"/>
              <w:bottom w:val="single" w:color="auto" w:sz="4" w:space="0"/>
              <w:right w:val="single" w:color="auto" w:sz="4" w:space="0"/>
            </w:tcBorders>
            <w:tcW w:w="92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211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229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60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28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92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115"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291"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23.688.364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60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8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7.896.121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92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115"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291"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24.181.099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60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8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8.060.366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92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115"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291"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21.428.750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60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8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7.142.917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69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8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23.099.404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69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28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23.000.000 </w:t>
            </w:r>
            <w:r>
              <w:rPr>
                <w:color w:val="000000" w:themeColor="text1"/>
              </w:rPr>
            </w:r>
            <w:r>
              <w:rPr>
                <w:color w:val="000000" w:themeColor="text1"/>
              </w:rPr>
            </w:r>
          </w:p>
        </w:tc>
      </w:tr>
    </w:tbl>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23.000.000</w:t>
      </w:r>
      <w:r>
        <w:rPr>
          <w:b/>
          <w:bCs/>
          <w:color w:val="000000" w:themeColor="text1"/>
        </w:rPr>
        <w:t xml:space="preserve"> </w:t>
      </w:r>
      <w:r>
        <w:rPr>
          <w:b/>
          <w:bCs/>
        </w:rPr>
        <w:t xml:space="preserve">đồng/m².</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2.</w:t>
      </w:r>
      <w:r>
        <w:rPr>
          <w:rFonts w:ascii="Times New Roman" w:hAnsi="Times New Roman" w:eastAsia="Times New Roman" w:cs="Times New Roman"/>
          <w:b/>
          <w:bCs/>
          <w:color w:val="000000"/>
          <w:sz w:val="24"/>
        </w:rPr>
        <w:t xml:space="preserve">Xác định đơn giá quyền sử dụng đất theo Giấy chứng nhận số: CH 377829</w:t>
      </w:r>
      <w:r>
        <w:rPr>
          <w:b/>
          <w:bCs/>
        </w:rPr>
      </w:r>
      <w:r>
        <w:rPr>
          <w:b/>
          <w:bCs/>
        </w:rPr>
      </w:r>
    </w:p>
    <w:p>
      <w:pPr>
        <w:pBdr>
          <w:top w:val="none" w:color="000000" w:sz="4" w:space="0"/>
          <w:left w:val="none" w:color="000000" w:sz="4" w:space="0"/>
          <w:bottom w:val="none" w:color="000000" w:sz="4" w:space="0"/>
          <w:right w:val="none" w:color="000000" w:sz="4" w:space="0"/>
        </w:pBdr>
        <w:spacing w:after="120" w:before="120" w:line="300" w:lineRule="auto"/>
        <w:ind w:right="28"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t xml:space="preserve">Các tài sản thẩm định giá có yếu tố hình dáng, diện tích, số lượng mặt tiếp giáp khác so với tài sản thẩm định theo Giấy chứng nhận số: CH 377828, nhưng lại cùng thuộc một vị trí có các đặc điểm khác tương đồng. Do đó, Tổ thẩm định điểu chính các yếu tố kh</w:t>
      </w:r>
      <w:r>
        <w:rPr>
          <w:rFonts w:ascii="Times New Roman" w:hAnsi="Times New Roman" w:eastAsia="Times New Roman" w:cs="Times New Roman"/>
          <w:color w:val="000000"/>
          <w:sz w:val="24"/>
        </w:rPr>
        <w:t xml:space="preserve">ác biệt theo hệ số để xác định đơn giá quyền sử dụng đất của các tài sản. Cụ thể như sau:</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003"/>
        <w:gridCol w:w="1669"/>
        <w:gridCol w:w="2334"/>
        <w:gridCol w:w="2131"/>
        <w:gridCol w:w="2060"/>
      </w:tblGrid>
      <w:tr>
        <w:trPr>
          <w:trHeight w:val="1572"/>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100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STT</w:t>
            </w:r>
            <w:r>
              <w:rPr>
                <w:b/>
                <w:bCs/>
              </w:rPr>
            </w:r>
            <w:r>
              <w:rPr>
                <w:b/>
                <w:bCs/>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1669"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Nội dung</w:t>
            </w:r>
            <w:r>
              <w:rPr>
                <w:b/>
                <w:bCs/>
              </w:rPr>
            </w:r>
            <w:r>
              <w:rPr>
                <w:b/>
                <w:bCs/>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2334"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Thửa đất số 322, tờ bản đồ số 12</w:t>
            </w:r>
            <w:r>
              <w:rPr>
                <w:b/>
                <w:bCs/>
              </w:rPr>
            </w:r>
            <w:r>
              <w:rPr>
                <w:b/>
                <w:bCs/>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2131"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Thửa đất số 323, tờ bản đồ số 13</w:t>
            </w:r>
            <w:r>
              <w:rPr>
                <w:b/>
                <w:bCs/>
              </w:rPr>
            </w:r>
            <w:r>
              <w:rPr>
                <w:b/>
                <w:bCs/>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2060"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Tỷ lệ điều chỉnh</w:t>
            </w:r>
            <w:r>
              <w:rPr>
                <w:b/>
                <w:bCs/>
              </w:rPr>
            </w:r>
            <w:r>
              <w:rPr>
                <w:b/>
                <w:bCs/>
              </w:rPr>
            </w:r>
          </w:p>
        </w:tc>
      </w:tr>
      <w:tr>
        <w:trPr>
          <w:trHeight w:val="324"/>
        </w:trPr>
        <w:tc>
          <w:tcPr>
            <w:tcBorders>
              <w:left w:val="single" w:color="000000" w:sz="5" w:space="0"/>
              <w:bottom w:val="single" w:color="000000" w:sz="5" w:space="0"/>
              <w:right w:val="single" w:color="000000" w:sz="5" w:space="0"/>
            </w:tcBorders>
            <w:tcMar>
              <w:left w:w="15" w:type="dxa"/>
              <w:top w:w="15" w:type="dxa"/>
              <w:right w:w="15" w:type="dxa"/>
              <w:bottom w:w="0" w:type="dxa"/>
            </w:tcMar>
            <w:tcW w:w="100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1</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1669"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Diện tích (m2)</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334"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265</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131"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159</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060"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5%</w:t>
            </w:r>
            <w:r>
              <w:rPr>
                <w:b/>
                <w:bCs/>
              </w:rPr>
            </w:r>
            <w:r>
              <w:rPr>
                <w:b/>
                <w:bCs/>
              </w:rPr>
            </w:r>
          </w:p>
        </w:tc>
      </w:tr>
      <w:tr>
        <w:trPr>
          <w:trHeight w:val="324"/>
        </w:trPr>
        <w:tc>
          <w:tcPr>
            <w:tcBorders>
              <w:left w:val="single" w:color="000000" w:sz="5" w:space="0"/>
              <w:bottom w:val="single" w:color="000000" w:sz="5" w:space="0"/>
              <w:right w:val="single" w:color="000000" w:sz="5" w:space="0"/>
            </w:tcBorders>
            <w:tcMar>
              <w:left w:w="15" w:type="dxa"/>
              <w:top w:w="15" w:type="dxa"/>
              <w:right w:w="15" w:type="dxa"/>
              <w:bottom w:w="0" w:type="dxa"/>
            </w:tcMar>
            <w:tcW w:w="100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2</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1669"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Hình dáng</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334"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Tương đối vuông vức</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131"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Đa giác - Thóp hậu</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060"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-15%</w:t>
            </w:r>
            <w:r>
              <w:rPr>
                <w:b/>
                <w:bCs/>
              </w:rPr>
            </w:r>
            <w:r>
              <w:rPr>
                <w:b/>
                <w:bCs/>
              </w:rPr>
            </w:r>
          </w:p>
        </w:tc>
      </w:tr>
      <w:tr>
        <w:trPr>
          <w:trHeight w:val="324"/>
        </w:trPr>
        <w:tc>
          <w:tcPr>
            <w:tcBorders>
              <w:left w:val="single" w:color="000000" w:sz="5" w:space="0"/>
              <w:bottom w:val="single" w:color="000000" w:sz="5" w:space="0"/>
              <w:right w:val="single" w:color="000000" w:sz="5" w:space="0"/>
            </w:tcBorders>
            <w:tcMar>
              <w:left w:w="15" w:type="dxa"/>
              <w:top w:w="15" w:type="dxa"/>
              <w:right w:w="15" w:type="dxa"/>
              <w:bottom w:w="0" w:type="dxa"/>
            </w:tcMar>
            <w:tcW w:w="100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3</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1669"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Số mặt tiếp giáp</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334"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02 mặt tiền</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131"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01 mặt</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060"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-5%</w:t>
            </w:r>
            <w:r>
              <w:rPr>
                <w:b/>
                <w:bCs/>
              </w:rPr>
            </w:r>
            <w:r>
              <w:rPr>
                <w:b/>
                <w:bCs/>
              </w:rPr>
            </w:r>
          </w:p>
        </w:tc>
      </w:tr>
      <w:tr>
        <w:trPr>
          <w:trHeight w:val="324"/>
        </w:trPr>
        <w:tc>
          <w:tcPr>
            <w:tcBorders>
              <w:left w:val="single" w:color="000000" w:sz="5" w:space="0"/>
              <w:bottom w:val="single" w:color="000000" w:sz="5" w:space="0"/>
              <w:right w:val="single" w:color="000000" w:sz="5" w:space="0"/>
            </w:tcBorders>
            <w:tcMar>
              <w:left w:w="15" w:type="dxa"/>
              <w:top w:w="15" w:type="dxa"/>
              <w:right w:w="15" w:type="dxa"/>
              <w:bottom w:w="0" w:type="dxa"/>
            </w:tcMar>
            <w:tcW w:w="100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4</w:t>
            </w:r>
            <w:r>
              <w:rPr>
                <w:b/>
                <w:bCs/>
              </w:rPr>
            </w:r>
            <w:r>
              <w:rPr>
                <w:b/>
                <w:bCs/>
              </w:rPr>
            </w:r>
          </w:p>
        </w:tc>
        <w:tc>
          <w:tcPr>
            <w:gridSpan w:val="3"/>
            <w:tcBorders>
              <w:top w:val="single" w:color="000000" w:sz="5" w:space="0"/>
              <w:bottom w:val="single" w:color="000000" w:sz="5" w:space="0"/>
              <w:right w:val="single" w:color="000000" w:sz="8" w:space="0"/>
            </w:tcBorders>
            <w:tcMar>
              <w:left w:w="15" w:type="dxa"/>
              <w:top w:w="15" w:type="dxa"/>
              <w:right w:w="15" w:type="dxa"/>
              <w:bottom w:w="0" w:type="dxa"/>
            </w:tcMar>
            <w:tcW w:w="6135"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Tổng tỷ lệ điều chỉnh (%):</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060"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-15%</w:t>
            </w:r>
            <w:r>
              <w:rPr>
                <w:b/>
                <w:bCs/>
              </w:rPr>
            </w:r>
            <w:r>
              <w:rPr>
                <w:b/>
                <w:bCs/>
              </w:rPr>
            </w:r>
          </w:p>
        </w:tc>
      </w:tr>
      <w:tr>
        <w:trPr>
          <w:trHeight w:val="324"/>
        </w:trPr>
        <w:tc>
          <w:tcPr>
            <w:tcBorders>
              <w:left w:val="single" w:color="000000" w:sz="5" w:space="0"/>
              <w:bottom w:val="single" w:color="000000" w:sz="5" w:space="0"/>
              <w:right w:val="single" w:color="000000" w:sz="5" w:space="0"/>
            </w:tcBorders>
            <w:tcMar>
              <w:left w:w="15" w:type="dxa"/>
              <w:top w:w="15" w:type="dxa"/>
              <w:right w:w="15" w:type="dxa"/>
              <w:bottom w:w="0" w:type="dxa"/>
            </w:tcMar>
            <w:tcW w:w="100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5</w:t>
            </w:r>
            <w:r>
              <w:rPr>
                <w:b/>
                <w:bCs/>
              </w:rPr>
            </w:r>
            <w:r>
              <w:rPr>
                <w:b/>
                <w:bCs/>
              </w:rPr>
            </w:r>
          </w:p>
        </w:tc>
        <w:tc>
          <w:tcPr>
            <w:gridSpan w:val="3"/>
            <w:tcBorders>
              <w:top w:val="single" w:color="000000" w:sz="5" w:space="0"/>
              <w:bottom w:val="single" w:color="000000" w:sz="5" w:space="0"/>
              <w:right w:val="single" w:color="000000" w:sz="8" w:space="0"/>
            </w:tcBorders>
            <w:tcMar>
              <w:left w:w="15" w:type="dxa"/>
              <w:top w:w="15" w:type="dxa"/>
              <w:right w:w="15" w:type="dxa"/>
              <w:bottom w:w="0" w:type="dxa"/>
            </w:tcMar>
            <w:tcW w:w="6135"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Đơn giá tham chiếu (đồng/m2):</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060"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23.000.000</w:t>
            </w:r>
            <w:r>
              <w:rPr>
                <w:b/>
                <w:bCs/>
              </w:rPr>
            </w:r>
            <w:r>
              <w:rPr>
                <w:b/>
                <w:bCs/>
              </w:rPr>
            </w:r>
          </w:p>
        </w:tc>
      </w:tr>
      <w:tr>
        <w:trPr>
          <w:trHeight w:val="936"/>
        </w:trPr>
        <w:tc>
          <w:tcPr>
            <w:tcBorders>
              <w:left w:val="single" w:color="000000" w:sz="5" w:space="0"/>
              <w:bottom w:val="single" w:color="000000" w:sz="5" w:space="0"/>
              <w:right w:val="single" w:color="000000" w:sz="5" w:space="0"/>
            </w:tcBorders>
            <w:tcMar>
              <w:left w:w="15" w:type="dxa"/>
              <w:top w:w="15" w:type="dxa"/>
              <w:right w:w="15" w:type="dxa"/>
              <w:bottom w:w="0" w:type="dxa"/>
            </w:tcMar>
            <w:tcW w:w="100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6</w:t>
            </w:r>
            <w:r>
              <w:rPr>
                <w:b/>
                <w:bCs/>
              </w:rPr>
            </w:r>
            <w:r>
              <w:rPr>
                <w:b/>
                <w:bCs/>
              </w:rPr>
            </w:r>
          </w:p>
        </w:tc>
        <w:tc>
          <w:tcPr>
            <w:gridSpan w:val="3"/>
            <w:tcBorders>
              <w:top w:val="single" w:color="000000" w:sz="5" w:space="0"/>
              <w:bottom w:val="single" w:color="000000" w:sz="5" w:space="0"/>
              <w:right w:val="single" w:color="000000" w:sz="8" w:space="0"/>
            </w:tcBorders>
            <w:tcMar>
              <w:left w:w="15" w:type="dxa"/>
              <w:top w:w="15" w:type="dxa"/>
              <w:right w:w="15" w:type="dxa"/>
              <w:bottom w:w="0" w:type="dxa"/>
            </w:tcMar>
            <w:tcW w:w="6135"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      Đơn giá tài sản thẩm định sau khi điều chỉnh (đồng/m2)           (6) = (5)*(100% + (4))</w:t>
            </w:r>
            <w:r>
              <w:rPr>
                <w:b/>
                <w:bCs/>
              </w:rPr>
            </w:r>
            <w:r>
              <w:rPr>
                <w:b/>
                <w:bCs/>
              </w:rPr>
            </w:r>
          </w:p>
        </w:tc>
        <w:tc>
          <w:tcPr>
            <w:tcBorders>
              <w:bottom w:val="single" w:color="000000" w:sz="5" w:space="0"/>
              <w:right w:val="single" w:color="000000" w:sz="5" w:space="0"/>
            </w:tcBorders>
            <w:tcMar>
              <w:left w:w="15" w:type="dxa"/>
              <w:top w:w="15" w:type="dxa"/>
              <w:right w:w="15" w:type="dxa"/>
              <w:bottom w:w="0" w:type="dxa"/>
            </w:tcMar>
            <w:tcW w:w="2060"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19.550.000</w:t>
            </w:r>
            <w:r>
              <w:rPr>
                <w:b/>
                <w:bCs/>
              </w:rPr>
            </w:r>
            <w:r>
              <w:rPr>
                <w:b/>
                <w:bCs/>
              </w:rPr>
            </w:r>
          </w:p>
        </w:tc>
      </w:tr>
    </w:tbl>
    <w:p>
      <w:pPr>
        <w:pStyle w:val="1037"/>
        <w:pBdr/>
        <w:spacing w:after="120" w:before="120" w:line="276" w:lineRule="auto"/>
        <w:ind w:left="357"/>
        <w:jc w:val="both"/>
        <w:rPr>
          <w:b/>
          <w:bCs/>
        </w:rPr>
      </w:pPr>
      <w:r>
        <w:rPr>
          <w:b/>
          <w:bCs/>
        </w:rPr>
      </w:r>
      <w:r>
        <w:rPr>
          <w:b/>
          <w:bCs/>
        </w:rPr>
      </w:r>
      <w:r>
        <w:rPr>
          <w:b/>
          <w:bCs/>
        </w:rPr>
      </w:r>
    </w:p>
    <w:p>
      <w:pPr>
        <w:pBdr/>
        <w:spacing w:after="120" w:before="120" w:line="276" w:lineRule="auto"/>
        <w:ind w:firstLine="0" w:left="360"/>
        <w:jc w:val="both"/>
        <w:rPr>
          <w:b/>
          <w:lang w:val="pt-BR"/>
        </w:rPr>
      </w:pPr>
      <w:r>
        <w:rPr>
          <w:b/>
          <w:lang w:val="pt-BR"/>
        </w:rPr>
        <w:t xml:space="preserve">3.Kết quả thẩm định giá:</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05/2026</w:t>
      </w:r>
      <w:r>
        <w:t xml:space="preserve"> </w:t>
      </w:r>
      <w:r>
        <w:t xml:space="preserve">ước tính </w:t>
      </w:r>
      <w:r>
        <w:t xml:space="preserve">như sau</w:t>
      </w:r>
      <w:r>
        <w:t xml:space="preserve">:</w:t>
      </w:r>
      <w:r/>
    </w:p>
    <w:tbl>
      <w:tblPr>
        <w:tblStyle w:val="104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172"/>
        <w:gridCol w:w="52595"/>
        <w:gridCol w:w="27424"/>
        <w:gridCol w:w="29606"/>
        <w:gridCol w:w="3053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52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w:t>
              <w:br/>
              <w:t xml:space="preserve">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w:t>
              <w:br/>
              <w:t xml:space="preserve">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w:t>
              <w:br/>
              <w:t xml:space="preserve">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9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332, tờ bản đồ số 12 có địa chỉ: Tổ dân phố Sài Phi, phường Minh Đức, thị xã Mỹ Hào, tỉnh Hưng Yên (Nay là Phường Thượng Hồng, tỉnh Hưng Yên) theo Giấy chứng nhận quyền sử dụng đất quyền sở hữu nhà ở và tài sản khác gắn l</w:t>
            </w:r>
            <w:r>
              <w:rPr>
                <w:rFonts w:ascii="Times New Roman" w:hAnsi="Times New Roman" w:eastAsia="Times New Roman" w:cs="Times New Roman"/>
                <w:b/>
                <w:color w:val="000000"/>
                <w:sz w:val="24"/>
              </w:rPr>
              <w:t xml:space="preserve">iền với đất số: CH 377828, số vào sổ cấp GCN: CH-00504 do UBND thị xã Mỹ Hào cấp ngày 26/11/2019; Chủ sử dụng đất là Ông Nguyễn Văn Hội và Bà Trần Thị Quỳnh.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2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2742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6.095.000.000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9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333, tờ bản đồ số: 12 có địa chỉ: Tổ dân phố Sài Phi, phường Minh Đức, thị xã Mỹ Hào, tỉnh Hưng Yên (Nay là Phường Thượng Hồng, tỉnh Hưng Yên) theo Giấy chứng nhận quyền sử dụng đất, quyền sở hữu nhà ở và tài sản khác gắn</w:t>
            </w:r>
            <w:r>
              <w:rPr>
                <w:rFonts w:ascii="Times New Roman" w:hAnsi="Times New Roman" w:eastAsia="Times New Roman" w:cs="Times New Roman"/>
                <w:b/>
                <w:color w:val="000000"/>
                <w:sz w:val="24"/>
              </w:rPr>
              <w:t xml:space="preserve"> liền với đất số: CH 377829 , số vào sổ cấp GCN: CH-00505  do UBND thị xã Mỹ Hào cấp ngày 26/11/2019; Chủ sử dụng đất là Ông Nguyễn Văn Hội và Bà Trần Thị Quỳnh.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2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2742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19.550.000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3.108.450.000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779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9.203.450.000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779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0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9.203.000.000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3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Chín tỷ, hai trăm linh ba triệu đồng chẵn./.)</w:t>
            </w:r>
            <w:r/>
          </w:p>
        </w:tc>
      </w:tr>
    </w:tbl>
    <w:p>
      <w:pPr>
        <w:pStyle w:val="1037"/>
        <w:pBdr/>
        <w:tabs>
          <w:tab w:val="left" w:leader="none" w:pos="993"/>
        </w:tabs>
        <w:spacing w:after="120" w:before="120" w:line="276" w:lineRule="auto"/>
        <w:ind w:left="0"/>
        <w:jc w:val="both"/>
        <w:rPr/>
      </w:pPr>
      <w:r/>
      <w:r/>
    </w:p>
    <w:p>
      <w:pPr>
        <w:pStyle w:val="1037"/>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7"/>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khảo sát, trên đất có nhà 2 tầng, mái bằng, xây gộp trên 02 thửa đất là thửa đất số 332; thửa đất số 333, có diện tích xây dựng là 87m2; tổng diện tích sàn xây dựng khoảng 174m2. Công trình thực tế chưa được chứng nhận trên GCN QSDĐ số: CH 37</w:t>
      </w:r>
      <w:r>
        <w:rPr>
          <w:rFonts w:ascii="Times New Roman" w:hAnsi="Times New Roman" w:eastAsia="Times New Roman" w:cs="Times New Roman"/>
          <w:color w:val="000000"/>
          <w:sz w:val="24"/>
        </w:rPr>
        <w:t xml:space="preserve">7828 và CH 377829. Do vậy, được sự đồng ý của Ngân hàng/ khách hàng, Tổ thẩm định không xác định giá trị của công trình xây dựng vào tổng giá trị tài sản.</w:t>
      </w:r>
      <w:r/>
    </w:p>
    <w:p>
      <w:pPr>
        <w:pStyle w:val="1037"/>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00000"/>
          <w:spacing w:val="3"/>
          <w:sz w:val="24"/>
          <w:highlight w:val="white"/>
        </w:rPr>
        <w:t xml:space="preserve">275/2026/0733/VFI-CT.53.A/4543214</w:t>
      </w:r>
      <w:r>
        <w:rPr>
          <w:color w:val="000000" w:themeColor="text1"/>
        </w:rPr>
        <w:t xml:space="preserve"> </w:t>
      </w:r>
      <w:r>
        <w:rPr>
          <w:lang w:val="vi-VN"/>
        </w:rPr>
        <w:t xml:space="preserve">ngày </w:t>
      </w:r>
      <w:r>
        <w:rPr>
          <w:color w:val="000000" w:themeColor="text1"/>
        </w:rPr>
        <w:t xml:space="preserve">ngày 15 tháng 5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top w:val="none" w:color="000000" w:sz="4" w:space="0"/>
          <w:left w:val="none" w:color="000000" w:sz="4" w:space="0"/>
          <w:bottom w:val="none" w:color="000000" w:sz="4" w:space="0"/>
          <w:right w:val="none" w:color="000000" w:sz="4" w:space="0"/>
        </w:pBdr>
        <w:spacing w:after="60"/>
        <w:ind w:right="0" w:firstLine="0" w:left="0"/>
        <w:jc w:val="both"/>
        <w:rPr/>
      </w:pPr>
      <w:r>
        <w:rPr>
          <w:i/>
          <w:lang w:val="pt-BR"/>
        </w:rPr>
        <w:t xml:space="preserve">(Kèm theo Báo cáo thẩm định số</w:t>
      </w:r>
      <w:r>
        <w:rPr>
          <w:i/>
          <w:lang w:val="pt-BR"/>
        </w:rPr>
        <w:t xml:space="preserve"> </w:t>
      </w:r>
      <w:r>
        <w:rPr>
          <w:rFonts w:ascii="Times New Roman" w:hAnsi="Times New Roman" w:eastAsia="Times New Roman" w:cs="Times New Roman"/>
          <w:color w:val="000000" w:themeColor="text1"/>
          <w:spacing w:val="3"/>
          <w:sz w:val="24"/>
          <w:szCs w:val="24"/>
          <w:highlight w:val="white"/>
        </w:rPr>
        <w:t xml:space="preserve">275/2026/0733/VFI-BC.53.A</w:t>
      </w:r>
      <w:r>
        <w:rPr>
          <w:rFonts w:ascii="Times New Roman" w:hAnsi="Times New Roman" w:eastAsia="Times New Roman" w:cs="Times New Roman"/>
          <w:color w:val="000000"/>
          <w:spacing w:val="3"/>
          <w:sz w:val="24"/>
          <w:highlight w:val="white"/>
        </w:rPr>
        <w:t xml:space="preserve">/4543214</w:t>
      </w:r>
      <w:r>
        <w:rPr>
          <w:rFonts w:ascii="Times New Roman" w:hAnsi="Times New Roman" w:eastAsia="Times New Roman" w:cs="Times New Roman"/>
          <w:i/>
          <w:color w:val="000000" w:themeColor="text1"/>
          <w:sz w:val="24"/>
          <w:szCs w:val="24"/>
        </w:rPr>
        <w:t xml:space="preserve"> </w:t>
      </w:r>
      <w:r>
        <w:rPr>
          <w:rFonts w:ascii="Times New Roman" w:hAnsi="Times New Roman" w:eastAsia="Times New Roman" w:cs="Times New Roman"/>
          <w:i/>
          <w:color w:val="000000" w:themeColor="text1"/>
          <w:sz w:val="24"/>
          <w:szCs w:val="24"/>
          <w:lang w:val="pt-BR"/>
        </w:rPr>
        <w:t xml:space="preserve">n</w:t>
      </w:r>
      <w:r>
        <w:rPr>
          <w:i/>
          <w:lang w:val="pt-BR"/>
        </w:rPr>
        <w:t xml:space="preserve">gày </w:t>
      </w:r>
      <w:r>
        <w:rPr>
          <w:i/>
          <w:lang w:val="pt-BR"/>
        </w:rPr>
        <w:t xml:space="preserve">15 tháng 5 năm 2026</w:t>
      </w:r>
      <w:r>
        <w:rPr>
          <w:i/>
          <w:lang w:val="pt-BR"/>
        </w:rPr>
        <w:t xml:space="preserve"> </w:t>
      </w:r>
      <w:r>
        <w:rPr>
          <w:i/>
          <w:lang w:val="pt-BR"/>
        </w:rPr>
        <w:t xml:space="preserve">của </w:t>
      </w:r>
      <w:r>
        <w:rPr>
          <w:i/>
          <w:lang w:val="pt-BR"/>
        </w:rPr>
        <w:t xml:space="preserve">Công ty Cổ phần Thẩm định và Đầu tư Tài chính Hoa Sen)</w:t>
      </w:r>
      <w:r>
        <w:rPr>
          <w:rFonts w:ascii="Times New Roman" w:hAnsi="Times New Roman" w:eastAsia="Times New Roman" w:cs="Times New Roman"/>
          <w:sz w:val="20"/>
        </w:rPr>
      </w: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42570" cy="176769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74535" name=""/>
                              <pic:cNvPicPr>
                                <a:picLocks noChangeAspect="1"/>
                              </pic:cNvPicPr>
                              <pic:nvPr/>
                            </pic:nvPicPr>
                            <pic:blipFill rotWithShape="1">
                              <a:blip r:embed="rId19"/>
                              <a:stretch/>
                            </pic:blipFill>
                            <pic:spPr bwMode="auto">
                              <a:xfrm flipH="0" flipV="0">
                                <a:off x="0" y="0"/>
                                <a:ext cx="3142569" cy="17676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7.45pt;height:139.19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6576" cy="158432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01278" name=""/>
                              <pic:cNvPicPr>
                                <a:picLocks noChangeAspect="1"/>
                              </pic:cNvPicPr>
                              <pic:nvPr/>
                            </pic:nvPicPr>
                            <pic:blipFill rotWithShape="1">
                              <a:blip r:embed="rId20"/>
                              <a:stretch/>
                            </pic:blipFill>
                            <pic:spPr bwMode="auto">
                              <a:xfrm flipH="0" flipV="0">
                                <a:off x="0" y="0"/>
                                <a:ext cx="2816576" cy="1584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78pt;height:124.75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left"/>
              <w:rPr>
                <w:b/>
                <w:bCs/>
                <w:i/>
                <w:lang w:val="pt-BR"/>
              </w:rPr>
            </w:pPr>
            <w:r>
              <w:rPr>
                <w:b/>
                <w:bCs/>
                <w:i/>
                <w:lang w:val="pt-BR"/>
              </w:rPr>
              <w:t xml:space="preserve">                 Đường trước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67415" cy="183792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17444" name=""/>
                              <pic:cNvPicPr>
                                <a:picLocks noChangeAspect="1"/>
                              </pic:cNvPicPr>
                              <pic:nvPr/>
                            </pic:nvPicPr>
                            <pic:blipFill rotWithShape="1">
                              <a:blip r:embed="rId21"/>
                              <a:stretch/>
                            </pic:blipFill>
                            <pic:spPr bwMode="auto">
                              <a:xfrm flipH="0" flipV="0">
                                <a:off x="0" y="0"/>
                                <a:ext cx="3267414" cy="18379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7.28pt;height:144.72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60994" cy="166555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6639" name=""/>
                              <pic:cNvPicPr>
                                <a:picLocks noChangeAspect="1"/>
                              </pic:cNvPicPr>
                              <pic:nvPr/>
                            </pic:nvPicPr>
                            <pic:blipFill rotWithShape="1">
                              <a:blip r:embed="rId22"/>
                              <a:stretch/>
                            </pic:blipFill>
                            <pic:spPr bwMode="auto">
                              <a:xfrm flipH="0" flipV="0">
                                <a:off x="0" y="0"/>
                                <a:ext cx="2960993" cy="16655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3.15pt;height:131.15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08637" cy="321535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71034" name=""/>
                              <pic:cNvPicPr>
                                <a:picLocks noChangeAspect="1"/>
                              </pic:cNvPicPr>
                              <pic:nvPr/>
                            </pic:nvPicPr>
                            <pic:blipFill rotWithShape="1">
                              <a:blip r:embed="rId23"/>
                              <a:stretch/>
                            </pic:blipFill>
                            <pic:spPr bwMode="auto">
                              <a:xfrm flipH="0" flipV="0">
                                <a:off x="0" y="0"/>
                                <a:ext cx="1808637" cy="32153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2.41pt;height:253.1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2820" cy="208674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93296" name=""/>
                              <pic:cNvPicPr>
                                <a:picLocks noChangeAspect="1"/>
                              </pic:cNvPicPr>
                              <pic:nvPr/>
                            </pic:nvPicPr>
                            <pic:blipFill rotWithShape="1">
                              <a:blip r:embed="rId24"/>
                              <a:stretch/>
                            </pic:blipFill>
                            <pic:spPr bwMode="auto">
                              <a:xfrm flipH="0" flipV="0">
                                <a:off x="0" y="0"/>
                                <a:ext cx="2822820" cy="20867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27pt;height:164.3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34"/>
        <w:gridCol w:w="1134"/>
        <w:gridCol w:w="1134"/>
        <w:gridCol w:w="1134"/>
      </w:tblGrid>
      <w:tr>
        <w:trPr>
          <w:gridBefore w:val="1"/>
        </w:trPr>
        <w:tc>
          <w:tcPr>
            <w:tcBorders/>
            <w:tcW w:w="5355"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gridSpan w:val="2"/>
            <w:tcBorders/>
            <w:tcW w:w="4386"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5355"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91215" cy="179505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039051" name=""/>
                              <pic:cNvPicPr>
                                <a:picLocks noChangeAspect="1"/>
                              </pic:cNvPicPr>
                              <pic:nvPr/>
                            </pic:nvPicPr>
                            <pic:blipFill rotWithShape="1">
                              <a:blip r:embed="rId25"/>
                              <a:stretch/>
                            </pic:blipFill>
                            <pic:spPr bwMode="auto">
                              <a:xfrm flipH="0" flipV="0">
                                <a:off x="0" y="0"/>
                                <a:ext cx="3191214" cy="1795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1.28pt;height:141.34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gridSpan w:val="2"/>
            <w:tcBorders/>
            <w:tcW w:w="4386"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44366" cy="171245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03265" name=""/>
                              <pic:cNvPicPr>
                                <a:picLocks noChangeAspect="1"/>
                              </pic:cNvPicPr>
                              <pic:nvPr/>
                            </pic:nvPicPr>
                            <pic:blipFill rotWithShape="1">
                              <a:blip r:embed="rId26"/>
                              <a:stretch/>
                            </pic:blipFill>
                            <pic:spPr bwMode="auto">
                              <a:xfrm flipH="0" flipV="0">
                                <a:off x="0" y="0"/>
                                <a:ext cx="3044366" cy="17124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9.71pt;height:134.84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gridBefore w:val="1"/>
        </w:trPr>
        <w:tc>
          <w:tcPr>
            <w:tcBorders/>
            <w:tcW w:w="5355"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gridSpan w:val="2"/>
            <w:tcBorders/>
            <w:tcW w:w="4386"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5355"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99745" cy="191235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84541" name=""/>
                              <pic:cNvPicPr>
                                <a:picLocks noChangeAspect="1"/>
                              </pic:cNvPicPr>
                              <pic:nvPr/>
                            </pic:nvPicPr>
                            <pic:blipFill rotWithShape="1">
                              <a:blip r:embed="rId27"/>
                              <a:stretch/>
                            </pic:blipFill>
                            <pic:spPr bwMode="auto">
                              <a:xfrm flipH="0" flipV="0">
                                <a:off x="0" y="0"/>
                                <a:ext cx="3399744" cy="19123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7.70pt;height:150.58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c>
          <w:tcPr>
            <w:gridSpan w:val="2"/>
            <w:tcBorders/>
            <w:tcW w:w="4386"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587404" cy="201791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92906" name=""/>
                              <pic:cNvPicPr>
                                <a:picLocks noChangeAspect="1"/>
                              </pic:cNvPicPr>
                              <pic:nvPr/>
                            </pic:nvPicPr>
                            <pic:blipFill rotWithShape="1">
                              <a:blip r:embed="rId28"/>
                              <a:stretch/>
                            </pic:blipFill>
                            <pic:spPr bwMode="auto">
                              <a:xfrm flipH="0" flipV="0">
                                <a:off x="0" y="0"/>
                                <a:ext cx="3587403" cy="20179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82.47pt;height:158.89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r>
        <w:trPr>
          <w:gridBefore w:val="1"/>
        </w:trPr>
        <w:tc>
          <w:tcPr>
            <w:tcBorders/>
            <w:tcW w:w="5355"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386"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5355"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554993" cy="199968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02843" name=""/>
                              <pic:cNvPicPr>
                                <a:picLocks noChangeAspect="1"/>
                              </pic:cNvPicPr>
                              <pic:nvPr/>
                            </pic:nvPicPr>
                            <pic:blipFill rotWithShape="1">
                              <a:blip r:embed="rId29"/>
                              <a:stretch/>
                            </pic:blipFill>
                            <pic:spPr bwMode="auto">
                              <a:xfrm flipH="0" flipV="0">
                                <a:off x="0" y="0"/>
                                <a:ext cx="3554993" cy="19996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79.92pt;height:157.46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c>
          <w:tcPr>
            <w:gridSpan w:val="2"/>
            <w:tcBorders/>
            <w:tcW w:w="4386"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044509" cy="264700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81005" name=""/>
                              <pic:cNvPicPr>
                                <a:picLocks noChangeAspect="1"/>
                              </pic:cNvPicPr>
                              <pic:nvPr/>
                            </pic:nvPicPr>
                            <pic:blipFill rotWithShape="1">
                              <a:blip r:embed="rId30"/>
                              <a:stretch/>
                            </pic:blipFill>
                            <pic:spPr bwMode="auto">
                              <a:xfrm flipH="0" flipV="0">
                                <a:off x="0" y="0"/>
                                <a:ext cx="2044509" cy="26470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0.98pt;height:208.43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w:t>
      </w:r>
      <w:r>
        <w:rPr>
          <w:rFonts w:ascii="Times New Roman" w:hAnsi="Times New Roman" w:eastAsia="Times New Roman" w:cs="Times New Roman"/>
          <w:color w:val="000000"/>
          <w:spacing w:val="-2"/>
          <w:sz w:val="24"/>
        </w:rPr>
        <w:t xml:space="preserve"> 275/2026/0733/VFI-BC.53.A/4543214 </w:t>
      </w:r>
      <w:r>
        <w:rPr>
          <w:i/>
        </w:rPr>
        <w:t xml:space="preserve"> </w:t>
      </w:r>
      <w:r>
        <w:rPr>
          <w:i/>
        </w:rPr>
        <w:t xml:space="preserve">ngày</w:t>
      </w:r>
      <w:r>
        <w:rPr>
          <w:i/>
        </w:rPr>
        <w:t xml:space="preserve"> </w:t>
      </w:r>
      <w:r>
        <w:rPr>
          <w:i/>
          <w:lang w:val="pt-BR"/>
        </w:rPr>
        <w:t xml:space="preserve">15 tháng 5 năm 2026 </w:t>
      </w:r>
      <w:r>
        <w:rPr>
          <w:i/>
          <w:lang w:val="pt-BR"/>
        </w:rPr>
        <w:t xml:space="preserve">của </w:t>
      </w:r>
      <w:r>
        <w:rPr>
          <w:i/>
          <w:lang w:val="pt-BR"/>
        </w:rPr>
        <w:t xml:space="preserve">Công ty Cổ phần Thẩm định và Đầu tư Tài chính Hoa Sen)</w:t>
      </w:r>
      <w:r>
        <w:rPr>
          <w:i/>
          <w:lang w:val="pt-BR"/>
        </w:rPr>
      </w:r>
      <w:r>
        <w:rPr>
          <w:i/>
          <w:lang w:val="pt-BR"/>
        </w:rPr>
      </w:r>
    </w:p>
    <w:p>
      <w:pPr>
        <w:pBdr/>
        <w:spacing w:after="120"/>
        <w:ind/>
        <w:jc w:val="center"/>
        <w:rPr>
          <w:b/>
          <w:i/>
          <w:iCs/>
          <w:lang w:val="pt-BR"/>
        </w:rPr>
      </w:pPr>
      <w:r>
        <w:rPr>
          <w:b/>
          <w:i/>
          <w:iCs/>
          <w:lang w:val="pt-BR"/>
        </w:rPr>
        <w:t xml:space="preserve">Tài sản so sánh cho </w:t>
      </w:r>
      <w:r>
        <w:rPr>
          <w:b/>
          <w:i/>
          <w:iCs/>
          <w:lang w:val="pt-BR"/>
        </w:rPr>
        <w:t xml:space="preserve">Tài sản 01: </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https://www.google.com/maps/place/20%C2%B055'08.0%22N+106%C2%B005'28.8%22E/@20.9188766,106.0906746,213m/data=!3m2!1e3!4b1!4m4!3m3!8m2!3d20.9188753!4d106.0913</w:t>
            </w:r>
            <w:r>
              <w:rPr>
                <w:color w:val="000000" w:themeColor="text1"/>
                <w:sz w:val="22"/>
                <w:szCs w:val="22"/>
              </w:rPr>
              <w:t xml:space="preserve">0386161929</w:t>
            </w:r>
            <w:r>
              <w:rPr>
                <w:sz w:val="22"/>
                <w:szCs w:val="22"/>
              </w:rPr>
              <w:t xml:space="preserve"> </w:t>
            </w:r>
            <w:r>
              <w:rPr>
                <w:sz w:val="22"/>
                <w:szCs w:val="22"/>
              </w:rPr>
              <w:br/>
              <w:t xml:space="preserve">(</w:t>
            </w:r>
            <w:r>
              <w:rPr>
                <w:color w:val="000000" w:themeColor="text1"/>
                <w:sz w:val="22"/>
                <w:szCs w:val="22"/>
              </w:rPr>
              <w:t xml:space="preserve">Diễm My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Tài sản tại </w:t>
            </w:r>
            <w:r>
              <w:rPr>
                <w:rFonts w:ascii="Times New Roman" w:hAnsi="Times New Roman" w:eastAsia="Times New Roman" w:cs="Times New Roman"/>
                <w:color w:val="000000"/>
                <w:sz w:val="22"/>
                <w:szCs w:val="22"/>
                <w:highlight w:val="white"/>
              </w:rPr>
              <w:t xml:space="preserve"> TDP Đào Du</w:t>
            </w:r>
            <w:r>
              <w:rPr>
                <w:rFonts w:ascii="Times New Roman" w:hAnsi="Times New Roman" w:eastAsia="Times New Roman" w:cs="Times New Roman"/>
                <w:color w:val="000000"/>
                <w:sz w:val="22"/>
                <w:szCs w:val="22"/>
                <w:highlight w:val="white"/>
              </w:rPr>
              <w:t xml:space="preserve">, cách Đường Nguyễn Văn Linh khoảng 480m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5701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8570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1.1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54826" cy="2185986"/>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5354825" cy="21859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21.64pt;height:172.12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49251" cy="2075116"/>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049250" cy="20751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97.58pt;height:163.39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45571" cy="2030666"/>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4545570" cy="20306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57.92pt;height:159.89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Trần Thị Thanh Tâm</w:t>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0986327723</w:t>
            </w:r>
            <w:r>
              <w:rPr>
                <w:sz w:val="22"/>
                <w:szCs w:val="22"/>
              </w:rPr>
              <w:t xml:space="preserve"> </w:t>
            </w:r>
            <w:r>
              <w:rPr>
                <w:sz w:val="22"/>
                <w:szCs w:val="22"/>
              </w:rPr>
              <w:br/>
              <w:t xml:space="preserve">(</w:t>
            </w:r>
            <w:r>
              <w:rPr>
                <w:color w:val="000000" w:themeColor="text1"/>
                <w:sz w:val="22"/>
                <w:szCs w:val="22"/>
              </w:rPr>
              <w:t xml:space="preserve">Thành Đô Hoàn Mỹ</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2.574.000.000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tiếp giáp đường nội xóm, nằm giữa trục chính đường TDP Sài Phi, Minh Đức, tỉnh Hưng Yên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30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Trần Thị Thanh Tâm</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0986327723</w:t>
            </w:r>
            <w:r>
              <w:rPr>
                <w:sz w:val="22"/>
                <w:szCs w:val="22"/>
              </w:rPr>
              <w:t xml:space="preserve"> </w:t>
            </w:r>
            <w:r>
              <w:rPr>
                <w:sz w:val="22"/>
                <w:szCs w:val="22"/>
              </w:rPr>
              <w:br/>
              <w:t xml:space="preserve">(</w:t>
            </w:r>
            <w:r>
              <w:rPr>
                <w:color w:val="000000" w:themeColor="text1"/>
                <w:sz w:val="22"/>
                <w:szCs w:val="22"/>
              </w:rPr>
              <w:t xml:space="preserve">Thành Đô Hoàn Mỹ</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Tài sản nằm tiếp giáp đường xóm, cách đường QL5 khoảng 200m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48805" cy="231927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2048805" cy="23192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61.32pt;height:182.62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10936" cy="2196965"/>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1710936" cy="21969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34.72pt;height:172.99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18637" cy="2448465"/>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5018635" cy="24484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95.17pt;height:192.79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25550" cy="2265314"/>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flipH="0" flipV="0">
                                <a:off x="0" y="0"/>
                                <a:ext cx="1725549" cy="22653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35.87pt;height:178.37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85220" cy="2038155"/>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flipH="0" flipV="0">
                                <a:off x="0" y="0"/>
                                <a:ext cx="3485219" cy="20381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74.43pt;height:160.48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Trần Thị Thanh Tâm</w:t>
            </w:r>
            <w:r>
              <w:rPr>
                <w:b/>
                <w:bCs/>
              </w:rPr>
            </w:r>
            <w:r>
              <w:rPr>
                <w:b/>
                <w:bCs/>
              </w:rPr>
            </w:r>
          </w:p>
        </w:tc>
      </w:tr>
    </w:tbl>
    <w:p>
      <w:pPr>
        <w:pBdr/>
        <w:spacing w:after="200" w:line="276" w:lineRule="auto"/>
        <w:ind/>
        <w:rPr>
          <w:b/>
          <w:bCs/>
        </w:rPr>
      </w:pPr>
      <w:r>
        <w:rPr>
          <w:b/>
          <w:bCs/>
        </w:rPr>
      </w:r>
      <w:r>
        <w:rPr>
          <w:b/>
          <w:bCs/>
        </w:rPr>
      </w:r>
      <w:r>
        <w:rPr>
          <w:b/>
          <w:bCs/>
        </w:rPr>
      </w:r>
    </w:p>
    <w:p>
      <w:pPr>
        <w:pBdr/>
        <w:spacing w:after="200" w:line="276" w:lineRule="auto"/>
        <w:ind/>
        <w:rPr>
          <w:b/>
          <w:bCs/>
          <w:highlight w:val="none"/>
        </w:rPr>
      </w:pPr>
      <w:r>
        <w:rPr>
          <w:b/>
          <w:bCs/>
        </w:rPr>
        <w:br w:type="page" w:clear="all"/>
      </w:r>
      <w:r>
        <w:rPr>
          <w:b/>
          <w:bCs/>
          <w:highlight w:val="none"/>
        </w:rPr>
      </w:r>
      <w:r>
        <w:rPr>
          <w:b/>
          <w:bCs/>
          <w:highlight w:val="none"/>
        </w:rPr>
      </w:r>
    </w:p>
    <w:p>
      <w:pPr>
        <w:pBdr/>
        <w:spacing w:after="200" w:line="276" w:lineRule="auto"/>
        <w:ind/>
        <w:jc w:val="center"/>
        <w:rPr>
          <w:b/>
          <w:bCs/>
          <w:highlight w:val="none"/>
        </w:rPr>
      </w:pPr>
      <w:r>
        <w:rPr>
          <w:b/>
          <w:bCs/>
          <w:highlight w:val="none"/>
        </w:rPr>
        <w:t xml:space="preserve">HỒ SƠ PHÁP LÝ</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403661"/>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6677" name=""/>
                        <pic:cNvPicPr>
                          <a:picLocks noChangeAspect="1"/>
                        </pic:cNvPicPr>
                        <pic:nvPr/>
                      </pic:nvPicPr>
                      <pic:blipFill rotWithShape="1">
                        <a:blip r:embed="rId44"/>
                        <a:stretch/>
                      </pic:blipFill>
                      <pic:spPr bwMode="auto">
                        <a:xfrm>
                          <a:off x="0" y="0"/>
                          <a:ext cx="6048374" cy="84036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76.25pt;height:661.71pt;mso-wrap-distance-left:0.00pt;mso-wrap-distance-top:0.00pt;mso-wrap-distance-right:0.00pt;mso-wrap-distance-bottom:0.00pt;z-index:1;" stroked="false">
                <v:imagedata r:id="rId44"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39424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169660" name=""/>
                        <pic:cNvPicPr>
                          <a:picLocks noChangeAspect="1"/>
                        </pic:cNvPicPr>
                        <pic:nvPr/>
                      </pic:nvPicPr>
                      <pic:blipFill rotWithShape="1">
                        <a:blip r:embed="rId45"/>
                        <a:stretch/>
                      </pic:blipFill>
                      <pic:spPr bwMode="auto">
                        <a:xfrm>
                          <a:off x="0" y="0"/>
                          <a:ext cx="6048374" cy="83942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76.25pt;height:660.96pt;mso-wrap-distance-left:0.00pt;mso-wrap-distance-top:0.00pt;mso-wrap-distance-right:0.00pt;mso-wrap-distance-bottom:0.00pt;z-index:1;" stroked="false">
                <v:imagedata r:id="rId45"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507294"/>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4532" name=""/>
                        <pic:cNvPicPr>
                          <a:picLocks noChangeAspect="1"/>
                        </pic:cNvPicPr>
                        <pic:nvPr/>
                      </pic:nvPicPr>
                      <pic:blipFill rotWithShape="1">
                        <a:blip r:embed="rId46"/>
                        <a:stretch/>
                      </pic:blipFill>
                      <pic:spPr bwMode="auto">
                        <a:xfrm>
                          <a:off x="0" y="0"/>
                          <a:ext cx="6048374" cy="85072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76.25pt;height:669.87pt;mso-wrap-distance-left:0.00pt;mso-wrap-distance-top:0.00pt;mso-wrap-distance-right:0.00pt;mso-wrap-distance-bottom:0.00pt;z-index:1;" stroked="false">
                <v:imagedata r:id="rId46"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403661"/>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42199" name=""/>
                        <pic:cNvPicPr>
                          <a:picLocks noChangeAspect="1"/>
                        </pic:cNvPicPr>
                        <pic:nvPr/>
                      </pic:nvPicPr>
                      <pic:blipFill rotWithShape="1">
                        <a:blip r:embed="rId47"/>
                        <a:stretch/>
                      </pic:blipFill>
                      <pic:spPr bwMode="auto">
                        <a:xfrm>
                          <a:off x="0" y="0"/>
                          <a:ext cx="6048374" cy="84036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76.25pt;height:661.71pt;mso-wrap-distance-left:0.00pt;mso-wrap-distance-top:0.00pt;mso-wrap-distance-right:0.00pt;mso-wrap-distance-bottom:0.00pt;z-index:1;" stroked="false">
                <v:imagedata r:id="rId47"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3112" name=""/>
                        <pic:cNvPicPr>
                          <a:picLocks noChangeAspect="1"/>
                        </pic:cNvPicPr>
                        <pic:nvPr/>
                      </pic:nvPicPr>
                      <pic:blipFill rotWithShape="1">
                        <a:blip r:embed="rId4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76.25pt;height:635.00pt;mso-wrap-distance-left:0.00pt;mso-wrap-distance-top:0.00pt;mso-wrap-distance-right:0.00pt;mso-wrap-distance-bottom:0.00pt;z-index:1;" stroked="false">
                <v:imagedata r:id="rId48"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5CE70EC6"/>
    <w:lvl w:ilvl="0">
      <w:isLgl w:val="false"/>
      <w:lvlJc w:val="left"/>
      <w:lvlText w:val="%1."/>
      <w:numFmt w:val="decimal"/>
      <w:pPr>
        <w:pBdr/>
        <w:spacing/>
        <w:ind w:hanging="360" w:left="720"/>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6B4CC03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1E651FD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customStyle="1">
    <w:name w:val="Unresolved Mention5"/>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Trần Thị Thanh Tâm</cp:lastModifiedBy>
  <cp:revision>827</cp:revision>
  <dcterms:created xsi:type="dcterms:W3CDTF">2025-05-28T23:19:00Z</dcterms:created>
  <dcterms:modified xsi:type="dcterms:W3CDTF">2026-05-18T02:18:27Z</dcterms:modified>
</cp:coreProperties>
</file>