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3136052</wp:posOffset>
                </wp:positionV>
                <wp:extent cx="5718810" cy="2245942"/>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224594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275/2026/0646/VFI-CT.48.A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highlight w:val="none"/>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CHĂN GA GỐI ĐỆM ELAN</w:t>
                            </w:r>
                            <w:r>
                              <w:rPr>
                                <w:rFonts w:ascii="Times New Roman Bold" w:hAnsi="Times New Roman Bold"/>
                                <w:b/>
                                <w:bCs/>
                                <w:color w:val="000000" w:themeColor="text1"/>
                                <w:highlight w:val="none"/>
                                <w:lang w:val="pt-BR"/>
                              </w:rPr>
                            </w:r>
                            <w:r>
                              <w:rPr>
                                <w:rFonts w:ascii="Times New Roman Bold" w:hAnsi="Times New Roman Bold"/>
                                <w:b/>
                                <w:bCs/>
                                <w:color w:val="000000" w:themeColor="text1"/>
                                <w:highlight w:val="none"/>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Bold" w:hAnsi="Times New Roman Bold"/>
                                <w:b/>
                                <w:bCs/>
                                <w:highlight w:val="none"/>
                                <w:lang w:val="pt-BR"/>
                              </w:rPr>
                            </w:pPr>
                            <w:r>
                              <w:rPr>
                                <w:rFonts w:ascii="Times New Roman" w:hAnsi="Times New Roman" w:eastAsia="Times New Roman" w:cs="Times New Roman"/>
                                <w:b/>
                                <w:color w:val="000000"/>
                                <w:sz w:val="22"/>
                              </w:rPr>
                            </w:r>
                            <w:r>
                              <w:rPr>
                                <w:rFonts w:ascii="Times New Roman" w:hAnsi="Times New Roman" w:eastAsia="Times New Roman" w:cs="Times New Roman"/>
                                <w:b w:val="0"/>
                                <w:bCs w:val="0"/>
                                <w:color w:val="000000"/>
                                <w:sz w:val="22"/>
                              </w:rPr>
                              <w:t xml:space="preserve">Quyền sử dụng đất tại 14 thửa đất có địa chỉ: </w:t>
                            </w:r>
                            <w:r>
                              <w:rPr>
                                <w:rFonts w:ascii="Times New Roman" w:hAnsi="Times New Roman" w:eastAsia="Times New Roman" w:cs="Times New Roman"/>
                                <w:b w:val="0"/>
                                <w:bCs w:val="0"/>
                                <w:color w:val="000000"/>
                                <w:sz w:val="22"/>
                              </w:rPr>
                              <w:t xml:space="preserve">Phường An Dương, thành phố Hải Phòng</w:t>
                            </w:r>
                            <w:r>
                              <w:rPr>
                                <w:rFonts w:ascii="Times New Roman" w:hAnsi="Times New Roman" w:eastAsia="Times New Roman" w:cs="Times New Roman"/>
                                <w:b w:val="0"/>
                                <w:bCs w:val="0"/>
                                <w:color w:val="000000"/>
                                <w:sz w:val="22"/>
                              </w:rPr>
                              <w:t xml:space="preserve">, chủ sử dụng đất là Bà Nguyễn Minh Hảo (Danh mục theo Báo cáo kết quả thẩm định giá đính kèm)</w:t>
                            </w:r>
                            <w:r>
                              <w:rPr>
                                <w:rFonts w:ascii="Times New Roman" w:hAnsi="Times New Roman" w:eastAsia="Times New Roman" w:cs="Times New Roman"/>
                                <w:b w:val="0"/>
                                <w:bCs w:val="0"/>
                                <w:color w:val="000000"/>
                                <w:sz w:val="22"/>
                              </w:rPr>
                              <w:t xml:space="preserve">.</w:t>
                            </w:r>
                            <w:r>
                              <w:rPr>
                                <w:b w:val="0"/>
                                <w:bCs w:val="0"/>
                              </w:rPr>
                            </w:r>
                            <w:r>
                              <w:rPr>
                                <w:rFonts w:ascii="Times New Roman Bold" w:hAnsi="Times New Roman Bold"/>
                                <w:b/>
                                <w:bCs/>
                                <w:highlight w:val="none"/>
                                <w:lang w:val="pt-BR"/>
                              </w:rPr>
                            </w:r>
                          </w:p>
                          <w:p>
                            <w:pPr>
                              <w:pBdr/>
                              <w:tabs>
                                <w:tab w:val="left" w:leader="none" w:pos="3002"/>
                              </w:tabs>
                              <w:spacing w:after="120" w:before="120" w:line="360" w:lineRule="auto"/>
                              <w:ind/>
                              <w:jc w:val="center"/>
                              <w:rPr>
                                <w:rFonts w:ascii="Times New Roman Bold" w:hAnsi="Times New Roman Bold"/>
                                <w:b/>
                                <w:bCs/>
                                <w:lang w:val="pt-BR"/>
                              </w:rPr>
                            </w:pPr>
                            <w:r>
                              <w:rPr>
                                <w:rFonts w:ascii="Times New Roman" w:hAnsi="Times New Roman" w:eastAsia="Times New Roman" w:cs="Times New Roman"/>
                                <w:b/>
                                <w:color w:val="000000"/>
                                <w:sz w:val="22"/>
                              </w:rPr>
                              <w:t xml:space="preserve">Thời điểm thẩm định: </w:t>
                            </w:r>
                            <w:r>
                              <w:rPr>
                                <w:rFonts w:ascii="Times New Roman" w:hAnsi="Times New Roman" w:eastAsia="Times New Roman" w:cs="Times New Roman"/>
                                <w:color w:val="000000"/>
                                <w:sz w:val="22"/>
                              </w:rPr>
                              <w:t xml:space="preserve">Tháng 4/2026</w:t>
                            </w:r>
                            <w:r>
                              <w:rPr>
                                <w:rFonts w:ascii="Times New Roman Bold" w:hAnsi="Times New Roman Bold"/>
                                <w:b/>
                                <w:bCs/>
                                <w:lang w:val="pt-BR"/>
                              </w:rPr>
                            </w:r>
                            <w:r>
                              <w:rPr>
                                <w:rFonts w:ascii="Times New Roman Bold" w:hAnsi="Times New Roman Bold"/>
                                <w:b/>
                                <w:bCs/>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b w:val="0"/>
                                <w:bCs w:val="0"/>
                              </w:rPr>
                            </w:pPr>
                            <w:r>
                              <w:rPr>
                                <w:rFonts w:ascii="Times New Roman Bold" w:hAnsi="Times New Roman Bold"/>
                                <w:b/>
                                <w:bCs/>
                                <w:highlight w:val="none"/>
                                <w:lang w:val="pt-BR"/>
                              </w:rPr>
                            </w:r>
                            <w:r>
                              <w:rPr>
                                <w:rFonts w:ascii="Times New Roman Bold" w:hAnsi="Times New Roman Bold"/>
                                <w:b/>
                                <w:bCs/>
                                <w:highlight w:val="none"/>
                                <w:lang w:val="pt-BR"/>
                              </w:rPr>
                            </w:r>
                            <w:r>
                              <w:rPr>
                                <w:b w:val="0"/>
                                <w:bCs w:val="0"/>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20pt;mso-position-horizontal:absolute;mso-position-vertical-relative:text;margin-top:246.93pt;mso-position-vertical:absolute;width:450.30pt;height:17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275/2026/0646/VFI-CT.48.A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highlight w:val="none"/>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CHĂN GA GỐI ĐỆM ELAN</w:t>
                      </w:r>
                      <w:r>
                        <w:rPr>
                          <w:rFonts w:ascii="Times New Roman Bold" w:hAnsi="Times New Roman Bold"/>
                          <w:b/>
                          <w:bCs/>
                          <w:color w:val="000000" w:themeColor="text1"/>
                          <w:highlight w:val="none"/>
                          <w:lang w:val="pt-BR"/>
                        </w:rPr>
                      </w:r>
                      <w:r>
                        <w:rPr>
                          <w:rFonts w:ascii="Times New Roman Bold" w:hAnsi="Times New Roman Bold"/>
                          <w:b/>
                          <w:bCs/>
                          <w:color w:val="000000" w:themeColor="text1"/>
                          <w:highlight w:val="none"/>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Bold" w:hAnsi="Times New Roman Bold"/>
                          <w:b/>
                          <w:bCs/>
                          <w:highlight w:val="none"/>
                          <w:lang w:val="pt-BR"/>
                        </w:rPr>
                      </w:pPr>
                      <w:r>
                        <w:rPr>
                          <w:rFonts w:ascii="Times New Roman" w:hAnsi="Times New Roman" w:eastAsia="Times New Roman" w:cs="Times New Roman"/>
                          <w:b/>
                          <w:color w:val="000000"/>
                          <w:sz w:val="22"/>
                        </w:rPr>
                      </w:r>
                      <w:r>
                        <w:rPr>
                          <w:rFonts w:ascii="Times New Roman" w:hAnsi="Times New Roman" w:eastAsia="Times New Roman" w:cs="Times New Roman"/>
                          <w:b w:val="0"/>
                          <w:bCs w:val="0"/>
                          <w:color w:val="000000"/>
                          <w:sz w:val="22"/>
                        </w:rPr>
                        <w:t xml:space="preserve">Quyền sử dụng đất tại 14 thửa đất có địa chỉ: </w:t>
                      </w:r>
                      <w:r>
                        <w:rPr>
                          <w:rFonts w:ascii="Times New Roman" w:hAnsi="Times New Roman" w:eastAsia="Times New Roman" w:cs="Times New Roman"/>
                          <w:b w:val="0"/>
                          <w:bCs w:val="0"/>
                          <w:color w:val="000000"/>
                          <w:sz w:val="22"/>
                        </w:rPr>
                        <w:t xml:space="preserve">Phường An Dương, thành phố Hải Phòng</w:t>
                      </w:r>
                      <w:r>
                        <w:rPr>
                          <w:rFonts w:ascii="Times New Roman" w:hAnsi="Times New Roman" w:eastAsia="Times New Roman" w:cs="Times New Roman"/>
                          <w:b w:val="0"/>
                          <w:bCs w:val="0"/>
                          <w:color w:val="000000"/>
                          <w:sz w:val="22"/>
                        </w:rPr>
                        <w:t xml:space="preserve">, chủ sử dụng đất là Bà Nguyễn Minh Hảo (Danh mục theo Báo cáo kết quả thẩm định giá đính kèm)</w:t>
                      </w:r>
                      <w:r>
                        <w:rPr>
                          <w:rFonts w:ascii="Times New Roman" w:hAnsi="Times New Roman" w:eastAsia="Times New Roman" w:cs="Times New Roman"/>
                          <w:b w:val="0"/>
                          <w:bCs w:val="0"/>
                          <w:color w:val="000000"/>
                          <w:sz w:val="22"/>
                        </w:rPr>
                        <w:t xml:space="preserve">.</w:t>
                      </w:r>
                      <w:r>
                        <w:rPr>
                          <w:b w:val="0"/>
                          <w:bCs w:val="0"/>
                        </w:rPr>
                      </w:r>
                      <w:r>
                        <w:rPr>
                          <w:rFonts w:ascii="Times New Roman Bold" w:hAnsi="Times New Roman Bold"/>
                          <w:b/>
                          <w:bCs/>
                          <w:highlight w:val="none"/>
                          <w:lang w:val="pt-BR"/>
                        </w:rPr>
                      </w:r>
                    </w:p>
                    <w:p>
                      <w:pPr>
                        <w:pBdr/>
                        <w:tabs>
                          <w:tab w:val="left" w:leader="none" w:pos="3002"/>
                        </w:tabs>
                        <w:spacing w:after="120" w:before="120" w:line="360" w:lineRule="auto"/>
                        <w:ind/>
                        <w:jc w:val="center"/>
                        <w:rPr>
                          <w:rFonts w:ascii="Times New Roman Bold" w:hAnsi="Times New Roman Bold"/>
                          <w:b/>
                          <w:bCs/>
                          <w:lang w:val="pt-BR"/>
                        </w:rPr>
                      </w:pPr>
                      <w:r>
                        <w:rPr>
                          <w:rFonts w:ascii="Times New Roman" w:hAnsi="Times New Roman" w:eastAsia="Times New Roman" w:cs="Times New Roman"/>
                          <w:b/>
                          <w:color w:val="000000"/>
                          <w:sz w:val="22"/>
                        </w:rPr>
                        <w:t xml:space="preserve">Thời điểm thẩm định: </w:t>
                      </w:r>
                      <w:r>
                        <w:rPr>
                          <w:rFonts w:ascii="Times New Roman" w:hAnsi="Times New Roman" w:eastAsia="Times New Roman" w:cs="Times New Roman"/>
                          <w:color w:val="000000"/>
                          <w:sz w:val="22"/>
                        </w:rPr>
                        <w:t xml:space="preserve">Tháng 4/2026</w:t>
                      </w:r>
                      <w:r>
                        <w:rPr>
                          <w:rFonts w:ascii="Times New Roman Bold" w:hAnsi="Times New Roman Bold"/>
                          <w:b/>
                          <w:bCs/>
                          <w:lang w:val="pt-BR"/>
                        </w:rPr>
                      </w:r>
                      <w:r>
                        <w:rPr>
                          <w:rFonts w:ascii="Times New Roman Bold" w:hAnsi="Times New Roman Bold"/>
                          <w:b/>
                          <w:bCs/>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b w:val="0"/>
                          <w:bCs w:val="0"/>
                        </w:rPr>
                      </w:pPr>
                      <w:r>
                        <w:rPr>
                          <w:rFonts w:ascii="Times New Roman Bold" w:hAnsi="Times New Roman Bold"/>
                          <w:b/>
                          <w:bCs/>
                          <w:highlight w:val="none"/>
                          <w:lang w:val="pt-BR"/>
                        </w:rPr>
                      </w:r>
                      <w:r>
                        <w:rPr>
                          <w:rFonts w:ascii="Times New Roman Bold" w:hAnsi="Times New Roman Bold"/>
                          <w:b/>
                          <w:bCs/>
                          <w:highlight w:val="none"/>
                          <w:lang w:val="pt-BR"/>
                        </w:rPr>
                      </w:r>
                      <w:r>
                        <w:rPr>
                          <w:b w:val="0"/>
                          <w:bCs w:val="0"/>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Pr/>
      </w:pPr>
      <w:r/>
      <w:r/>
    </w:p>
    <w:p>
      <w:pPr>
        <w:pBdr/>
        <w:spacing/>
        <w:ind/>
        <w:rPr/>
      </w:pPr>
      <w:r>
        <w:rPr>
          <w:spacing w:val="16"/>
          <w:sz w:val="21"/>
          <w:szCs w:val="21"/>
        </w:rPr>
      </w:r>
      <w:r/>
    </w:p>
    <w:p>
      <w:pPr>
        <w:pBdr/>
        <w:spacing/>
        <w:ind w:right="-1"/>
        <w:jc w:val="center"/>
        <w:rPr>
          <w:sz w:val="28"/>
          <w:szCs w:val="28"/>
        </w:rPr>
      </w:pPr>
      <w:r>
        <w:rPr>
          <w:b/>
          <w:sz w:val="28"/>
          <w:highlight w:val="none"/>
        </w:rPr>
      </w:r>
      <w:r>
        <w:rPr>
          <w:sz w:val="28"/>
          <w:szCs w:val="28"/>
        </w:rPr>
      </w:r>
      <w:r>
        <w:rPr>
          <w:sz w:val="28"/>
          <w:szCs w:val="28"/>
        </w:rPr>
      </w:r>
    </w:p>
    <w:p>
      <w:pPr>
        <w:pBdr/>
        <w:spacing/>
        <w:ind w:right="-1"/>
        <w:jc w:val="center"/>
        <w:rPr>
          <w:b/>
          <w:bCs/>
          <w:sz w:val="28"/>
          <w:szCs w:val="28"/>
          <w:highlight w:val="none"/>
        </w:rPr>
      </w:pPr>
      <w:r>
        <w:rPr>
          <w:b/>
          <w:sz w:val="28"/>
          <w:highlight w:val="none"/>
        </w:rPr>
      </w:r>
      <w:r>
        <w:rPr>
          <w:b/>
          <w:sz w:val="28"/>
          <w:highlight w:val="none"/>
        </w:rPr>
      </w:r>
      <w:r>
        <w:rPr>
          <w:b/>
          <w:bCs/>
          <w:sz w:val="28"/>
          <w:szCs w:val="28"/>
          <w:highlight w:val="none"/>
        </w:rPr>
      </w:r>
    </w:p>
    <w:p>
      <w:pPr>
        <w:pBdr/>
        <w:spacing/>
        <w:ind w:right="-1"/>
        <w:jc w:val="center"/>
        <w:rPr>
          <w:b/>
          <w:bCs/>
          <w:sz w:val="28"/>
          <w:szCs w:val="28"/>
          <w:highlight w:val="none"/>
        </w:rPr>
      </w:pPr>
      <w:r>
        <w:rPr>
          <w:b/>
          <w:sz w:val="28"/>
          <w:highlight w:val="none"/>
        </w:rPr>
      </w:r>
      <w:r>
        <w:rPr>
          <w:b/>
          <w:sz w:val="28"/>
          <w:highlight w:val="none"/>
        </w:rPr>
      </w:r>
      <w:r>
        <w:rPr>
          <w:b/>
          <w:bCs/>
          <w:sz w:val="28"/>
          <w:szCs w:val="28"/>
          <w:highlight w:val="none"/>
        </w:rPr>
      </w:r>
    </w:p>
    <w:p>
      <w:pPr>
        <w:pBdr/>
        <w:spacing w:after="200" w:line="360" w:lineRule="auto"/>
        <w:ind/>
        <w:jc w:val="center"/>
        <w:rPr>
          <w:b/>
          <w:bCs w:val="0"/>
          <w:i w:val="0"/>
          <w:iCs/>
          <w:highlight w:val="none"/>
          <w:lang w:val="pt-BR"/>
        </w:rPr>
      </w:pPr>
      <w:r>
        <w:rPr>
          <w:b/>
          <w:i w:val="0"/>
          <w:iCs w:val="0"/>
          <w:lang w:val="pt-BR"/>
        </w:rPr>
        <w:t xml:space="preserve">DANH MỤC TÀI SẢN  ĐÍNH KÈM</w:t>
      </w:r>
      <w:r>
        <w:rPr>
          <w:b/>
          <w:bCs w:val="0"/>
          <w:i w:val="0"/>
          <w:iCs/>
          <w:highlight w:val="none"/>
          <w:lang w:val="pt-BR"/>
        </w:rPr>
      </w:r>
      <w:r>
        <w:rPr>
          <w:b/>
          <w:bCs w:val="0"/>
          <w:i w:val="0"/>
          <w:iCs/>
          <w:highlight w:val="none"/>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1: </w:t>
      </w:r>
      <w:r>
        <w:rPr>
          <w:rFonts w:ascii="Times New Roman" w:hAnsi="Times New Roman" w:eastAsia="Times New Roman" w:cs="Times New Roman"/>
          <w:color w:val="000000"/>
          <w:sz w:val="24"/>
        </w:rPr>
        <w:t xml:space="preserve">Quyền sử dụng đất tại thửa đất số: 14, tờ bản đồ số: 11 có địa chỉ: Phường An Dương, thành phố Hải Phòng theo Giấy chứng nhận Quyền sử dụng đất, quyền sở hữu tài sản gắn liền với đất số: AA 06811543, số vào sổ cấp Giấy chứng nhận: CN16702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2: </w:t>
      </w:r>
      <w:r>
        <w:rPr>
          <w:rFonts w:ascii="Times New Roman" w:hAnsi="Times New Roman" w:eastAsia="Times New Roman" w:cs="Times New Roman"/>
          <w:color w:val="000000"/>
          <w:sz w:val="24"/>
        </w:rPr>
        <w:t xml:space="preserve">Quyền sử dụng đất tại thửa đất số: 13 và 75, tờ bản đồ số: 11 có địa chỉ: Phường An Dương, thành phố Hải Phòng theo Giấy chứng nhận Quyền sử dụng đất, quyền sở hữu tài sản gắn liền với đất số: AA 06813207, số vào sổ cấp Giấy chứng nhận: CN16400 do Chi nhán</w:t>
      </w:r>
      <w:r>
        <w:rPr>
          <w:rFonts w:ascii="Times New Roman" w:hAnsi="Times New Roman" w:eastAsia="Times New Roman" w:cs="Times New Roman"/>
          <w:color w:val="000000"/>
          <w:sz w:val="24"/>
        </w:rPr>
        <w:t xml:space="preserve">h Văn 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3: </w:t>
      </w:r>
      <w:r>
        <w:rPr>
          <w:rFonts w:ascii="Times New Roman" w:hAnsi="Times New Roman" w:eastAsia="Times New Roman" w:cs="Times New Roman"/>
          <w:color w:val="000000"/>
          <w:sz w:val="24"/>
        </w:rPr>
        <w:t xml:space="preserve">Quyền sử dụng đất tại thửa đất số: 76, tờ bản đồ số: 11 có địa chỉ: Phường An Dương, thành phố Hải Phòng theo Giấy chứng nhận Quyền sử dụng đất, quyền sở hữu tài sản gắn liền với đất số: AA 06813206, số vào sổ cấp Giấy chứng nhận: CN16399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4: </w:t>
      </w:r>
      <w:r>
        <w:rPr>
          <w:rFonts w:ascii="Times New Roman" w:hAnsi="Times New Roman" w:eastAsia="Times New Roman" w:cs="Times New Roman"/>
          <w:color w:val="000000"/>
          <w:sz w:val="24"/>
        </w:rPr>
        <w:t xml:space="preserve">Quyền sử dụng đất tại thửa đất số: 77, tờ bản đồ số: 11 có địa chỉ: Phường An Dương, thành phố Hải Phòng theo Giấy chứng nhận Quyền sử dụng đất, quyền sở hữu tài sản gắn liền với đất số: AA 06813211, số vào sổ cấp Giấy chứng nhận: CN16404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5: </w:t>
      </w:r>
      <w:r>
        <w:rPr>
          <w:rFonts w:ascii="Times New Roman" w:hAnsi="Times New Roman" w:eastAsia="Times New Roman" w:cs="Times New Roman"/>
          <w:color w:val="000000"/>
          <w:sz w:val="24"/>
        </w:rPr>
        <w:t xml:space="preserve">Quyền sử dụng đất tại thửa đất số: 78, tờ bản đồ số: 11 có địa chỉ: Phường An Dương, thành phố Hải Phòng theo Giấy chứng nhận Quyền sử dụng đất, quyền sở hữu tài sản gắn liền với đất số: AA 06813350, số vào sổ cấp Giấy chứng nhận: CN16527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p>
      <w:pPr>
        <w:pBdr>
          <w:top w:val="none" w:color="000000" w:sz="4" w:space="0"/>
          <w:left w:val="none" w:color="000000" w:sz="4" w:space="0"/>
          <w:bottom w:val="none" w:color="000000" w:sz="4" w:space="0"/>
          <w:right w:val="none" w:color="000000" w:sz="4" w:space="0"/>
        </w:pBdr>
        <w:spacing w:after="60" w:before="60" w:line="360" w:lineRule="auto"/>
        <w:ind w:right="0" w:firstLine="0" w:left="0"/>
        <w:jc w:val="both"/>
        <w:rPr/>
      </w:pPr>
      <w:r>
        <w:rPr>
          <w:rFonts w:ascii="Times New Roman" w:hAnsi="Times New Roman" w:eastAsia="Times New Roman" w:cs="Times New Roman"/>
          <w:b/>
          <w:color w:val="000000"/>
          <w:sz w:val="24"/>
        </w:rPr>
        <w:t xml:space="preserve">Tài sản thẩm định 6: </w:t>
      </w:r>
      <w:r>
        <w:rPr>
          <w:rFonts w:ascii="Times New Roman" w:hAnsi="Times New Roman" w:eastAsia="Times New Roman" w:cs="Times New Roman"/>
          <w:color w:val="000000"/>
          <w:sz w:val="24"/>
        </w:rPr>
        <w:t xml:space="preserve">Quyền sử dụng đất tại thửa đất số: 79, tờ bản đồ số: 11 có địa chỉ: Phường An Dương, thành phố Hải Phòng theo Giấy chứng nhận Quyền sử dụng đất, quyền sở hữu tài sản gắn liền với đất số: AA 06813349, số vào sổ cấp Giấy chứng nhận: CN16526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7: </w:t>
      </w:r>
      <w:r>
        <w:rPr>
          <w:rFonts w:ascii="Times New Roman" w:hAnsi="Times New Roman" w:eastAsia="Times New Roman" w:cs="Times New Roman"/>
          <w:color w:val="000000"/>
          <w:sz w:val="24"/>
        </w:rPr>
        <w:t xml:space="preserve">Quyền sử dụng đất tại thửa đất số: 80, tờ bản đồ số: 11 có địa chỉ: Phường An Dương, thành phố Hải Phòng theo Giấy chứng nhận Quyền sử dụng đất, quyền sở hữu tài sản gắn liền với đất số: AA 06813212, số vào sổ cấp Giấy chứng nhận: CN16405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8: </w:t>
      </w:r>
      <w:r>
        <w:rPr>
          <w:rFonts w:ascii="Times New Roman" w:hAnsi="Times New Roman" w:eastAsia="Times New Roman" w:cs="Times New Roman"/>
          <w:color w:val="000000"/>
          <w:sz w:val="24"/>
        </w:rPr>
        <w:t xml:space="preserve">Quyền sử dụng đất tại thửa đất số: 81, tờ bản đồ số: 11 có địa chỉ: Phường An Dương, thành phố Hải Phòng theo Giấy chứng nhận Quyền sử dụng đất, quyền sở hữu tài sản gắn liền với đất số: AA 06813209, số vào sổ cấp Giấy chứng nhận: CN16402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9: </w:t>
      </w:r>
      <w:r>
        <w:rPr>
          <w:rFonts w:ascii="Times New Roman" w:hAnsi="Times New Roman" w:eastAsia="Times New Roman" w:cs="Times New Roman"/>
          <w:color w:val="000000"/>
          <w:sz w:val="24"/>
        </w:rPr>
        <w:t xml:space="preserve">Quyền sử dụng đất tại thửa đất số: 06, tờ bản đồ số: 12 có địa chỉ: Phường An Dương, thành phố Hải Phòng theo Giấy chứng nhận Quyền sử dụng đất, quyền sở hữu tài sản gắn liền với đất số: AA 06813213, số vào sổ cấp Giấy chứng nhận: CN16406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10: </w:t>
      </w:r>
      <w:r>
        <w:rPr>
          <w:rFonts w:ascii="Times New Roman" w:hAnsi="Times New Roman" w:eastAsia="Times New Roman" w:cs="Times New Roman"/>
          <w:color w:val="000000"/>
          <w:sz w:val="24"/>
        </w:rPr>
        <w:t xml:space="preserve">Quyền sử dụng đất tại thửa đất số: 07, tờ bản đồ số: 12 có địa chỉ: Phường An Dương, thành phố Hải Phòng theo Giấy chứng nhận Quyền sử dụng đất, quyền sở hữu tài sản gắn liền với đất số: AA 06813210, số vào sổ cấp Giấy chứng nhận: CN16403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11: </w:t>
      </w:r>
      <w:r>
        <w:rPr>
          <w:rFonts w:ascii="Times New Roman" w:hAnsi="Times New Roman" w:eastAsia="Times New Roman" w:cs="Times New Roman"/>
          <w:color w:val="000000"/>
          <w:sz w:val="24"/>
        </w:rPr>
        <w:t xml:space="preserve">Quyền sử dụng đất tại thửa đất số: 08, tờ bản đồ số: 12 có địa chỉ: Phường An Dương, thành phố Hải Phòng theo Giấy chứng nhận Quyền sử dụng đất, quyền sở hữu tài sản gắn liền với đất số: AA 06813351, số vào sổ cấp Giấy chứng nhận: CN16528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12: </w:t>
      </w:r>
      <w:r>
        <w:rPr>
          <w:rFonts w:ascii="Times New Roman" w:hAnsi="Times New Roman" w:eastAsia="Times New Roman" w:cs="Times New Roman"/>
          <w:color w:val="000000"/>
          <w:sz w:val="24"/>
        </w:rPr>
        <w:t xml:space="preserve">Quyền sử dụng đất tại thửa đất số: 09, tờ bản đồ số: 12 có địa chỉ: Phường An Dương, thành phố Hải Phòng theo Giấy chứng nhận Quyền sử dụng đất, quyền sở hữu tài sản gắn liền với đất số: AA 0681208, số vào sổ cấp Giấy chứng nhận: CN16401 do Chi nhánh Văn p</w:t>
      </w:r>
      <w:r>
        <w:rPr>
          <w:rFonts w:ascii="Times New Roman" w:hAnsi="Times New Roman" w:eastAsia="Times New Roman" w:cs="Times New Roman"/>
          <w:color w:val="000000"/>
          <w:sz w:val="24"/>
        </w:rPr>
        <w:t xml:space="preserve">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13: </w:t>
      </w:r>
      <w:r>
        <w:rPr>
          <w:rFonts w:ascii="Times New Roman" w:hAnsi="Times New Roman" w:eastAsia="Times New Roman" w:cs="Times New Roman"/>
          <w:color w:val="000000"/>
          <w:sz w:val="24"/>
        </w:rPr>
        <w:t xml:space="preserve">Quyền sử dụng đất tại thửa đất số: 91, tờ bản đồ số: 11 có địa chỉ: Phường An Dương, thành phố Hải Phòng theo Giấy chứng nhận Quyền sử dụng đất, quyền sở hữu tài sản gắn liền với đất số: AA 06811542, số vào sổ cấp Giấy chứng nhận: CN16701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p>
      <w:pPr>
        <w:pBdr>
          <w:top w:val="none" w:color="000000" w:sz="4" w:space="0"/>
          <w:left w:val="none" w:color="000000" w:sz="4" w:space="0"/>
          <w:bottom w:val="none" w:color="000000" w:sz="4" w:space="0"/>
          <w:right w:val="none" w:color="000000" w:sz="4" w:space="0"/>
        </w:pBdr>
        <w:spacing w:after="60" w:before="60" w:line="360" w:lineRule="auto"/>
        <w:ind w:right="0" w:firstLine="0" w:left="0"/>
        <w:jc w:val="both"/>
        <w:rPr/>
      </w:pPr>
      <w:r>
        <w:rPr>
          <w:rFonts w:ascii="Times New Roman" w:hAnsi="Times New Roman" w:eastAsia="Times New Roman" w:cs="Times New Roman"/>
          <w:b/>
          <w:color w:val="000000"/>
          <w:sz w:val="24"/>
        </w:rPr>
        <w:t xml:space="preserve">Tài sản thẩm định 14: </w:t>
      </w:r>
      <w:r>
        <w:rPr>
          <w:rFonts w:ascii="Times New Roman" w:hAnsi="Times New Roman" w:eastAsia="Times New Roman" w:cs="Times New Roman"/>
          <w:color w:val="000000"/>
          <w:sz w:val="24"/>
        </w:rPr>
        <w:t xml:space="preserve">Quyền sử dụng đất tại thửa đất số: 92, tờ bản đồ số: 11 có địa chỉ: Phường An Dương, thành phố Hải Phòng theo Giấy chứng nhận Quyền sử dụng đất, quyền sở hữu tài sản gắn liền với đất số: AA 06811544, số vào sổ cấp Giấy chứng nhận: CN16703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p>
      <w:pPr>
        <w:pBdr/>
        <w:shd w:val="nil" w:color="000000"/>
        <w:spacing/>
        <w:ind/>
        <w:rPr>
          <w:b/>
          <w:bCs/>
          <w:sz w:val="28"/>
          <w:szCs w:val="28"/>
          <w:highlight w:val="none"/>
        </w:rPr>
      </w:pPr>
      <w:r>
        <w:rPr>
          <w:b/>
          <w:bCs/>
          <w:sz w:val="28"/>
          <w:szCs w:val="28"/>
          <w:highlight w:val="none"/>
        </w:rPr>
      </w:r>
      <w:r>
        <w:rPr>
          <w:b/>
          <w:bCs/>
          <w:sz w:val="28"/>
          <w:szCs w:val="28"/>
          <w:highlight w:val="none"/>
        </w:rPr>
      </w:r>
      <w:r>
        <w:rPr>
          <w:b/>
          <w:bCs/>
          <w:sz w:val="28"/>
          <w:szCs w:val="28"/>
          <w:highlight w:val="none"/>
        </w:rPr>
      </w:r>
    </w:p>
    <w:p>
      <w:pPr>
        <w:pBdr/>
        <w:shd w:val="nil" w:color="auto"/>
        <w:spacing/>
        <w:ind/>
        <w:rPr>
          <w:b/>
          <w:bCs/>
          <w:sz w:val="28"/>
          <w:szCs w:val="28"/>
          <w:highlight w:val="none"/>
        </w:rPr>
      </w:pPr>
      <w:r>
        <w:rPr>
          <w:b/>
          <w:sz w:val="28"/>
          <w:highlight w:val="none"/>
        </w:rPr>
      </w:r>
      <w:r>
        <w:rPr>
          <w:b/>
          <w:bCs/>
          <w:sz w:val="28"/>
          <w:szCs w:val="28"/>
          <w:highlight w:val="none"/>
        </w:rPr>
      </w:r>
    </w:p>
    <w:p>
      <w:pPr>
        <w:pBdr/>
        <w:shd w:val="nil" w:color="000000"/>
        <w:spacing/>
        <w:ind/>
        <w:rPr>
          <w:b/>
          <w:bCs/>
          <w:sz w:val="28"/>
          <w:szCs w:val="28"/>
          <w:highlight w:val="none"/>
        </w:rPr>
      </w:pPr>
      <w:r>
        <w:rPr>
          <w:b/>
          <w:bCs/>
          <w:sz w:val="28"/>
          <w:szCs w:val="28"/>
          <w:highlight w:val="none"/>
        </w:rPr>
      </w:r>
      <w:r>
        <w:rPr>
          <w:b/>
          <w:bCs/>
          <w:sz w:val="28"/>
          <w:szCs w:val="28"/>
          <w:highlight w:val="none"/>
        </w:rPr>
      </w:r>
      <w:r>
        <w:rPr>
          <w:b/>
          <w:bCs/>
          <w:sz w:val="28"/>
          <w:szCs w:val="28"/>
          <w:highlight w:val="none"/>
        </w:rPr>
      </w:r>
    </w:p>
    <w:p>
      <w:pPr>
        <w:pBdr/>
        <w:shd w:val="nil" w:color="000000"/>
        <w:spacing/>
        <w:ind/>
        <w:rPr>
          <w:b/>
          <w:bCs/>
          <w:sz w:val="28"/>
          <w:szCs w:val="28"/>
          <w:highlight w:val="none"/>
        </w:rPr>
      </w:pPr>
      <w:r>
        <w:rPr>
          <w:b/>
          <w:bCs/>
          <w:sz w:val="28"/>
          <w:szCs w:val="28"/>
          <w:highlight w:val="none"/>
        </w:rPr>
      </w:r>
      <w:r>
        <w:rPr>
          <w:b/>
          <w:bCs/>
          <w:sz w:val="28"/>
          <w:szCs w:val="28"/>
          <w:highlight w:val="none"/>
        </w:rPr>
      </w:r>
      <w:r>
        <w:rPr>
          <w:b/>
          <w:bCs/>
          <w:sz w:val="28"/>
          <w:szCs w:val="28"/>
          <w:highlight w:val="none"/>
        </w:rPr>
      </w:r>
    </w:p>
    <w:p>
      <w:pPr>
        <w:pBdr/>
        <w:shd w:val="nil" w:color="000000"/>
        <w:spacing/>
        <w:ind/>
        <w:rPr>
          <w:b/>
          <w:bCs/>
          <w:sz w:val="28"/>
          <w:szCs w:val="28"/>
          <w:highlight w:val="none"/>
        </w:rPr>
      </w:pPr>
      <w:r>
        <w:rPr>
          <w:b/>
          <w:bCs/>
          <w:sz w:val="28"/>
          <w:szCs w:val="28"/>
          <w:highlight w:val="none"/>
        </w:rPr>
      </w:r>
      <w:r>
        <w:rPr>
          <w:b/>
          <w:bCs/>
          <w:sz w:val="28"/>
          <w:szCs w:val="28"/>
          <w:highlight w:val="none"/>
        </w:rPr>
      </w:r>
      <w:r>
        <w:rPr>
          <w:b/>
          <w:bCs/>
          <w:sz w:val="28"/>
          <w:szCs w:val="28"/>
          <w:highlight w:val="none"/>
        </w:rPr>
      </w:r>
    </w:p>
    <w:p>
      <w:pPr>
        <w:pBdr/>
        <w:shd w:val="nil" w:color="000000"/>
        <w:spacing/>
        <w:ind/>
        <w:rPr>
          <w:b/>
          <w:bCs/>
          <w:sz w:val="28"/>
          <w:szCs w:val="28"/>
          <w:highlight w:val="none"/>
        </w:rPr>
      </w:pPr>
      <w:r>
        <w:rPr>
          <w:b/>
          <w:bCs/>
          <w:sz w:val="28"/>
          <w:szCs w:val="28"/>
          <w:highlight w:val="none"/>
        </w:rPr>
      </w:r>
      <w:r>
        <w:rPr>
          <w:b/>
          <w:bCs/>
          <w:sz w:val="28"/>
          <w:szCs w:val="28"/>
          <w:highlight w:val="none"/>
        </w:rPr>
      </w:r>
      <w:r>
        <w:rPr>
          <w:b/>
          <w:bCs/>
          <w:sz w:val="28"/>
          <w:szCs w:val="28"/>
          <w:highlight w:val="none"/>
        </w:rPr>
      </w:r>
    </w:p>
    <w:p>
      <w:pPr>
        <w:pBdr/>
        <w:shd w:val="nil" w:color="000000"/>
        <w:spacing/>
        <w:ind/>
        <w:rPr>
          <w:b/>
          <w:bCs/>
          <w:sz w:val="28"/>
          <w:szCs w:val="28"/>
          <w:highlight w:val="none"/>
        </w:rPr>
      </w:pPr>
      <w:r>
        <w:rPr>
          <w:b/>
          <w:bCs/>
          <w:sz w:val="28"/>
          <w:szCs w:val="28"/>
          <w:highlight w:val="none"/>
        </w:rPr>
      </w:r>
      <w:r>
        <w:rPr>
          <w:b/>
          <w:bCs/>
          <w:sz w:val="28"/>
          <w:szCs w:val="28"/>
          <w:highlight w:val="none"/>
        </w:rPr>
      </w:r>
      <w:r>
        <w:rPr>
          <w:b/>
          <w:bCs/>
          <w:sz w:val="28"/>
          <w:szCs w:val="28"/>
          <w:highlight w:val="none"/>
        </w:rPr>
      </w:r>
    </w:p>
    <w:p>
      <w:pPr>
        <w:pBdr/>
        <w:shd w:val="nil" w:color="000000"/>
        <w:spacing/>
        <w:ind/>
        <w:rPr>
          <w:b/>
          <w:bCs/>
          <w:sz w:val="28"/>
          <w:szCs w:val="28"/>
          <w:highlight w:val="none"/>
        </w:rPr>
      </w:pPr>
      <w:r>
        <w:rPr>
          <w:b/>
          <w:bCs/>
          <w:sz w:val="28"/>
          <w:szCs w:val="28"/>
          <w:highlight w:val="none"/>
        </w:rPr>
      </w:r>
      <w:r>
        <w:rPr>
          <w:b/>
          <w:bCs/>
          <w:sz w:val="28"/>
          <w:szCs w:val="28"/>
          <w:highlight w:val="none"/>
        </w:rPr>
      </w:r>
      <w:r>
        <w:rPr>
          <w:b/>
          <w:bCs/>
          <w:sz w:val="28"/>
          <w:szCs w:val="28"/>
          <w:highlight w:val="none"/>
        </w:rPr>
      </w:r>
    </w:p>
    <w:p>
      <w:pPr>
        <w:pBdr/>
        <w:shd w:val="nil" w:color="000000"/>
        <w:spacing/>
        <w:ind/>
        <w:rPr>
          <w:b/>
          <w:bCs/>
          <w:sz w:val="28"/>
          <w:szCs w:val="28"/>
          <w:highlight w:val="none"/>
        </w:rPr>
      </w:pPr>
      <w:r>
        <w:rPr>
          <w:b/>
          <w:sz w:val="28"/>
          <w:highlight w:val="none"/>
        </w:rPr>
      </w:r>
      <w:r>
        <w:rPr>
          <w:b/>
          <w:sz w:val="28"/>
          <w:highlight w:val="none"/>
        </w:rPr>
      </w:r>
      <w:r>
        <w:rPr>
          <w:b/>
          <w:sz w:val="28"/>
          <w:highlight w:val="none"/>
        </w:rPr>
      </w:r>
    </w:p>
    <w:p>
      <w:pPr>
        <w:pStyle w:val="100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07"/>
        <w:pBdr/>
        <w:tabs>
          <w:tab w:val="left" w:leader="none" w:pos="5103"/>
        </w:tabs>
        <w:spacing w:line="360" w:lineRule="auto"/>
        <w:ind/>
        <w:jc w:val="left"/>
        <w:rPr>
          <w:b/>
          <w:sz w:val="22"/>
          <w:szCs w:val="22"/>
          <w:lang w:val="pt-BR"/>
        </w:rPr>
      </w:pPr>
      <w:r>
        <w:rPr>
          <w:b/>
          <w:sz w:val="22"/>
          <w:szCs w:val="22"/>
          <w:lang w:val="pt-BR"/>
        </w:rPr>
      </w:r>
      <w:r>
        <w:rPr>
          <w:b/>
          <w:sz w:val="22"/>
          <w:szCs w:val="22"/>
          <w:lang w:val="pt-BR"/>
        </w:rPr>
      </w:r>
      <w:r>
        <w:rPr>
          <w:b/>
          <w:sz w:val="22"/>
          <w:szCs w:val="22"/>
          <w:lang w:val="pt-BR"/>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r/>
    </w:p>
    <w:tbl>
      <w:tblPr>
        <w:tblStyle w:val="1012"/>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4-21</w:t>
            </w:r>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21-28</w:t>
            </w:r>
            <w:r/>
            <w:r/>
          </w:p>
        </w:tc>
      </w:tr>
    </w:tbl>
    <w:p>
      <w:pPr>
        <w:pStyle w:val="100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0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0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0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Bdr/>
        <w:spacing/>
        <w:ind/>
        <w:rPr/>
      </w:pPr>
      <w:r>
        <w:br w:type="page" w:clear="all"/>
      </w:r>
      <w:r/>
    </w:p>
    <w:tbl>
      <w:tblPr>
        <w:tblInd w:w="-284" w:type="dxa"/>
        <w:tblW w:w="9808" w:type="dxa"/>
        <w:tblBorders/>
        <w:tblLayout w:type="fixed"/>
        <w:tblLook w:val="04A0" w:firstRow="1" w:lastRow="0" w:firstColumn="1" w:lastColumn="0" w:noHBand="0" w:noVBand="1"/>
      </w:tblPr>
      <w:tblGrid>
        <w:gridCol w:w="1588"/>
        <w:gridCol w:w="3302"/>
        <w:gridCol w:w="4890"/>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2"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7942" name="Picture 3" descr="Logo, company name&#10;&#10;Description automatically generated"/>
                              <pic:cNvPicPr>
                                <a:picLocks noChangeAspect="1"/>
                              </pic:cNvPicPr>
                              <pic:nvPr/>
                            </pic:nvPicPr>
                            <pic:blipFill rotWithShape="1">
                              <a:blip r:embed="rId12"/>
                              <a:stretch/>
                            </pic:blipFill>
                            <pic:spPr bwMode="auto">
                              <a:xfrm rot="0" flipH="0" flipV="0">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0.15pt;height:72.60pt;mso-wrap-distance-left:0.00pt;mso-wrap-distance-top:0.00pt;mso-wrap-distance-right:0.00pt;mso-wrap-distance-bottom:0.00pt;rotation:0;z-index:1;" stroked="f">
                      <v:imagedata r:id="rId12"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3" w:tooltip="mailto:ilotus.contact@gmail.com" w:history="1">
              <w:r>
                <w:rPr>
                  <w:rStyle w:val="99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07"/>
              <w:pBdr/>
              <w:spacing w:after="60"/>
              <w:ind/>
              <w:rPr>
                <w:color w:val="000000" w:themeColor="text1"/>
                <w:sz w:val="24"/>
                <w:szCs w:val="24"/>
              </w:rPr>
            </w:pPr>
            <w:r>
              <w:rPr>
                <w:rStyle w:val="1006"/>
                <w:rFonts w:ascii="Times New Roman" w:hAnsi="Times New Roman"/>
                <w:color w:val="000000" w:themeColor="text1"/>
                <w:lang w:val="pt-BR"/>
              </w:rPr>
              <w:t xml:space="preserve">Số: </w:t>
            </w:r>
            <w:r>
              <w:rPr>
                <w:rStyle w:val="1006"/>
                <w:rFonts w:ascii="Times New Roman" w:hAnsi="Times New Roman"/>
                <w:color w:val="000000" w:themeColor="text1"/>
                <w:lang w:val="pt-BR"/>
              </w:rPr>
              <w:t xml:space="preserve">275/2026/0646/VFI-CT.48.A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07"/>
              <w:pBdr/>
              <w:spacing w:after="60"/>
              <w:ind w:right="-56"/>
              <w:jc w:val="right"/>
              <w:rPr>
                <w:color w:val="000000" w:themeColor="text1"/>
                <w:sz w:val="24"/>
                <w:szCs w:val="24"/>
                <w:lang w:val="vi-VN"/>
              </w:rPr>
            </w:pPr>
            <w:r>
              <w:rPr>
                <w:rStyle w:val="1006"/>
                <w:rFonts w:ascii="Times New Roman" w:hAnsi="Times New Roman"/>
                <w:i/>
                <w:color w:val="auto"/>
              </w:rPr>
              <w:t xml:space="preserve">TP. Hà Nội</w:t>
            </w:r>
            <w:r>
              <w:rPr>
                <w:rStyle w:val="1006"/>
                <w:rFonts w:ascii="Times New Roman" w:hAnsi="Times New Roman"/>
                <w:i/>
                <w:color w:val="auto"/>
                <w:lang w:val="vi-VN"/>
              </w:rPr>
              <w:t xml:space="preserve">, </w:t>
            </w:r>
            <w:r>
              <w:rPr>
                <w:rStyle w:val="1006"/>
                <w:rFonts w:ascii="Times New Roman" w:hAnsi="Times New Roman"/>
                <w:i/>
                <w:color w:val="000000" w:themeColor="text1"/>
                <w:lang w:val="vi-VN"/>
              </w:rPr>
              <w:t xml:space="preserve">ngày 28 tháng 4 năm 2026</w:t>
            </w:r>
            <w:r>
              <w:rPr>
                <w:color w:val="000000" w:themeColor="text1"/>
                <w:sz w:val="24"/>
                <w:szCs w:val="24"/>
                <w:lang w:val="vi-VN"/>
              </w:rPr>
            </w:r>
            <w:r>
              <w:rPr>
                <w:color w:val="000000" w:themeColor="text1"/>
                <w:sz w:val="24"/>
                <w:szCs w:val="24"/>
                <w:lang w:val="vi-VN"/>
              </w:rPr>
            </w:r>
          </w:p>
        </w:tc>
      </w:tr>
    </w:tbl>
    <w:p>
      <w:pPr>
        <w:pStyle w:val="1007"/>
        <w:pBdr/>
        <w:spacing w:after="120" w:before="200" w:line="288" w:lineRule="auto"/>
        <w:ind/>
        <w:jc w:val="center"/>
        <w:rPr>
          <w:rStyle w:val="1006"/>
          <w:rFonts w:ascii="Times New Roman" w:hAnsi="Times New Roman"/>
          <w:b/>
          <w:bCs/>
          <w:color w:val="auto"/>
          <w:sz w:val="30"/>
          <w:szCs w:val="30"/>
          <w:lang w:val="vi-VN"/>
        </w:rPr>
      </w:pPr>
      <w:r>
        <w:rPr>
          <w:rStyle w:val="1006"/>
          <w:rFonts w:ascii="Times New Roman" w:hAnsi="Times New Roman"/>
          <w:b/>
          <w:bCs/>
          <w:color w:val="auto"/>
          <w:sz w:val="30"/>
          <w:szCs w:val="30"/>
          <w:lang w:val="vi-VN"/>
        </w:rPr>
        <w:t xml:space="preserve">CHỨNG THƯ THẨM ĐỊNH GIÁ</w:t>
      </w:r>
      <w:r>
        <w:rPr>
          <w:rStyle w:val="1006"/>
          <w:rFonts w:ascii="Times New Roman" w:hAnsi="Times New Roman"/>
          <w:b/>
          <w:bCs/>
          <w:color w:val="auto"/>
          <w:sz w:val="30"/>
          <w:szCs w:val="30"/>
          <w:lang w:val="vi-VN"/>
        </w:rPr>
      </w:r>
      <w:r>
        <w:rPr>
          <w:rStyle w:val="1006"/>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CHĂN GA GỐI ĐỆM ELAN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275/2026/0646/VFI-HĐTĐ.48.A</w:t>
      </w:r>
      <w:r>
        <w:rPr>
          <w:color w:val="000000" w:themeColor="text1"/>
          <w:spacing w:val="-4"/>
        </w:rPr>
        <w:t xml:space="preserve"> </w:t>
      </w:r>
      <w:r>
        <w:rPr>
          <w:spacing w:val="-4"/>
          <w:lang w:val="vi-VN"/>
        </w:rPr>
        <w:t xml:space="preserve">ký ngày </w:t>
      </w:r>
      <w:r>
        <w:rPr>
          <w:color w:val="000000" w:themeColor="text1"/>
          <w:spacing w:val="-4"/>
        </w:rPr>
        <w:t xml:space="preserve">7 tháng 4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chăn ga gối đệm Elan</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275/2026/0646/VFI-BC.48.A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3"/>
        <w:gridCol w:w="439"/>
        <w:gridCol w:w="6763"/>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CHĂN GA GỐI ĐỆM ELAN</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80 Quang Trung, phường Hồng Bàng, thành phố Hải Phòng, Việt Nam</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0200727018</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 </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Bà Nguyễn Thị Hảo</w:t>
            </w:r>
            <w:r>
              <w:rPr>
                <w:rFonts w:ascii="Times New Roman" w:hAnsi="Times New Roman" w:eastAsia="Times New Roman" w:cs="Times New Roman"/>
                <w:color w:val="000000"/>
                <w:sz w:val="24"/>
              </w:rPr>
              <w:t xml:space="preserve">                                Chức vụ: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 </w:t>
            </w:r>
            <w:r>
              <w:rPr>
                <w:bCs/>
              </w:rPr>
              <w:t xml:space="preserve">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 </w:t>
      </w:r>
      <w:r>
        <w:rPr>
          <w:rFonts w:ascii="Times New Roman" w:hAnsi="Times New Roman" w:eastAsia="Times New Roman" w:cs="Times New Roman"/>
          <w:color w:val="000000"/>
          <w:sz w:val="24"/>
        </w:rPr>
        <w:t xml:space="preserve">Quyền sử dụng đất tại thửa đất số: 14, tờ bản đồ số: 11 có địa chỉ: Phường An Dương, thành phố Hải Phòng theo Giấy chứng nhận Quyền sử dụng đất, quyền sở hữu tài sản gắn liền với đất số: AA 06811543, số vào sổ cấp Giấy chứng nhận: CN16702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2: </w:t>
      </w:r>
      <w:r>
        <w:rPr>
          <w:rFonts w:ascii="Times New Roman" w:hAnsi="Times New Roman" w:eastAsia="Times New Roman" w:cs="Times New Roman"/>
          <w:color w:val="000000"/>
          <w:sz w:val="24"/>
        </w:rPr>
        <w:t xml:space="preserve">Quyền sử dụng đất tại thửa đất số: 13 và 75, tờ bản đồ số: 11 có địa chỉ: Phường An Dương, thành phố Hải Phòng theo Giấy chứng nhận Quyền sử dụng đất, quyền sở hữu tài sản gắn liền với đất số: AA 06813207, số vào sổ cấp Giấy chứng nhận: CN16400 do Chi nhán</w:t>
      </w:r>
      <w:r>
        <w:rPr>
          <w:rFonts w:ascii="Times New Roman" w:hAnsi="Times New Roman" w:eastAsia="Times New Roman" w:cs="Times New Roman"/>
          <w:color w:val="000000"/>
          <w:sz w:val="24"/>
        </w:rPr>
        <w:t xml:space="preserve">h Văn 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3: </w:t>
      </w:r>
      <w:r>
        <w:rPr>
          <w:rFonts w:ascii="Times New Roman" w:hAnsi="Times New Roman" w:eastAsia="Times New Roman" w:cs="Times New Roman"/>
          <w:color w:val="000000"/>
          <w:sz w:val="24"/>
        </w:rPr>
        <w:t xml:space="preserve">Quyền sử dụng đất tại thửa đất số: 76, tờ bản đồ số: 11 có địa chỉ: Phường An Dương, thành phố Hải Phòng theo Giấy chứng nhận Quyền sử dụng đất, quyền sở hữu tài sản gắn liền với đất số: AA 06813206, số vào sổ cấp Giấy chứng nhận: CN16399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4: </w:t>
      </w:r>
      <w:r>
        <w:rPr>
          <w:rFonts w:ascii="Times New Roman" w:hAnsi="Times New Roman" w:eastAsia="Times New Roman" w:cs="Times New Roman"/>
          <w:color w:val="000000"/>
          <w:sz w:val="24"/>
        </w:rPr>
        <w:t xml:space="preserve">Quyền sử dụng đất tại thửa đất số: 77, tờ bản đồ số: 11 có địa chỉ: Phường An Dương, thành phố Hải Phòng theo Giấy chứng nhận Quyền sử dụng đất, quyền sở hữu tài sản gắn liền với đất số: AA 06813211, số vào sổ cấp Giấy chứng nhận: CN16404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5: </w:t>
      </w:r>
      <w:r>
        <w:rPr>
          <w:rFonts w:ascii="Times New Roman" w:hAnsi="Times New Roman" w:eastAsia="Times New Roman" w:cs="Times New Roman"/>
          <w:color w:val="000000"/>
          <w:sz w:val="24"/>
        </w:rPr>
        <w:t xml:space="preserve">Quyền sử dụng đất tại thửa đất số: 78, tờ bản đồ số: 11 có địa chỉ: Phường An Dương, thành phố Hải Phòng theo Giấy chứng nhận Quyền sử dụng đất, quyền sở hữu tài sản gắn liền với đất số: AA 06813350, số vào sổ cấp Giấy chứng nhận: CN16527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6: </w:t>
      </w:r>
      <w:r>
        <w:rPr>
          <w:rFonts w:ascii="Times New Roman" w:hAnsi="Times New Roman" w:eastAsia="Times New Roman" w:cs="Times New Roman"/>
          <w:color w:val="000000"/>
          <w:sz w:val="24"/>
        </w:rPr>
        <w:t xml:space="preserve">Quyền sử dụng đất tại thửa đất số: 79, tờ bản đồ số: 11 có địa chỉ: Phường An Dương, thành phố Hải Phòng theo Giấy chứng nhận Quyền sử dụng đất, quyền sở hữu tài sản gắn liền với đất số: AA 06813349, số vào sổ cấp Giấy chứng nhận: CN16526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7: </w:t>
      </w:r>
      <w:r>
        <w:rPr>
          <w:rFonts w:ascii="Times New Roman" w:hAnsi="Times New Roman" w:eastAsia="Times New Roman" w:cs="Times New Roman"/>
          <w:color w:val="000000"/>
          <w:sz w:val="24"/>
        </w:rPr>
        <w:t xml:space="preserve">Quyền sử dụng đất tại thửa đất số: 80, tờ bản đồ số: 11 có địa chỉ: Phường An Dương, thành phố Hải Phòng theo Giấy chứng nhận Quyền sử dụng đất, quyền sở hữu tài sản gắn liền với đất số: AA 06813212, số vào sổ cấp Giấy chứng nhận: CN16405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8: </w:t>
      </w:r>
      <w:r>
        <w:rPr>
          <w:rFonts w:ascii="Times New Roman" w:hAnsi="Times New Roman" w:eastAsia="Times New Roman" w:cs="Times New Roman"/>
          <w:color w:val="000000"/>
          <w:sz w:val="24"/>
        </w:rPr>
        <w:t xml:space="preserve">Quyền sử dụng đất tại thửa đất số: 81, tờ bản đồ số: 11 có địa chỉ: Phường An Dương, thành phố Hải Phòng theo Giấy chứng nhận Quyền sử dụng đất, quyền sở hữu tài sản gắn liền với đất số: AA 06813209, số vào sổ cấp Giấy chứng nhận: CN16402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9: </w:t>
      </w:r>
      <w:r>
        <w:rPr>
          <w:rFonts w:ascii="Times New Roman" w:hAnsi="Times New Roman" w:eastAsia="Times New Roman" w:cs="Times New Roman"/>
          <w:color w:val="000000"/>
          <w:sz w:val="24"/>
        </w:rPr>
        <w:t xml:space="preserve">Quyền sử dụng đất tại thửa đất số: 06, tờ bản đồ số: 12 có địa chỉ: Phường An Dương, thành phố Hải Phòng theo Giấy chứng nhận Quyền sử dụng đất, quyền sở hữu tài sản gắn liền với đất số: AA 06813213, số vào sổ cấp Giấy chứng nhận: CN16406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10: </w:t>
      </w:r>
      <w:r>
        <w:rPr>
          <w:rFonts w:ascii="Times New Roman" w:hAnsi="Times New Roman" w:eastAsia="Times New Roman" w:cs="Times New Roman"/>
          <w:color w:val="000000"/>
          <w:sz w:val="24"/>
        </w:rPr>
        <w:t xml:space="preserve">Quyền sử dụng đất tại thửa đất số: 07, tờ bản đồ số: 12 có địa chỉ: Phường An Dương, thành phố Hải Phòng theo Giấy chứng nhận Quyền sử dụng đất, quyền sở hữu tài sản gắn liền với đất số: AA 06813210, số vào sổ cấp Giấy chứng nhận: CN16403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11: </w:t>
      </w:r>
      <w:r>
        <w:rPr>
          <w:rFonts w:ascii="Times New Roman" w:hAnsi="Times New Roman" w:eastAsia="Times New Roman" w:cs="Times New Roman"/>
          <w:color w:val="000000"/>
          <w:sz w:val="24"/>
        </w:rPr>
        <w:t xml:space="preserve">Quyền sử dụng đất tại thửa đất số: 08, tờ bản đồ số: 12 có địa chỉ: Phường An Dương, thành phố Hải Phòng theo Giấy chứng nhận Quyền sử dụng đất, quyền sở hữu tài sản gắn liền với đất số: AA 06813351, số vào sổ cấp Giấy chứng nhận: CN16528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12: </w:t>
      </w:r>
      <w:r>
        <w:rPr>
          <w:rFonts w:ascii="Times New Roman" w:hAnsi="Times New Roman" w:eastAsia="Times New Roman" w:cs="Times New Roman"/>
          <w:color w:val="000000"/>
          <w:sz w:val="24"/>
        </w:rPr>
        <w:t xml:space="preserve">Quyền sử dụng đất tại thửa đất số: 09, tờ bản đồ số: 12 có địa chỉ: Phường An Dương, thành phố Hải Phòng theo Giấy chứng nhận Quyền sử dụng đất, quyền sở hữu tài sản gắn liền với đất số: AA 0681208, số vào sổ cấp Giấy chứng nhận: CN16401 do Chi nhánh Văn p</w:t>
      </w:r>
      <w:r>
        <w:rPr>
          <w:rFonts w:ascii="Times New Roman" w:hAnsi="Times New Roman" w:eastAsia="Times New Roman" w:cs="Times New Roman"/>
          <w:color w:val="000000"/>
          <w:sz w:val="24"/>
        </w:rPr>
        <w:t xml:space="preserve">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13: </w:t>
      </w:r>
      <w:r>
        <w:rPr>
          <w:rFonts w:ascii="Times New Roman" w:hAnsi="Times New Roman" w:eastAsia="Times New Roman" w:cs="Times New Roman"/>
          <w:color w:val="000000"/>
          <w:sz w:val="24"/>
        </w:rPr>
        <w:t xml:space="preserve">Quyền sử dụng đất tại thửa đất số: 91, tờ bản đồ số: 11 có địa chỉ: Phường An Dương, thành phố Hải Phòng theo Giấy chứng nhận Quyền sử dụng đất, quyền sở hữu tài sản gắn liền với đất số: AA 06811542, số vào sổ cấp Giấy chứng nhận: CN16701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p>
      <w:pPr>
        <w:pBdr/>
        <w:spacing w:after="120" w:before="120" w:line="278" w:lineRule="auto"/>
        <w:ind/>
        <w:jc w:val="both"/>
        <w:rPr/>
      </w:pPr>
      <w:r>
        <w:rPr>
          <w:rFonts w:ascii="Times New Roman" w:hAnsi="Times New Roman" w:eastAsia="Times New Roman" w:cs="Times New Roman"/>
          <w:b/>
          <w:color w:val="000000"/>
          <w:sz w:val="24"/>
        </w:rPr>
        <w:t xml:space="preserve">Tài sản thẩm định 14: </w:t>
      </w:r>
      <w:r>
        <w:rPr>
          <w:rFonts w:ascii="Times New Roman" w:hAnsi="Times New Roman" w:eastAsia="Times New Roman" w:cs="Times New Roman"/>
          <w:color w:val="000000"/>
          <w:sz w:val="24"/>
        </w:rPr>
        <w:t xml:space="preserve">Quyền sử dụng đất tại thửa đất số: 92, tờ bản đồ số: 11 có địa chỉ: Phường An Dương, thành phố Hải Phòng theo Giấy chứng nhận Quyền sử dụng đất, quyền sở hữu tài sản gắn liền với đất số: AA 06811544, số vào sổ cấp Giấy chứng nhận: CN16703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rPr>
          <w:color w:val="000000" w:themeColor="text1"/>
        </w:rPr>
      </w:r>
      <w:r/>
    </w:p>
    <w:p>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40"/>
        <w:gridCol w:w="3178"/>
        <w:gridCol w:w="1554"/>
        <w:gridCol w:w="1984"/>
        <w:gridCol w:w="2126"/>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14, tờ bản đồ số: 11 có địa chỉ: Phường An Dương, thành phố Hải Phòng theo Giấy chứng nhận Quyền sử dụng đất, quyền sở hữu tài sản gắn liền với đất số: AA 06811543, số vào sổ cấp Giấy chứng nhận: CN16702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699,0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1.572.750.000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13 và 75, tờ bản đồ số: 11 có địa chỉ: Phường An Dương, thành phố Hải Phòng theo Giấy chứng nhận Quyền sử dụng đất, quyền sở hữu tài sản gắn liền với đất số: AA 06813207, số vào sổ cấp Giấy chứng nhận: CN16400 do Chi nhán</w:t>
            </w:r>
            <w:r>
              <w:rPr>
                <w:rFonts w:ascii="Times New Roman" w:hAnsi="Times New Roman" w:eastAsia="Times New Roman" w:cs="Times New Roman"/>
                <w:color w:val="000000"/>
                <w:sz w:val="24"/>
              </w:rPr>
              <w:t xml:space="preserve">h Văn phòng đăng ký đất đai An Dương cấp ngày 06/02/2026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Đất trồng lúa (Thửa đất số 13, tờ bản đồ số 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967.500.000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lúa (Thửa đất số 75, tờ bản đồ số 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1.216,0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1.824.000.000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76, tờ bản đồ số: 11 có địa chỉ: Phường An Dương, thành phố Hải Phòng theo Giấy chứng nhận Quyền sử dụng đất, quyền sở hữu tài sản gắn liền với đất số: AA 06813206, số vào sổ cấp Giấy chứng nhận: CN16399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1.080.000.000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77, tờ bản đồ số: 11 có địa chỉ: Phường An Dương, thành phố Hải Phòng theo Giấy chứng nhận Quyền sử dụng đất, quyền sở hữu tài sản gắn liền với đất số: AA 06813211, số vào sổ cấp Giấy chứng nhận: CN16404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1.089.000.000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78, tờ bản đồ số: 11 có địa chỉ: Phường An Dương, thành phố Hải Phòng theo Giấy chứng nhận Quyền sử dụng đất, quyền sở hữu tài sản gắn liền với đất số: AA 06813350, số vào sổ cấp Giấy chứng nhận: CN16527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118,0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177.000.000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79, tờ bản đồ số: 11 có địa chỉ: Phường An Dương, thành phố Hải Phòng theo Giấy chứng nhận Quyền sử dụng đất, quyền sở hữu tài sản gắn liền với đất số: AA 06813349, số vào sổ cấp Giấy chứng nhận: CN16526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738,0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1.107.000.000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80, tờ bản đồ số: 11 có địa chỉ: Phường An Dương, thành phố Hải Phòng theo Giấy chứng nhận Quyền sử dụng đất, quyền sở hữu tài sản gắn liền với đất số: AA 06813212, số vào sổ cấp Giấy chứng nhận: CN16405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526,0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789.000.000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81, tờ bản đồ số: 11 có địa chỉ: Phường An Dương, thành phố Hải Phòng theo Giấy chứng nhận Quyền sử dụng đất, quyền sở hữu tài sản gắn liền với đất số: AA 06813209, số vào sổ cấp Giấy chứng nhận: CN16402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371,0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556.500.000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06, tờ bản đồ số: 12 có địa chỉ: Phường An Dương, thành phố Hải Phòng theo Giấy chứng nhận Quyền sử dụng đất, quyền sở hữu tài sản gắn liền với đất số: AA 06813213, số vào sổ cấp Giấy chứng nhận: CN16406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870,0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1.044.000.000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07, tờ bản đồ số: 12 có địa chỉ: Phường An Dương, thành phố Hải Phòng theo Giấy chứng nhận Quyền sử dụng đất, quyền sở hữu tài sản gắn liền với đất số: AA 06813210, số vào sổ cấp Giấy chứng nhận: CN16403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468,0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561.600.000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08, tờ bản đồ số: 12 có địa chỉ: Phường An Dương, thành phố Hải Phòng theo Giấy chứng nhận Quyền sử dụng đất, quyền sở hữu tài sản gắn liền với đất số: AA 06813351, số vào sổ cấp Giấy chứng nhận: CN16528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960.000.000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09, tờ bản đồ số: 12 có địa chỉ: Phường An Dương, thành phố Hải Phòng theo Giấy chứng nhận Quyền sử dụng đất, quyền sở hữu tài sản gắn liền với đất số: AA 0681208, số vào sổ cấp Giấy chứng nhận: CN16401 do Chi nhánh Văn p</w:t>
            </w:r>
            <w:r>
              <w:rPr>
                <w:rFonts w:ascii="Times New Roman" w:hAnsi="Times New Roman" w:eastAsia="Times New Roman" w:cs="Times New Roman"/>
                <w:color w:val="000000"/>
                <w:sz w:val="24"/>
              </w:rPr>
              <w:t xml:space="preserve">hòng đăng ký đất đai An Dương cấp ngày 06/02/2026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480.000.000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91, tờ bản đồ số: 11 có địa chỉ: Phường An Dương, thành phố Hải Phòng theo Giấy chứng nhận Quyền sử dụng đất, quyền sở hữu tài sản gắn liền với đất số: AA 06811542, số vào sổ cấp Giấy chứng nhận: CN16701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740.000.000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92, tờ bản đồ số: 11 có địa chỉ: Phường An Dương, thành phố Hải Phòng theo Giấy chứng nhận Quyền sử dụng đất, quyền sở hữu tài sản gắn liền với đất số: AA 06811544, số vào sổ cấp Giấy chứng nhận: CN16703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spacing w:after="0" w:before="0" w:line="240"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290,0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232.000.000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tcPr>
          <w:p>
            <w:pPr>
              <w:pBdr/>
              <w:spacing w:after="0" w:before="0" w:line="240" w:lineRule="auto"/>
              <w:ind/>
              <w:rPr/>
            </w:pPr>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13.180.350.000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tcPr>
          <w:p>
            <w:pPr>
              <w:pBdr/>
              <w:spacing w:after="0" w:before="0" w:line="240" w:lineRule="auto"/>
              <w:ind/>
              <w:rPr/>
            </w:pPr>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1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13.180.000.000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tcPr>
          <w:p>
            <w:pPr>
              <w:pBdr/>
              <w:spacing w:after="0" w:before="0" w:line="240" w:lineRule="auto"/>
              <w:ind/>
              <w:rPr/>
            </w:pPr>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Mười ba tỷ một trăm tám mươi triệu đồng./.</w:t>
            </w: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705"/>
        <w:gridCol w:w="4819"/>
      </w:tblGrid>
      <w:tr>
        <w:trPr>
          <w:trHeight w:val="20"/>
        </w:trPr>
        <w:tc>
          <w:tcPr>
            <w:tcBorders/>
            <w:tcW w:w="4705"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819"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705"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819"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705"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819"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10205" w:type="dxa"/>
        <w:tblBorders/>
        <w:tblLayout w:type="fixed"/>
        <w:tblLook w:val="04A0" w:firstRow="1" w:lastRow="0" w:firstColumn="1" w:lastColumn="0" w:noHBand="0" w:noVBand="1"/>
      </w:tblPr>
      <w:tblGrid>
        <w:gridCol w:w="1729"/>
        <w:gridCol w:w="113"/>
        <w:gridCol w:w="3260"/>
        <w:gridCol w:w="4989"/>
        <w:gridCol w:w="113"/>
      </w:tblGrid>
      <w:tr>
        <w:trPr>
          <w:gridAfter w:val="1"/>
          <w:trHeight w:val="1094"/>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2"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4" w:tooltip="mailto:ilotus.contact@gmail.com" w:history="1">
              <w:r>
                <w:rPr>
                  <w:rStyle w:val="99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373"/>
        </w:trPr>
        <w:tc>
          <w:tcPr>
            <w:gridSpan w:val="3"/>
            <w:shd w:val="clear" w:color="auto" w:fill="auto"/>
            <w:tcBorders/>
            <w:tcMar>
              <w:left w:w="108" w:type="dxa"/>
              <w:top w:w="0" w:type="dxa"/>
              <w:right w:w="108" w:type="dxa"/>
              <w:bottom w:w="0" w:type="dxa"/>
            </w:tcMar>
            <w:tcW w:w="5102" w:type="dxa"/>
            <w:textDirection w:val="lrTb"/>
            <w:noWrap w:val="false"/>
          </w:tcPr>
          <w:p>
            <w:pPr>
              <w:pStyle w:val="1007"/>
              <w:pBdr/>
              <w:spacing w:after="60"/>
              <w:ind/>
              <w:rPr>
                <w:color w:val="000000" w:themeColor="text1"/>
                <w:sz w:val="24"/>
                <w:szCs w:val="24"/>
              </w:rPr>
            </w:pPr>
            <w:r>
              <w:rPr>
                <w:rStyle w:val="1006"/>
                <w:rFonts w:ascii="Times New Roman" w:hAnsi="Times New Roman"/>
                <w:color w:val="000000" w:themeColor="text1"/>
                <w:lang w:val="pt-BR"/>
              </w:rPr>
              <w:t xml:space="preserve">Số: </w:t>
            </w:r>
            <w:r>
              <w:rPr>
                <w:rStyle w:val="1006"/>
                <w:rFonts w:ascii="Times New Roman" w:hAnsi="Times New Roman"/>
                <w:color w:val="000000" w:themeColor="text1"/>
                <w:lang w:val="pt-BR"/>
              </w:rPr>
              <w:t xml:space="preserve">275/2026/0646/VFI-BC.48.A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102" w:type="dxa"/>
            <w:textDirection w:val="lrTb"/>
            <w:noWrap w:val="false"/>
          </w:tcPr>
          <w:p>
            <w:pPr>
              <w:pStyle w:val="1007"/>
              <w:pBdr/>
              <w:spacing w:after="60"/>
              <w:ind w:right="-56"/>
              <w:jc w:val="right"/>
              <w:rPr>
                <w:color w:val="000000" w:themeColor="text1"/>
                <w:sz w:val="24"/>
                <w:szCs w:val="24"/>
                <w:lang w:val="vi-VN"/>
              </w:rPr>
            </w:pPr>
            <w:r>
              <w:rPr>
                <w:rStyle w:val="1006"/>
                <w:rFonts w:ascii="Times New Roman" w:hAnsi="Times New Roman"/>
                <w:i/>
                <w:color w:val="auto"/>
              </w:rPr>
              <w:t xml:space="preserve">TP. Hà Nội</w:t>
            </w:r>
            <w:r>
              <w:rPr>
                <w:rStyle w:val="1006"/>
                <w:rFonts w:ascii="Times New Roman" w:hAnsi="Times New Roman"/>
                <w:i/>
                <w:color w:val="auto"/>
                <w:lang w:val="vi-VN"/>
              </w:rPr>
              <w:t xml:space="preserve">, </w:t>
            </w:r>
            <w:r>
              <w:rPr>
                <w:rStyle w:val="1006"/>
                <w:rFonts w:ascii="Times New Roman" w:hAnsi="Times New Roman"/>
                <w:i/>
                <w:color w:val="000000" w:themeColor="text1"/>
                <w:lang w:val="vi-VN"/>
              </w:rPr>
              <w:t xml:space="preserve">ngày 28 tháng 4 năm 2026</w:t>
            </w:r>
            <w:r>
              <w:rPr>
                <w:color w:val="000000" w:themeColor="text1"/>
                <w:sz w:val="24"/>
                <w:szCs w:val="24"/>
                <w:lang w:val="vi-VN"/>
              </w:rPr>
            </w:r>
            <w:r>
              <w:rPr>
                <w:color w:val="000000" w:themeColor="text1"/>
                <w:sz w:val="24"/>
                <w:szCs w:val="24"/>
                <w:lang w:val="vi-VN"/>
              </w:rPr>
            </w:r>
          </w:p>
        </w:tc>
      </w:tr>
    </w:tbl>
    <w:p>
      <w:pPr>
        <w:pStyle w:val="100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98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275/2026/0646/VFI-CT.48.A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98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0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08"/>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CHĂN GA GỐI ĐỆM ELAN</w:t>
            </w:r>
            <w:r/>
          </w:p>
        </w:tc>
      </w:tr>
      <w:tr>
        <w:trPr>
          <w:trHeight w:val="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80 Quang Trung, phường Hồng Bàng, thành phố Hải Phòng, Việt Nam</w:t>
            </w:r>
            <w:r/>
          </w:p>
        </w:tc>
      </w:tr>
      <w:tr>
        <w:trPr>
          <w:trHeight w:val="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0200727018</w:t>
            </w:r>
            <w:r/>
          </w:p>
        </w:tc>
      </w:tr>
      <w:tr>
        <w:trPr>
          <w:trHeight w:val="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Đại diện </w:t>
            </w: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Bà Nguyễn Thị Hảo</w:t>
            </w:r>
            <w:r>
              <w:rPr>
                <w:rFonts w:ascii="Times New Roman" w:hAnsi="Times New Roman" w:eastAsia="Times New Roman" w:cs="Times New Roman"/>
                <w:color w:val="000000"/>
                <w:sz w:val="24"/>
              </w:rPr>
              <w:t xml:space="preserve">                                Chức vụ: Giám đốc</w:t>
            </w:r>
            <w:r/>
          </w:p>
        </w:tc>
      </w:tr>
      <w:tr>
        <w:trPr>
          <w:trHeight w:val="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 </w:t>
            </w:r>
            <w:r>
              <w:rPr>
                <w:rFonts w:ascii="Times New Roman" w:hAnsi="Times New Roman" w:eastAsia="Times New Roman" w:cs="Times New Roman"/>
                <w:color w:val="000000"/>
                <w:sz w:val="24"/>
              </w:rPr>
              <w:t xml:space="preserve">Quyền sử dụng đất tại thửa đất số: 14, tờ bản đồ số: 11 có địa chỉ: Phường An Dương, thành phố Hải Phòng theo Giấy chứng nhận Quyền sử dụng đất, quyền sở hữu tài sản gắn liền với đất số: AA 06811543, số vào sổ cấp Giấy chứng nhận: CN16702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2: </w:t>
            </w:r>
            <w:r>
              <w:rPr>
                <w:rFonts w:ascii="Times New Roman" w:hAnsi="Times New Roman" w:eastAsia="Times New Roman" w:cs="Times New Roman"/>
                <w:color w:val="000000"/>
                <w:sz w:val="24"/>
              </w:rPr>
              <w:t xml:space="preserve">Quyền sử dụng đất tại thửa đất số: 13 và 75, tờ bản đồ số: 11 có địa chỉ: Phường An Dương, thành phố Hải Phòng theo Giấy chứng nhận Quyền sử dụng đất, quyền sở hữu tài sản gắn liền với đất số: AA 06813207, số vào sổ cấp Giấy chứng nhận: CN16400 do Chi nhán</w:t>
            </w:r>
            <w:r>
              <w:rPr>
                <w:rFonts w:ascii="Times New Roman" w:hAnsi="Times New Roman" w:eastAsia="Times New Roman" w:cs="Times New Roman"/>
                <w:color w:val="000000"/>
                <w:sz w:val="24"/>
              </w:rPr>
              <w:t xml:space="preserve">h Văn 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3: </w:t>
            </w:r>
            <w:r>
              <w:rPr>
                <w:rFonts w:ascii="Times New Roman" w:hAnsi="Times New Roman" w:eastAsia="Times New Roman" w:cs="Times New Roman"/>
                <w:color w:val="000000"/>
                <w:sz w:val="24"/>
              </w:rPr>
              <w:t xml:space="preserve">Quyền sử dụng đất tại thửa đất số: 76, tờ bản đồ số: 11 có địa chỉ: Phường An Dương, thành phố Hải Phòng theo Giấy chứng nhận Quyền sử dụng đất, quyền sở hữu tài sản gắn liền với đất số: AA 06813206, số vào sổ cấp Giấy chứng nhận: CN16399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4: </w:t>
            </w:r>
            <w:r>
              <w:rPr>
                <w:rFonts w:ascii="Times New Roman" w:hAnsi="Times New Roman" w:eastAsia="Times New Roman" w:cs="Times New Roman"/>
                <w:color w:val="000000"/>
                <w:sz w:val="24"/>
              </w:rPr>
              <w:t xml:space="preserve">Quyền sử dụng đất tại thửa đất số: 77, tờ bản đồ số: 11 có địa chỉ: Phường An Dương, thành phố Hải Phòng theo Giấy chứng nhận Quyền sử dụng đất, quyền sở hữu tài sản gắn liền với đất số: AA 06813211, số vào sổ cấp Giấy chứng nhận: CN16404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5: </w:t>
            </w:r>
            <w:r>
              <w:rPr>
                <w:rFonts w:ascii="Times New Roman" w:hAnsi="Times New Roman" w:eastAsia="Times New Roman" w:cs="Times New Roman"/>
                <w:color w:val="000000"/>
                <w:sz w:val="24"/>
              </w:rPr>
              <w:t xml:space="preserve">Quyền sử dụng đất tại thửa đất số: 78, tờ bản đồ số: 11 có địa chỉ: Phường An Dương, thành phố Hải Phòng theo Giấy chứng nhận Quyền sử dụng đất, quyền sở hữu tài sản gắn liền với đất số: AA 06813350, số vào sổ cấp Giấy chứng nhận: CN16527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Tài sản thẩm định 6: </w:t>
            </w:r>
            <w:r>
              <w:rPr>
                <w:rFonts w:ascii="Times New Roman" w:hAnsi="Times New Roman" w:eastAsia="Times New Roman" w:cs="Times New Roman"/>
                <w:color w:val="000000"/>
                <w:sz w:val="24"/>
              </w:rPr>
              <w:t xml:space="preserve">Quyền sử dụng đất tại thửa đất số: 79, tờ bản đồ số: 11 có địa chỉ: Phường An Dương, thành phố Hải Phòng theo Giấy chứng nhận Quyền sử dụng đất, quyền sở hữu tài sản gắn liền với đất số: AA 06813349, số vào sổ cấp Giấy chứng nhận: CN16526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7: </w:t>
            </w:r>
            <w:r>
              <w:rPr>
                <w:rFonts w:ascii="Times New Roman" w:hAnsi="Times New Roman" w:eastAsia="Times New Roman" w:cs="Times New Roman"/>
                <w:color w:val="000000"/>
                <w:sz w:val="24"/>
              </w:rPr>
              <w:t xml:space="preserve">Quyền sử dụng đất tại thửa đất số: 80, tờ bản đồ số: 11 có địa chỉ: Phường An Dương, thành phố Hải Phòng theo Giấy chứng nhận Quyền sử dụng đất, quyền sở hữu tài sản gắn liền với đất số: AA 06813212, số vào sổ cấp Giấy chứng nhận: CN16405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8: </w:t>
            </w:r>
            <w:r>
              <w:rPr>
                <w:rFonts w:ascii="Times New Roman" w:hAnsi="Times New Roman" w:eastAsia="Times New Roman" w:cs="Times New Roman"/>
                <w:color w:val="000000"/>
                <w:sz w:val="24"/>
              </w:rPr>
              <w:t xml:space="preserve">Quyền sử dụng đất tại thửa đất số: 81, tờ bản đồ số: 11 có địa chỉ: Phường An Dương, thành phố Hải Phòng theo Giấy chứng nhận Quyền sử dụng đất, quyền sở hữu tài sản gắn liền với đất số: AA 06813209, số vào sổ cấp Giấy chứng nhận: CN16402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9: </w:t>
            </w:r>
            <w:r>
              <w:rPr>
                <w:rFonts w:ascii="Times New Roman" w:hAnsi="Times New Roman" w:eastAsia="Times New Roman" w:cs="Times New Roman"/>
                <w:color w:val="000000"/>
                <w:sz w:val="24"/>
              </w:rPr>
              <w:t xml:space="preserve">Quyền sử dụng đất tại thửa đất số: 06, tờ bản đồ số: 12 có địa chỉ: Phường An Dương, thành phố Hải Phòng theo Giấy chứng nhận Quyền sử dụng đất, quyền sở hữu tài sản gắn liền với đất số: AA 06813213, số vào sổ cấp Giấy chứng nhận: CN16406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10: </w:t>
            </w:r>
            <w:r>
              <w:rPr>
                <w:rFonts w:ascii="Times New Roman" w:hAnsi="Times New Roman" w:eastAsia="Times New Roman" w:cs="Times New Roman"/>
                <w:color w:val="000000"/>
                <w:sz w:val="24"/>
              </w:rPr>
              <w:t xml:space="preserve">Quyền sử dụng đất tại thửa đất số: 07, tờ bản đồ số: 12 có địa chỉ: Phường An Dương, thành phố Hải Phòng theo Giấy chứng nhận Quyền sử dụng đất, quyền sở hữu tài sản gắn liền với đất số: AA 06813210, số vào sổ cấp Giấy chứng nhận: CN16403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11: </w:t>
            </w:r>
            <w:r>
              <w:rPr>
                <w:rFonts w:ascii="Times New Roman" w:hAnsi="Times New Roman" w:eastAsia="Times New Roman" w:cs="Times New Roman"/>
                <w:color w:val="000000"/>
                <w:sz w:val="24"/>
              </w:rPr>
              <w:t xml:space="preserve">Quyền sử dụng đất tại thửa đất số: 08, tờ bản đồ số: 12 có địa chỉ: Phường An Dương, thành phố Hải Phòng theo Giấy chứng nhận Quyền sử dụng đất, quyền sở hữu tài sản gắn liền với đất số: AA 06813351, số vào sổ cấp Giấy chứng nhận: CN16528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12: </w:t>
            </w:r>
            <w:r>
              <w:rPr>
                <w:rFonts w:ascii="Times New Roman" w:hAnsi="Times New Roman" w:eastAsia="Times New Roman" w:cs="Times New Roman"/>
                <w:color w:val="000000"/>
                <w:sz w:val="24"/>
              </w:rPr>
              <w:t xml:space="preserve">Quyền sử dụng đất tại thửa đất số: 09, tờ bản đồ số: 12 có địa chỉ: Phường An Dương, thành phố Hải Phòng theo Giấy chứng nhận Quyền sử dụng đất, quyền sở hữu tài sản gắn liền với đất số: AA 0681208, số vào sổ cấp Giấy chứng nhận: CN16401 do Chi nhánh Văn p</w:t>
            </w:r>
            <w:r>
              <w:rPr>
                <w:rFonts w:ascii="Times New Roman" w:hAnsi="Times New Roman" w:eastAsia="Times New Roman" w:cs="Times New Roman"/>
                <w:color w:val="000000"/>
                <w:sz w:val="24"/>
              </w:rPr>
              <w:t xml:space="preserve">hòng đăng ký đất đai An Dương cấp ngày 06/02/2026 cho Bà Nguyễn Minh Hảo</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thẩm định 13: </w:t>
            </w:r>
            <w:r>
              <w:rPr>
                <w:rFonts w:ascii="Times New Roman" w:hAnsi="Times New Roman" w:eastAsia="Times New Roman" w:cs="Times New Roman"/>
                <w:color w:val="000000"/>
                <w:sz w:val="24"/>
              </w:rPr>
              <w:t xml:space="preserve">Quyền sử dụng đất tại thửa đất số: 91, tờ bản đồ số: 11 có địa chỉ: Phường An Dương, thành phố Hải Phòng theo Giấy chứng nhận Quyền sử dụng đất, quyền sở hữu tài sản gắn liền với đất số: AA 06811542, số vào sổ cấp Giấy chứng nhận: CN16701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Tài sản thẩm định 14: </w:t>
            </w:r>
            <w:r>
              <w:rPr>
                <w:rFonts w:ascii="Times New Roman" w:hAnsi="Times New Roman" w:eastAsia="Times New Roman" w:cs="Times New Roman"/>
                <w:color w:val="000000"/>
                <w:sz w:val="24"/>
              </w:rPr>
              <w:t xml:space="preserve">Quyền sử dụng đất tại thửa đất số: 92, tờ bản đồ số: 11 có địa chỉ: Phường An Dương, thành phố Hải Phòng theo Giấy chứng nhận Quyền sử dụng đất, quyền sở hữu tài sản gắn liền với đất số: AA 06811544, số vào sổ cấp Giấy chứng nhận: CN16703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tc>
      </w:tr>
      <w:tr>
        <w:trPr>
          <w:trHeight w:val="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color w:val="000000" w:themeColor="text1"/>
                <w:lang w:val="pt-BR"/>
              </w:rPr>
              <w:t xml:space="preserve">Phường An Dương Thành phố Hải Phòng</w:t>
            </w:r>
            <w:r>
              <w:rPr>
                <w:lang w:val="pt-BR"/>
              </w:rPr>
              <w:t xml:space="preserve">.</w:t>
            </w:r>
            <w:r>
              <w:rPr>
                <w:lang w:val="pt-BR"/>
              </w:rPr>
            </w:r>
            <w:r>
              <w:rPr>
                <w:lang w:val="pt-BR"/>
              </w:rPr>
            </w:r>
          </w:p>
        </w:tc>
      </w:tr>
      <w:tr>
        <w:trPr>
          <w:trHeight w:val="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0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0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0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0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0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0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08"/>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08"/>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08"/>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0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0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0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06811543, số vào sổ cấp Giấy chứng nhận: CN16702 do Chi nhánh Văn phòng đăng ký đất đai An Dương cấp ngày 12/02/2026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06813207, số vào sổ cấp Giấy chứng nhận: CN16400 do Chi nhánh Văn phòng đăng ký đất đai An Dương cấp ngày 06/02/2026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06813206, số vào sổ cấp Giấy chứng nhận: CN16399 do Chi nhánh Văn phòng đăng ký đất đai An Dương cấp ngày 06/02/2026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06813211, số vào sổ cấp Giấy chứng nhận: CN16404 do Chi nhánh Văn phòng đăng ký đất đai An Dương cấp ngày 06/02/2026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06813350, số vào sổ cấp Giấy chứng nhận: CN16527 do Chi nhánh Văn phòng đăng ký đất đai An Dương cấp ngày 09/02/2026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06813349, số vào sổ cấp Giấy chứng nhận: CN16526 do Chi nhánh Văn phòng đăng ký đất đai An Dương cấp ngày 09/02/2026 cho Bà Nguyễn Minh Hảo</w:t>
      </w:r>
      <w:r>
        <w:rPr>
          <w:lang w:val="pt-BR"/>
        </w:rPr>
        <w:t xml:space="preserve">.</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06813212, số vào sổ cấp Giấy chứng nhận: CN16405 do Chi nhánh Văn phòng đăng ký đất đai An Dương cấp ngày 06/02/2026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06813209, số vào sổ cấp Giấy chứng nhận: CN16402 do Chi nhánh Văn phòng đăng ký đất đai An Dương cấp ngày 06/02/2026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06813213, số vào sổ cấp Giấy chứng nhận: CN16406 do Chi nhánh Văn phòng đăng ký đất đai An Dương cấp ngày 06/02/2026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06813210, số vào sổ cấp Giấy chứng nhận: CN16403 do Chi nhánh Văn phòng đăng ký đất đai An Dương cấp ngày 06/02/2026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06813351, số vào sổ cấp Giấy chứng nhận: CN16528 do Chi nhánh Văn phòng đăng ký đất đai An Dương cấp ngày 09/02/2026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0681208, số vào sổ cấp Giấy chứng nhận: CN16401 do Chi nhánh Văn phòng đăng ký đất đai An Dương cấp ngày 06/02/2026 cho Bà Nguyễn Minh Hảo</w:t>
      </w:r>
      <w:r>
        <w:rPr>
          <w:lang w:val="pt-BR"/>
        </w:rPr>
      </w:r>
      <w:r>
        <w:rPr>
          <w:lang w:val="pt-BR"/>
          <w14:ligatures w14:val="none"/>
        </w:rPr>
      </w:r>
    </w:p>
    <w:p>
      <w:pPr>
        <w:pStyle w:val="1008"/>
        <w:numPr>
          <w:ilvl w:val="0"/>
          <w:numId w:val="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tài sản gắn liền với đất số: AA 06811542, số vào sổ cấp Giấy chứng nhận: CN16701 do Chi nhánh Văn phòng đăng ký đất đai An Dương cấp ngày 12/02/2026 cho Bà Nguyễn Minh Hảo</w:t>
      </w:r>
      <w:r>
        <w:rPr>
          <w:lang w:val="pt-BR"/>
        </w:rPr>
      </w:r>
      <w:r>
        <w:rPr>
          <w:lang w:val="pt-BR"/>
          <w14:ligatures w14:val="none"/>
        </w:rPr>
      </w:r>
    </w:p>
    <w:p>
      <w:pPr>
        <w:pStyle w:val="1008"/>
        <w:numPr>
          <w:ilvl w:val="0"/>
          <w:numId w:val="9"/>
        </w:numPr>
        <w:pBdr/>
        <w:tabs>
          <w:tab w:val="left" w:leader="none" w:pos="993"/>
        </w:tabs>
        <w:spacing w:after="120" w:before="120" w:line="276" w:lineRule="auto"/>
        <w:ind/>
        <w:jc w:val="both"/>
        <w:rPr>
          <w:iCs/>
          <w:lang w:val="pt-BR"/>
          <w14:ligatures w14:val="none"/>
        </w:rPr>
      </w:pPr>
      <w:r>
        <w:rPr>
          <w:lang w:val="pt-BR"/>
        </w:rPr>
        <w:t xml:space="preserve">Giấy chứng nhận Quyền sử dụng đất, quyền sở hữu tài sản gắn liền với đất số: AA 06811544, số vào sổ cấp Giấy chứng nhận: CN16703 do Chi nhánh Văn phòng đăng ký đất đai An Dương cấp ngày 12/02/2026 cho Bà Nguyễn Minh Hảo</w:t>
      </w:r>
      <w:r>
        <w:rPr>
          <w:lang w:val="pt-BR"/>
        </w:rPr>
      </w:r>
      <w:r>
        <w:rPr>
          <w:iCs/>
          <w:lang w:val="pt-BR"/>
          <w14:ligatures w14:val="none"/>
        </w:rPr>
      </w:r>
    </w:p>
    <w:p>
      <w:pPr>
        <w:pBdr/>
        <w:spacing w:after="120" w:before="120" w:line="276" w:lineRule="auto"/>
        <w:ind/>
        <w:jc w:val="both"/>
        <w:rPr/>
      </w:pPr>
      <w:r>
        <w:rPr>
          <w:b/>
          <w:lang w:val="pt-BR"/>
        </w:rPr>
        <w:t xml:space="preserve">b. Hồ sơ khác</w:t>
      </w:r>
      <w:r>
        <w:rPr>
          <w:b/>
          <w:lang w:val="vi-VN"/>
        </w:rPr>
        <w:t xml:space="preserve">:</w:t>
      </w:r>
      <w:r/>
    </w:p>
    <w:p>
      <w:pPr>
        <w:pStyle w:val="1008"/>
        <w:numPr>
          <w:ilvl w:val="0"/>
          <w:numId w:val="2"/>
        </w:numPr>
        <w:pBdr/>
        <w:tabs>
          <w:tab w:val="left" w:leader="none" w:pos="993"/>
        </w:tabs>
        <w:spacing w:after="120" w:before="120" w:line="276" w:lineRule="auto"/>
        <w:ind/>
        <w:jc w:val="both"/>
        <w:rPr>
          <w:b/>
          <w:lang w:val="pt-BR"/>
        </w:rPr>
      </w:pP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00000"/>
          <w:spacing w:val="-4"/>
          <w:sz w:val="24"/>
        </w:rPr>
        <w:t xml:space="preserve">275/2026/0646/VFI-HĐTĐ.48.Angày 23/3/2026 giữa Công ty TNHH Chăn ga gối đệm ELan</w:t>
      </w:r>
      <w:r>
        <w:rPr>
          <w:rFonts w:ascii="Times New Roman" w:hAnsi="Times New Roman" w:eastAsia="Times New Roman" w:cs="Times New Roman"/>
          <w:color w:val="000000"/>
          <w:sz w:val="24"/>
        </w:rPr>
        <w:t xml:space="preserve"> với Công ty Cổ phần Thẩm định và Đầu tư Tài chính Hoa Sen</w:t>
      </w:r>
      <w:r>
        <w:rPr>
          <w:color w:val="000000" w:themeColor="text1"/>
          <w:lang w:val="pt-BR"/>
        </w:rPr>
        <w:t xml:space="preserve">.</w:t>
      </w:r>
      <w:r>
        <w:rPr>
          <w:b/>
          <w:lang w:val="pt-BR"/>
        </w:rPr>
      </w:r>
      <w:r>
        <w:rPr>
          <w:b/>
          <w:lang w:val="pt-BR"/>
        </w:rPr>
      </w:r>
    </w:p>
    <w:p>
      <w:pPr>
        <w:pStyle w:val="100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b/>
          <w:color w:val="000000"/>
          <w:sz w:val="24"/>
        </w:rPr>
        <w:tab/>
        <w:t xml:space="preserve">Sức Hút Của Thị Trường Bất Động Sản Hải Phòng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Thành phố Hải Phòng không chỉ là cửa ngõ giao thương quan trọng của Việt Nam ra biển Đông mà còn là trung tâm kinh tế, thương mại, du lịch hàng đầu khu vực phía Bắc. Với vị thế địa lý chiến lược, thị trường nhà đất Hải Phòng sở hữu những lợi thế đặc biệt,</w:t>
      </w:r>
      <w:r>
        <w:rPr>
          <w:rFonts w:ascii="Times New Roman" w:hAnsi="Times New Roman" w:eastAsia="Times New Roman" w:cs="Times New Roman"/>
          <w:color w:val="000000"/>
          <w:sz w:val="24"/>
        </w:rPr>
        <w:t xml:space="preserve"> tạo tiền đề vững chắc cho sự phát triển của các dự án bất động sản. Sự chuyển mình mạnh mẽ của thành phố trong những năm gần đây đã biến nơi đây thành thỏi nam châm thu hút dòng vốn đầu tư.</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Vị Trí Chiến Lược Và Tiềm Năng Phát Triển Vượt Trội</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Hải Phòng là một trong năm đô thị loại I trực thuộc Trung ương, đóng vai trò đầu mối giao thông quan trọng của Vùng kinh tế trọng điểm Bắc Bộ. Với lợi thế cảng biển lớn nhất miền Bắc (Cảng Hải Phòng), thành phố này là trung tâm logistics và công nghiệp tr</w:t>
      </w:r>
      <w:r>
        <w:rPr>
          <w:rFonts w:ascii="Times New Roman" w:hAnsi="Times New Roman" w:eastAsia="Times New Roman" w:cs="Times New Roman"/>
          <w:color w:val="000000"/>
          <w:sz w:val="24"/>
        </w:rPr>
        <w:t xml:space="preserve">ọng yếu. Các khu kinh tế, khu công nghiệp như Đình Vũ – Cát Hải, VSIP Hải Phòng, Nomura Hải Phòng liên tục mở rộng, thu hút hàng trăm doanh nghiệp trong và ngoài nước, kéo theo lượng lớn chuyên gia và người lao động, tạo ra nhu cầu rất lớn về nhà ở và dịch</w:t>
      </w:r>
      <w:r>
        <w:rPr>
          <w:rFonts w:ascii="Times New Roman" w:hAnsi="Times New Roman" w:eastAsia="Times New Roman" w:cs="Times New Roman"/>
          <w:color w:val="000000"/>
          <w:sz w:val="24"/>
        </w:rPr>
        <w:t xml:space="preserve"> vụ. Tiềm năng bất động sản Hải Phòng được đánh giá là dài hạn và bền vững.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Hạ Tầng Giao Thông Đồng Bộ, Hiện Đại</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Để phát huy tối đa lợi thế vị trí, Hải Phòng đã và đang đầu tư mạnh mẽ vào hệ thống hạ tầng giao thông. Các tuyến đường cao tốc như Hà Nội – Hải Phòng, Hải Phòng – Hạ Long – Vân Đồn, cùng với việc nâng cấp Quốc lộ 10, Quốc lộ 5 đã rút ngắn đáng kể thời gi</w:t>
      </w:r>
      <w:r>
        <w:rPr>
          <w:rFonts w:ascii="Times New Roman" w:hAnsi="Times New Roman" w:eastAsia="Times New Roman" w:cs="Times New Roman"/>
          <w:color w:val="000000"/>
          <w:sz w:val="24"/>
        </w:rPr>
        <w:t xml:space="preserve">an di chuyển đến các tỉnh lân cận và thủ đô. Cảng hàng không quốc tế Cát Bi được mở rộng, đón hàng triệu lượt khách mỗi năm. Hệ thống cầu vượt biển, cầu Tân Vũ – Lạch Huyện kết nối khu vực kinh tế trọng điểm, tạo điều kiện thuận lợi cho giao thương và du l</w:t>
      </w:r>
      <w:r>
        <w:rPr>
          <w:rFonts w:ascii="Times New Roman" w:hAnsi="Times New Roman" w:eastAsia="Times New Roman" w:cs="Times New Roman"/>
          <w:color w:val="000000"/>
          <w:sz w:val="24"/>
        </w:rPr>
        <w:t xml:space="preserve">ịch. Sự hoàn thiện của hạ tầng này là yếu tố then chốt thúc đẩy giá trị bất động sản Hải Phòng tăng trưởng.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Chính Sách Thu Hút Đầu Tư Và Quy Hoạch Đô Thị</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Chính quyền Hải Phòng có nhiều chính sách ưu đãi, thông thoáng nhằm thu hút các nhà đầu tư lớn vào lĩnh vực công nghiệp, dịch vụ và đô thị. Quy hoạch tổng thể phát triển kinh tế – xã hội của thành phố đến năm 2030, tầm nhìn 2045, định hướng Hải Phòng trở </w:t>
      </w:r>
      <w:r>
        <w:rPr>
          <w:rFonts w:ascii="Times New Roman" w:hAnsi="Times New Roman" w:eastAsia="Times New Roman" w:cs="Times New Roman"/>
          <w:color w:val="000000"/>
          <w:sz w:val="24"/>
        </w:rPr>
        <w:t xml:space="preserve">thành đô thị thông minh, hiện đại, có bản sắc. Việc đẩy mạnh xây dựng các khu đô thị mới, nâng cấp cơ sở vật chất, phát triển du lịch sinh thái đã mở ra nhiều cơ hội cho các dự án nhà ở Hải Phòng, đặc biệt là các phân khúc cao cấp và khu nghỉ dưỡng.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Kết Luận</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Với vị trí chiến lược, hạ tầng đồng bộ và chính sách thu hút đầu tư hiệu quả, dự án bất động sản Thành Phố Hải Phòng đang đứng trước một giai đoạn phát triển đầy hứa hẹn. Từ các khu đô thị hiện đại đến những dự án nghỉ dưỡng đẳng cấp, thị trường nhà đất H</w:t>
      </w:r>
      <w:r>
        <w:rPr>
          <w:rFonts w:ascii="Times New Roman" w:hAnsi="Times New Roman" w:eastAsia="Times New Roman" w:cs="Times New Roman"/>
          <w:color w:val="000000"/>
          <w:sz w:val="24"/>
        </w:rPr>
        <w:t xml:space="preserve">ải Phòng mang đến đa dạng lựa chọn cho cả người mua ở thực và nhà đầu tư. Cơ hội sở hữu một bất động sản tại thành phố cảng không chỉ là một quyết định an cư mà còn là sự kết nối với tiềm năng tăng trưởng mạnh mẽ của một trong những trung tâm kinh tế hàng </w:t>
      </w:r>
      <w:r>
        <w:rPr>
          <w:rFonts w:ascii="Times New Roman" w:hAnsi="Times New Roman" w:eastAsia="Times New Roman" w:cs="Times New Roman"/>
          <w:color w:val="000000"/>
          <w:sz w:val="24"/>
        </w:rPr>
        <w:t xml:space="preserve">đầu Việt Nam. Khám phá thêm các cơ hội tại SummerLand để không bỏ lỡ những thông tin giá trị.</w:t>
      </w:r>
      <w:r/>
    </w:p>
    <w:p>
      <w:pPr>
        <w:pBdr/>
        <w:shd w:val="clear" w:color="auto" w:fill="ffffff"/>
        <w:spacing w:after="120" w:before="120" w:line="276" w:lineRule="auto"/>
        <w:ind/>
        <w:jc w:val="center"/>
        <w:rPr>
          <w:i/>
          <w:iCs/>
          <w:color w:val="212529"/>
        </w:rPr>
      </w:pPr>
      <w:r>
        <w:rPr>
          <w:rFonts w:ascii="Times New Roman" w:hAnsi="Times New Roman" w:eastAsia="Times New Roman" w:cs="Times New Roman"/>
          <w:i/>
          <w:color w:val="000000"/>
          <w:sz w:val="24"/>
        </w:rPr>
        <w:t xml:space="preserve">(Nguồn: </w:t>
      </w:r>
      <w:hyperlink r:id="rId15" w:tooltip="https://summerland.com.vn/tong-quan-tiem-nang-du-an-bat-dong-san-thanh-pho-hai-phong" w:history="1">
        <w:r>
          <w:rPr>
            <w:rStyle w:val="998"/>
            <w:rFonts w:ascii="Times New Roman" w:hAnsi="Times New Roman" w:eastAsia="Times New Roman" w:cs="Times New Roman"/>
            <w:i/>
            <w:color w:val="000000"/>
            <w:sz w:val="24"/>
            <w:u w:val="none"/>
          </w:rPr>
          <w:t xml:space="preserve">Tổng Quan Tiềm Năng Dự Án Bất Động Sản Thành Phố Hải Phòng - Mũi Né SummerLand</w:t>
        </w:r>
      </w:hyperlink>
      <w:r>
        <w:rPr>
          <w:rFonts w:ascii="Times New Roman" w:hAnsi="Times New Roman" w:eastAsia="Times New Roman" w:cs="Times New Roman"/>
          <w:i/>
          <w:color w:val="000000"/>
          <w:sz w:val="24"/>
        </w:rPr>
        <w:t xml:space="preserve">)</w:t>
      </w:r>
      <w:r>
        <w:rPr>
          <w:i/>
          <w:iCs/>
          <w:color w:val="212529"/>
        </w:rPr>
      </w:r>
      <w:r>
        <w:rPr>
          <w:i/>
          <w:iCs/>
          <w:color w:val="212529"/>
        </w:rPr>
      </w:r>
    </w:p>
    <w:p>
      <w:pPr>
        <w:pStyle w:val="100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46"/>
        <w:gridCol w:w="2268"/>
        <w:gridCol w:w="142"/>
        <w:gridCol w:w="1868"/>
        <w:gridCol w:w="218"/>
        <w:gridCol w:w="40"/>
        <w:gridCol w:w="1937"/>
        <w:gridCol w:w="109"/>
        <w:gridCol w:w="80"/>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gridSpan w:val="9"/>
            <w:tcBorders>
              <w:top w:val="single" w:color="000000" w:sz="8" w:space="0"/>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bCs/>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sz w:val="24"/>
                <w:szCs w:val="24"/>
              </w:rPr>
              <w:t xml:space="preserve">Quyền sử dụng đất tại 14 thửa đất có địa chỉ: </w:t>
            </w:r>
            <w:r>
              <w:rPr>
                <w:rFonts w:ascii="Times New Roman" w:hAnsi="Times New Roman" w:eastAsia="Times New Roman" w:cs="Times New Roman"/>
                <w:b/>
                <w:bCs/>
                <w:color w:val="000000"/>
                <w:sz w:val="24"/>
                <w:szCs w:val="24"/>
              </w:rPr>
              <w:t xml:space="preserve">Phường An Dương, thành phố Hải Phòng</w:t>
            </w:r>
            <w:r>
              <w:rPr>
                <w:rFonts w:ascii="Times New Roman" w:hAnsi="Times New Roman" w:eastAsia="Times New Roman" w:cs="Times New Roman"/>
                <w:b/>
                <w:bCs/>
                <w:color w:val="000000"/>
                <w:sz w:val="24"/>
                <w:szCs w:val="24"/>
              </w:rPr>
              <w:t xml:space="preserve">, chủ sử dụng đất là Bà Nguyễn Minh Hảo (Danh mục theo Báo cáo kết quả thẩm định giá đính kèm)</w:t>
            </w:r>
            <w:r>
              <w:rPr>
                <w:b/>
                <w:bCs/>
                <w:color w:val="000000" w:themeColor="text1"/>
                <w:sz w:val="24"/>
                <w:szCs w:val="24"/>
              </w:rPr>
            </w:r>
            <w:r>
              <w:rPr>
                <w:b/>
                <w:bCs/>
                <w:color w:val="000000" w:themeColor="text1"/>
                <w:sz w:val="24"/>
                <w:szCs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1.1</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14</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699,0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1.2</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b/>
                <w:color w:val="000000" w:themeColor="text1"/>
                <w:sz w:val="24"/>
              </w:rPr>
              <w:t xml:space="preserve">Tài sản 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13</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430,0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75</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1216,0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lúa</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1.3</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b/>
                <w:color w:val="000000" w:themeColor="text1"/>
                <w:sz w:val="24"/>
              </w:rPr>
              <w:t xml:space="preserve">Tài sản 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76</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720,0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1.4</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b/>
                <w:color w:val="000000" w:themeColor="text1"/>
                <w:sz w:val="24"/>
              </w:rPr>
              <w:t xml:space="preserve">Tài sản 4</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77</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726,0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1.5</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b/>
                <w:color w:val="000000" w:themeColor="text1"/>
                <w:sz w:val="24"/>
              </w:rPr>
              <w:t xml:space="preserve">Tài sản 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78</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118,0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1.6</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6</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79</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738,0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1.7</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7</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526,0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1.8</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81</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371,0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1.9</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9</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06</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870,0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1.10</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07</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468,0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1.11</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08</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800,0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1.12</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9</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400,0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1.13</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91</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740,0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1.14</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14</w:t>
            </w:r>
            <w:r>
              <w:rPr>
                <w:color w:val="000000" w:themeColor="text1"/>
              </w:rPr>
            </w:r>
            <w:r>
              <w:rPr>
                <w:color w:val="000000" w:themeColor="text1"/>
              </w:rPr>
            </w:r>
          </w:p>
        </w:tc>
      </w:tr>
      <w:tr>
        <w:trPr>
          <w:trHeight w:val="394"/>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92</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Tờ bản đồ số:</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Phường An Dương, thành phố Hải Phòng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290,0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Đất trồng cây hàng năm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Đến tháng 10/2063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Về đất: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2.1</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Vị trí; Giao thông;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2.1.1</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 và Tài sản 2 (Thửa đất số 13, tờ bản đồ số 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Đường tiếp giáp chính:</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Đường nhựa</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Tiếp giáp 2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9,1</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 (m):</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9,1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Khoảng cách đến trục đường chính (m):</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Tài sản tiếp giáp đường QL17B</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Các hướng tiếp giáp:</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color w:val="000000" w:themeColor="text1"/>
              </w:rPr>
            </w:pPr>
            <w:r>
              <w:rPr>
                <w:rFonts w:ascii="Times New Roman" w:hAnsi="Times New Roman" w:eastAsia="Times New Roman" w:cs="Times New Roman"/>
                <w:color w:val="000000" w:themeColor="text1"/>
                <w:sz w:val="24"/>
              </w:rPr>
              <w:t xml:space="preserve">-Hướng Bắc: tiếp giáp đường giao thông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98" w:lineRule="atLeast"/>
              <w:ind w:right="0" w:firstLine="0" w:left="0"/>
              <w:rPr>
                <w:color w:val="000000" w:themeColor="text1"/>
              </w:rPr>
            </w:pPr>
            <w:r>
              <w:rPr>
                <w:rFonts w:ascii="Times New Roman" w:hAnsi="Times New Roman" w:eastAsia="Times New Roman" w:cs="Times New Roman"/>
                <w:color w:val="000000" w:themeColor="text1"/>
                <w:sz w:val="24"/>
              </w:rPr>
              <w:t xml:space="preserve">-Các hướng khác: tiếp giáp các thửa đất khác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Vị trí trên bản đồ vệ tinh: </w:t>
            </w:r>
            <w:r>
              <w:rPr>
                <w:rFonts w:ascii="Times New Roman" w:hAnsi="Times New Roman" w:eastAsia="Times New Roman" w:cs="Times New Roman"/>
                <w:color w:val="000000" w:themeColor="text1"/>
                <w:sz w:val="24"/>
              </w:rPr>
              <w:t xml:space="preserve">(20°51'47.8"N 106°35'56.5"E)</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spacing w:after="0" w:before="0" w:line="240" w:lineRule="auto"/>
              <w:ind/>
              <w:rPr>
                <w:color w:val="000000" w:themeColor="text1"/>
              </w:rPr>
            </w:pPr>
            <w:r>
              <w:rPr>
                <w:color w:val="000000" w:themeColor="text1"/>
              </w:rPr>
            </w:r>
            <w:r>
              <mc:AlternateContent>
                <mc:Choice Requires="wpg">
                  <w:drawing>
                    <wp:inline xmlns:wp="http://schemas.openxmlformats.org/drawingml/2006/wordprocessingDrawing" distT="0" distB="0" distL="0" distR="0">
                      <wp:extent cx="5346871" cy="2925867"/>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14427" name=""/>
                              <pic:cNvPicPr>
                                <a:picLocks noChangeAspect="1"/>
                              </pic:cNvPicPr>
                              <pic:nvPr/>
                            </pic:nvPicPr>
                            <pic:blipFill rotWithShape="1">
                              <a:blip r:embed="rId16"/>
                              <a:stretch/>
                            </pic:blipFill>
                            <pic:spPr bwMode="auto">
                              <a:xfrm flipH="0" flipV="0">
                                <a:off x="0" y="0"/>
                                <a:ext cx="5346870" cy="29258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1.01pt;height:230.38pt;mso-wrap-distance-left:0.00pt;mso-wrap-distance-top:0.00pt;mso-wrap-distance-right:0.00pt;mso-wrap-distance-bottom:0.00pt;z-index:1;" stroked="false">
                      <v:imagedata r:id="rId16" o:title=""/>
                      <o:lock v:ext="edit" rotation="t"/>
                    </v:shape>
                  </w:pict>
                </mc:Fallback>
              </mc:AlternateConten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2.1.2</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2 (Thửa đất số 75, tờ bản đồ số 11), Tài sản 3, Tài sản 4, Tài sản 5, Tài sản 6, Tài sản 7, Tài sản 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Đường tiếp giáp chính:</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Đường bê tông</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Tiếp giáp 2 mặt trước sau</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 (m):</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2,1</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Khoảng cách đến trục đường chính (m):</w:t>
            </w:r>
            <w:r>
              <w:rPr>
                <w:color w:val="000000" w:themeColor="text1"/>
              </w:rPr>
            </w:r>
            <w:r>
              <w:rPr>
                <w:color w:val="000000" w:themeColor="text1"/>
              </w:rPr>
            </w:r>
          </w:p>
        </w:tc>
        <w:tc>
          <w:tcPr>
            <w:gridSpan w:val="8"/>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Tài sản cách QL17B từ 20m đến 100m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Các hướng tiếp giáp:</w:t>
            </w:r>
            <w:r>
              <w:rPr>
                <w:color w:val="000000" w:themeColor="text1"/>
              </w:rPr>
            </w:r>
            <w:r>
              <w:rPr>
                <w:color w:val="000000" w:themeColor="text1"/>
              </w:rPr>
            </w:r>
          </w:p>
        </w:tc>
        <w:tc>
          <w:tcPr>
            <w:gridSpan w:val="8"/>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color w:val="000000" w:themeColor="text1"/>
              </w:rPr>
            </w:pPr>
            <w:r>
              <w:rPr>
                <w:rFonts w:ascii="Times New Roman" w:hAnsi="Times New Roman" w:eastAsia="Times New Roman" w:cs="Times New Roman"/>
                <w:color w:val="000000" w:themeColor="text1"/>
                <w:sz w:val="24"/>
              </w:rPr>
              <w:t xml:space="preserve">-Hướng Tây: tiếp giáp đường giao thông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-Các hướng khác: tiếp giáp các thửa đất khác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Vị trí trên bản đồ vệ tinh: </w:t>
            </w:r>
            <w:r>
              <w:rPr>
                <w:rFonts w:ascii="Times New Roman" w:hAnsi="Times New Roman" w:eastAsia="Times New Roman" w:cs="Times New Roman"/>
                <w:color w:val="000000" w:themeColor="text1"/>
                <w:sz w:val="24"/>
              </w:rPr>
              <w:t xml:space="preserve">(20°51'46.5"N 106°35'56.4"E)</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spacing w:after="0" w:before="0" w:line="240" w:lineRule="auto"/>
              <w:ind/>
              <w:rPr>
                <w:color w:val="000000" w:themeColor="text1"/>
              </w:rPr>
            </w:pPr>
            <w:r>
              <w:rPr>
                <w:color w:val="000000" w:themeColor="text1"/>
              </w:rPr>
            </w:r>
            <w:r>
              <mc:AlternateContent>
                <mc:Choice Requires="wpg">
                  <w:drawing>
                    <wp:inline xmlns:wp="http://schemas.openxmlformats.org/drawingml/2006/wordprocessingDrawing" distT="0" distB="0" distL="0" distR="0">
                      <wp:extent cx="5346386" cy="280750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30689" name=""/>
                              <pic:cNvPicPr>
                                <a:picLocks noChangeAspect="1"/>
                              </pic:cNvPicPr>
                              <pic:nvPr/>
                            </pic:nvPicPr>
                            <pic:blipFill rotWithShape="1">
                              <a:blip r:embed="rId17"/>
                              <a:stretch/>
                            </pic:blipFill>
                            <pic:spPr bwMode="auto">
                              <a:xfrm flipH="0" flipV="0">
                                <a:off x="0" y="0"/>
                                <a:ext cx="5346386" cy="28075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98pt;height:221.06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2.1.3</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9, Tài sản 10, Tài sản 11, Tài sản 12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Đường tiếp giáp chính:</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Đường đất</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Tiếp giáp 2 mặt trước sau</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 (m):</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Khoảng cách đến trục đường chính (m):</w:t>
            </w:r>
            <w:r>
              <w:rPr>
                <w:color w:val="000000" w:themeColor="text1"/>
              </w:rPr>
            </w:r>
            <w:r>
              <w:rPr>
                <w:color w:val="000000" w:themeColor="text1"/>
              </w:rPr>
            </w:r>
          </w:p>
        </w:tc>
        <w:tc>
          <w:tcPr>
            <w:gridSpan w:val="8"/>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Tài sản cách QL17B từ 20m đến 100m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Các hướng tiếp giáp:</w:t>
            </w:r>
            <w:r>
              <w:rPr>
                <w:color w:val="000000" w:themeColor="text1"/>
              </w:rPr>
            </w:r>
            <w:r>
              <w:rPr>
                <w:color w:val="000000" w:themeColor="text1"/>
              </w:rPr>
            </w:r>
          </w:p>
        </w:tc>
        <w:tc>
          <w:tcPr>
            <w:gridSpan w:val="8"/>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color w:val="000000" w:themeColor="text1"/>
              </w:rPr>
            </w:pPr>
            <w:r>
              <w:rPr>
                <w:rFonts w:ascii="Times New Roman" w:hAnsi="Times New Roman" w:eastAsia="Times New Roman" w:cs="Times New Roman"/>
                <w:color w:val="000000" w:themeColor="text1"/>
                <w:sz w:val="24"/>
              </w:rPr>
              <w:t xml:space="preserve">-Hướng Tây: tiếp giáp đường giao thông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-Các hướng khác: tiếp giáp các thửa đất khác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Vị trí trên bản đồ vệ tinh: </w:t>
            </w:r>
            <w:r>
              <w:rPr>
                <w:rFonts w:ascii="Times New Roman" w:hAnsi="Times New Roman" w:eastAsia="Times New Roman" w:cs="Times New Roman"/>
                <w:color w:val="000000" w:themeColor="text1"/>
                <w:sz w:val="24"/>
              </w:rPr>
              <w:t xml:space="preserve">(20°51'47.3"N 106°35'58.2"E)</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spacing w:after="0" w:before="0" w:line="240" w:lineRule="auto"/>
              <w:ind/>
              <w:rPr>
                <w:color w:val="000000" w:themeColor="text1"/>
              </w:rPr>
            </w:pPr>
            <w:r>
              <w:rPr>
                <w:color w:val="000000" w:themeColor="text1"/>
              </w:rPr>
            </w:r>
            <w:r>
              <mc:AlternateContent>
                <mc:Choice Requires="wpg">
                  <w:drawing>
                    <wp:inline xmlns:wp="http://schemas.openxmlformats.org/drawingml/2006/wordprocessingDrawing" distT="0" distB="0" distL="0" distR="0">
                      <wp:extent cx="5412479" cy="285767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61315" name=""/>
                              <pic:cNvPicPr>
                                <a:picLocks noChangeAspect="1"/>
                              </pic:cNvPicPr>
                              <pic:nvPr/>
                            </pic:nvPicPr>
                            <pic:blipFill rotWithShape="1">
                              <a:blip r:embed="rId18"/>
                              <a:stretch/>
                            </pic:blipFill>
                            <pic:spPr bwMode="auto">
                              <a:xfrm flipH="0" flipV="0">
                                <a:off x="0" y="0"/>
                                <a:ext cx="5412479" cy="28576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18pt;height:225.01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2.1.4</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Đường tiếp giáp chính:</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Đường bê tông</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Tiếp giáp 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 (m):</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Khoảng cách đến trục đường chính (m):</w:t>
            </w:r>
            <w:r>
              <w:rPr>
                <w:color w:val="000000" w:themeColor="text1"/>
              </w:rPr>
            </w:r>
            <w:r>
              <w:rPr>
                <w:color w:val="000000" w:themeColor="text1"/>
              </w:rPr>
            </w:r>
          </w:p>
        </w:tc>
        <w:tc>
          <w:tcPr>
            <w:gridSpan w:val="8"/>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Tài sản cách QL17B khoảng 150m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Các hướng tiếp giáp:</w:t>
            </w:r>
            <w:r>
              <w:rPr>
                <w:color w:val="000000" w:themeColor="text1"/>
              </w:rPr>
            </w:r>
            <w:r>
              <w:rPr>
                <w:color w:val="000000" w:themeColor="text1"/>
              </w:rPr>
            </w:r>
          </w:p>
        </w:tc>
        <w:tc>
          <w:tcPr>
            <w:gridSpan w:val="8"/>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color w:val="000000" w:themeColor="text1"/>
              </w:rPr>
            </w:pPr>
            <w:r>
              <w:rPr>
                <w:rFonts w:ascii="Times New Roman" w:hAnsi="Times New Roman" w:eastAsia="Times New Roman" w:cs="Times New Roman"/>
                <w:color w:val="000000" w:themeColor="text1"/>
                <w:sz w:val="24"/>
              </w:rPr>
              <w:t xml:space="preserve">-Hướng Bắc: tiếp giáp đường giao thông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-Các hướng khác: tiếp giáp các thửa đất khác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Vị trí trên bản đồ vệ tinh: </w:t>
            </w:r>
            <w:r>
              <w:rPr>
                <w:rFonts w:ascii="Times New Roman" w:hAnsi="Times New Roman" w:eastAsia="Times New Roman" w:cs="Times New Roman"/>
                <w:color w:val="000000" w:themeColor="text1"/>
                <w:sz w:val="24"/>
              </w:rPr>
              <w:t xml:space="preserve">(20°51'45.6"N 106°35'54.0"E)</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spacing w:after="0" w:before="0" w:line="240" w:lineRule="auto"/>
              <w:ind/>
              <w:rPr>
                <w:color w:val="000000" w:themeColor="text1"/>
              </w:rPr>
            </w:pPr>
            <w:r>
              <w:rPr>
                <w:color w:val="000000" w:themeColor="text1"/>
              </w:rPr>
            </w:r>
            <w:r>
              <mc:AlternateContent>
                <mc:Choice Requires="wpg">
                  <w:drawing>
                    <wp:inline xmlns:wp="http://schemas.openxmlformats.org/drawingml/2006/wordprocessingDrawing" distT="0" distB="0" distL="0" distR="0">
                      <wp:extent cx="5524272" cy="296191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68990" name=""/>
                              <pic:cNvPicPr>
                                <a:picLocks noChangeAspect="1"/>
                              </pic:cNvPicPr>
                              <pic:nvPr/>
                            </pic:nvPicPr>
                            <pic:blipFill rotWithShape="1">
                              <a:blip r:embed="rId19"/>
                              <a:stretch/>
                            </pic:blipFill>
                            <pic:spPr bwMode="auto">
                              <a:xfrm flipH="0" flipV="0">
                                <a:off x="0" y="0"/>
                                <a:ext cx="5524271" cy="29619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34.98pt;height:233.22pt;mso-wrap-distance-left:0.00pt;mso-wrap-distance-top:0.00pt;mso-wrap-distance-right:0.00pt;mso-wrap-distance-bottom:0.00pt;z-index:1;" stroked="false">
                      <v:imagedata r:id="rId19" o:title=""/>
                      <o:lock v:ext="edit" rotation="t"/>
                    </v:shape>
                  </w:pict>
                </mc:Fallback>
              </mc:AlternateConten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2.1.5</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14</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Đường tiếp giáp chính:</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Đường đất</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Tiếp giáp 1 mặt tiền</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 (m):</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0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Khoảng cách đến trục đường chính (m):</w:t>
            </w:r>
            <w:r>
              <w:rPr>
                <w:color w:val="000000" w:themeColor="text1"/>
              </w:rPr>
            </w:r>
            <w:r>
              <w:rPr>
                <w:color w:val="000000" w:themeColor="text1"/>
              </w:rPr>
            </w:r>
          </w:p>
        </w:tc>
        <w:tc>
          <w:tcPr>
            <w:gridSpan w:val="8"/>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Tài sản cách QL17B khoảng 170m</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Các hướng tiếp giáp:</w:t>
            </w:r>
            <w:r>
              <w:rPr>
                <w:color w:val="000000" w:themeColor="text1"/>
              </w:rPr>
            </w:r>
            <w:r>
              <w:rPr>
                <w:color w:val="000000" w:themeColor="text1"/>
              </w:rPr>
            </w:r>
          </w:p>
        </w:tc>
        <w:tc>
          <w:tcPr>
            <w:gridSpan w:val="8"/>
            <w:tcBorders>
              <w:bottom w:val="single" w:color="000000" w:sz="8" w:space="0"/>
              <w:right w:val="single" w:color="000000" w:sz="8" w:space="0"/>
            </w:tcBorders>
            <w:tcMar>
              <w:left w:w="108" w:type="dxa"/>
              <w:top w:w="0" w:type="dxa"/>
              <w:right w:w="108" w:type="dxa"/>
              <w:bottom w:w="0" w:type="dxa"/>
            </w:tcMar>
            <w:tcW w:w="6401"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color w:val="000000" w:themeColor="text1"/>
              </w:rPr>
            </w:pPr>
            <w:r>
              <w:rPr>
                <w:rFonts w:ascii="Times New Roman" w:hAnsi="Times New Roman" w:eastAsia="Times New Roman" w:cs="Times New Roman"/>
                <w:color w:val="000000" w:themeColor="text1"/>
                <w:sz w:val="24"/>
              </w:rPr>
              <w:t xml:space="preserve">-Hướng Đông Bắc: tiếp giáp đường giao thông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-Các hướng khác: tiếp giáp các thửa đất khác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Vị trí trên bản đồ vệ tinh: </w:t>
            </w:r>
            <w:r>
              <w:rPr>
                <w:rFonts w:ascii="Times New Roman" w:hAnsi="Times New Roman" w:eastAsia="Times New Roman" w:cs="Times New Roman"/>
                <w:color w:val="000000" w:themeColor="text1"/>
                <w:sz w:val="24"/>
              </w:rPr>
              <w:t xml:space="preserve">(20°51'45.6"N 106°35'54.0"E)</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spacing w:after="0" w:before="0" w:line="240" w:lineRule="auto"/>
              <w:ind/>
              <w:rPr>
                <w:color w:val="000000" w:themeColor="text1"/>
              </w:rPr>
            </w:pPr>
            <w:r>
              <w:rPr>
                <w:color w:val="000000" w:themeColor="text1"/>
              </w:rPr>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2.2.</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Diện tích; Kích thước; Hình dáng</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2.2.1</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699,0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35,91</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19,91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Tương đối vuông vức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2.2.2</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 13, tờ bản đồ số 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430,0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19,93</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17,27</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Đa giác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Thửa đất số 75, tờ bản đồ số 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1211,6</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21,68</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63,64</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Đa giác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2.2.3</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720,0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35,91</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9,22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Nở hậu</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2.2.4</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4</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726,0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11,24</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60,09</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Nở hậu</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2.2.5</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118,0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2,12</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57,14</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Nở hậu</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2.2.6</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6</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738,0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12,17</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56,75</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Nở hậu</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2.2.7</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7</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526,0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7,15</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51,28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Nở hậu</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2.2.8</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371,0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7,77</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50,61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Tương đối vuông vức</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2.2.9</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9</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870,0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25,36</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38,8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Tương đối vuông vức</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2.2.10</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468,0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10,54</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41,37</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Nở hậu</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2.2.11</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11</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800,0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18,31</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45,53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Nở hậu</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2.2.12</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12</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400,0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9,88</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45,53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Thóp hậu</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2.2.13</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13</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740,0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41,3</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24,44</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Đa giác</w:t>
            </w:r>
            <w:r>
              <w:rPr>
                <w:color w:val="000000" w:themeColor="text1"/>
              </w:rPr>
            </w:r>
            <w:r>
              <w:rPr>
                <w:color w:val="000000" w:themeColor="text1"/>
              </w:rPr>
            </w:r>
          </w:p>
        </w:tc>
      </w:tr>
      <w:tr>
        <w:trPr>
          <w:trHeight w:val="303"/>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2.2.14</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14</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290,0</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0</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Mặt tiền (m):</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23,09</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25,68</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dáng:</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Hình tam giác</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2.3.</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Hạ tầng nội bộ:</w:t>
            </w:r>
            <w:r>
              <w:rPr>
                <w:color w:val="000000" w:themeColor="text1"/>
              </w:rPr>
            </w:r>
            <w:r>
              <w:rPr>
                <w:color w:val="000000" w:themeColor="text1"/>
              </w:rPr>
            </w:r>
          </w:p>
        </w:tc>
        <w:tc>
          <w:tcPr>
            <w:gridSpan w:val="7"/>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Hạ tầng cấp nước: Nước máy, Hạ tầng thoát nước: Rãnh có nắp, Hạ tầng cấp điện: Điện lưới, Hạ tầng thông tin liên lạc: Điện thoại, Mạng internet, Truyền hình cáp</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Mật độ dân cư:</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Khu vực tập trung dân cư</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Đời sống dân cư:</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gridSpan w:val="2"/>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Lợi thế kinh doanh:</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Phù hợp để trồng lúa/ trồng cây</w:t>
            </w:r>
            <w:r>
              <w:rPr>
                <w:color w:val="000000" w:themeColor="text1"/>
              </w:rPr>
            </w:r>
            <w:r>
              <w:rPr>
                <w:color w:val="000000" w:themeColor="text1"/>
              </w:rPr>
            </w:r>
          </w:p>
        </w:tc>
        <w:tc>
          <w:tcPr>
            <w:gridSpan w:val="3"/>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Khả năng chuyển nhượng: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Trung bình</w:t>
            </w:r>
            <w:r>
              <w:rPr>
                <w:color w:val="000000" w:themeColor="text1"/>
              </w:rPr>
            </w:r>
            <w:r>
              <w:rPr>
                <w:color w:val="000000" w:themeColor="text1"/>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3.</w:t>
            </w:r>
            <w:r>
              <w:rPr>
                <w:color w:val="000000" w:themeColor="text1"/>
              </w:rPr>
            </w:r>
            <w:r>
              <w:rPr>
                <w:color w:val="000000" w:themeColor="text1"/>
              </w:rPr>
            </w:r>
          </w:p>
        </w:tc>
        <w:tc>
          <w:tcPr>
            <w:gridSpan w:val="9"/>
            <w:tcBorders>
              <w:bottom w:val="single" w:color="000000" w:sz="8" w:space="0"/>
              <w:right w:val="single" w:color="000000" w:sz="8" w:space="0"/>
            </w:tcBorders>
            <w:tcMar>
              <w:left w:w="108" w:type="dxa"/>
              <w:top w:w="0" w:type="dxa"/>
              <w:right w:w="108" w:type="dxa"/>
              <w:bottom w:w="0" w:type="dxa"/>
            </w:tcMar>
            <w:tcW w:w="86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Tài sản gắn liền với đất: Đất trống</w:t>
            </w:r>
            <w:r>
              <w:rPr>
                <w:color w:val="000000" w:themeColor="text1"/>
              </w:rPr>
            </w:r>
            <w:r>
              <w:rPr>
                <w:color w:val="000000" w:themeColor="text1"/>
              </w:rPr>
            </w:r>
          </w:p>
        </w:tc>
      </w:tr>
    </w:tbl>
    <w:p>
      <w:pPr>
        <w:pBdr/>
        <w:spacing w:line="235" w:lineRule="auto"/>
        <w:ind w:left="284"/>
        <w:jc w:val="both"/>
        <w:rPr>
          <w:b/>
          <w:bCs/>
          <w:u w:val="single"/>
        </w:rPr>
      </w:pPr>
      <w:r>
        <w:rPr>
          <w:b/>
          <w:bCs/>
          <w:u w:val="single"/>
        </w:rPr>
      </w:r>
      <w:r>
        <w:rPr>
          <w:b/>
          <w:bCs/>
          <w:u w:val="single"/>
        </w:rPr>
      </w:r>
      <w:r>
        <w:rPr>
          <w:b/>
          <w:bCs/>
          <w:u w:val="single"/>
        </w:rPr>
      </w:r>
    </w:p>
    <w:p>
      <w:pPr>
        <w:pBdr/>
        <w:spacing w:line="235" w:lineRule="auto"/>
        <w:ind w:left="284"/>
        <w:jc w:val="both"/>
        <w:rPr>
          <w:b/>
          <w:bCs/>
          <w:highlight w:val="none"/>
          <w:u w:val="single"/>
        </w:rPr>
      </w:pPr>
      <w:r>
        <w:rPr>
          <w:b/>
          <w:bCs/>
          <w:u w:val="single"/>
        </w:rPr>
      </w:r>
      <w:r>
        <w:rPr>
          <w:b/>
          <w:bCs/>
          <w:u w:val="single"/>
        </w:rPr>
        <w:t xml:space="preserve">Vị trí các thửa đất theo sơ đồ như sau:</w:t>
      </w:r>
      <w:r>
        <w:rPr>
          <w:b/>
          <w:bCs/>
          <w:u w:val="single"/>
        </w:rPr>
      </w:r>
      <w:r>
        <w:rPr>
          <w:b/>
          <w:bCs/>
          <w:highlight w:val="none"/>
          <w:u w:val="single"/>
        </w:rPr>
      </w:r>
    </w:p>
    <w:p>
      <w:pPr>
        <w:pBdr/>
        <w:spacing w:line="235" w:lineRule="auto"/>
        <w:ind w:left="284"/>
        <w:jc w:val="both"/>
        <w:rPr>
          <w:b/>
          <w:bCs/>
          <w:u w:val="single"/>
        </w:rPr>
      </w:pPr>
      <w:r>
        <w:rPr>
          <w:b/>
          <w:bCs/>
          <w:highlight w:val="none"/>
          <w:u w:val="single"/>
        </w:rPr>
      </w:r>
      <w:r>
        <mc:AlternateContent>
          <mc:Choice Requires="wpg">
            <w:drawing>
              <wp:inline xmlns:wp="http://schemas.openxmlformats.org/drawingml/2006/wordprocessingDrawing" distT="0" distB="0" distL="0" distR="0">
                <wp:extent cx="6008104" cy="836606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97142" name=""/>
                        <pic:cNvPicPr>
                          <a:picLocks noChangeAspect="1"/>
                        </pic:cNvPicPr>
                        <pic:nvPr/>
                      </pic:nvPicPr>
                      <pic:blipFill rotWithShape="1">
                        <a:blip r:embed="rId20"/>
                        <a:stretch/>
                      </pic:blipFill>
                      <pic:spPr bwMode="auto">
                        <a:xfrm flipH="0" flipV="0">
                          <a:off x="0" y="0"/>
                          <a:ext cx="6008103" cy="83660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3.08pt;height:658.75pt;mso-wrap-distance-left:0.00pt;mso-wrap-distance-top:0.00pt;mso-wrap-distance-right:0.00pt;mso-wrap-distance-bottom:0.00pt;z-index:1;" stroked="false">
                <v:imagedata r:id="rId20" o:title=""/>
                <o:lock v:ext="edit" rotation="t"/>
              </v:shape>
            </w:pict>
          </mc:Fallback>
        </mc:AlternateContent>
      </w:r>
      <w:r>
        <w:rPr>
          <w:b/>
          <w:bCs/>
          <w:highlight w:val="none"/>
          <w:u w:val="single"/>
        </w:rPr>
      </w:r>
      <w:r>
        <w:rPr>
          <w:b/>
          <w:bCs/>
          <w:u w:val="single"/>
        </w:rPr>
      </w:r>
    </w:p>
    <w:p>
      <w:pPr>
        <w:pBdr/>
        <w:spacing w:line="235" w:lineRule="auto"/>
        <w:ind w:left="284"/>
        <w:jc w:val="both"/>
        <w:rPr>
          <w:b/>
          <w:bCs/>
          <w:u w:val="single"/>
        </w:rPr>
      </w:pPr>
      <w:r>
        <w:rPr>
          <w:b/>
          <w:bCs/>
          <w:highlight w:val="none"/>
          <w:u w:val="single"/>
        </w:rPr>
      </w:r>
      <w:r>
        <w:rPr>
          <w:b/>
          <w:bCs/>
          <w:u w:val="single"/>
        </w:rPr>
      </w:r>
    </w:p>
    <w:p>
      <w:pPr>
        <w:pBdr/>
        <w:shd w:val="nil" w:color="auto"/>
        <w:spacing/>
        <w:ind/>
        <w:rPr>
          <w:b/>
          <w:bCs/>
          <w:highlight w:val="none"/>
          <w:u w:val="single"/>
        </w:rPr>
      </w:pPr>
      <w:r>
        <w:rPr>
          <w:b/>
          <w:bCs/>
          <w:highlight w:val="none"/>
          <w:u w:val="single"/>
        </w:rPr>
        <w:br w:type="page" w:clear="all"/>
      </w:r>
      <w:r>
        <w:rPr>
          <w:b/>
          <w:bCs/>
          <w:highlight w:val="none"/>
          <w:u w:val="single"/>
        </w:rPr>
      </w:r>
      <w:r>
        <w:rPr>
          <w:b/>
          <w:bCs/>
          <w:highlight w:val="none"/>
          <w:u w:val="single"/>
        </w:rPr>
      </w:r>
    </w:p>
    <w:p>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0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08"/>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0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0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0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0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0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0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0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0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w:t>
      </w:r>
      <w:r>
        <w:rPr>
          <w:b/>
          <w:lang w:val="pt-BR"/>
        </w:rPr>
      </w:r>
      <w:r>
        <w:rPr>
          <w:b/>
          <w:lang w:val="pt-BR"/>
        </w:rPr>
      </w:r>
    </w:p>
    <w:p>
      <w:pPr>
        <w:pStyle w:val="1008"/>
        <w:numPr>
          <w:ilvl w:val="0"/>
          <w:numId w:val="39"/>
        </w:numPr>
        <w:pBdr/>
        <w:spacing w:after="120" w:before="120" w:line="276" w:lineRule="auto"/>
        <w:ind w:hanging="426" w:left="426"/>
        <w:jc w:val="both"/>
        <w:rPr>
          <w:b/>
          <w:i/>
          <w:iCs/>
          <w:highlight w:val="white"/>
        </w:rPr>
      </w:pPr>
      <w:r>
        <w:rPr>
          <w:b/>
          <w:i/>
          <w:iCs/>
          <w:highlight w:val="white"/>
          <w:lang w:val="pt-BR"/>
        </w:rPr>
        <w:t xml:space="preserve">Tài sản 01:</w:t>
      </w:r>
      <w:r>
        <w:rPr>
          <w:b/>
          <w:i/>
          <w:iCs/>
          <w:highlight w:val="white"/>
          <w:lang w:val="pt-BR"/>
        </w:rPr>
        <w:t xml:space="preserve"> </w:t>
      </w:r>
      <w:r>
        <w:rPr>
          <w:b/>
          <w:i/>
          <w:iCs/>
          <w:highlight w:val="white"/>
          <w:lang w:val="pt-BR"/>
        </w:rPr>
        <w:t xml:space="preserve">Thửa đ</w:t>
      </w:r>
      <w:r>
        <w:rPr>
          <w:b/>
          <w:i/>
          <w:iCs/>
          <w:highlight w:val="white"/>
          <w:lang w:val="pt-BR"/>
        </w:rPr>
        <w:t xml:space="preserve">ất số 14</w:t>
      </w:r>
      <w:r>
        <w:rPr>
          <w:b/>
          <w:i/>
          <w:iCs/>
          <w:highlight w:val="white"/>
          <w:lang w:val="pt-BR"/>
        </w:rPr>
        <w:t xml:space="preserve">, tờ bản đồ số 11.</w:t>
      </w:r>
      <w:r>
        <w:rPr>
          <w:b/>
          <w:i/>
          <w:iCs/>
          <w:highlight w:val="white"/>
          <w:lang w:val="pt-BR"/>
        </w:rPr>
      </w:r>
      <w:r>
        <w:rPr>
          <w:b/>
          <w:i/>
          <w:iCs/>
          <w:highlight w:val="white"/>
        </w:rPr>
      </w:r>
    </w:p>
    <w:p>
      <w:pPr>
        <w:pBdr/>
        <w:spacing w:after="120" w:before="120" w:line="276" w:lineRule="auto"/>
        <w:ind w:firstLine="0" w:left="0"/>
        <w:jc w:val="both"/>
        <w:rPr>
          <w:b/>
          <w:bCs/>
          <w:i/>
          <w:lang w:val="pt-BR"/>
        </w:rPr>
      </w:pPr>
      <w:r>
        <w:rPr>
          <w:b/>
          <w:i/>
          <w:iCs/>
          <w:highlight w:val="none"/>
          <w:lang w:val="pt-BR" w:bidi="pt-BR"/>
        </w:rPr>
      </w: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
          <w:bCs/>
          <w:i/>
          <w:lang w:val="pt-BR"/>
        </w:rPr>
      </w:r>
      <w:r>
        <w:rPr>
          <w:b/>
          <w:bCs/>
          <w:i/>
          <w:lang w:val="pt-BR"/>
        </w:rPr>
      </w:r>
    </w:p>
    <w:p>
      <w:pPr>
        <w:pStyle w:val="100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984"/>
        <w:gridCol w:w="1701"/>
        <w:gridCol w:w="1701"/>
        <w:gridCol w:w="1701"/>
        <w:gridCol w:w="1701"/>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STT</w:t>
            </w:r>
            <w:r>
              <w:rPr>
                <w:sz w:val="22"/>
                <w:szCs w:val="22"/>
                <w:highlight w:val="white"/>
              </w:rPr>
            </w:r>
            <w:r>
              <w:rPr>
                <w:sz w:val="22"/>
                <w:szCs w:val="22"/>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b/>
                <w:color w:val="000000"/>
                <w:sz w:val="22"/>
                <w:szCs w:val="22"/>
                <w:highlight w:val="white"/>
              </w:rPr>
              <w:t xml:space="preserve">ĐẶC ĐIỂM BĐS</w:t>
            </w:r>
            <w:r>
              <w:rPr>
                <w:sz w:val="22"/>
                <w:szCs w:val="22"/>
                <w:highlight w:val="white"/>
              </w:rPr>
            </w:r>
            <w:r>
              <w:rPr>
                <w:sz w:val="22"/>
                <w:szCs w:val="22"/>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TSTĐ</w:t>
            </w:r>
            <w:r>
              <w:rPr>
                <w:sz w:val="22"/>
                <w:szCs w:val="22"/>
                <w:highlight w:val="white"/>
              </w:rPr>
            </w:r>
            <w:r>
              <w:rPr>
                <w:sz w:val="22"/>
                <w:szCs w:val="22"/>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TSSS1</w:t>
            </w:r>
            <w:r>
              <w:rPr>
                <w:sz w:val="22"/>
                <w:szCs w:val="22"/>
                <w:highlight w:val="white"/>
              </w:rPr>
            </w:r>
            <w:r>
              <w:rPr>
                <w:sz w:val="22"/>
                <w:szCs w:val="22"/>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TSSS2</w:t>
            </w:r>
            <w:r>
              <w:rPr>
                <w:sz w:val="22"/>
                <w:szCs w:val="22"/>
                <w:highlight w:val="white"/>
              </w:rPr>
            </w:r>
            <w:r>
              <w:rPr>
                <w:sz w:val="22"/>
                <w:szCs w:val="22"/>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TSSS3</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A</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b/>
                <w:color w:val="000000"/>
                <w:sz w:val="22"/>
                <w:szCs w:val="22"/>
                <w:highlight w:val="white"/>
              </w:rPr>
              <w:t xml:space="preserve">Thông tin về tài sản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Địa chỉ</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Phường An Dương, thành phố Hải Phòng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Phường An Dương, thành phố Hải Phòng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Phường An Dương, thành phố Hải Phòng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Xã An Lão, thành phố Hải Phòng</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2</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Nguồn tham khảo</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https://alonhadat.com.vn/chinh-chu-gui-ban-720m-dat-03-to-3-thi-tran-an-duong-hai-phong-14457000.html</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sz w:val="22"/>
                <w:szCs w:val="22"/>
                <w:highlight w:val="white"/>
              </w:rPr>
            </w:r>
            <w:hyperlink r:id="rId21" w:tooltip="https://alonhadat.com.vn/chinh-chu-gui-ban-340m-dat-03-trang-due-le-loi-an-duong-17240629.html" w:history="1">
              <w:r>
                <w:rPr>
                  <w:rStyle w:val="998"/>
                  <w:rFonts w:ascii="Times New Roman" w:hAnsi="Times New Roman" w:eastAsia="Times New Roman" w:cs="Times New Roman"/>
                  <w:color w:val="000000"/>
                  <w:sz w:val="22"/>
                  <w:szCs w:val="22"/>
                  <w:highlight w:val="white"/>
                  <w:u w:val="none"/>
                </w:rPr>
                <w:t xml:space="preserve">https://alonhadat.com.vn/chinh-chu-gui-ban-340m-dat-03-trang-due-le-loi-an-duong-17240629.html</w:t>
              </w:r>
            </w:hyperlink>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https://alonhadat.com.vn/ban-manh-dat-nha-vuon-1-750m2-dat-03-truong-son-an-lao-gia-3-6-ty-duong-o-to-18286747.html</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Thông tin liên lạc</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SDT: </w:t>
            </w:r>
            <w:r>
              <w:rPr>
                <w:sz w:val="22"/>
                <w:szCs w:val="22"/>
                <w:highlight w:val="white"/>
              </w:rPr>
            </w:r>
            <w:r>
              <w:rPr>
                <w:sz w:val="22"/>
                <w:szCs w:val="22"/>
                <w:highlight w:val="white"/>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0982.877.844</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SDT: </w:t>
            </w:r>
            <w:r>
              <w:rPr>
                <w:sz w:val="22"/>
                <w:szCs w:val="22"/>
                <w:highlight w:val="white"/>
              </w:rPr>
            </w:r>
            <w:r>
              <w:rPr>
                <w:sz w:val="22"/>
                <w:szCs w:val="22"/>
                <w:highlight w:val="white"/>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0982.877.844</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SDT: </w:t>
            </w:r>
            <w:r>
              <w:rPr>
                <w:sz w:val="22"/>
                <w:szCs w:val="22"/>
                <w:highlight w:val="white"/>
              </w:rPr>
            </w:r>
            <w:r>
              <w:rPr>
                <w:sz w:val="22"/>
                <w:szCs w:val="22"/>
                <w:highlight w:val="white"/>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0916.155.246</w:t>
            </w:r>
            <w:r>
              <w:rPr>
                <w:sz w:val="22"/>
                <w:szCs w:val="22"/>
                <w:highlight w:val="white"/>
              </w:rPr>
            </w:r>
            <w:r>
              <w:rPr>
                <w:sz w:val="22"/>
                <w:szCs w:val="22"/>
                <w:highlight w:val="white"/>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(Sale Vũ Đức Hậu)</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(Sale Vũ Đức Hậu)</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(Sale Phạm Tiến Lâm)</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3</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Tình trạng giao dịch</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Đang giao dịch</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Đang giao dịch</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Đang giao dịch</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4</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Thời điểm thu thập thông tin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Tháng 4/2026</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Tháng 4/2026</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Tháng 4/2026</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5</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Tính chất giao dịch</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Giao dịch bình thường trên thị trường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Giao dịch bình thường trên thị trường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Giao dịch bình thường trên thị trường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Giao dịch bình thường trên thị trường</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6</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Pháp lý</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Có Giấy chứng nhận Quyền sử dụng đất</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Có Giấy chứng nhận Quyền sử dụng đất</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Có Giấy chứng nhận Quyền sử dụng đất</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Có Giấy chứng nhận Quyền sử dụng đất</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7</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Mục đích sử dụng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Đất trồng cây hàng năm</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Đất trồng cây hàng năm</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Đất trồng cây hàng năm</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Đất trồng cây hàng năm</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8</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Thời hạn sử dụng đất</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Đến tháng 10/2063</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Có thời hạn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Có thời hạn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Có thời hạn</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9</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Vị trí</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Tài sản tiếp giáp QL17B</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Tài sản cách đường DT208 khoảng 350m</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Tài sản nằm gần khu đô thị Evergreen. Tài sản cách đường DT208 khoảng 650m</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Tài sản cách đường DT360 khoảng 350m</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10</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Giao thông</w:t>
            </w:r>
            <w:r>
              <w:rPr>
                <w:sz w:val="22"/>
                <w:szCs w:val="22"/>
                <w:highlight w:val="white"/>
              </w:rPr>
            </w:r>
            <w:r>
              <w:rPr>
                <w:sz w:val="22"/>
                <w:szCs w:val="22"/>
                <w:highlight w:val="white"/>
              </w:rPr>
            </w:r>
          </w:p>
        </w:tc>
        <w:tc>
          <w:tcPr>
            <w:shd w:val="clear" w:color="f5f5f5" w:fill="f5f5f5"/>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5f5f5" w:fill="f5f5f5"/>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Đường nhựa không có vỉa hè</w:t>
            </w:r>
            <w:r>
              <w:rPr>
                <w:sz w:val="22"/>
                <w:szCs w:val="22"/>
                <w:highlight w:val="white"/>
              </w:rPr>
            </w:r>
            <w:r>
              <w:rPr>
                <w:sz w:val="22"/>
                <w:szCs w:val="22"/>
                <w:highlight w:val="white"/>
              </w:rPr>
            </w:r>
          </w:p>
        </w:tc>
        <w:tc>
          <w:tcPr>
            <w:shd w:val="clear" w:color="f5f5f5" w:fill="f5f5f5"/>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5f5f5" w:fill="f5f5f5"/>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Đường bê tông</w:t>
            </w:r>
            <w:r>
              <w:rPr>
                <w:sz w:val="22"/>
                <w:szCs w:val="22"/>
                <w:highlight w:val="white"/>
              </w:rPr>
            </w:r>
            <w:r>
              <w:rPr>
                <w:sz w:val="22"/>
                <w:szCs w:val="22"/>
                <w:highlight w:val="white"/>
              </w:rPr>
            </w:r>
          </w:p>
        </w:tc>
        <w:tc>
          <w:tcPr>
            <w:shd w:val="clear" w:color="f5f5f5" w:fill="f5f5f5"/>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5f5f5" w:fill="f5f5f5"/>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Đường nhựa có vỉa hè</w:t>
            </w:r>
            <w:r>
              <w:rPr>
                <w:sz w:val="22"/>
                <w:szCs w:val="22"/>
                <w:highlight w:val="white"/>
              </w:rPr>
            </w:r>
            <w:r>
              <w:rPr>
                <w:sz w:val="22"/>
                <w:szCs w:val="22"/>
                <w:highlight w:val="white"/>
              </w:rPr>
            </w:r>
          </w:p>
        </w:tc>
        <w:tc>
          <w:tcPr>
            <w:shd w:val="clear" w:color="f5f5f5" w:fill="f5f5f5"/>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5f5f5" w:fill="f5f5f5"/>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Đường bê tông</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11</w:t>
            </w:r>
            <w:r>
              <w:rPr>
                <w:sz w:val="22"/>
                <w:szCs w:val="22"/>
                <w:highlight w:val="white"/>
              </w:rPr>
            </w:r>
            <w:r>
              <w:rPr>
                <w:sz w:val="22"/>
                <w:szCs w:val="22"/>
                <w:highlight w:val="white"/>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b w:val="0"/>
                <w:bCs w:val="0"/>
                <w:sz w:val="22"/>
                <w:szCs w:val="22"/>
                <w:highlight w:val="white"/>
              </w:rPr>
            </w:pPr>
            <w:r>
              <w:rPr>
                <w:rFonts w:ascii="Times New Roman" w:hAnsi="Times New Roman" w:eastAsia="Times New Roman" w:cs="Times New Roman"/>
                <w:b w:val="0"/>
                <w:bCs w:val="0"/>
                <w:color w:val="000000"/>
                <w:sz w:val="22"/>
                <w:szCs w:val="22"/>
                <w:highlight w:val="white"/>
              </w:rPr>
              <w:t xml:space="preserve">Độ rộng đường trước tài sản (m)</w:t>
            </w:r>
            <w:r>
              <w:rPr>
                <w:b w:val="0"/>
                <w:bCs w:val="0"/>
                <w:sz w:val="22"/>
                <w:szCs w:val="22"/>
                <w:highlight w:val="white"/>
              </w:rPr>
            </w:r>
            <w:r>
              <w:rPr>
                <w:b w:val="0"/>
                <w:bCs w:val="0"/>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9,1</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3,5</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15</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5</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12</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Diện tích đất</w:t>
              <w:br/>
              <w:t xml:space="preserve">  (m²)</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699</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720</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340</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1750</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13</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Mặt tiền (m)</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35,91</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10</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11,19</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30</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14</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Số lượng mặt tiếp giáp</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Tiếp giáp 2 mặt tiền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Tiếp giáp 1 mặt tiền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Tiếp giáp 1 mặt tiền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Tiếp giáp 1 mặt tiền</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15</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Hình dáng thửa đất</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Tương đối vuông vức</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Tương đối vuông vức</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Vạt góc</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Đa giác</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16</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Yếu tố khác</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Đối diện nghĩa trang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Không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Không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Không</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17</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Tài sản trên đất</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Đất trống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Nhà 1 tầng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Nhà 1 tầng</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Số tầng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1,0</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1,0</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Diện tích sàn sử dụng (m²)</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60,0</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70,0</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18</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Giá rao (đồng)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1.500.000.000</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1.200.000.000</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3.600.000.000</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19</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Giá thương lượng/bán (đồng)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highlight w:val="white"/>
              </w:rPr>
            </w:pPr>
            <w:r>
              <w:rPr>
                <w:rFonts w:ascii="Times New Roman" w:hAnsi="Times New Roman" w:eastAsia="Times New Roman" w:cs="Times New Roman"/>
                <w:b/>
                <w:bCs/>
                <w:color w:val="000000"/>
                <w:sz w:val="22"/>
                <w:szCs w:val="22"/>
                <w:highlight w:val="white"/>
              </w:rPr>
              <w:t xml:space="preserve">1.275.000.000</w:t>
            </w:r>
            <w:r>
              <w:rPr>
                <w:b/>
                <w:bCs/>
                <w:sz w:val="22"/>
                <w:szCs w:val="22"/>
                <w:highlight w:val="white"/>
              </w:rPr>
            </w:r>
            <w:r>
              <w:rPr>
                <w:b/>
                <w:bCs/>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highlight w:val="white"/>
              </w:rPr>
            </w:pPr>
            <w:r>
              <w:rPr>
                <w:rFonts w:ascii="Times New Roman" w:hAnsi="Times New Roman" w:eastAsia="Times New Roman" w:cs="Times New Roman"/>
                <w:b/>
                <w:bCs/>
                <w:color w:val="000000"/>
                <w:sz w:val="22"/>
                <w:szCs w:val="22"/>
                <w:highlight w:val="white"/>
              </w:rPr>
              <w:t xml:space="preserve">1.020.000.000</w:t>
            </w:r>
            <w:r>
              <w:rPr>
                <w:b/>
                <w:bCs/>
                <w:sz w:val="22"/>
                <w:szCs w:val="22"/>
                <w:highlight w:val="white"/>
              </w:rPr>
            </w:r>
            <w:r>
              <w:rPr>
                <w:b/>
                <w:bCs/>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highlight w:val="white"/>
              </w:rPr>
            </w:pPr>
            <w:r>
              <w:rPr>
                <w:rFonts w:ascii="Times New Roman" w:hAnsi="Times New Roman" w:eastAsia="Times New Roman" w:cs="Times New Roman"/>
                <w:b/>
                <w:bCs/>
                <w:color w:val="000000"/>
                <w:sz w:val="22"/>
                <w:szCs w:val="22"/>
                <w:highlight w:val="white"/>
              </w:rPr>
              <w:t xml:space="preserve">3.060.000.000</w:t>
            </w:r>
            <w:r>
              <w:rPr>
                <w:b/>
                <w:bCs/>
                <w:sz w:val="22"/>
                <w:szCs w:val="22"/>
                <w:highlight w:val="white"/>
              </w:rPr>
            </w:r>
            <w:r>
              <w:rPr>
                <w:b/>
                <w:bCs/>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B</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b/>
                <w:color w:val="000000"/>
                <w:sz w:val="22"/>
                <w:szCs w:val="22"/>
                <w:highlight w:val="white"/>
              </w:rPr>
              <w:t xml:space="preserve">Chi tiết tính toán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1</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b/>
                <w:color w:val="000000"/>
                <w:sz w:val="22"/>
                <w:szCs w:val="22"/>
                <w:highlight w:val="white"/>
              </w:rPr>
              <w:t xml:space="preserve">Giá trị tài sản trên đất (đồng)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284.263.488</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331.640.736</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Đơn giá xây dựng theo Quyết định 425/QĐ-BXD năm 2026 của Bộ Xây Dựng (đồng/m²)</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5.922.156</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5.922.156</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Tỷ lệ % CLCL</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80%</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80%</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2</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b/>
                <w:color w:val="000000"/>
                <w:sz w:val="22"/>
                <w:szCs w:val="22"/>
                <w:highlight w:val="white"/>
              </w:rPr>
              <w:t xml:space="preserve">Giá trị đất ở (đồng)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highlight w:val="white"/>
              </w:rPr>
            </w:pPr>
            <w:r>
              <w:rPr>
                <w:rFonts w:ascii="Times New Roman" w:hAnsi="Times New Roman" w:eastAsia="Times New Roman" w:cs="Times New Roman"/>
                <w:b/>
                <w:bCs/>
                <w:color w:val="000000"/>
                <w:sz w:val="22"/>
                <w:szCs w:val="22"/>
                <w:highlight w:val="white"/>
              </w:rPr>
              <w:t xml:space="preserve">1.275.000.000</w:t>
            </w:r>
            <w:r>
              <w:rPr>
                <w:b/>
                <w:bCs/>
                <w:sz w:val="22"/>
                <w:szCs w:val="22"/>
                <w:highlight w:val="white"/>
              </w:rPr>
            </w:r>
            <w:r>
              <w:rPr>
                <w:b/>
                <w:bCs/>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highlight w:val="white"/>
              </w:rPr>
            </w:pPr>
            <w:r>
              <w:rPr>
                <w:rFonts w:ascii="Times New Roman" w:hAnsi="Times New Roman" w:eastAsia="Times New Roman" w:cs="Times New Roman"/>
                <w:b/>
                <w:bCs/>
                <w:color w:val="000000"/>
                <w:sz w:val="22"/>
                <w:szCs w:val="22"/>
                <w:highlight w:val="white"/>
              </w:rPr>
              <w:t xml:space="preserve">735.736.512</w:t>
            </w:r>
            <w:r>
              <w:rPr>
                <w:b/>
                <w:bCs/>
                <w:sz w:val="22"/>
                <w:szCs w:val="22"/>
                <w:highlight w:val="white"/>
              </w:rPr>
            </w:r>
            <w:r>
              <w:rPr>
                <w:b/>
                <w:bCs/>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highlight w:val="white"/>
              </w:rPr>
            </w:pPr>
            <w:r>
              <w:rPr>
                <w:rFonts w:ascii="Times New Roman" w:hAnsi="Times New Roman" w:eastAsia="Times New Roman" w:cs="Times New Roman"/>
                <w:b/>
                <w:bCs/>
                <w:color w:val="000000"/>
                <w:sz w:val="22"/>
                <w:szCs w:val="22"/>
                <w:highlight w:val="white"/>
              </w:rPr>
              <w:t xml:space="preserve">2.728.359.264</w:t>
            </w:r>
            <w:r>
              <w:rPr>
                <w:b/>
                <w:bCs/>
                <w:sz w:val="22"/>
                <w:szCs w:val="22"/>
                <w:highlight w:val="white"/>
              </w:rPr>
            </w:r>
            <w:r>
              <w:rPr>
                <w:b/>
                <w:bCs/>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3</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b/>
                <w:color w:val="000000"/>
                <w:sz w:val="22"/>
                <w:szCs w:val="22"/>
                <w:highlight w:val="white"/>
              </w:rPr>
              <w:t xml:space="preserve">Đơn giá QSDĐ (đồng/m²)</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highlight w:val="white"/>
              </w:rPr>
            </w:pPr>
            <w:r>
              <w:rPr>
                <w:rFonts w:ascii="Times New Roman" w:hAnsi="Times New Roman" w:eastAsia="Times New Roman" w:cs="Times New Roman"/>
                <w:b/>
                <w:bCs/>
                <w:color w:val="000000"/>
                <w:sz w:val="22"/>
                <w:szCs w:val="22"/>
                <w:highlight w:val="white"/>
              </w:rPr>
              <w:t xml:space="preserve">1.770.833</w:t>
            </w:r>
            <w:r>
              <w:rPr>
                <w:b/>
                <w:bCs/>
                <w:sz w:val="22"/>
                <w:szCs w:val="22"/>
                <w:highlight w:val="white"/>
              </w:rPr>
            </w:r>
            <w:r>
              <w:rPr>
                <w:b/>
                <w:bCs/>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highlight w:val="white"/>
              </w:rPr>
            </w:pPr>
            <w:r>
              <w:rPr>
                <w:rFonts w:ascii="Times New Roman" w:hAnsi="Times New Roman" w:eastAsia="Times New Roman" w:cs="Times New Roman"/>
                <w:b/>
                <w:bCs/>
                <w:color w:val="000000"/>
                <w:sz w:val="22"/>
                <w:szCs w:val="22"/>
                <w:highlight w:val="white"/>
              </w:rPr>
              <w:t xml:space="preserve">2.163.931</w:t>
            </w:r>
            <w:r>
              <w:rPr>
                <w:b/>
                <w:bCs/>
                <w:sz w:val="22"/>
                <w:szCs w:val="22"/>
                <w:highlight w:val="white"/>
              </w:rPr>
            </w:r>
            <w:r>
              <w:rPr>
                <w:b/>
                <w:bCs/>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highlight w:val="white"/>
              </w:rPr>
            </w:pPr>
            <w:r>
              <w:rPr>
                <w:rFonts w:ascii="Times New Roman" w:hAnsi="Times New Roman" w:eastAsia="Times New Roman" w:cs="Times New Roman"/>
                <w:b/>
                <w:bCs/>
                <w:color w:val="000000"/>
                <w:sz w:val="22"/>
                <w:szCs w:val="22"/>
                <w:highlight w:val="white"/>
              </w:rPr>
              <w:t xml:space="preserve">1.559.062</w:t>
            </w:r>
            <w:r>
              <w:rPr>
                <w:b/>
                <w:bCs/>
                <w:sz w:val="22"/>
                <w:szCs w:val="22"/>
                <w:highlight w:val="white"/>
              </w:rPr>
            </w:r>
            <w:r>
              <w:rPr>
                <w:b/>
                <w:bCs/>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b/>
                <w:color w:val="000000"/>
                <w:sz w:val="22"/>
                <w:szCs w:val="22"/>
                <w:highlight w:val="white"/>
              </w:rPr>
              <w:t xml:space="preserve">C</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b/>
                <w:color w:val="000000"/>
                <w:sz w:val="22"/>
                <w:szCs w:val="22"/>
                <w:highlight w:val="white"/>
              </w:rPr>
              <w:t xml:space="preserve">NHẬN XÉT</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1</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Pháp lý</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Tương đồng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Tương đồng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Tương đồng</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2</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Giao thông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3</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Vị trí</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4</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Độ rộng đường trước tài sản (m)</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5</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Diện tích đất</w:t>
              <w:br/>
              <w:t xml:space="preserve">  (m²)</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Tương đồng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6</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Mặt tiền (m)</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7</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Số lượng mặt tiếp giáp</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8</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Hình dáng thửa đất</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Tương đồng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Tương đồng</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Kém lợi thế hơn</w:t>
            </w:r>
            <w:r>
              <w:rPr>
                <w:sz w:val="22"/>
                <w:szCs w:val="22"/>
                <w:highlight w:val="white"/>
              </w:rPr>
            </w:r>
            <w:r>
              <w:rPr>
                <w:sz w:val="22"/>
                <w:szCs w:val="22"/>
                <w:highlight w:val="white"/>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9</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highlight w:val="white"/>
              </w:rPr>
            </w:pPr>
            <w:r>
              <w:rPr>
                <w:rFonts w:ascii="Times New Roman" w:hAnsi="Times New Roman" w:eastAsia="Times New Roman" w:cs="Times New Roman"/>
                <w:color w:val="000000"/>
                <w:sz w:val="22"/>
                <w:szCs w:val="22"/>
                <w:highlight w:val="white"/>
              </w:rPr>
              <w:t xml:space="preserve">Yếu tố khác</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highlight w:val="white"/>
              </w:rPr>
            </w:pPr>
            <w:r>
              <w:rPr>
                <w:sz w:val="22"/>
                <w:szCs w:val="22"/>
                <w:highlight w:val="white"/>
              </w:rPr>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Lợi thế hơn</w:t>
            </w:r>
            <w:r>
              <w:rPr>
                <w:sz w:val="22"/>
                <w:szCs w:val="22"/>
                <w:highlight w:val="white"/>
              </w:rPr>
            </w:r>
            <w:r>
              <w:rPr>
                <w:sz w:val="22"/>
                <w:szCs w:val="22"/>
                <w:highlight w:val="white"/>
              </w:rPr>
            </w:r>
          </w:p>
        </w:tc>
      </w:tr>
    </w:tbl>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0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70"/>
        <w:gridCol w:w="1645"/>
        <w:gridCol w:w="1111"/>
        <w:gridCol w:w="1522"/>
        <w:gridCol w:w="1522"/>
        <w:gridCol w:w="1522"/>
        <w:gridCol w:w="1523"/>
      </w:tblGrid>
      <w:tr>
        <w:trPr>
          <w:trHeight w:val="2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Yếu tố so sánh</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Đơn vị tính</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thẩm định</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so sánh 1</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so sánh 2</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so sánh 3</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Giá trị QSDĐ thị trường (Ước tính sau thương lượng)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1.275.000.000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735.736.512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2.728.359.264</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Đơn giá đất ước tính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1.770.833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2.163.931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1.559.062</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Điều chỉnh các yếu tố so sánh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Pháp lý</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1.770.833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2.163.931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1.559.062</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Giao thông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Đường nhựa không có vỉa hè</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Đường bê tông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Đường nhựa có vỉa hè</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Đường bê tông</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88.542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-64.918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77.953</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1.859.375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2.099.013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1.637.016</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Vị trí</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tiếp giáp QL17B</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cách đường DT208 khoảng 350m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nằm gần khu đô thị Evergreen. Tài sản cách đường DT208 khoảng 650m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cách đường DT360 khoảng 350m</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278.906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209.901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245.552</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2.138.281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2.308.914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1.882.568</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Độ rộng đường trước tài sản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9,1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5</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278.906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-104.951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81.851</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2.417.188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2.203.964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1.964.419</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Diện tích đất</w:t>
              <w:br/>
              <w:t xml:space="preserve">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699,0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720,0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340,0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1750,0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-209.901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163.702</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2.417.188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1.994.062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2.128.120</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Mặt tiền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35,91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11,19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185.938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104.951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81.851</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2.603.125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2.099.013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2.209.971</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Tiếp giáp 2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Tiếp giáp 1 mặt tiền</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92.969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104.951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81.851</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2.696.094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2.203.964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2.291.822</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Tương đối vuông vức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Tương đối vuông vức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Vạt góc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Đa giác</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62.970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81.851</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2.696.094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2.266.934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2.373.673</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Yếu tố khác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Đối diện nghĩa trang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Không</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-10,00%</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-185.938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-209.901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-163.702</w:t>
            </w:r>
            <w:r>
              <w:rPr>
                <w:sz w:val="22"/>
                <w:szCs w:val="22"/>
              </w:rPr>
            </w:r>
            <w:r>
              <w:rPr>
                <w:sz w:val="22"/>
                <w:szCs w:val="22"/>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2.510.156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2.057.033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2.209.971</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D1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trị trung bình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044"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0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2.259.053</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D2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độ chênh lệch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-2,17%</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E</w:t>
            </w:r>
            <w:r>
              <w:rPr>
                <w:sz w:val="22"/>
                <w:szCs w:val="22"/>
              </w:rPr>
            </w:r>
            <w:r>
              <w:rPr>
                <w:sz w:val="22"/>
                <w:szCs w:val="22"/>
              </w:rP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Tổng hợp các số liệu điều chỉnh tại mục C</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Tổng giá trị điều chỉnh gộp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1.111.198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1.072.444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978.312</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Tổng số lần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Lần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Biên độ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5-15%</w:t>
            </w:r>
            <w:r>
              <w:rPr>
                <w:sz w:val="22"/>
                <w:szCs w:val="22"/>
              </w:rPr>
            </w:r>
            <w:r>
              <w:rPr>
                <w:sz w:val="22"/>
                <w:szCs w:val="22"/>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E4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Tổng giá trị điều chỉnh thuần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1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739.323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(106.898)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650.909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2,17% đến 11,1%, đảm bảo không quá 15% (theo Thông tư số 32/2024/TT-BTC ngày 16/5/2024 của Bộ Tài chính).</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after="120" w:before="120" w:line="276" w:lineRule="auto"/>
        <w:ind/>
        <w:rPr>
          <w:b/>
          <w:bCs/>
          <w:i/>
          <w:highlight w:val="none"/>
          <w:u w:val="single"/>
        </w:rPr>
      </w:pPr>
      <w:r>
        <w:rPr>
          <w:b/>
          <w:bCs/>
          <w:i/>
          <w:highlight w:val="none"/>
          <w:u w:val="single"/>
        </w:rPr>
      </w:r>
      <w:r>
        <w:rPr>
          <w:b/>
          <w:bCs/>
          <w:i/>
          <w:highlight w:val="none"/>
          <w:u w:val="single"/>
        </w:rPr>
      </w:r>
      <w:r>
        <w:rPr>
          <w:b/>
          <w:bCs/>
          <w:i/>
          <w:highlight w:val="none"/>
          <w:u w:val="single"/>
        </w:rPr>
      </w:r>
    </w:p>
    <w:p>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highlight w:val="none"/>
          <w:u w:val="single"/>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88"/>
        <w:gridCol w:w="2175"/>
        <w:gridCol w:w="1984"/>
        <w:gridCol w:w="1843"/>
        <w:gridCol w:w="283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2.510.156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836.719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2.057.033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685.678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2.209.971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736.657</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2.259.053</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2.250.000</w:t>
            </w:r>
            <w:r/>
          </w:p>
        </w:tc>
      </w:tr>
    </w:tbl>
    <w:p>
      <w:pPr>
        <w:pBdr/>
        <w:spacing w:after="120" w:before="120" w:line="276" w:lineRule="auto"/>
        <w:ind/>
        <w:jc w:val="both"/>
        <w:rPr>
          <w:b/>
          <w:bCs/>
          <w:highlight w:val="none"/>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2.250.000</w:t>
      </w:r>
      <w:r>
        <w:rPr>
          <w:b/>
          <w:bCs/>
          <w:color w:val="000000" w:themeColor="text1"/>
        </w:rPr>
        <w:t xml:space="preserve"> </w:t>
      </w:r>
      <w:r>
        <w:rPr>
          <w:b/>
          <w:bCs/>
        </w:rPr>
        <w:t xml:space="preserve">đồng/m².</w:t>
      </w:r>
      <w:r>
        <w:rPr>
          <w:b/>
          <w:bCs/>
          <w:highlight w:val="none"/>
        </w:rPr>
      </w:r>
      <w:r>
        <w:rPr>
          <w:b/>
          <w:bCs/>
          <w:highlight w:val="none"/>
        </w:rP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2: Thửa đất số 13, tờ bản đồ số 11</w:t>
      </w:r>
      <w:r/>
    </w:p>
    <w:p>
      <w:pPr>
        <w:pBdr/>
        <w:spacing w:after="120" w:before="120" w:line="276" w:lineRule="auto"/>
        <w:ind/>
        <w:jc w:val="both"/>
        <w:rPr>
          <w:b/>
          <w:bCs/>
          <w:highlight w:val="none"/>
        </w:rPr>
      </w:pPr>
      <w:r>
        <w:rPr>
          <w:rFonts w:ascii="Times New Roman" w:hAnsi="Times New Roman" w:eastAsia="Times New Roman" w:cs="Times New Roman"/>
          <w:color w:val="000000"/>
          <w:sz w:val="24"/>
        </w:rPr>
        <w:t xml:space="preserve">Qua khảo sát hiện trạng tài sản thẩm định, tổ thẩm định nhận thấy thửa đất số 13, tờ bản đồ số: 11 nằm liền kề cùng vị trí với tài sản 1. Do đó, tổ thẩm định xác định đơn giá của tài sản 02 (Thửa đất số 13, tờ bản đồ số 11) bằng với đơn giá của tài sản 01 </w:t>
      </w:r>
      <w:r>
        <w:rPr>
          <w:rFonts w:ascii="Times New Roman" w:hAnsi="Times New Roman" w:eastAsia="Times New Roman" w:cs="Times New Roman"/>
          <w:color w:val="000000"/>
          <w:sz w:val="24"/>
        </w:rPr>
        <w:t xml:space="preserve">là </w:t>
      </w:r>
      <w:r>
        <w:rPr>
          <w:rFonts w:ascii="Times New Roman" w:hAnsi="Times New Roman" w:eastAsia="Times New Roman" w:cs="Times New Roman"/>
          <w:b/>
          <w:color w:val="000000"/>
          <w:sz w:val="24"/>
        </w:rPr>
        <w:t xml:space="preserve">2.250.000 đồng/m².</w:t>
      </w:r>
      <w:r>
        <w:rPr>
          <w:b/>
          <w:bCs/>
          <w:highlight w:val="none"/>
        </w:rPr>
      </w:r>
      <w:r>
        <w:rPr>
          <w:b/>
          <w:bCs/>
          <w:highlight w:val="none"/>
        </w:rP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2: Thửa đất số 75, tờ bản đồ số 11</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pStyle w:val="100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984"/>
        <w:gridCol w:w="1701"/>
        <w:gridCol w:w="1701"/>
        <w:gridCol w:w="1701"/>
        <w:gridCol w:w="1701"/>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ĐẶC ĐIỂM BĐS</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An Dương, thành phố Hải Phòng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An Dương, thành phố Hải Phòng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An Dương, thành phố Hải Phòng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Xã An Lão, thành phố Hải Phòng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https://alonhadat.com.vn/chinh-chu-gui-ban-720m-dat-03-to-3-thi-tran-an-duong-hai-phong-14457000.html</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sz w:val="22"/>
                <w:szCs w:val="22"/>
              </w:rPr>
            </w:r>
            <w:hyperlink r:id="rId22" w:tooltip="https://alonhadat.com.vn/chinh-chu-gui-ban-340m-dat-03-trang-due-le-loi-an-duong-17240629.html" w:history="1">
              <w:r>
                <w:rPr>
                  <w:rStyle w:val="998"/>
                  <w:rFonts w:ascii="Times New Roman" w:hAnsi="Times New Roman" w:eastAsia="Times New Roman" w:cs="Times New Roman"/>
                  <w:color w:val="000000"/>
                  <w:sz w:val="22"/>
                  <w:szCs w:val="22"/>
                  <w:u w:val="none"/>
                </w:rPr>
                <w:t xml:space="preserve">https://alonhadat.com.vn/chinh-chu-gui-ban-340m-dat-03-trang-due-le-loi-an-duong-17240629.html</w:t>
              </w:r>
            </w:hyperlink>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https://alonhadat.com.vn/ban-manh-dat-nha-vuon-1-750m2-dat-03-truong-son-an-lao-gia-3-6-ty-duong-o-to-18286747.html</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SDT: 0982.877.844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SDT: 0982.877.844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SDT: 0916.155.246</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(Sale Vũ Đức Hậu)</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(Sale Vũ Đức Hậu)</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(Sale Phạm Tiến Lâm)</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Tháng 4/2026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Tháng 4/2026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Tháng 4/2026</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Tính chất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trồng cây hàng năm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trồng cây hàng năm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trồng cây hàng năm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trồng cây hàng năm</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Đến tháng 10/2063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thời hạn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thời hạn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thời hạn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cách QL17B khoảng 20m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cách đường DT208 khoảng 350m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gần khu đô thị Evergreen. Tài sản cách đường DT208 khoảng 650m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cách đường DT360 khoảng 350m</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666666"/>
                <w:sz w:val="22"/>
                <w:szCs w:val="22"/>
              </w:rPr>
              <w:t xml:space="preserve">Độ rộng đường trước tài sản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Diện tích đất</w:t>
              <w:br/>
              <w:t xml:space="preserve">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1211,6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720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340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1750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21,68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11,19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2 trước sau</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 giác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 giác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Vạt góc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 giác</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Yếu tố khác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trống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Nhà 1 tầng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Nhà 1 tầng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Số tầng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Diện tích sàn sử dụng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70,0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1.500.000.000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1.200.000.000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3.600.000.000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1.275.000.000</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1.020.000.000</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3.060.000.000</w:t>
            </w:r>
            <w:r>
              <w:rPr>
                <w:b/>
                <w:bCs/>
                <w:sz w:val="22"/>
                <w:szCs w:val="22"/>
              </w:rPr>
            </w:r>
            <w:r>
              <w:rPr>
                <w:b/>
                <w:bCs/>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Giá trị tài sản trên đất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284.263.488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331.640.736</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Đơn giá xây dựng theo Quyết định 425/QĐ-BXD năm 2026 của Bộ Xây Dựng (đồng/m²)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5.922.156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5.922.156</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 CLCL</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Giá trị đất ở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1.275.000.000</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735.736.512</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2.728.359.264</w:t>
            </w:r>
            <w:r>
              <w:rPr>
                <w:b/>
                <w:bCs/>
                <w:sz w:val="22"/>
                <w:szCs w:val="22"/>
              </w:rPr>
            </w:r>
            <w:r>
              <w:rPr>
                <w:b/>
                <w:bCs/>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1.770.833</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2.163.931</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1.559.062</w:t>
            </w:r>
            <w:r>
              <w:rPr>
                <w:b/>
                <w:bCs/>
                <w:sz w:val="22"/>
                <w:szCs w:val="22"/>
              </w:rPr>
            </w:r>
            <w:r>
              <w:rPr>
                <w:b/>
                <w:bCs/>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Độ rộng đường trước tài sản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Diện tích đất</w:t>
              <w:br/>
              <w:t xml:space="preserve">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Yếu tố khác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0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126"/>
        <w:gridCol w:w="992"/>
        <w:gridCol w:w="1418"/>
        <w:gridCol w:w="1418"/>
        <w:gridCol w:w="1418"/>
        <w:gridCol w:w="1418"/>
      </w:tblGrid>
      <w:tr>
        <w:trPr>
          <w:trHeight w:val="2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1.275.000.000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735.736.512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2.728.359.264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1.770.833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2.163.931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1.559.062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1.770.833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2.163.931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1.559.062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-108.197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1.770.833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2.055.734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1.559.062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QL17B khoảng 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DT208 khoảng 350m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gần khu đô thị Evergreen. Tài sản cách đường DT208 khoảng 650m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DT360 khoảng 350m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53.125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-102.787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46.772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1.823.958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1.952.948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1.605.834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-141.667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-308.360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-155.906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1.682.292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1.644.587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1.449.928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1211,6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-88.542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-205.573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1.593.750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1.439.014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1.449.928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88.542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102.787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-155.906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1.682.292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1.541.801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1.294.022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2 trước sau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53.125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61.672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46.772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1.735.417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1.603.473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1.340.794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Vạt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-102.787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1.735.417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1.500.686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1.340.794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1.735.417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1.500.686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1.340.794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tcPr>
          <w:p>
            <w:pPr>
              <w:pBdr/>
              <w:spacing w:after="0" w:before="0" w:line="240" w:lineRule="auto"/>
              <w:ind/>
              <w:rPr/>
            </w:pP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1.525.632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992.162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405.356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(35.417)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(663.245)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(218.269)</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1,6% đến 13,8%, đảm bảo không quá 15% (theo Thông tư số 32/2024/TT-BTC ngày 16/5/2024 của Bộ Tài chính).</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r>
      <w:r>
        <w:rPr>
          <w:b/>
          <w:bCs/>
          <w:i/>
          <w:iCs/>
          <w:u w:val="single"/>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88"/>
        <w:gridCol w:w="2316"/>
        <w:gridCol w:w="1984"/>
        <w:gridCol w:w="1843"/>
        <w:gridCol w:w="2693"/>
      </w:tblGrid>
      <w:tr>
        <w:trPr>
          <w:trHeight w:val="91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1.735.417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578.472</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1.500.686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500.229</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1.340.794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446.931</w:t>
            </w:r>
            <w:r/>
          </w:p>
        </w:tc>
      </w:tr>
      <w:tr>
        <w:trPr>
          <w:trHeight w:val="31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1.525.632</w:t>
            </w:r>
            <w:r/>
          </w:p>
        </w:tc>
      </w:tr>
      <w:tr>
        <w:trPr>
          <w:trHeight w:val="31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1.500.000</w:t>
            </w:r>
            <w:r/>
          </w:p>
        </w:tc>
      </w:tr>
    </w:tbl>
    <w:p>
      <w:pPr>
        <w:pBdr/>
        <w:spacing w:after="120" w:before="120" w:line="276" w:lineRule="auto"/>
        <w:ind/>
        <w:rPr>
          <w:b/>
          <w:bCs/>
          <w:i/>
          <w:iCs/>
          <w:u w:val="single"/>
        </w:rPr>
      </w:pPr>
      <w:r>
        <w:rPr>
          <w:b/>
          <w:bCs/>
          <w:i/>
          <w:iCs/>
          <w:u w:val="single"/>
        </w:rPr>
      </w: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1.500.000 đồng/m².</w:t>
      </w:r>
      <w:r>
        <w:rPr>
          <w:b/>
          <w:bCs/>
          <w:i/>
          <w:iCs/>
          <w:u w:val="single"/>
        </w:rPr>
      </w:r>
      <w:r>
        <w:rPr>
          <w:b/>
          <w:bCs/>
          <w:i/>
          <w:iCs/>
          <w:u w:val="single"/>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3, Tài sản 4, Tài sản 5, Tài sản 6, Tài sản 7, Tài sản 8</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tài sản thẩm định, tổ thẩm định nhận thấy Tài sản 3, Tài sản 4, Tài sản 5, Tài sản 6, Tài sản 7, Tài sản 8 nằm liền kề cùng vị trí với tài sản 2 (Tờ bản đồ số 75, tờ bản đồ số 11). Do đó, tổ thẩm định xác định đơn giá của Tài sản 3,</w:t>
      </w:r>
      <w:r>
        <w:rPr>
          <w:rFonts w:ascii="Times New Roman" w:hAnsi="Times New Roman" w:eastAsia="Times New Roman" w:cs="Times New Roman"/>
          <w:color w:val="000000"/>
          <w:sz w:val="24"/>
        </w:rPr>
        <w:t xml:space="preserve"> Tài sản 4, Tài sản 5, Tài sản 6, Tài sản 7, Tài sản 8 bằng với đơn giá của tài sản 2 (Tờ bản đồ số 75, tờ bản đồ số 11) là </w:t>
      </w:r>
      <w:r>
        <w:rPr>
          <w:rFonts w:ascii="Times New Roman" w:hAnsi="Times New Roman" w:eastAsia="Times New Roman" w:cs="Times New Roman"/>
          <w:b/>
          <w:color w:val="000000"/>
          <w:sz w:val="24"/>
        </w:rPr>
        <w:t xml:space="preserve">1.500.000 đồng/m².</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highlight w:val="white"/>
        </w:rPr>
      </w:pPr>
      <w:r>
        <w:rPr>
          <w:rFonts w:ascii="Times New Roman" w:hAnsi="Times New Roman" w:eastAsia="Times New Roman" w:cs="Times New Roman"/>
          <w:b/>
          <w:color w:val="000000"/>
          <w:sz w:val="24"/>
          <w:highlight w:val="white"/>
        </w:rPr>
        <w:t xml:space="preserve">Tài sản 9: </w:t>
      </w:r>
      <w:r>
        <w:rPr>
          <w:rFonts w:ascii="Times New Roman" w:hAnsi="Times New Roman" w:eastAsia="Times New Roman" w:cs="Times New Roman"/>
          <w:b/>
          <w:color w:val="000000"/>
          <w:sz w:val="24"/>
          <w:highlight w:val="white"/>
        </w:rPr>
        <w:t xml:space="preserve">Thửa đất số 6,</w:t>
      </w:r>
      <w:r>
        <w:rPr>
          <w:rFonts w:ascii="Times New Roman" w:hAnsi="Times New Roman" w:eastAsia="Times New Roman" w:cs="Times New Roman"/>
          <w:b/>
          <w:color w:val="000000"/>
          <w:sz w:val="24"/>
          <w:highlight w:val="white"/>
        </w:rPr>
        <w:t xml:space="preserve"> tờ bản đồ số 12</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
          <w:bCs/>
          <w:i/>
          <w:iCs/>
          <w:u w:val="single"/>
        </w:rPr>
      </w:r>
      <w:r/>
    </w:p>
    <w:p>
      <w:pPr>
        <w:pStyle w:val="100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0"/>
        <w:gridCol w:w="2221"/>
        <w:gridCol w:w="1701"/>
        <w:gridCol w:w="1701"/>
        <w:gridCol w:w="1701"/>
        <w:gridCol w:w="1701"/>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ĐẶC ĐIỂM BĐS</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An Dương, thành phố Hải Phòng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An Dương, thành phố Hải Phòng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Phường An Dương, thành phố Hải Phòng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Xã An Lão, thành phố Hải Phòng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https://alonhadat.com.vn/chinh-chu-gui-ban-720m-dat-03-to-3-thi-tran-an-duong-hai-phong-14457000.html</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sz w:val="22"/>
                <w:szCs w:val="22"/>
              </w:rPr>
            </w:r>
            <w:hyperlink r:id="rId23" w:tooltip="https://alonhadat.com.vn/chinh-chu-gui-ban-340m-dat-03-trang-due-le-loi-an-duong-17240629.html" w:history="1">
              <w:r>
                <w:rPr>
                  <w:rStyle w:val="998"/>
                  <w:rFonts w:ascii="Times New Roman" w:hAnsi="Times New Roman" w:eastAsia="Times New Roman" w:cs="Times New Roman"/>
                  <w:color w:val="000000"/>
                  <w:sz w:val="22"/>
                  <w:szCs w:val="22"/>
                  <w:u w:val="none"/>
                </w:rPr>
                <w:t xml:space="preserve">https://alonhadat.com.vn/chinh-chu-gui-ban-340m-dat-03-trang-due-le-loi-an-duong-17240629.html</w:t>
              </w:r>
            </w:hyperlink>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https://alonhadat.com.vn/ban-manh-dat-nha-vuon-1-750m2-dat-03-truong-son-an-lao-gia-3-6-ty-duong-o-to-18286747.html</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SDT: 0982.877.844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SDT: 0982.877.844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SDT: 0916.155.246</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(Sale Vũ Đức Hậu)</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(Sale Vũ Đức Hậu)</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(Sale Phạm Tiến Lâm)</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Đang giao dịch</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Tháng 4/2026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Tháng 4/2026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Tháng 4/2026</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Tính chất giao dịch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Giao dịch bình thường trên thị trường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trồng cây hàng năm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trồng cây hàng năm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trồng cây hàng năm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trồng cây hàng năm</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Đến tháng 10/2063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thời hạn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thời hạn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Có thời hạn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cách QL17B khoảng 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cách đường DT208 khoảng 350m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gần khu đô thị Evergreen. Tài sản cách đường DT208 khoảng 650m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Tài sản cách đường DT360 khoảng 350m</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nhựa có vỉa hè</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sz w:val="22"/>
                <w:szCs w:val="22"/>
              </w:rPr>
            </w:pPr>
            <w:r>
              <w:rPr>
                <w:rFonts w:ascii="Times New Roman" w:hAnsi="Times New Roman" w:eastAsia="Times New Roman" w:cs="Times New Roman"/>
                <w:b/>
                <w:color w:val="666666"/>
                <w:sz w:val="22"/>
                <w:szCs w:val="22"/>
              </w:rPr>
              <w:t xml:space="preserve">Độ rộng đường trước tài sản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Diện tích đất</w:t>
              <w:br/>
              <w:t xml:space="preserve">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870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720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340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1750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25,36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11,19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2 trước sau</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Tiếp giáp 1 mặt tiền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đối vuông vức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 giác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Vạt góc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Đa giác</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Yếu tố khác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Không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trống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Nhà 1 tầng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Nhà 1 tầng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Số tầng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Diện tích sàn sử dụng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70,0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1.500.000.000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1.200.000.000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3.600.000.000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1.275.000.000</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1.020.000.000</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3.060.000.000</w:t>
            </w:r>
            <w:r>
              <w:rPr>
                <w:b/>
                <w:bCs/>
                <w:sz w:val="22"/>
                <w:szCs w:val="22"/>
              </w:rPr>
            </w:r>
            <w:r>
              <w:rPr>
                <w:b/>
                <w:bCs/>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Giá trị tài sản trên đất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284.263.488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331.640.736</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Đơn giá xây dựng theo Quyết định 425/QĐ-BXD năm 2026 của Bộ Xây Dựng (đồng/m²)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5.922.156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5.922.156</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 CLCL</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Giá trị đất ở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1.275.000.000</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735.736.512</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2.728.359.264</w:t>
            </w:r>
            <w:r>
              <w:rPr>
                <w:b/>
                <w:bCs/>
                <w:sz w:val="22"/>
                <w:szCs w:val="22"/>
              </w:rPr>
            </w:r>
            <w:r>
              <w:rPr>
                <w:b/>
                <w:bCs/>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1.770.833</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2.163.931</w:t>
            </w:r>
            <w:r>
              <w:rPr>
                <w:b/>
                <w:bCs/>
                <w:sz w:val="22"/>
                <w:szCs w:val="22"/>
              </w:rPr>
            </w:r>
            <w:r>
              <w:rPr>
                <w:b/>
                <w:bCs/>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1.559.062</w:t>
            </w:r>
            <w:r>
              <w:rPr>
                <w:b/>
                <w:bCs/>
                <w:sz w:val="22"/>
                <w:szCs w:val="22"/>
              </w:rPr>
            </w:r>
            <w:r>
              <w:rPr>
                <w:b/>
                <w:bCs/>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Độ rộng đường trước tài sản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Diện tích đất</w:t>
              <w:br/>
              <w:t xml:space="preserve">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Yếu tố khác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0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08"/>
        <w:gridCol w:w="1788"/>
        <w:gridCol w:w="850"/>
        <w:gridCol w:w="1595"/>
        <w:gridCol w:w="1595"/>
        <w:gridCol w:w="1595"/>
        <w:gridCol w:w="1595"/>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Yếu tố so sánh</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Đơn vị tính</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thẩm định</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so sánh 1</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so sánh 2</w:t>
            </w:r>
            <w:r>
              <w:rPr>
                <w:sz w:val="22"/>
                <w:szCs w:val="22"/>
              </w:rPr>
            </w:r>
            <w:r>
              <w:rPr>
                <w:sz w:val="22"/>
                <w:szCs w:val="22"/>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so sánh 3</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Giá trị QSDĐ thị trường (Ước tính sau thương lượng)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1.275.000.000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735.736.512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2.728.359.264</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Đơn giá đất ước tính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1.770.833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2.163.931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1.559.062</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Điều chỉnh các yếu tố so sánh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Pháp lý</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1.770.833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2.163.931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1.559.062</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Giao thông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Đường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Đường bê tông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Đường nhựa có vỉa hè</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Đường bê tông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-177.083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-324.590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-155.906</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1.593.750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1.839.341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1.403.156</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Vị trí</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cách QL17B khoảng 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cách đường DT208 khoảng 350m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nằm gần khu đô thị Evergreen. Tài sản cách đường DT208 khoảng 650m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Tài sản cách đường DT360 khoảng 350m</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-91.967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1.593.750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1.747.374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1.403.156</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Độ rộng đường trước tài sản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5</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-20,00%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-239.063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-459.835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-280.631</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1.354.688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1.287.539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1.122.525</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Diện tích đất</w:t>
              <w:br/>
              <w:t xml:space="preserve">  (m²)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870,0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720,0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340,0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1750,0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-159.375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-275.901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70.158</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1.195.313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1.011.638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1.192.683</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Mặt tiền (m)</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25,36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11,19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30,0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79.688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91.967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-70.158</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1.275.000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1.103.605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1.122.525</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C7</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Tiếp giáp 2 trước sau</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Tiếp giáp 1 mặt tiền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Tiếp giáp 1 mặt tiền</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47.813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55.180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42.095</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1.322.813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1.158.785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1.164.620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Tương đối vuông vức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Đa giác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Vạt góc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Đa giác</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47.813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42.095</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1.370.625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1.158.785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1.206.714</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C9</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Yếu tố khác</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Không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Không</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0</w:t>
            </w:r>
            <w:r>
              <w:rPr>
                <w:sz w:val="22"/>
                <w:szCs w:val="22"/>
              </w:rPr>
            </w:r>
            <w:r>
              <w:rPr>
                <w:sz w:val="22"/>
                <w:szCs w:val="22"/>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1.370.625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1.158.785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1.206.714</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D1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Giá trị trung bình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190"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31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1.245.375</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D2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Mức độ chênh lệch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-7,0%</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-3,10%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E</w:t>
            </w:r>
            <w:r>
              <w:rPr>
                <w:sz w:val="22"/>
                <w:szCs w:val="22"/>
              </w:rPr>
            </w:r>
            <w:r>
              <w:rPr>
                <w:sz w:val="22"/>
                <w:szCs w:val="22"/>
              </w:rP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90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b/>
                <w:color w:val="000000"/>
                <w:sz w:val="22"/>
                <w:szCs w:val="22"/>
              </w:rPr>
              <w:t xml:space="preserve">Tổng hợp các số liệu điều chỉnh tại mục C</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E1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Tổng giá trị điều chỉnh gộp</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750.833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1.299.441</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b/>
                <w:color w:val="000000"/>
                <w:sz w:val="22"/>
                <w:szCs w:val="22"/>
              </w:rPr>
              <w:t xml:space="preserve">661.042</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E2</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Tổng số lần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Lần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E3</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Biên độ điều chỉnh</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val="false"/>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3-15%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3-25%</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3-20%</w:t>
            </w:r>
            <w:r>
              <w:rPr>
                <w:sz w:val="22"/>
                <w:szCs w:val="22"/>
              </w:rPr>
            </w:r>
            <w:r>
              <w:rPr>
                <w:sz w:val="22"/>
                <w:szCs w:val="22"/>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E4</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sz w:val="22"/>
                <w:szCs w:val="22"/>
              </w:rPr>
            </w:pPr>
            <w:r>
              <w:rPr>
                <w:rFonts w:ascii="Times New Roman" w:hAnsi="Times New Roman" w:eastAsia="Times New Roman" w:cs="Times New Roman"/>
                <w:color w:val="000000"/>
                <w:sz w:val="22"/>
                <w:szCs w:val="22"/>
              </w:rPr>
              <w:t xml:space="preserve">Tổng giá trị điều chỉnh thuần</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Đồng</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spacing w:after="0" w:before="0" w:line="240" w:lineRule="auto"/>
              <w:ind/>
              <w:rPr>
                <w:sz w:val="22"/>
                <w:szCs w:val="22"/>
              </w:rPr>
            </w:pPr>
            <w:r>
              <w:rPr>
                <w:sz w:val="22"/>
                <w:szCs w:val="22"/>
              </w:rPr>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(400.208)</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(1.005.146)</w:t>
            </w:r>
            <w:r>
              <w:rPr>
                <w:sz w:val="22"/>
                <w:szCs w:val="22"/>
              </w:rPr>
            </w:r>
            <w:r>
              <w:rPr>
                <w:sz w:val="22"/>
                <w:szCs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(352.348)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3,1% đến 10,1%, đảm bảo không quá 15% (theo Thông tư số 32/2024/TT-BTC ngày 16/5/2024 của Bộ Tài chính).</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r>
      <w:r>
        <w:rPr>
          <w:b/>
          <w:bCs/>
          <w:i/>
          <w:iCs/>
          <w:u w:val="single"/>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88"/>
        <w:gridCol w:w="2600"/>
        <w:gridCol w:w="1984"/>
        <w:gridCol w:w="1417"/>
        <w:gridCol w:w="2835"/>
      </w:tblGrid>
      <w:tr>
        <w:trPr>
          <w:trHeight w:val="91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1.370.625</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456.875</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1.158.785</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386.262</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6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1.206.714</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402.238</w:t>
            </w:r>
            <w:r/>
          </w:p>
        </w:tc>
      </w:tr>
      <w:tr>
        <w:trPr>
          <w:trHeight w:val="31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1.245.375</w:t>
            </w:r>
            <w:r/>
          </w:p>
        </w:tc>
      </w:tr>
      <w:tr>
        <w:trPr>
          <w:trHeight w:val="31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6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1.200.000</w:t>
            </w:r>
            <w:r/>
          </w:p>
        </w:tc>
      </w:tr>
    </w:tbl>
    <w:p>
      <w:pPr>
        <w:pBdr/>
        <w:spacing w:after="120" w:before="120" w:line="276" w:lineRule="auto"/>
        <w:ind/>
        <w:jc w:val="both"/>
        <w:rPr>
          <w:b/>
          <w:bCs/>
          <w:highlight w:val="none"/>
        </w:rPr>
      </w:pPr>
      <w:r>
        <w:t xml:space="preserve"> Tổ thẩm định sử dụng mức giá chỉ dẫn là mức giá bình quân có trọng số của 03 tài sản so sánh làm mức giá của tài sản thẩm định giá, tương ứng là: </w:t>
      </w:r>
      <w:r>
        <w:rPr>
          <w:b/>
          <w:bCs/>
          <w:color w:val="000000" w:themeColor="text1"/>
        </w:rPr>
        <w:t xml:space="preserve">1.200.000</w:t>
      </w:r>
      <w:r>
        <w:rPr>
          <w:b/>
          <w:bCs/>
          <w:color w:val="000000" w:themeColor="text1"/>
        </w:rPr>
        <w:t xml:space="preserve"> </w:t>
      </w:r>
      <w:r>
        <w:rPr>
          <w:b/>
          <w:bCs/>
        </w:rPr>
        <w:t xml:space="preserve">đồng/m².</w:t>
      </w:r>
      <w:r>
        <w:rPr>
          <w:b/>
          <w:bCs/>
          <w:highlight w:val="none"/>
        </w:rPr>
      </w:r>
      <w:r>
        <w:rPr>
          <w:b/>
          <w:bCs/>
          <w:highlight w:val="none"/>
        </w:rP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10, Tài sản 11, Tài sản 12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tài sản thẩm định, tổ thẩm định nhận thấy Tài sản 10, Tài sản 11, Tài sản 12 nằm liền kề cùng vị trí với tài sản 9. Do đó, tổ thẩm định xác định đơn giá của Tài sản 10, Tài sản 11, Tài sản 12 bằng với đơn giá của tài sản 9 là </w:t>
      </w:r>
      <w:r>
        <w:rPr>
          <w:rFonts w:ascii="Times New Roman" w:hAnsi="Times New Roman" w:eastAsia="Times New Roman" w:cs="Times New Roman"/>
          <w:b/>
          <w:color w:val="000000"/>
          <w:sz w:val="24"/>
        </w:rPr>
        <w:t xml:space="preserve">1.200.000 đồng/m².</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13: Thửa đất số 91, tờ bản đồ số 11</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tài sản thẩm định, tổ thẩm định nhận thấy tài sản 13 có cùng vị trí với tài sản 9. Do đó, tổ thẩm định xác định đơn giá của tài sản 13 bằng cách tiến hành điều chỉnh một số yếu tố, cụ thể như sau:</w:t>
      </w: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67"/>
        <w:gridCol w:w="2296"/>
        <w:gridCol w:w="2693"/>
        <w:gridCol w:w="2381"/>
        <w:gridCol w:w="1589"/>
      </w:tblGrid>
      <w:tr>
        <w:trPr>
          <w:trHeight w:val="3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Tiêu chí</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 thẩm định 13</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 thẩm định 9</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điều chỉnh</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đất</w:t>
            </w:r>
            <w:r/>
          </w:p>
        </w:tc>
        <w:tc>
          <w:tcPr>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cách QL17B khoảng 200m</w:t>
            </w:r>
            <w:r/>
          </w:p>
        </w:tc>
        <w:tc>
          <w:tcPr>
            <w:tcBorders>
              <w:bottom w:val="single" w:color="000000" w:sz="8" w:space="0"/>
              <w:right w:val="single" w:color="000000" w:sz="8" w:space="0"/>
            </w:tcBorders>
            <w:tcMar>
              <w:left w:w="108" w:type="dxa"/>
              <w:top w:w="0" w:type="dxa"/>
              <w:right w:w="108" w:type="dxa"/>
              <w:bottom w:w="0" w:type="dxa"/>
            </w:tcMar>
            <w:tcW w:w="2381"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QL17B khoảng 50m</w:t>
            </w:r>
            <w:r/>
          </w:p>
        </w:tc>
        <w:tc>
          <w:tcPr>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Độ rộng đường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2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380"/>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740</w:t>
            </w:r>
            <w:r/>
          </w:p>
        </w:tc>
        <w:tc>
          <w:tcPr>
            <w:tcBorders>
              <w:bottom w:val="single" w:color="000000" w:sz="8" w:space="0"/>
              <w:right w:val="single" w:color="000000" w:sz="8" w:space="0"/>
            </w:tcBorders>
            <w:tcMar>
              <w:left w:w="108" w:type="dxa"/>
              <w:top w:w="0" w:type="dxa"/>
              <w:right w:w="108" w:type="dxa"/>
              <w:bottom w:w="0" w:type="dxa"/>
            </w:tcMar>
            <w:tcW w:w="2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870</w:t>
            </w:r>
            <w:r/>
          </w:p>
        </w:tc>
        <w:tc>
          <w:tcPr>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41,30</w:t>
            </w:r>
            <w:r/>
          </w:p>
        </w:tc>
        <w:tc>
          <w:tcPr>
            <w:tcBorders>
              <w:bottom w:val="single" w:color="000000" w:sz="8" w:space="0"/>
              <w:right w:val="single" w:color="000000" w:sz="8" w:space="0"/>
            </w:tcBorders>
            <w:tcMar>
              <w:left w:w="108" w:type="dxa"/>
              <w:top w:w="0" w:type="dxa"/>
              <w:right w:w="108" w:type="dxa"/>
              <w:bottom w:w="0" w:type="dxa"/>
            </w:tcMar>
            <w:tcW w:w="2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25,36</w:t>
            </w:r>
            <w:r/>
          </w:p>
        </w:tc>
        <w:tc>
          <w:tcPr>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56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c>
          <w:tcPr>
            <w:tcBorders>
              <w:bottom w:val="single" w:color="000000" w:sz="8" w:space="0"/>
              <w:right w:val="single" w:color="000000" w:sz="8" w:space="0"/>
            </w:tcBorders>
            <w:tcMar>
              <w:left w:w="108" w:type="dxa"/>
              <w:top w:w="0" w:type="dxa"/>
              <w:right w:w="108" w:type="dxa"/>
              <w:bottom w:w="0" w:type="dxa"/>
            </w:tcMar>
            <w:tcW w:w="23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3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9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-10%</w:t>
            </w:r>
            <w:r/>
          </w:p>
        </w:tc>
      </w:tr>
      <w:tr>
        <w:trPr>
          <w:trHeight w:val="3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9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TSTĐ 13 = Đơn giá TSTĐ 9 x (100% + Tỷ lệ điều chỉnh)</w:t>
            </w:r>
            <w:r/>
          </w:p>
        </w:tc>
        <w:tc>
          <w:tcPr>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1.080.000</w:t>
            </w:r>
            <w:r/>
          </w:p>
        </w:tc>
      </w:tr>
      <w:tr>
        <w:trPr>
          <w:trHeight w:val="3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9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5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1.000.000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đơn giá quyền sử dụng đất của tài sản 13 là: 1.000.000 đồng/m</w:t>
      </w:r>
      <w:r>
        <w:rPr>
          <w:rFonts w:ascii="Times New Roman" w:hAnsi="Times New Roman" w:eastAsia="Times New Roman" w:cs="Times New Roman"/>
          <w:color w:val="000000"/>
          <w:sz w:val="20"/>
          <w:vertAlign w:val="superscript"/>
        </w:rPr>
        <w:t xml:space="preserve">2</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Tài sản 14: Thửa đất số 92, tờ bản đồ số 11</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tài sản thẩm định, tổ thẩm định nhận thấy tài sản 14 có cùng vị trí với tài sản 13. Do đó, tổ thẩm định xác định đơn giá của tài sản 14 bằng cách tiến hành điều chỉnh một số yếu tố, cụ thể như sau:</w:t>
      </w: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126"/>
        <w:gridCol w:w="2693"/>
        <w:gridCol w:w="2476"/>
        <w:gridCol w:w="1493"/>
      </w:tblGrid>
      <w:tr>
        <w:trPr>
          <w:trHeight w:val="3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Tiêu chí</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 thẩm định 14</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 thẩm định 13</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điều chỉnh</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đất</w:t>
            </w:r>
            <w:r/>
          </w:p>
        </w:tc>
        <w:tc>
          <w:tcPr>
            <w:tcBorders>
              <w:bottom w:val="single" w:color="000000" w:sz="8" w:space="0"/>
              <w:right w:val="single" w:color="000000" w:sz="8" w:space="0"/>
            </w:tcBorders>
            <w:tcMar>
              <w:left w:w="108" w:type="dxa"/>
              <w:top w:w="0" w:type="dxa"/>
              <w:right w:w="108" w:type="dxa"/>
              <w:bottom w:w="0" w:type="dxa"/>
            </w:tcMar>
            <w:tcW w:w="2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4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cách QL17B khoảng 220m</w:t>
            </w:r>
            <w:r/>
          </w:p>
        </w:tc>
        <w:tc>
          <w:tcPr>
            <w:tcBorders>
              <w:bottom w:val="single" w:color="000000" w:sz="8" w:space="0"/>
              <w:right w:val="single" w:color="000000" w:sz="8" w:space="0"/>
            </w:tcBorders>
            <w:tcMar>
              <w:left w:w="108" w:type="dxa"/>
              <w:top w:w="0" w:type="dxa"/>
              <w:right w:w="108" w:type="dxa"/>
              <w:bottom w:w="0" w:type="dxa"/>
            </w:tcMar>
            <w:tcW w:w="2476"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QL17B khoảng 200m</w:t>
            </w:r>
            <w:r/>
          </w:p>
        </w:tc>
        <w:tc>
          <w:tcPr>
            <w:tcBorders>
              <w:bottom w:val="single" w:color="000000" w:sz="8" w:space="0"/>
              <w:right w:val="single" w:color="000000" w:sz="8" w:space="0"/>
            </w:tcBorders>
            <w:tcMar>
              <w:left w:w="108" w:type="dxa"/>
              <w:top w:w="0" w:type="dxa"/>
              <w:right w:w="108" w:type="dxa"/>
              <w:bottom w:w="0" w:type="dxa"/>
            </w:tcMar>
            <w:tcW w:w="14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Độ rộng đường</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4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r>
      <w:tr>
        <w:trPr>
          <w:trHeight w:val="38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290</w:t>
            </w:r>
            <w:r/>
          </w:p>
        </w:tc>
        <w:tc>
          <w:tcPr>
            <w:tcBorders>
              <w:bottom w:val="single" w:color="000000" w:sz="8" w:space="0"/>
              <w:right w:val="single" w:color="000000" w:sz="8" w:space="0"/>
            </w:tcBorders>
            <w:tcMar>
              <w:left w:w="108" w:type="dxa"/>
              <w:top w:w="0" w:type="dxa"/>
              <w:right w:w="108" w:type="dxa"/>
              <w:bottom w:w="0" w:type="dxa"/>
            </w:tcMar>
            <w:tcW w:w="2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740</w:t>
            </w:r>
            <w:r/>
          </w:p>
        </w:tc>
        <w:tc>
          <w:tcPr>
            <w:tcBorders>
              <w:bottom w:val="single" w:color="000000" w:sz="8" w:space="0"/>
              <w:right w:val="single" w:color="000000" w:sz="8" w:space="0"/>
            </w:tcBorders>
            <w:tcMar>
              <w:left w:w="108" w:type="dxa"/>
              <w:top w:w="0" w:type="dxa"/>
              <w:right w:w="108" w:type="dxa"/>
              <w:bottom w:w="0" w:type="dxa"/>
            </w:tcMar>
            <w:tcW w:w="14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23,09</w:t>
            </w:r>
            <w:r/>
          </w:p>
        </w:tc>
        <w:tc>
          <w:tcPr>
            <w:tcBorders>
              <w:bottom w:val="single" w:color="000000" w:sz="8" w:space="0"/>
              <w:right w:val="single" w:color="000000" w:sz="8" w:space="0"/>
            </w:tcBorders>
            <w:tcMar>
              <w:left w:w="108" w:type="dxa"/>
              <w:top w:w="0" w:type="dxa"/>
              <w:right w:w="108" w:type="dxa"/>
              <w:bottom w:w="0" w:type="dxa"/>
            </w:tcMar>
            <w:tcW w:w="2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41,30</w:t>
            </w:r>
            <w:r/>
          </w:p>
        </w:tc>
        <w:tc>
          <w:tcPr>
            <w:tcBorders>
              <w:bottom w:val="single" w:color="000000" w:sz="8" w:space="0"/>
              <w:right w:val="single" w:color="000000" w:sz="8" w:space="0"/>
            </w:tcBorders>
            <w:tcMar>
              <w:left w:w="108" w:type="dxa"/>
              <w:top w:w="0" w:type="dxa"/>
              <w:right w:w="108" w:type="dxa"/>
              <w:bottom w:w="0" w:type="dxa"/>
            </w:tcMar>
            <w:tcW w:w="14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Tam giác</w:t>
            </w:r>
            <w:r/>
          </w:p>
        </w:tc>
        <w:tc>
          <w:tcPr>
            <w:tcBorders>
              <w:bottom w:val="single" w:color="000000" w:sz="8" w:space="0"/>
              <w:right w:val="single" w:color="000000" w:sz="8" w:space="0"/>
            </w:tcBorders>
            <w:tcMar>
              <w:left w:w="108" w:type="dxa"/>
              <w:top w:w="0" w:type="dxa"/>
              <w:right w:w="108" w:type="dxa"/>
              <w:bottom w:w="0" w:type="dxa"/>
            </w:tcMar>
            <w:tcW w:w="2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c>
          <w:tcPr>
            <w:tcBorders>
              <w:bottom w:val="single" w:color="000000" w:sz="8" w:space="0"/>
              <w:right w:val="single" w:color="000000" w:sz="8" w:space="0"/>
            </w:tcBorders>
            <w:tcMar>
              <w:left w:w="108" w:type="dxa"/>
              <w:top w:w="0" w:type="dxa"/>
              <w:right w:w="108" w:type="dxa"/>
              <w:bottom w:w="0" w:type="dxa"/>
            </w:tcMar>
            <w:tcW w:w="14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r>
      <w:tr>
        <w:trPr>
          <w:trHeight w:val="3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0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4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-20%</w:t>
            </w:r>
            <w:r/>
          </w:p>
        </w:tc>
      </w:tr>
      <w:tr>
        <w:trPr>
          <w:trHeight w:val="3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80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TSTĐ 2 = Đơn giá TSTĐ 1 x (100% + Tỷ lệ điều chỉnh)</w:t>
            </w:r>
            <w:r/>
          </w:p>
        </w:tc>
        <w:tc>
          <w:tcPr>
            <w:tcBorders>
              <w:bottom w:val="single" w:color="000000" w:sz="8" w:space="0"/>
              <w:right w:val="single" w:color="000000" w:sz="8" w:space="0"/>
            </w:tcBorders>
            <w:tcMar>
              <w:left w:w="108" w:type="dxa"/>
              <w:top w:w="0" w:type="dxa"/>
              <w:right w:w="108" w:type="dxa"/>
              <w:bottom w:w="0" w:type="dxa"/>
            </w:tcMar>
            <w:tcW w:w="149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800.000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đơn giá quyền sử dụng đất của tài sản 14 là: 800.000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sz w:val="24"/>
        </w:rPr>
      </w:r>
      <w:r/>
    </w:p>
    <w:p>
      <w:pPr>
        <w:pStyle w:val="100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08"/>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04/2026</w:t>
      </w:r>
      <w:r>
        <w:t xml:space="preserve"> </w:t>
      </w:r>
      <w:r>
        <w:t xml:space="preserve">ước tính </w:t>
      </w:r>
      <w:r>
        <w:t xml:space="preserve">như sau</w:t>
      </w:r>
      <w:r>
        <w:t xml:space="preserve">:</w:t>
      </w: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40"/>
        <w:gridCol w:w="3178"/>
        <w:gridCol w:w="1400"/>
        <w:gridCol w:w="2280"/>
        <w:gridCol w:w="198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14, tờ bản đồ số: 11 có địa chỉ: Phường An Dương, thành phố Hải Phòng theo Giấy chứng nhận Quyền sử dụng đất, quyền sở hữu tài sản gắn liền với đất số: AA 06811543, số vào sổ cấp Giấy chứng nhận: CN16702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1.572.750.000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13 và 75, tờ bản đồ số: 11 có địa chỉ: Phường An Dương, thành phố Hải Phòng theo Giấy chứng nhận Quyền sử dụng đất, quyền sở hữu tài sản gắn liền với đất số: AA 06813207, số vào sổ cấp Giấy chứng nhận: CN16400 do Chi nhán</w:t>
            </w:r>
            <w:r>
              <w:rPr>
                <w:rFonts w:ascii="Times New Roman" w:hAnsi="Times New Roman" w:eastAsia="Times New Roman" w:cs="Times New Roman"/>
                <w:color w:val="000000"/>
                <w:sz w:val="24"/>
              </w:rPr>
              <w:t xml:space="preserve">h Văn phòng đăng ký đất đai An Dương cấp ngày 06/02/2026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Đất trồng lúa (Thửa đất số 13, tờ bản đồ số 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967.500.000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lúa (Thửa đất số 75, tờ bản đồ số 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1.824.000.000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76, tờ bản đồ số: 11 có địa chỉ: Phường An Dương, thành phố Hải Phòng theo Giấy chứng nhận Quyền sử dụng đất, quyền sở hữu tài sản gắn liền với đất số: AA 06813206, số vào sổ cấp Giấy chứng nhận: CN16399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1.080.000.000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77, tờ bản đồ số: 11 có địa chỉ: Phường An Dương, thành phố Hải Phòng theo Giấy chứng nhận Quyền sử dụng đất, quyền sở hữu tài sản gắn liền với đất số: AA 06813211, số vào sổ cấp Giấy chứng nhận: CN16404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1.089.000.000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78, tờ bản đồ số: 11 có địa chỉ: Phường An Dương, thành phố Hải Phòng theo Giấy chứng nhận Quyền sử dụng đất, quyền sở hữu tài sản gắn liền với đất số: AA 06813350, số vào sổ cấp Giấy chứng nhận: CN16527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177.000.000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79, tờ bản đồ số: 11 có địa chỉ: Phường An Dương, thành phố Hải Phòng theo Giấy chứng nhận Quyền sử dụng đất, quyền sở hữu tài sản gắn liền với đất số: AA 06813349, số vào sổ cấp Giấy chứng nhận: CN16526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738,0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1.107.000.000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80, tờ bản đồ số: 11 có địa chỉ: Phường An Dương, thành phố Hải Phòng theo Giấy chứng nhận Quyền sử dụng đất, quyền sở hữu tài sản gắn liền với đất số: AA 06813212, số vào sổ cấp Giấy chứng nhận: CN16405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526,0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789.000.000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81, tờ bản đồ số: 11 có địa chỉ: Phường An Dương, thành phố Hải Phòng theo Giấy chứng nhận Quyền sử dụng đất, quyền sở hữu tài sản gắn liền với đất số: AA 06813209, số vào sổ cấp Giấy chứng nhận: CN16402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371,0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556.500.000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06, tờ bản đồ số: 12 có địa chỉ: Phường An Dương, thành phố Hải Phòng theo Giấy chứng nhận Quyền sử dụng đất, quyền sở hữu tài sản gắn liền với đất số: AA 06813213, số vào sổ cấp Giấy chứng nhận: CN16406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1.044.000.000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07, tờ bản đồ số: 12 có địa chỉ: Phường An Dương, thành phố Hải Phòng theo Giấy chứng nhận Quyền sử dụng đất, quyền sở hữu tài sản gắn liền với đất số: AA 06813210, số vào sổ cấp Giấy chứng nhận: CN16403 do Chi nhánh Văn </w:t>
            </w:r>
            <w:r>
              <w:rPr>
                <w:rFonts w:ascii="Times New Roman" w:hAnsi="Times New Roman" w:eastAsia="Times New Roman" w:cs="Times New Roman"/>
                <w:color w:val="000000"/>
                <w:sz w:val="24"/>
              </w:rPr>
              <w:t xml:space="preserve">phòng đăng ký đất đai An Dương cấp ngày 06/02/2026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561.600.000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08, tờ bản đồ số: 12 có địa chỉ: Phường An Dương, thành phố Hải Phòng theo Giấy chứng nhận Quyền sử dụng đất, quyền sở hữu tài sản gắn liền với đất số: AA 06813351, số vào sổ cấp Giấy chứng nhận: CN16528 do Chi nhánh Văn </w:t>
            </w:r>
            <w:r>
              <w:rPr>
                <w:rFonts w:ascii="Times New Roman" w:hAnsi="Times New Roman" w:eastAsia="Times New Roman" w:cs="Times New Roman"/>
                <w:color w:val="000000"/>
                <w:sz w:val="24"/>
              </w:rPr>
              <w:t xml:space="preserve">phòng đăng ký đất đai An Dương cấp ngày 09/02/2026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960.000.000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09, tờ bản đồ số: 12 có địa chỉ: Phường An Dương, thành phố Hải Phòng theo Giấy chứng nhận Quyền sử dụng đất, quyền sở hữu tài sản gắn liền với đất số: AA 0681208, số vào sổ cấp Giấy chứng nhận: CN16401 do Chi nhánh Văn p</w:t>
            </w:r>
            <w:r>
              <w:rPr>
                <w:rFonts w:ascii="Times New Roman" w:hAnsi="Times New Roman" w:eastAsia="Times New Roman" w:cs="Times New Roman"/>
                <w:color w:val="000000"/>
                <w:sz w:val="24"/>
              </w:rPr>
              <w:t xml:space="preserve">hòng đăng ký đất đai An Dương cấp ngày 06/02/2026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480.000.000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91, tờ bản đồ số: 11 có địa chỉ: Phường An Dương, thành phố Hải Phòng theo Giấy chứng nhận Quyền sử dụng đất, quyền sở hữu tài sản gắn liền với đất số: AA 06811542, số vào sổ cấp Giấy chứng nhận: CN16701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740.000.000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92, tờ bản đồ số: 11 có địa chỉ: Phường An Dương, thành phố Hải Phòng theo Giấy chứng nhận Quyền sử dụng đất, quyền sở hữu tài sản gắn liền với đất số: AA 06811544, số vào sổ cấp Giấy chứng nhận: CN16703 do Chi nhánh Văn </w:t>
            </w:r>
            <w:r>
              <w:rPr>
                <w:rFonts w:ascii="Times New Roman" w:hAnsi="Times New Roman" w:eastAsia="Times New Roman" w:cs="Times New Roman"/>
                <w:color w:val="000000"/>
                <w:sz w:val="24"/>
              </w:rPr>
              <w:t xml:space="preserve">phòng đăng ký đất đai An Dương cấp ngày 12/02/2026 cho Bà Nguyễn Minh 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trồng cây hàng năm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290,0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232.000.000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spacing w:after="0" w:before="0" w:line="240"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13.180.350.000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spacing w:after="0" w:before="0" w:line="240"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5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13.180.000.000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spacing w:after="0" w:before="0" w:line="240" w:lineRule="auto"/>
              <w:ind/>
              <w:rPr/>
            </w:pPr>
            <w:r/>
            <w:r/>
          </w:p>
        </w:tc>
        <w:tc>
          <w:tcPr>
            <w:gridSpan w:val="4"/>
            <w:tcBorders>
              <w:bottom w:val="single" w:color="000000" w:sz="8" w:space="0"/>
              <w:right w:val="single" w:color="000000" w:sz="8" w:space="0"/>
            </w:tcBorders>
            <w:tcMar>
              <w:left w:w="108" w:type="dxa"/>
              <w:top w:w="0" w:type="dxa"/>
              <w:right w:w="108" w:type="dxa"/>
              <w:bottom w:w="0" w:type="dxa"/>
            </w:tcMar>
            <w:tcW w:w="8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Mười ba tỷ một trăm tám mươi triệu đồng./.</w:t>
            </w:r>
            <w:r/>
          </w:p>
        </w:tc>
      </w:tr>
    </w:tbl>
    <w:p>
      <w:pPr>
        <w:pStyle w:val="1008"/>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08"/>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08"/>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08"/>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08"/>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08"/>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08"/>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08"/>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08"/>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08"/>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w:t>
      </w:r>
      <w:r>
        <w:rPr>
          <w:lang w:val="pt-BR"/>
        </w:rPr>
        <w:t xml:space="preserve">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w:t>
      </w:r>
      <w:r>
        <w:rPr>
          <w:lang w:val="pt-BR"/>
        </w:rPr>
        <w:t xml:space="preserve">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w:t>
      </w:r>
      <w:r>
        <w:rPr>
          <w:lang w:val="pt-BR"/>
        </w:rPr>
        <w:t xml:space="preserve">khiếu lại nào có thể gây tổn hại đến danh dự, trách nhiệm pháp lý, nghĩa vụ kinh tế… của các cá nhân và tập thể Lotus VFI.</w:t>
      </w:r>
      <w:r>
        <w:rPr>
          <w:lang w:val="pt-BR"/>
        </w:rPr>
      </w:r>
      <w:r>
        <w:rPr>
          <w:lang w:val="pt-BR"/>
        </w:rPr>
      </w:r>
    </w:p>
    <w:p>
      <w:pPr>
        <w:pStyle w:val="1008"/>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08"/>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08"/>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08"/>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08"/>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08"/>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08"/>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08"/>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08"/>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08"/>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pStyle w:val="1008"/>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08"/>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08"/>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08"/>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08"/>
        <w:pBdr/>
        <w:tabs>
          <w:tab w:val="left" w:leader="none" w:pos="993"/>
        </w:tabs>
        <w:spacing w:after="120" w:before="120" w:line="305" w:lineRule="auto"/>
        <w:ind w:left="0"/>
        <w:jc w:val="both"/>
        <w:rPr>
          <w:lang w:val="vi-VN"/>
        </w:rPr>
      </w:pPr>
      <w:r>
        <w:rPr>
          <w:lang w:val="pt-BR"/>
        </w:rPr>
        <w:t xml:space="preserve">Phụ lục 2: Thông tin </w:t>
      </w:r>
      <w:r>
        <w:rPr>
          <w:lang w:val="pt-BR"/>
        </w:rPr>
        <w:t xml:space="preserve">thu thập thị trường</w:t>
      </w:r>
      <w:r>
        <w:rPr>
          <w:lang w:val="pt-BR"/>
        </w:rPr>
        <w:t xml:space="preserve">.</w:t>
      </w:r>
      <w:r>
        <w:rPr>
          <w:lang w:val="pt-BR"/>
        </w:rPr>
      </w:r>
      <w:r>
        <w:rPr>
          <w:lang w:val="vi-VN"/>
        </w:rPr>
      </w:r>
    </w:p>
    <w:p>
      <w:pPr>
        <w:pBdr/>
        <w:shd w:val="nil" w:color="auto"/>
        <w:spacing/>
        <w:ind/>
        <w:rPr>
          <w:lang w:val="pt-BR"/>
        </w:rPr>
      </w:pPr>
      <w:r>
        <w:rPr>
          <w:highlight w:val="none"/>
          <w:lang w:val="vi-VN"/>
        </w:rPr>
        <w:br w:type="page" w:clear="all"/>
      </w:r>
      <w:r>
        <w:rPr>
          <w:highlight w:val="none"/>
          <w:lang w:val="vi-VN"/>
        </w:rPr>
      </w:r>
      <w:r>
        <w:rPr>
          <w:lang w:val="pt-BR"/>
        </w:rPr>
      </w:r>
    </w:p>
    <w:p>
      <w:pPr>
        <w:pStyle w:val="1008"/>
        <w:pBdr/>
        <w:tabs>
          <w:tab w:val="left" w:leader="none" w:pos="993"/>
        </w:tabs>
        <w:spacing w:after="120" w:before="120" w:line="305" w:lineRule="auto"/>
        <w:ind w:left="0"/>
        <w:jc w:val="both"/>
        <w:rPr>
          <w:highlight w:val="none"/>
          <w:lang w:val="vi-VN"/>
        </w:rPr>
      </w:pPr>
      <w:r>
        <w:rPr>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275/2026/0646/VFI-CT.48.A</w:t>
      </w:r>
      <w:r>
        <w:rPr>
          <w:color w:val="000000" w:themeColor="text1"/>
        </w:rPr>
        <w:t xml:space="preserve"> </w:t>
      </w:r>
      <w:r>
        <w:rPr>
          <w:lang w:val="vi-VN"/>
        </w:rPr>
        <w:t xml:space="preserve">ngày </w:t>
      </w:r>
      <w:r>
        <w:rPr>
          <w:color w:val="000000" w:themeColor="text1"/>
        </w:rPr>
        <w:t xml:space="preserve">ngày 28 tháng 4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pt-BR"/>
        </w:rPr>
      </w:r>
      <w:r>
        <w:rPr>
          <w:highlight w:val="none"/>
          <w:lang w:val="vi-VN"/>
        </w:rPr>
      </w:r>
    </w:p>
    <w:tbl>
      <w:tblPr>
        <w:tblW w:w="4806" w:type="pct"/>
        <w:tblBorders/>
        <w:tblLook w:val="01E0" w:firstRow="1" w:lastRow="1" w:firstColumn="1" w:lastColumn="1" w:noHBand="0" w:noVBand="0"/>
      </w:tblPr>
      <w:tblGrid>
        <w:gridCol w:w="4358"/>
        <w:gridCol w:w="4797"/>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275/2026/0646/VFI-BC.48.A </w:t>
      </w:r>
      <w:r>
        <w:rPr>
          <w:i/>
          <w:lang w:val="pt-BR"/>
        </w:rPr>
        <w:t xml:space="preserve">ngày </w:t>
      </w:r>
      <w:r>
        <w:rPr>
          <w:i/>
          <w:lang w:val="pt-BR"/>
        </w:rPr>
        <w:t xml:space="preserve">28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w:t>
      </w:r>
      <w:r>
        <w:rPr>
          <w:i/>
          <w:lang w:val="pt-BR"/>
        </w:rPr>
      </w:r>
      <w:r>
        <w:rPr>
          <w:i/>
          <w:lang w:val="pt-BR"/>
        </w:rPr>
      </w:r>
    </w:p>
    <w:tbl>
      <w:tblPr>
        <w:tblStyle w:val="101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38735" cy="22544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36152" name=""/>
                              <pic:cNvPicPr>
                                <a:picLocks noChangeAspect="1"/>
                              </pic:cNvPicPr>
                              <pic:nvPr/>
                            </pic:nvPicPr>
                            <pic:blipFill rotWithShape="1">
                              <a:blip r:embed="rId24"/>
                              <a:stretch/>
                            </pic:blipFill>
                            <pic:spPr bwMode="auto">
                              <a:xfrm flipH="0" flipV="0">
                                <a:off x="0" y="0"/>
                                <a:ext cx="1038735" cy="22544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81.79pt;height:177.5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00931" cy="187569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2410" name=""/>
                              <pic:cNvPicPr>
                                <a:picLocks noChangeAspect="1"/>
                              </pic:cNvPicPr>
                              <pic:nvPr/>
                            </pic:nvPicPr>
                            <pic:blipFill rotWithShape="1">
                              <a:blip r:embed="rId25"/>
                              <a:stretch/>
                            </pic:blipFill>
                            <pic:spPr bwMode="auto">
                              <a:xfrm flipH="0" flipV="0">
                                <a:off x="0" y="0"/>
                                <a:ext cx="2500930" cy="18756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6.92pt;height:147.69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50291" cy="183771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58029" name=""/>
                              <pic:cNvPicPr>
                                <a:picLocks noChangeAspect="1"/>
                              </pic:cNvPicPr>
                              <pic:nvPr/>
                            </pic:nvPicPr>
                            <pic:blipFill rotWithShape="1">
                              <a:blip r:embed="rId26"/>
                              <a:stretch/>
                            </pic:blipFill>
                            <pic:spPr bwMode="auto">
                              <a:xfrm flipH="0" flipV="0">
                                <a:off x="0" y="0"/>
                                <a:ext cx="2450291" cy="18377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2.94pt;height:144.70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6110" cy="193208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17355" name=""/>
                              <pic:cNvPicPr>
                                <a:picLocks noChangeAspect="1"/>
                              </pic:cNvPicPr>
                              <pic:nvPr/>
                            </pic:nvPicPr>
                            <pic:blipFill rotWithShape="1">
                              <a:blip r:embed="rId27"/>
                              <a:stretch/>
                            </pic:blipFill>
                            <pic:spPr bwMode="auto">
                              <a:xfrm flipH="0" flipV="0">
                                <a:off x="0" y="0"/>
                                <a:ext cx="2576110" cy="19320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2.84pt;height:152.13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r>
        <w:trPr>
          <w:gridBefore w:val="1"/>
        </w:trPr>
        <w:tc>
          <w:tcPr>
            <w:gridSpan w:val="3"/>
            <w:tcBorders/>
            <w:tcW w:w="9425" w:type="dxa"/>
            <w:vAlign w:val="center"/>
            <w:textDirection w:val="lrTb"/>
            <w:noWrap w:val="false"/>
          </w:tcPr>
          <w:p>
            <w:pPr>
              <w:pBdr/>
              <w:spacing w:after="120"/>
              <w:ind/>
              <w:jc w:val="center"/>
              <w:rPr>
                <w:b/>
                <w:bCs/>
                <w:i/>
              </w:rPr>
            </w:pPr>
            <w:r>
              <w:rPr>
                <w:b/>
                <w:bCs/>
                <w:i/>
                <w:lang w:val="pt-BR"/>
              </w:rPr>
            </w:r>
            <w:r>
              <w:rPr>
                <w:b/>
                <w:bCs/>
                <w:i/>
                <w:lang w:val="pt-BR"/>
              </w:rPr>
              <w:t xml:space="preserve">Tài sản 2,3,4,5,6,7,8</w:t>
            </w:r>
            <w:r>
              <w:rPr>
                <w:b/>
                <w:bCs/>
                <w:i/>
              </w:rPr>
            </w:r>
            <w:r>
              <w:rPr>
                <w:b/>
                <w:bCs/>
                <w:i/>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85502" cy="257297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51912" name=""/>
                              <pic:cNvPicPr>
                                <a:picLocks noChangeAspect="1"/>
                              </pic:cNvPicPr>
                              <pic:nvPr/>
                            </pic:nvPicPr>
                            <pic:blipFill rotWithShape="1">
                              <a:blip r:embed="rId28"/>
                              <a:stretch/>
                            </pic:blipFill>
                            <pic:spPr bwMode="auto">
                              <a:xfrm flipH="0" flipV="0">
                                <a:off x="0" y="0"/>
                                <a:ext cx="1185501" cy="2572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3.35pt;height:202.60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i/>
                <w:lang w:val="pt-BR"/>
              </w:rPr>
              <w:t xml:space="preserve">,</w:t>
            </w:r>
            <w:r>
              <mc:AlternateContent>
                <mc:Choice Requires="wpg">
                  <w:drawing>
                    <wp:inline xmlns:wp="http://schemas.openxmlformats.org/drawingml/2006/wordprocessingDrawing" distT="0" distB="0" distL="0" distR="0">
                      <wp:extent cx="2936316" cy="220223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22685" name=""/>
                              <pic:cNvPicPr>
                                <a:picLocks noChangeAspect="1"/>
                              </pic:cNvPicPr>
                              <pic:nvPr/>
                            </pic:nvPicPr>
                            <pic:blipFill rotWithShape="1">
                              <a:blip r:embed="rId29"/>
                              <a:stretch/>
                            </pic:blipFill>
                            <pic:spPr bwMode="auto">
                              <a:xfrm flipH="0" flipV="0">
                                <a:off x="0" y="0"/>
                                <a:ext cx="2936315" cy="22022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21pt;height:173.40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73388" cy="185504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989062" name=""/>
                              <pic:cNvPicPr>
                                <a:picLocks noChangeAspect="1"/>
                              </pic:cNvPicPr>
                              <pic:nvPr/>
                            </pic:nvPicPr>
                            <pic:blipFill rotWithShape="1">
                              <a:blip r:embed="rId30"/>
                              <a:stretch/>
                            </pic:blipFill>
                            <pic:spPr bwMode="auto">
                              <a:xfrm flipH="0" flipV="0">
                                <a:off x="0" y="0"/>
                                <a:ext cx="2473388" cy="18550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4.75pt;height:146.07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3515" cy="193013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00222" name=""/>
                              <pic:cNvPicPr>
                                <a:picLocks noChangeAspect="1"/>
                              </pic:cNvPicPr>
                              <pic:nvPr/>
                            </pic:nvPicPr>
                            <pic:blipFill rotWithShape="1">
                              <a:blip r:embed="rId31"/>
                              <a:stretch/>
                            </pic:blipFill>
                            <pic:spPr bwMode="auto">
                              <a:xfrm flipH="0" flipV="0">
                                <a:off x="0" y="0"/>
                                <a:ext cx="2573515" cy="19301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2.64pt;height:151.98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r>
        <w:trPr>
          <w:gridBefore w:val="1"/>
        </w:trPr>
        <w:tc>
          <w:tcPr>
            <w:gridSpan w:val="3"/>
            <w:tcBorders/>
            <w:tcW w:w="9455" w:type="dxa"/>
            <w:vAlign w:val="center"/>
            <w:vMerge w:val="restart"/>
            <w:textDirection w:val="lrTb"/>
            <w:noWrap w:val="false"/>
          </w:tcPr>
          <w:p>
            <w:pPr>
              <w:pBdr/>
              <w:spacing w:after="120"/>
              <w:ind/>
              <w:jc w:val="center"/>
              <w:rPr>
                <w:b/>
                <w:bCs/>
                <w:i/>
                <w:lang w:val="pt-BR"/>
              </w:rPr>
            </w:pPr>
            <w:r>
              <w:rPr>
                <w:b/>
                <w:bCs/>
                <w:i/>
                <w:lang w:val="pt-BR"/>
              </w:rPr>
              <w:t xml:space="preserve">Tài sản 9,10,11,12</w: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74414" cy="23318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9902" name=""/>
                              <pic:cNvPicPr>
                                <a:picLocks noChangeAspect="1"/>
                              </pic:cNvPicPr>
                              <pic:nvPr/>
                            </pic:nvPicPr>
                            <pic:blipFill rotWithShape="1">
                              <a:blip r:embed="rId32"/>
                              <a:stretch/>
                            </pic:blipFill>
                            <pic:spPr bwMode="auto">
                              <a:xfrm flipH="0" flipV="0">
                                <a:off x="0" y="0"/>
                                <a:ext cx="1074413" cy="2331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84.60pt;height:183.61pt;mso-wrap-distance-left:0.00pt;mso-wrap-distance-top:0.00pt;mso-wrap-distance-right:0.00pt;mso-wrap-distance-bottom:0.00pt;z-index:1;" stroked="false">
                      <v:imagedata r:id="rId32" o:title=""/>
                      <o:lock v:ext="edit" rotation="t"/>
                    </v:shape>
                  </w:pict>
                </mc:Fallback>
              </mc:AlternateConten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i/>
                <w:lang w:val="pt-BR"/>
              </w:rPr>
              <w:t xml:space="preserve">,</w:t>
            </w:r>
            <w:r>
              <mc:AlternateContent>
                <mc:Choice Requires="wpg">
                  <w:drawing>
                    <wp:inline xmlns:wp="http://schemas.openxmlformats.org/drawingml/2006/wordprocessingDrawing" distT="0" distB="0" distL="0" distR="0">
                      <wp:extent cx="2717619" cy="203821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82178" name=""/>
                              <pic:cNvPicPr>
                                <a:picLocks noChangeAspect="1"/>
                              </pic:cNvPicPr>
                              <pic:nvPr/>
                            </pic:nvPicPr>
                            <pic:blipFill rotWithShape="1">
                              <a:blip r:embed="rId33"/>
                              <a:stretch/>
                            </pic:blipFill>
                            <pic:spPr bwMode="auto">
                              <a:xfrm flipH="0" flipV="0">
                                <a:off x="0" y="0"/>
                                <a:ext cx="2717619" cy="20382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3.99pt;height:160.49pt;mso-wrap-distance-left:0.00pt;mso-wrap-distance-top:0.00pt;mso-wrap-distance-right:0.00pt;mso-wrap-distance-bottom:0.00pt;z-index:1;" stroked="false">
                      <v:imagedata r:id="rId33" o:title=""/>
                      <o:lock v:ext="edit" rotation="t"/>
                    </v:shape>
                  </w:pict>
                </mc:Fallback>
              </mc:AlternateConten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04380" cy="20282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00830" name=""/>
                              <pic:cNvPicPr>
                                <a:picLocks noChangeAspect="1"/>
                              </pic:cNvPicPr>
                              <pic:nvPr/>
                            </pic:nvPicPr>
                            <pic:blipFill rotWithShape="1">
                              <a:blip r:embed="rId34"/>
                              <a:stretch/>
                            </pic:blipFill>
                            <pic:spPr bwMode="auto">
                              <a:xfrm flipH="0" flipV="0">
                                <a:off x="0" y="0"/>
                                <a:ext cx="2704379" cy="2028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2.94pt;height:159.71pt;mso-wrap-distance-left:0.00pt;mso-wrap-distance-top:0.00pt;mso-wrap-distance-right:0.00pt;mso-wrap-distance-bottom:0.00pt;z-index:1;" stroked="false">
                      <v:imagedata r:id="rId34" o:title=""/>
                      <o:lock v:ext="edit" rotation="t"/>
                    </v:shape>
                  </w:pict>
                </mc:Fallback>
              </mc:AlternateConten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28806" cy="189660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14392" name=""/>
                              <pic:cNvPicPr>
                                <a:picLocks noChangeAspect="1"/>
                              </pic:cNvPicPr>
                              <pic:nvPr/>
                            </pic:nvPicPr>
                            <pic:blipFill rotWithShape="1">
                              <a:blip r:embed="rId35"/>
                              <a:stretch/>
                            </pic:blipFill>
                            <pic:spPr bwMode="auto">
                              <a:xfrm flipH="0" flipV="0">
                                <a:off x="0" y="0"/>
                                <a:ext cx="2528805" cy="1896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9.12pt;height:149.34pt;mso-wrap-distance-left:0.00pt;mso-wrap-distance-top:0.00pt;mso-wrap-distance-right:0.00pt;mso-wrap-distance-bottom:0.00pt;z-index:1;" stroked="false">
                      <v:imagedata r:id="rId35" o:title=""/>
                      <o:lock v:ext="edit" rotation="t"/>
                    </v:shape>
                  </w:pict>
                </mc:Fallback>
              </mc:AlternateContent>
            </w:r>
            <w:r>
              <w:rPr>
                <w:b/>
                <w:bCs/>
                <w:i/>
                <w:lang w:val="pt-BR"/>
              </w:rPr>
            </w:r>
            <w:r>
              <w:rPr>
                <w:b/>
                <w:bCs/>
                <w:i/>
                <w:lang w:val="pt-BR"/>
              </w:rPr>
            </w:r>
          </w:p>
        </w:tc>
      </w:tr>
      <w:tr>
        <w:trPr>
          <w:gridBefore w:val="1"/>
        </w:trPr>
        <w:tc>
          <w:tcPr>
            <w:gridSpan w:val="3"/>
            <w:tcBorders/>
            <w:tcW w:w="9490" w:type="dxa"/>
            <w:vAlign w:val="center"/>
            <w:vMerge w:val="restart"/>
            <w:textDirection w:val="lrTb"/>
            <w:noWrap w:val="false"/>
          </w:tcPr>
          <w:p>
            <w:pPr>
              <w:pBdr/>
              <w:spacing w:after="120"/>
              <w:ind/>
              <w:jc w:val="center"/>
              <w:rPr>
                <w:b/>
                <w:bCs/>
                <w:i/>
                <w:lang w:val="pt-BR"/>
              </w:rPr>
            </w:pPr>
            <w:r>
              <w:rPr>
                <w:b/>
                <w:bCs/>
                <w:i/>
                <w:lang w:val="pt-BR"/>
              </w:rPr>
              <w:t xml:space="preserve">Tài sản 13,14</w: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213150" cy="26329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65493" name=""/>
                              <pic:cNvPicPr>
                                <a:picLocks noChangeAspect="1"/>
                              </pic:cNvPicPr>
                              <pic:nvPr/>
                            </pic:nvPicPr>
                            <pic:blipFill rotWithShape="1">
                              <a:blip r:embed="rId36"/>
                              <a:stretch/>
                            </pic:blipFill>
                            <pic:spPr bwMode="auto">
                              <a:xfrm flipH="0" flipV="0">
                                <a:off x="0" y="0"/>
                                <a:ext cx="1213149" cy="2632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95.52pt;height:207.32pt;mso-wrap-distance-left:0.00pt;mso-wrap-distance-top:0.00pt;mso-wrap-distance-right:0.00pt;mso-wrap-distance-bottom:0.00pt;z-index:1;" stroked="false">
                      <v:imagedata r:id="rId36" o:title=""/>
                      <o:lock v:ext="edit" rotation="t"/>
                    </v:shape>
                  </w:pict>
                </mc:Fallback>
              </mc:AlternateConten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i/>
                <w:lang w:val="pt-BR"/>
              </w:rPr>
              <w:t xml:space="preserve">,</w:t>
            </w:r>
            <w:r>
              <mc:AlternateContent>
                <mc:Choice Requires="wpg">
                  <w:drawing>
                    <wp:inline xmlns:wp="http://schemas.openxmlformats.org/drawingml/2006/wordprocessingDrawing" distT="0" distB="0" distL="0" distR="0">
                      <wp:extent cx="2885750" cy="216431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31767" name=""/>
                              <pic:cNvPicPr>
                                <a:picLocks noChangeAspect="1"/>
                              </pic:cNvPicPr>
                              <pic:nvPr/>
                            </pic:nvPicPr>
                            <pic:blipFill rotWithShape="1">
                              <a:blip r:embed="rId37"/>
                              <a:stretch/>
                            </pic:blipFill>
                            <pic:spPr bwMode="auto">
                              <a:xfrm flipH="0" flipV="0">
                                <a:off x="0" y="0"/>
                                <a:ext cx="2885749" cy="2164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7.22pt;height:170.42pt;mso-wrap-distance-left:0.00pt;mso-wrap-distance-top:0.00pt;mso-wrap-distance-right:0.00pt;mso-wrap-distance-bottom:0.00pt;z-index:1;" stroked="false">
                      <v:imagedata r:id="rId37" o:title=""/>
                      <o:lock v:ext="edit" rotation="t"/>
                    </v:shape>
                  </w:pict>
                </mc:Fallback>
              </mc:AlternateConten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14578" cy="2035934"/>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27511" name=""/>
                              <pic:cNvPicPr>
                                <a:picLocks noChangeAspect="1"/>
                              </pic:cNvPicPr>
                              <pic:nvPr/>
                            </pic:nvPicPr>
                            <pic:blipFill rotWithShape="1">
                              <a:blip r:embed="rId38"/>
                              <a:stretch/>
                            </pic:blipFill>
                            <pic:spPr bwMode="auto">
                              <a:xfrm flipH="0" flipV="0">
                                <a:off x="0" y="0"/>
                                <a:ext cx="2714578" cy="20359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3.75pt;height:160.31pt;mso-wrap-distance-left:0.00pt;mso-wrap-distance-top:0.00pt;mso-wrap-distance-right:0.00pt;mso-wrap-distance-bottom:0.00pt;z-index:1;" stroked="false">
                      <v:imagedata r:id="rId38" o:title=""/>
                      <o:lock v:ext="edit" rotation="t"/>
                    </v:shape>
                  </w:pict>
                </mc:Fallback>
              </mc:AlternateContent>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9003" cy="215925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50451" name=""/>
                              <pic:cNvPicPr>
                                <a:picLocks noChangeAspect="1"/>
                              </pic:cNvPicPr>
                              <pic:nvPr/>
                            </pic:nvPicPr>
                            <pic:blipFill rotWithShape="1">
                              <a:blip r:embed="rId39"/>
                              <a:stretch/>
                            </pic:blipFill>
                            <pic:spPr bwMode="auto">
                              <a:xfrm flipH="0" flipV="0">
                                <a:off x="0" y="0"/>
                                <a:ext cx="2879002" cy="21592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26.69pt;height:170.02pt;mso-wrap-distance-left:0.00pt;mso-wrap-distance-top:0.00pt;mso-wrap-distance-right:0.00pt;mso-wrap-distance-bottom:0.00pt;z-index:1;" stroked="false">
                      <v:imagedata r:id="rId39" o:title=""/>
                      <o:lock v:ext="edit" rotation="t"/>
                    </v:shape>
                  </w:pict>
                </mc:Fallback>
              </mc:AlternateContent>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gridSpan w:val="2"/>
            <w:tcBorders/>
            <w:tcW w:w="4757"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r>
      <w:tr>
        <w:trPr>
          <w:gridBefore w:val="1"/>
        </w:trPr>
        <w:tc>
          <w:tcPr>
            <w:gridSpan w:val="3"/>
            <w:tcBorders/>
            <w:tcW w:w="9426"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after="200" w:line="276" w:lineRule="auto"/>
        <w:ind w:firstLine="0"/>
        <w:jc w:val="left"/>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w:t>
      </w:r>
      <w:r>
        <w:rPr>
          <w:i/>
          <w:lang w:val="pt-BR"/>
        </w:rPr>
        <w:t xml:space="preserve"> </w:t>
      </w:r>
      <w:r>
        <w:rPr>
          <w:i/>
          <w:lang w:val="pt-BR"/>
        </w:rPr>
        <w:t xml:space="preserve"> </w:t>
      </w:r>
      <w:r>
        <w:rPr>
          <w:i/>
        </w:rPr>
        <w:t xml:space="preserve">275/2026/0646/VFI-BC.48.A </w:t>
      </w:r>
      <w:r>
        <w:rPr>
          <w:i/>
        </w:rPr>
        <w:t xml:space="preserve">ngày </w:t>
      </w:r>
      <w:r>
        <w:rPr>
          <w:i/>
        </w:rPr>
        <w:t xml:space="preserve"> </w:t>
      </w:r>
      <w:r>
        <w:rPr>
          <w:i/>
          <w:lang w:val="pt-BR"/>
        </w:rPr>
        <w:t xml:space="preserve">28 tháng 4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i/>
          <w:iCs/>
          <w:lang w:val="pt-BR"/>
        </w:rPr>
      </w:pPr>
      <w:r>
        <w:rPr>
          <w:b/>
          <w:i/>
          <w:iCs/>
          <w:lang w:val="pt-BR"/>
        </w:rPr>
      </w:r>
      <w:r>
        <mc:AlternateContent>
          <mc:Choice Requires="wpg">
            <w:drawing>
              <wp:inline xmlns:wp="http://schemas.openxmlformats.org/drawingml/2006/wordprocessingDrawing" distT="0" distB="0" distL="0" distR="0">
                <wp:extent cx="6048375" cy="5749614"/>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84141" name=""/>
                        <pic:cNvPicPr>
                          <a:picLocks noChangeAspect="1"/>
                        </pic:cNvPicPr>
                        <pic:nvPr/>
                      </pic:nvPicPr>
                      <pic:blipFill rotWithShape="1">
                        <a:blip r:embed="rId40"/>
                        <a:stretch/>
                      </pic:blipFill>
                      <pic:spPr bwMode="auto">
                        <a:xfrm>
                          <a:off x="0" y="0"/>
                          <a:ext cx="6048374" cy="57496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452.73pt;mso-wrap-distance-left:0.00pt;mso-wrap-distance-top:0.00pt;mso-wrap-distance-right:0.00pt;mso-wrap-distance-bottom:0.00pt;z-index:1;" stroked="false">
                <v:imagedata r:id="rId40" o:title=""/>
                <o:lock v:ext="edit" rotation="t"/>
              </v:shape>
            </w:pict>
          </mc:Fallback>
        </mc:AlternateContent>
      </w:r>
      <w:r>
        <w:rPr>
          <w:b/>
          <w:i/>
          <w:iCs/>
          <w:lang w:val="pt-BR"/>
        </w:rPr>
      </w:r>
      <w:r>
        <w:rPr>
          <w:b/>
          <w:i/>
          <w:iCs/>
          <w:lang w:val="pt-BR"/>
        </w:rPr>
      </w:r>
    </w:p>
    <w:tbl>
      <w:tblPr>
        <w:tblInd w:w="108" w:type="dxa"/>
        <w:tblW w:w="9558" w:type="dxa"/>
        <w:tblBorders/>
        <w:tblLayout w:type="fixed"/>
        <w:tblLook w:val="04A0" w:firstRow="1" w:lastRow="0" w:firstColumn="1" w:lastColumn="0" w:noHBand="0" w:noVBand="1"/>
      </w:tblPr>
      <w:tblGrid>
        <w:gridCol w:w="4820"/>
        <w:gridCol w:w="4738"/>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4738"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4738"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4738"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200" w:line="276" w:lineRule="auto"/>
        <w:ind/>
        <w:rPr>
          <w:i/>
          <w:lang w:val="pt-BR"/>
        </w:rPr>
      </w:pPr>
      <w:r>
        <w:rPr>
          <w:i/>
          <w:lang w:val="pt-BR"/>
        </w:rPr>
      </w:r>
      <w:r>
        <w:rPr>
          <w:i/>
          <w:lang w:val="pt-BR"/>
        </w:rPr>
      </w:r>
      <w:r>
        <w:rPr>
          <w:i/>
          <w:lang w:val="pt-BR"/>
        </w:rPr>
      </w:r>
    </w:p>
    <w:p>
      <w:pPr>
        <w:pBdr/>
        <w:spacing w:after="200" w:line="276" w:lineRule="auto"/>
        <w:ind/>
        <w:rPr>
          <w:i/>
          <w:lang w:val="pt-BR"/>
        </w:rPr>
      </w:pPr>
      <w:r>
        <w:rPr>
          <w:i/>
          <w:lang w:val="pt-BR"/>
        </w:rPr>
        <w:br w:type="page" w:clear="all"/>
      </w:r>
      <w:r>
        <w:rPr>
          <w:i/>
          <w:lang w:val="pt-BR"/>
        </w:rPr>
      </w:r>
      <w:r>
        <w:rPr>
          <w:i/>
          <w:lang w:val="pt-BR"/>
        </w:rPr>
      </w:r>
    </w:p>
    <w:p>
      <w:pPr>
        <w:pBdr/>
        <w:spacing w:after="200" w:line="276" w:lineRule="auto"/>
        <w:ind/>
        <w:rPr>
          <w:i/>
          <w:lang w:val="pt-BR"/>
        </w:rPr>
      </w:pPr>
      <w:r>
        <w:rPr>
          <w:i/>
          <w:lang w:val="pt-BR"/>
        </w:rPr>
      </w:r>
      <w:r>
        <mc:AlternateContent>
          <mc:Choice Requires="wpg">
            <w:drawing>
              <wp:inline xmlns:wp="http://schemas.openxmlformats.org/drawingml/2006/wordprocessingDrawing" distT="0" distB="0" distL="0" distR="0">
                <wp:extent cx="6048375" cy="6237387"/>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05653" name=""/>
                        <pic:cNvPicPr>
                          <a:picLocks noChangeAspect="1"/>
                        </pic:cNvPicPr>
                        <pic:nvPr/>
                      </pic:nvPicPr>
                      <pic:blipFill rotWithShape="1">
                        <a:blip r:embed="rId41"/>
                        <a:stretch/>
                      </pic:blipFill>
                      <pic:spPr bwMode="auto">
                        <a:xfrm>
                          <a:off x="0" y="0"/>
                          <a:ext cx="6048374" cy="62373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491.13pt;mso-wrap-distance-left:0.00pt;mso-wrap-distance-top:0.00pt;mso-wrap-distance-right:0.00pt;mso-wrap-distance-bottom:0.00pt;z-index:1;" stroked="false">
                <v:imagedata r:id="rId41" o:title=""/>
                <o:lock v:ext="edit" rotation="t"/>
              </v:shape>
            </w:pict>
          </mc:Fallback>
        </mc:AlternateContent>
      </w:r>
      <w:r>
        <w:rPr>
          <w:i/>
          <w:lang w:val="pt-BR"/>
        </w:rPr>
      </w:r>
      <w:r>
        <w:rPr>
          <w:i/>
          <w:lang w:val="pt-BR"/>
        </w:rPr>
      </w:r>
    </w:p>
    <w:tbl>
      <w:tblPr>
        <w:tblInd w:w="108" w:type="dxa"/>
        <w:tblW w:w="9416" w:type="dxa"/>
        <w:tblBorders/>
        <w:tblLayout w:type="fixed"/>
        <w:tblLook w:val="04A0" w:firstRow="1" w:lastRow="0" w:firstColumn="1" w:lastColumn="0" w:noHBand="0" w:noVBand="1"/>
      </w:tblPr>
      <w:tblGrid>
        <w:gridCol w:w="4820"/>
        <w:gridCol w:w="4596"/>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459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459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4596"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200" w:line="276" w:lineRule="auto"/>
        <w:ind/>
        <w:rPr>
          <w:i/>
          <w:lang w:val="pt-BR"/>
        </w:rPr>
      </w:pPr>
      <w:r>
        <w:rPr>
          <w:i/>
          <w:lang w:val="pt-BR"/>
        </w:rPr>
      </w:r>
      <w:r>
        <w:rPr>
          <w:i/>
          <w:lang w:val="pt-BR"/>
        </w:rPr>
      </w:r>
      <w:r>
        <w:rPr>
          <w:i/>
          <w:lang w:val="pt-BR"/>
        </w:rPr>
      </w:r>
    </w:p>
    <w:p>
      <w:pPr>
        <w:pBdr/>
        <w:spacing w:after="200" w:line="276" w:lineRule="auto"/>
        <w:ind/>
        <w:rPr>
          <w:b/>
          <w:bCs/>
          <w:iCs/>
          <w:highlight w:val="none"/>
          <w:lang w:val="pt-BR"/>
        </w:rPr>
      </w:pPr>
      <w:r>
        <w:rPr>
          <w:b/>
          <w:bCs/>
          <w:iCs/>
          <w:lang w:val="pt-BR"/>
        </w:rPr>
        <w:br w:type="page" w:clear="all"/>
      </w:r>
      <w:r>
        <w:rPr>
          <w:b/>
          <w:bCs/>
          <w:iCs/>
          <w:highlight w:val="none"/>
          <w:lang w:val="pt-BR"/>
        </w:rPr>
      </w:r>
      <w:r>
        <w:rPr>
          <w:b/>
          <w:bCs/>
          <w:iCs/>
          <w:highlight w:val="none"/>
          <w:lang w:val="pt-BR"/>
        </w:rPr>
      </w:r>
    </w:p>
    <w:p>
      <w:pPr>
        <w:pBdr/>
        <w:spacing w:after="200" w:line="276" w:lineRule="auto"/>
        <w:ind/>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640201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28214" name=""/>
                        <pic:cNvPicPr>
                          <a:picLocks noChangeAspect="1"/>
                        </pic:cNvPicPr>
                        <pic:nvPr/>
                      </pic:nvPicPr>
                      <pic:blipFill rotWithShape="1">
                        <a:blip r:embed="rId42"/>
                        <a:stretch/>
                      </pic:blipFill>
                      <pic:spPr bwMode="auto">
                        <a:xfrm>
                          <a:off x="0" y="0"/>
                          <a:ext cx="6048374" cy="6402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504.10pt;mso-wrap-distance-left:0.00pt;mso-wrap-distance-top:0.00pt;mso-wrap-distance-right:0.00pt;mso-wrap-distance-bottom:0.00pt;z-index:1;" stroked="false">
                <v:imagedata r:id="rId42" o:title=""/>
                <o:lock v:ext="edit" rotation="t"/>
              </v:shape>
            </w:pict>
          </mc:Fallback>
        </mc:AlternateContent>
      </w:r>
      <w:r>
        <w:rPr>
          <w:b/>
          <w:bCs/>
          <w:highlight w:val="none"/>
          <w:lang w:val="pt-BR"/>
        </w:rPr>
      </w:r>
      <w:r>
        <w:rPr>
          <w:b/>
          <w:bCs/>
          <w:highlight w:val="none"/>
          <w:lang w:val="pt-BR"/>
        </w:rPr>
      </w:r>
    </w:p>
    <w:tbl>
      <w:tblPr>
        <w:tblInd w:w="108" w:type="dxa"/>
        <w:tblW w:w="9558" w:type="dxa"/>
        <w:tblBorders/>
        <w:tblLayout w:type="fixed"/>
        <w:tblLook w:val="04A0" w:firstRow="1" w:lastRow="0" w:firstColumn="1" w:lastColumn="0" w:noHBand="0" w:noVBand="1"/>
      </w:tblPr>
      <w:tblGrid>
        <w:gridCol w:w="4820"/>
        <w:gridCol w:w="4738"/>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4738"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4738"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4738"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200" w:line="276" w:lineRule="auto"/>
        <w:ind/>
        <w:rPr>
          <w:bCs/>
        </w:rPr>
      </w:pPr>
      <w:r>
        <w:rPr>
          <w:bCs/>
        </w:rPr>
      </w:r>
      <w:r>
        <w:rPr>
          <w:bCs/>
        </w:rPr>
      </w:r>
      <w:r>
        <w:rPr>
          <w:bCs/>
        </w:rPr>
      </w:r>
    </w:p>
    <w:p>
      <w:pPr>
        <w:pBdr/>
        <w:shd w:val="nil" w:color="auto"/>
        <w:spacing/>
        <w:ind/>
        <w:rPr>
          <w:b/>
          <w:bCs/>
          <w:i/>
          <w:lang w:val="pt-BR"/>
        </w:rPr>
      </w:pPr>
      <w:r>
        <w:rPr>
          <w:b/>
          <w:i/>
          <w:iCs/>
          <w:lang w:val="pt-BR"/>
        </w:rPr>
      </w:r>
      <w:r>
        <w:rPr>
          <w:b/>
          <w:bCs/>
          <w:i/>
          <w:lang w:val="pt-BR"/>
        </w:rPr>
      </w:r>
      <w:r>
        <w:rPr>
          <w:b/>
          <w:bCs/>
          <w:i/>
          <w:lang w:val="pt-BR"/>
        </w:rPr>
      </w:r>
    </w:p>
    <w:sectPr>
      <w:footerReference w:type="default" r:id="rId9"/>
      <w:footerReference w:type="even" r:id="rId10"/>
      <w:footnotePr/>
      <w:endnotePr/>
      <w:type w:val="nextPage"/>
      <w:pgSz w:h="16839" w:orient="portrait" w:w="11907"/>
      <w:pgMar w:top="1134" w:right="851" w:bottom="1134" w:left="1531" w:header="284" w:footer="431" w:gutter="0"/>
      <w:pgNumType w:start="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4"/>
      <w:pBdr/>
      <w:spacing/>
      <w:ind/>
      <w:jc w:val="center"/>
      <w:rPr/>
    </w:pPr>
    <w:r/>
    <w:r/>
  </w:p>
  <w:p>
    <w:pPr>
      <w:pStyle w:val="1004"/>
      <w:pBdr/>
      <w:spacing/>
      <w:ind/>
      <w:rPr/>
    </w:p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1BA5F2D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27C1E80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0CD7ECF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3">
    <w:nsid w:val="12C2469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20">
    <w:name w:val="Table Grid Light"/>
    <w:basedOn w:val="99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Plain Table 1"/>
    <w:basedOn w:val="99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Plain Table 2"/>
    <w:basedOn w:val="99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Plain Table 3"/>
    <w:basedOn w:val="99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Plain Table 4"/>
    <w:basedOn w:val="99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Plain Table 5"/>
    <w:basedOn w:val="99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1 Light"/>
    <w:basedOn w:val="99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1 Light - Accent 1"/>
    <w:basedOn w:val="99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1 Light - Accent 2"/>
    <w:basedOn w:val="99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1 Light - Accent 3"/>
    <w:basedOn w:val="99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1 Light - Accent 4"/>
    <w:basedOn w:val="99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1 Light - Accent 5"/>
    <w:basedOn w:val="99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1 Light - Accent 6"/>
    <w:basedOn w:val="99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2"/>
    <w:basedOn w:val="99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2 - Accent 1"/>
    <w:basedOn w:val="99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2 - Accent 2"/>
    <w:basedOn w:val="99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2 - Accent 3"/>
    <w:basedOn w:val="99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2 - Accent 4"/>
    <w:basedOn w:val="99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2 - Accent 5"/>
    <w:basedOn w:val="99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2 - Accent 6"/>
    <w:basedOn w:val="99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3"/>
    <w:basedOn w:val="99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3 - Accent 1"/>
    <w:basedOn w:val="99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3 - Accent 2"/>
    <w:basedOn w:val="99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3 - Accent 3"/>
    <w:basedOn w:val="99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3 - Accent 4"/>
    <w:basedOn w:val="99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3 - Accent 5"/>
    <w:basedOn w:val="99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3 - Accent 6"/>
    <w:basedOn w:val="99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4"/>
    <w:basedOn w:val="99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4 - Accent 1"/>
    <w:basedOn w:val="99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4 - Accent 2"/>
    <w:basedOn w:val="99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4 - Accent 3"/>
    <w:basedOn w:val="99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4 - Accent 4"/>
    <w:basedOn w:val="99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4 - Accent 5"/>
    <w:basedOn w:val="99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4 - Accent 6"/>
    <w:basedOn w:val="99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5 Dark"/>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5 Dark- Accent 1"/>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5 Dark - Accent 2"/>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5 Dark - Accent 3"/>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5 Dark- Accent 4"/>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5 Dark - Accent 5"/>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5 Dark - Accent 6"/>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6 Colorful"/>
    <w:basedOn w:val="99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62">
    <w:name w:val="Grid Table 6 Colorful - Accent 1"/>
    <w:basedOn w:val="99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63">
    <w:name w:val="Grid Table 6 Colorful - Accent 2"/>
    <w:basedOn w:val="99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64">
    <w:name w:val="Grid Table 6 Colorful - Accent 3"/>
    <w:basedOn w:val="99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65">
    <w:name w:val="Grid Table 6 Colorful - Accent 4"/>
    <w:basedOn w:val="99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66">
    <w:name w:val="Grid Table 6 Colorful - Accent 5"/>
    <w:basedOn w:val="99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7">
    <w:name w:val="Grid Table 6 Colorful - Accent 6"/>
    <w:basedOn w:val="99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8">
    <w:name w:val="Grid Table 7 Colorful"/>
    <w:basedOn w:val="99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7 Colorful - Accent 1"/>
    <w:basedOn w:val="99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7 Colorful - Accent 2"/>
    <w:basedOn w:val="99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7 Colorful - Accent 3"/>
    <w:basedOn w:val="99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7 Colorful - Accent 4"/>
    <w:basedOn w:val="99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7 Colorful - Accent 5"/>
    <w:basedOn w:val="99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7 Colorful - Accent 6"/>
    <w:basedOn w:val="99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1 Light"/>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1 Light - Accent 1"/>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1 Light - Accent 2"/>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1 Light - Accent 3"/>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1 Light - Accent 4"/>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1 Light - Accent 5"/>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1 Light - Accent 6"/>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2"/>
    <w:basedOn w:val="99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2 - Accent 1"/>
    <w:basedOn w:val="99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2 - Accent 2"/>
    <w:basedOn w:val="99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2 - Accent 3"/>
    <w:basedOn w:val="99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2 - Accent 4"/>
    <w:basedOn w:val="99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2 - Accent 5"/>
    <w:basedOn w:val="99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2 - Accent 6"/>
    <w:basedOn w:val="99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3"/>
    <w:basedOn w:val="99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3 - Accent 1"/>
    <w:basedOn w:val="99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3 - Accent 2"/>
    <w:basedOn w:val="99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3 - Accent 3"/>
    <w:basedOn w:val="99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3 - Accent 4"/>
    <w:basedOn w:val="99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3 - Accent 5"/>
    <w:basedOn w:val="99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3 - Accent 6"/>
    <w:basedOn w:val="99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4"/>
    <w:basedOn w:val="99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4 - Accent 1"/>
    <w:basedOn w:val="99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4 - Accent 2"/>
    <w:basedOn w:val="99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4 - Accent 3"/>
    <w:basedOn w:val="99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4 - Accent 4"/>
    <w:basedOn w:val="99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4 - Accent 5"/>
    <w:basedOn w:val="99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4 - Accent 6"/>
    <w:basedOn w:val="99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5 Dark"/>
    <w:basedOn w:val="99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4">
    <w:name w:val="List Table 5 Dark - Accent 1"/>
    <w:basedOn w:val="99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5">
    <w:name w:val="List Table 5 Dark - Accent 2"/>
    <w:basedOn w:val="99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6">
    <w:name w:val="List Table 5 Dark - Accent 3"/>
    <w:basedOn w:val="99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7">
    <w:name w:val="List Table 5 Dark - Accent 4"/>
    <w:basedOn w:val="99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8">
    <w:name w:val="List Table 5 Dark - Accent 5"/>
    <w:basedOn w:val="99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9">
    <w:name w:val="List Table 5 Dark - Accent 6"/>
    <w:basedOn w:val="99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0">
    <w:name w:val="List Table 6 Colorful"/>
    <w:basedOn w:val="99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6 Colorful - Accent 1"/>
    <w:basedOn w:val="99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6 Colorful - Accent 2"/>
    <w:basedOn w:val="99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6 Colorful - Accent 3"/>
    <w:basedOn w:val="99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6 Colorful - Accent 4"/>
    <w:basedOn w:val="99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6 Colorful - Accent 5"/>
    <w:basedOn w:val="99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6 Colorful - Accent 6"/>
    <w:basedOn w:val="99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7 Colorful"/>
    <w:basedOn w:val="99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18">
    <w:name w:val="List Table 7 Colorful - Accent 1"/>
    <w:basedOn w:val="99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19">
    <w:name w:val="List Table 7 Colorful - Accent 2"/>
    <w:basedOn w:val="99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20">
    <w:name w:val="List Table 7 Colorful - Accent 3"/>
    <w:basedOn w:val="99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21">
    <w:name w:val="List Table 7 Colorful - Accent 4"/>
    <w:basedOn w:val="99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22">
    <w:name w:val="List Table 7 Colorful - Accent 5"/>
    <w:basedOn w:val="99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23">
    <w:name w:val="List Table 7 Colorful - Accent 6"/>
    <w:basedOn w:val="99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24">
    <w:name w:val="Lined - Accent"/>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ned - Accent 1"/>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ned - Accent 2"/>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ned - Accent 3"/>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ned - Accent 4"/>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ned - Accent 5"/>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ned - Accent 6"/>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Bordered &amp; Lined - Accent"/>
    <w:basedOn w:val="99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Bordered &amp; Lined - Accent 1"/>
    <w:basedOn w:val="99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Bordered &amp; Lined - Accent 2"/>
    <w:basedOn w:val="99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Bordered &amp; Lined - Accent 3"/>
    <w:basedOn w:val="99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Bordered &amp; Lined - Accent 4"/>
    <w:basedOn w:val="99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Bordered &amp; Lined - Accent 5"/>
    <w:basedOn w:val="99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Bordered &amp; Lined - Accent 6"/>
    <w:basedOn w:val="99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Bordered"/>
    <w:basedOn w:val="99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Bordered - Accent 1"/>
    <w:basedOn w:val="99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Bordered - Accent 2"/>
    <w:basedOn w:val="99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Bordered - Accent 3"/>
    <w:basedOn w:val="99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Bordered - Accent 4"/>
    <w:basedOn w:val="99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Bordered - Accent 5"/>
    <w:basedOn w:val="99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Bordered - Accent 6"/>
    <w:basedOn w:val="99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5">
    <w:name w:val="Heading 5"/>
    <w:basedOn w:val="986"/>
    <w:next w:val="986"/>
    <w:link w:val="95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46">
    <w:name w:val="Heading 6"/>
    <w:basedOn w:val="986"/>
    <w:next w:val="986"/>
    <w:link w:val="95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47">
    <w:name w:val="Heading 7"/>
    <w:basedOn w:val="986"/>
    <w:next w:val="986"/>
    <w:link w:val="95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48">
    <w:name w:val="Heading 8"/>
    <w:basedOn w:val="986"/>
    <w:next w:val="986"/>
    <w:link w:val="95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49">
    <w:name w:val="Heading 9"/>
    <w:basedOn w:val="986"/>
    <w:next w:val="986"/>
    <w:link w:val="95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50">
    <w:name w:val="Heading 5 Char"/>
    <w:basedOn w:val="991"/>
    <w:link w:val="945"/>
    <w:uiPriority w:val="9"/>
    <w:pPr>
      <w:pBdr/>
      <w:spacing/>
      <w:ind/>
    </w:pPr>
    <w:rPr>
      <w:rFonts w:ascii="Arial" w:hAnsi="Arial" w:eastAsia="Arial" w:cs="Arial"/>
      <w:color w:val="0f4761" w:themeColor="accent1" w:themeShade="BF"/>
    </w:rPr>
  </w:style>
  <w:style w:type="character" w:styleId="951">
    <w:name w:val="Heading 6 Char"/>
    <w:basedOn w:val="991"/>
    <w:link w:val="946"/>
    <w:uiPriority w:val="9"/>
    <w:pPr>
      <w:pBdr/>
      <w:spacing/>
      <w:ind/>
    </w:pPr>
    <w:rPr>
      <w:rFonts w:ascii="Arial" w:hAnsi="Arial" w:eastAsia="Arial" w:cs="Arial"/>
      <w:i/>
      <w:iCs/>
      <w:color w:val="595959" w:themeColor="text1" w:themeTint="A6"/>
    </w:rPr>
  </w:style>
  <w:style w:type="character" w:styleId="952">
    <w:name w:val="Heading 7 Char"/>
    <w:basedOn w:val="991"/>
    <w:link w:val="947"/>
    <w:uiPriority w:val="9"/>
    <w:pPr>
      <w:pBdr/>
      <w:spacing/>
      <w:ind/>
    </w:pPr>
    <w:rPr>
      <w:rFonts w:ascii="Arial" w:hAnsi="Arial" w:eastAsia="Arial" w:cs="Arial"/>
      <w:color w:val="595959" w:themeColor="text1" w:themeTint="A6"/>
    </w:rPr>
  </w:style>
  <w:style w:type="character" w:styleId="953">
    <w:name w:val="Heading 8 Char"/>
    <w:basedOn w:val="991"/>
    <w:link w:val="948"/>
    <w:uiPriority w:val="9"/>
    <w:pPr>
      <w:pBdr/>
      <w:spacing/>
      <w:ind/>
    </w:pPr>
    <w:rPr>
      <w:rFonts w:ascii="Arial" w:hAnsi="Arial" w:eastAsia="Arial" w:cs="Arial"/>
      <w:i/>
      <w:iCs/>
      <w:color w:val="272727" w:themeColor="text1" w:themeTint="D8"/>
    </w:rPr>
  </w:style>
  <w:style w:type="character" w:styleId="954">
    <w:name w:val="Heading 9 Char"/>
    <w:basedOn w:val="991"/>
    <w:link w:val="949"/>
    <w:uiPriority w:val="9"/>
    <w:pPr>
      <w:pBdr/>
      <w:spacing/>
      <w:ind/>
    </w:pPr>
    <w:rPr>
      <w:rFonts w:ascii="Arial" w:hAnsi="Arial" w:eastAsia="Arial" w:cs="Arial"/>
      <w:i/>
      <w:iCs/>
      <w:color w:val="272727" w:themeColor="text1" w:themeTint="D8"/>
    </w:rPr>
  </w:style>
  <w:style w:type="paragraph" w:styleId="955">
    <w:name w:val="Subtitle"/>
    <w:basedOn w:val="986"/>
    <w:next w:val="986"/>
    <w:link w:val="956"/>
    <w:uiPriority w:val="11"/>
    <w:qFormat/>
    <w:pPr>
      <w:numPr>
        <w:ilvl w:val="1"/>
      </w:numPr>
      <w:pBdr/>
      <w:spacing/>
      <w:ind/>
    </w:pPr>
    <w:rPr>
      <w:color w:val="595959" w:themeColor="text1" w:themeTint="A6"/>
      <w:spacing w:val="15"/>
      <w:sz w:val="28"/>
      <w:szCs w:val="28"/>
    </w:rPr>
  </w:style>
  <w:style w:type="character" w:styleId="956">
    <w:name w:val="Subtitle Char"/>
    <w:basedOn w:val="991"/>
    <w:link w:val="955"/>
    <w:uiPriority w:val="11"/>
    <w:pPr>
      <w:pBdr/>
      <w:spacing/>
      <w:ind/>
    </w:pPr>
    <w:rPr>
      <w:color w:val="595959" w:themeColor="text1" w:themeTint="A6"/>
      <w:spacing w:val="15"/>
      <w:sz w:val="28"/>
      <w:szCs w:val="28"/>
    </w:rPr>
  </w:style>
  <w:style w:type="paragraph" w:styleId="957">
    <w:name w:val="Quote"/>
    <w:basedOn w:val="986"/>
    <w:next w:val="986"/>
    <w:link w:val="958"/>
    <w:uiPriority w:val="29"/>
    <w:qFormat/>
    <w:pPr>
      <w:pBdr/>
      <w:spacing w:before="160"/>
      <w:ind/>
      <w:jc w:val="center"/>
    </w:pPr>
    <w:rPr>
      <w:i/>
      <w:iCs/>
      <w:color w:val="404040" w:themeColor="text1" w:themeTint="BF"/>
    </w:rPr>
  </w:style>
  <w:style w:type="character" w:styleId="958">
    <w:name w:val="Quote Char"/>
    <w:basedOn w:val="991"/>
    <w:link w:val="957"/>
    <w:uiPriority w:val="29"/>
    <w:pPr>
      <w:pBdr/>
      <w:spacing/>
      <w:ind/>
    </w:pPr>
    <w:rPr>
      <w:i/>
      <w:iCs/>
      <w:color w:val="404040" w:themeColor="text1" w:themeTint="BF"/>
    </w:rPr>
  </w:style>
  <w:style w:type="character" w:styleId="959">
    <w:name w:val="Intense Emphasis"/>
    <w:basedOn w:val="991"/>
    <w:uiPriority w:val="21"/>
    <w:qFormat/>
    <w:pPr>
      <w:pBdr/>
      <w:spacing/>
      <w:ind/>
    </w:pPr>
    <w:rPr>
      <w:i/>
      <w:iCs/>
      <w:color w:val="0f4761" w:themeColor="accent1" w:themeShade="BF"/>
    </w:rPr>
  </w:style>
  <w:style w:type="paragraph" w:styleId="960">
    <w:name w:val="Intense Quote"/>
    <w:basedOn w:val="986"/>
    <w:next w:val="986"/>
    <w:link w:val="96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61">
    <w:name w:val="Intense Quote Char"/>
    <w:basedOn w:val="991"/>
    <w:link w:val="960"/>
    <w:uiPriority w:val="30"/>
    <w:pPr>
      <w:pBdr/>
      <w:spacing/>
      <w:ind/>
    </w:pPr>
    <w:rPr>
      <w:i/>
      <w:iCs/>
      <w:color w:val="0f4761" w:themeColor="accent1" w:themeShade="BF"/>
    </w:rPr>
  </w:style>
  <w:style w:type="character" w:styleId="962">
    <w:name w:val="Intense Reference"/>
    <w:basedOn w:val="991"/>
    <w:uiPriority w:val="32"/>
    <w:qFormat/>
    <w:pPr>
      <w:pBdr/>
      <w:spacing/>
      <w:ind/>
    </w:pPr>
    <w:rPr>
      <w:b/>
      <w:bCs/>
      <w:smallCaps/>
      <w:color w:val="0f4761" w:themeColor="accent1" w:themeShade="BF"/>
      <w:spacing w:val="5"/>
    </w:rPr>
  </w:style>
  <w:style w:type="paragraph" w:styleId="963">
    <w:name w:val="No Spacing"/>
    <w:basedOn w:val="986"/>
    <w:uiPriority w:val="1"/>
    <w:qFormat/>
    <w:pPr>
      <w:pBdr/>
      <w:spacing w:after="0" w:line="240" w:lineRule="auto"/>
      <w:ind/>
    </w:pPr>
  </w:style>
  <w:style w:type="character" w:styleId="964">
    <w:name w:val="Subtle Emphasis"/>
    <w:basedOn w:val="991"/>
    <w:uiPriority w:val="19"/>
    <w:qFormat/>
    <w:pPr>
      <w:pBdr/>
      <w:spacing/>
      <w:ind/>
    </w:pPr>
    <w:rPr>
      <w:i/>
      <w:iCs/>
      <w:color w:val="404040" w:themeColor="text1" w:themeTint="BF"/>
    </w:rPr>
  </w:style>
  <w:style w:type="character" w:styleId="965">
    <w:name w:val="Subtle Reference"/>
    <w:basedOn w:val="991"/>
    <w:uiPriority w:val="31"/>
    <w:qFormat/>
    <w:pPr>
      <w:pBdr/>
      <w:spacing/>
      <w:ind/>
    </w:pPr>
    <w:rPr>
      <w:smallCaps/>
      <w:color w:val="5a5a5a" w:themeColor="text1" w:themeTint="A5"/>
    </w:rPr>
  </w:style>
  <w:style w:type="character" w:styleId="966">
    <w:name w:val="Book Title"/>
    <w:basedOn w:val="991"/>
    <w:uiPriority w:val="33"/>
    <w:qFormat/>
    <w:pPr>
      <w:pBdr/>
      <w:spacing/>
      <w:ind/>
    </w:pPr>
    <w:rPr>
      <w:b/>
      <w:bCs/>
      <w:i/>
      <w:iCs/>
      <w:spacing w:val="5"/>
    </w:rPr>
  </w:style>
  <w:style w:type="paragraph" w:styleId="967">
    <w:name w:val="Caption"/>
    <w:basedOn w:val="986"/>
    <w:next w:val="986"/>
    <w:uiPriority w:val="35"/>
    <w:unhideWhenUsed/>
    <w:qFormat/>
    <w:pPr>
      <w:pBdr/>
      <w:spacing w:after="200" w:line="240" w:lineRule="auto"/>
      <w:ind/>
    </w:pPr>
    <w:rPr>
      <w:i/>
      <w:iCs/>
      <w:color w:val="0e2841" w:themeColor="text2"/>
      <w:sz w:val="18"/>
      <w:szCs w:val="18"/>
    </w:rPr>
  </w:style>
  <w:style w:type="paragraph" w:styleId="968">
    <w:name w:val="footnote text"/>
    <w:basedOn w:val="986"/>
    <w:link w:val="969"/>
    <w:uiPriority w:val="99"/>
    <w:semiHidden/>
    <w:unhideWhenUsed/>
    <w:pPr>
      <w:pBdr/>
      <w:spacing w:after="0" w:line="240" w:lineRule="auto"/>
      <w:ind/>
    </w:pPr>
    <w:rPr>
      <w:sz w:val="20"/>
      <w:szCs w:val="20"/>
    </w:rPr>
  </w:style>
  <w:style w:type="character" w:styleId="969">
    <w:name w:val="Footnote Text Char"/>
    <w:basedOn w:val="991"/>
    <w:link w:val="968"/>
    <w:uiPriority w:val="99"/>
    <w:semiHidden/>
    <w:pPr>
      <w:pBdr/>
      <w:spacing/>
      <w:ind/>
    </w:pPr>
    <w:rPr>
      <w:sz w:val="20"/>
      <w:szCs w:val="20"/>
    </w:rPr>
  </w:style>
  <w:style w:type="character" w:styleId="970">
    <w:name w:val="footnote reference"/>
    <w:basedOn w:val="991"/>
    <w:uiPriority w:val="99"/>
    <w:semiHidden/>
    <w:unhideWhenUsed/>
    <w:pPr>
      <w:pBdr/>
      <w:spacing/>
      <w:ind/>
    </w:pPr>
    <w:rPr>
      <w:vertAlign w:val="superscript"/>
    </w:rPr>
  </w:style>
  <w:style w:type="paragraph" w:styleId="971">
    <w:name w:val="endnote text"/>
    <w:basedOn w:val="986"/>
    <w:link w:val="972"/>
    <w:uiPriority w:val="99"/>
    <w:semiHidden/>
    <w:unhideWhenUsed/>
    <w:pPr>
      <w:pBdr/>
      <w:spacing w:after="0" w:line="240" w:lineRule="auto"/>
      <w:ind/>
    </w:pPr>
    <w:rPr>
      <w:sz w:val="20"/>
      <w:szCs w:val="20"/>
    </w:rPr>
  </w:style>
  <w:style w:type="character" w:styleId="972">
    <w:name w:val="Endnote Text Char"/>
    <w:basedOn w:val="991"/>
    <w:link w:val="971"/>
    <w:uiPriority w:val="99"/>
    <w:semiHidden/>
    <w:pPr>
      <w:pBdr/>
      <w:spacing/>
      <w:ind/>
    </w:pPr>
    <w:rPr>
      <w:sz w:val="20"/>
      <w:szCs w:val="20"/>
    </w:rPr>
  </w:style>
  <w:style w:type="character" w:styleId="973">
    <w:name w:val="endnote reference"/>
    <w:basedOn w:val="991"/>
    <w:uiPriority w:val="99"/>
    <w:semiHidden/>
    <w:unhideWhenUsed/>
    <w:pPr>
      <w:pBdr/>
      <w:spacing/>
      <w:ind/>
    </w:pPr>
    <w:rPr>
      <w:vertAlign w:val="superscript"/>
    </w:rPr>
  </w:style>
  <w:style w:type="paragraph" w:styleId="974">
    <w:name w:val="toc 1"/>
    <w:basedOn w:val="986"/>
    <w:next w:val="986"/>
    <w:uiPriority w:val="39"/>
    <w:unhideWhenUsed/>
    <w:pPr>
      <w:pBdr/>
      <w:spacing w:after="100"/>
      <w:ind/>
    </w:pPr>
  </w:style>
  <w:style w:type="paragraph" w:styleId="975">
    <w:name w:val="toc 2"/>
    <w:basedOn w:val="986"/>
    <w:next w:val="986"/>
    <w:uiPriority w:val="39"/>
    <w:unhideWhenUsed/>
    <w:pPr>
      <w:pBdr/>
      <w:spacing w:after="100"/>
      <w:ind w:left="220"/>
    </w:pPr>
  </w:style>
  <w:style w:type="paragraph" w:styleId="976">
    <w:name w:val="toc 3"/>
    <w:basedOn w:val="986"/>
    <w:next w:val="986"/>
    <w:uiPriority w:val="39"/>
    <w:unhideWhenUsed/>
    <w:pPr>
      <w:pBdr/>
      <w:spacing w:after="100"/>
      <w:ind w:left="440"/>
    </w:pPr>
  </w:style>
  <w:style w:type="paragraph" w:styleId="977">
    <w:name w:val="toc 4"/>
    <w:basedOn w:val="986"/>
    <w:next w:val="986"/>
    <w:uiPriority w:val="39"/>
    <w:unhideWhenUsed/>
    <w:pPr>
      <w:pBdr/>
      <w:spacing w:after="100"/>
      <w:ind w:left="660"/>
    </w:pPr>
  </w:style>
  <w:style w:type="paragraph" w:styleId="978">
    <w:name w:val="toc 5"/>
    <w:basedOn w:val="986"/>
    <w:next w:val="986"/>
    <w:uiPriority w:val="39"/>
    <w:unhideWhenUsed/>
    <w:pPr>
      <w:pBdr/>
      <w:spacing w:after="100"/>
      <w:ind w:left="880"/>
    </w:pPr>
  </w:style>
  <w:style w:type="paragraph" w:styleId="979">
    <w:name w:val="toc 6"/>
    <w:basedOn w:val="986"/>
    <w:next w:val="986"/>
    <w:uiPriority w:val="39"/>
    <w:unhideWhenUsed/>
    <w:pPr>
      <w:pBdr/>
      <w:spacing w:after="100"/>
      <w:ind w:left="1100"/>
    </w:pPr>
  </w:style>
  <w:style w:type="paragraph" w:styleId="980">
    <w:name w:val="toc 7"/>
    <w:basedOn w:val="986"/>
    <w:next w:val="986"/>
    <w:uiPriority w:val="39"/>
    <w:unhideWhenUsed/>
    <w:pPr>
      <w:pBdr/>
      <w:spacing w:after="100"/>
      <w:ind w:left="1320"/>
    </w:pPr>
  </w:style>
  <w:style w:type="paragraph" w:styleId="981">
    <w:name w:val="toc 8"/>
    <w:basedOn w:val="986"/>
    <w:next w:val="986"/>
    <w:uiPriority w:val="39"/>
    <w:unhideWhenUsed/>
    <w:pPr>
      <w:pBdr/>
      <w:spacing w:after="100"/>
      <w:ind w:left="1540"/>
    </w:pPr>
  </w:style>
  <w:style w:type="paragraph" w:styleId="982">
    <w:name w:val="toc 9"/>
    <w:basedOn w:val="986"/>
    <w:next w:val="986"/>
    <w:uiPriority w:val="39"/>
    <w:unhideWhenUsed/>
    <w:pPr>
      <w:pBdr/>
      <w:spacing w:after="100"/>
      <w:ind w:left="1760"/>
    </w:pPr>
  </w:style>
  <w:style w:type="character" w:styleId="983">
    <w:name w:val="Placeholder Text"/>
    <w:basedOn w:val="991"/>
    <w:uiPriority w:val="99"/>
    <w:semiHidden/>
    <w:pPr>
      <w:pBdr/>
      <w:spacing/>
      <w:ind/>
    </w:pPr>
    <w:rPr>
      <w:color w:val="666666"/>
    </w:rPr>
  </w:style>
  <w:style w:type="paragraph" w:styleId="984">
    <w:name w:val="TOC Heading"/>
    <w:uiPriority w:val="39"/>
    <w:unhideWhenUsed/>
    <w:pPr>
      <w:pBdr/>
      <w:spacing/>
      <w:ind/>
    </w:pPr>
  </w:style>
  <w:style w:type="paragraph" w:styleId="985">
    <w:name w:val="table of figures"/>
    <w:basedOn w:val="986"/>
    <w:next w:val="986"/>
    <w:uiPriority w:val="99"/>
    <w:unhideWhenUsed/>
    <w:pPr>
      <w:pBdr/>
      <w:spacing w:after="0" w:afterAutospacing="0"/>
      <w:ind/>
    </w:pPr>
  </w:style>
  <w:style w:type="paragraph" w:styleId="986" w:default="1">
    <w:name w:val="Normal"/>
    <w:qFormat/>
    <w:pPr>
      <w:pBdr/>
      <w:spacing w:after="0" w:line="240" w:lineRule="auto"/>
      <w:ind/>
    </w:pPr>
    <w:rPr>
      <w:rFonts w:ascii="Times New Roman" w:hAnsi="Times New Roman" w:eastAsia="Times New Roman" w:cs="Times New Roman"/>
      <w:sz w:val="24"/>
      <w:szCs w:val="24"/>
    </w:rPr>
  </w:style>
  <w:style w:type="paragraph" w:styleId="987">
    <w:name w:val="Heading 1"/>
    <w:basedOn w:val="986"/>
    <w:next w:val="986"/>
    <w:link w:val="994"/>
    <w:qFormat/>
    <w:pPr>
      <w:keepNext w:val="true"/>
      <w:pBdr/>
      <w:spacing w:after="120" w:before="120"/>
      <w:ind/>
      <w:jc w:val="center"/>
      <w:outlineLvl w:val="0"/>
    </w:pPr>
    <w:rPr>
      <w:b/>
      <w:bCs/>
      <w:sz w:val="27"/>
      <w:szCs w:val="27"/>
    </w:rPr>
  </w:style>
  <w:style w:type="paragraph" w:styleId="988">
    <w:name w:val="Heading 2"/>
    <w:basedOn w:val="986"/>
    <w:next w:val="986"/>
    <w:link w:val="99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89">
    <w:name w:val="Heading 3"/>
    <w:basedOn w:val="986"/>
    <w:next w:val="986"/>
    <w:link w:val="996"/>
    <w:qFormat/>
    <w:pPr>
      <w:keepNext w:val="true"/>
      <w:pBdr/>
      <w:spacing w:before="60"/>
      <w:ind/>
      <w:outlineLvl w:val="2"/>
    </w:pPr>
    <w:rPr>
      <w:sz w:val="28"/>
      <w:szCs w:val="28"/>
    </w:rPr>
  </w:style>
  <w:style w:type="paragraph" w:styleId="990">
    <w:name w:val="Heading 4"/>
    <w:basedOn w:val="986"/>
    <w:next w:val="986"/>
    <w:link w:val="997"/>
    <w:qFormat/>
    <w:pPr>
      <w:keepNext w:val="true"/>
      <w:pBdr/>
      <w:spacing/>
      <w:ind/>
      <w:jc w:val="center"/>
      <w:outlineLvl w:val="3"/>
    </w:pPr>
    <w:rPr>
      <w:b/>
      <w:bCs/>
    </w:rPr>
  </w:style>
  <w:style w:type="character" w:styleId="991" w:default="1">
    <w:name w:val="Default Paragraph Font"/>
    <w:uiPriority w:val="1"/>
    <w:semiHidden/>
    <w:unhideWhenUsed/>
    <w:pPr>
      <w:pBdr/>
      <w:spacing/>
      <w:ind/>
    </w:pPr>
  </w:style>
  <w:style w:type="table" w:styleId="99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93" w:default="1">
    <w:name w:val="No List"/>
    <w:uiPriority w:val="99"/>
    <w:semiHidden/>
    <w:unhideWhenUsed/>
    <w:pPr>
      <w:pBdr/>
      <w:spacing/>
      <w:ind/>
    </w:pPr>
  </w:style>
  <w:style w:type="character" w:styleId="994" w:customStyle="1">
    <w:name w:val="Heading 1 Char"/>
    <w:basedOn w:val="991"/>
    <w:link w:val="987"/>
    <w:pPr>
      <w:pBdr/>
      <w:spacing/>
      <w:ind/>
    </w:pPr>
    <w:rPr>
      <w:rFonts w:ascii="Times New Roman" w:hAnsi="Times New Roman" w:eastAsia="Times New Roman" w:cs="Times New Roman"/>
      <w:b/>
      <w:bCs/>
      <w:sz w:val="27"/>
      <w:szCs w:val="27"/>
    </w:rPr>
  </w:style>
  <w:style w:type="character" w:styleId="995" w:customStyle="1">
    <w:name w:val="Heading 2 Char"/>
    <w:basedOn w:val="991"/>
    <w:link w:val="988"/>
    <w:uiPriority w:val="9"/>
    <w:pPr>
      <w:pBdr/>
      <w:spacing/>
      <w:ind/>
    </w:pPr>
    <w:rPr>
      <w:rFonts w:asciiTheme="majorHAnsi" w:hAnsiTheme="majorHAnsi" w:eastAsiaTheme="majorEastAsia" w:cstheme="majorBidi"/>
      <w:color w:val="365f91" w:themeColor="accent1" w:themeShade="BF"/>
      <w:sz w:val="26"/>
      <w:szCs w:val="26"/>
    </w:rPr>
  </w:style>
  <w:style w:type="character" w:styleId="996" w:customStyle="1">
    <w:name w:val="Heading 3 Char"/>
    <w:basedOn w:val="991"/>
    <w:link w:val="989"/>
    <w:pPr>
      <w:pBdr/>
      <w:spacing/>
      <w:ind/>
    </w:pPr>
    <w:rPr>
      <w:rFonts w:ascii="Times New Roman" w:hAnsi="Times New Roman" w:eastAsia="Times New Roman" w:cs="Times New Roman"/>
      <w:sz w:val="28"/>
      <w:szCs w:val="28"/>
    </w:rPr>
  </w:style>
  <w:style w:type="character" w:styleId="997" w:customStyle="1">
    <w:name w:val="Heading 4 Char"/>
    <w:basedOn w:val="991"/>
    <w:link w:val="990"/>
    <w:pPr>
      <w:pBdr/>
      <w:spacing/>
      <w:ind/>
    </w:pPr>
    <w:rPr>
      <w:rFonts w:ascii="Times New Roman" w:hAnsi="Times New Roman" w:eastAsia="Times New Roman" w:cs="Times New Roman"/>
      <w:b/>
      <w:bCs/>
      <w:sz w:val="24"/>
      <w:szCs w:val="24"/>
    </w:rPr>
  </w:style>
  <w:style w:type="character" w:styleId="998">
    <w:name w:val="Hyperlink"/>
    <w:uiPriority w:val="99"/>
    <w:pPr>
      <w:pBdr/>
      <w:spacing/>
      <w:ind/>
    </w:pPr>
    <w:rPr>
      <w:color w:val="000000"/>
      <w:u w:val="single"/>
    </w:rPr>
  </w:style>
  <w:style w:type="character" w:styleId="999">
    <w:name w:val="Strong"/>
    <w:uiPriority w:val="22"/>
    <w:qFormat/>
    <w:pPr>
      <w:pBdr/>
      <w:spacing/>
      <w:ind/>
    </w:pPr>
    <w:rPr>
      <w:b/>
      <w:bCs/>
    </w:rPr>
  </w:style>
  <w:style w:type="paragraph" w:styleId="1000">
    <w:name w:val="Balloon Text"/>
    <w:basedOn w:val="986"/>
    <w:link w:val="1001"/>
    <w:uiPriority w:val="99"/>
    <w:semiHidden/>
    <w:unhideWhenUsed/>
    <w:pPr>
      <w:pBdr/>
      <w:spacing/>
      <w:ind/>
    </w:pPr>
    <w:rPr>
      <w:rFonts w:ascii="Tahoma" w:hAnsi="Tahoma" w:cs="Tahoma"/>
      <w:sz w:val="16"/>
      <w:szCs w:val="16"/>
    </w:rPr>
  </w:style>
  <w:style w:type="character" w:styleId="1001" w:customStyle="1">
    <w:name w:val="Balloon Text Char"/>
    <w:basedOn w:val="991"/>
    <w:link w:val="1000"/>
    <w:uiPriority w:val="99"/>
    <w:semiHidden/>
    <w:pPr>
      <w:pBdr/>
      <w:spacing/>
      <w:ind/>
    </w:pPr>
    <w:rPr>
      <w:rFonts w:ascii="Tahoma" w:hAnsi="Tahoma" w:eastAsia="Times New Roman" w:cs="Tahoma"/>
      <w:sz w:val="16"/>
      <w:szCs w:val="16"/>
    </w:rPr>
  </w:style>
  <w:style w:type="paragraph" w:styleId="1002">
    <w:name w:val="Header"/>
    <w:basedOn w:val="986"/>
    <w:link w:val="1003"/>
    <w:unhideWhenUsed/>
    <w:pPr>
      <w:pBdr/>
      <w:tabs>
        <w:tab w:val="center" w:leader="none" w:pos="4680"/>
        <w:tab w:val="right" w:leader="none" w:pos="9360"/>
      </w:tabs>
      <w:spacing/>
      <w:ind/>
    </w:pPr>
  </w:style>
  <w:style w:type="character" w:styleId="1003" w:customStyle="1">
    <w:name w:val="Header Char"/>
    <w:basedOn w:val="991"/>
    <w:link w:val="1002"/>
    <w:pPr>
      <w:pBdr/>
      <w:spacing/>
      <w:ind/>
    </w:pPr>
    <w:rPr>
      <w:rFonts w:ascii="Times New Roman" w:hAnsi="Times New Roman" w:eastAsia="Times New Roman" w:cs="Times New Roman"/>
      <w:sz w:val="24"/>
      <w:szCs w:val="24"/>
    </w:rPr>
  </w:style>
  <w:style w:type="paragraph" w:styleId="1004">
    <w:name w:val="Footer"/>
    <w:basedOn w:val="986"/>
    <w:link w:val="1005"/>
    <w:uiPriority w:val="99"/>
    <w:unhideWhenUsed/>
    <w:pPr>
      <w:pBdr/>
      <w:tabs>
        <w:tab w:val="center" w:leader="none" w:pos="4680"/>
        <w:tab w:val="right" w:leader="none" w:pos="9360"/>
      </w:tabs>
      <w:spacing/>
      <w:ind/>
    </w:pPr>
  </w:style>
  <w:style w:type="character" w:styleId="1005" w:customStyle="1">
    <w:name w:val="Footer Char"/>
    <w:basedOn w:val="991"/>
    <w:link w:val="1004"/>
    <w:uiPriority w:val="99"/>
    <w:pPr>
      <w:pBdr/>
      <w:spacing/>
      <w:ind/>
    </w:pPr>
    <w:rPr>
      <w:rFonts w:ascii="Times New Roman" w:hAnsi="Times New Roman" w:eastAsia="Times New Roman" w:cs="Times New Roman"/>
      <w:sz w:val="24"/>
      <w:szCs w:val="24"/>
    </w:rPr>
  </w:style>
  <w:style w:type="character" w:styleId="1006" w:customStyle="1">
    <w:name w:val="normal-h1"/>
    <w:pPr>
      <w:pBdr/>
      <w:spacing/>
      <w:ind/>
    </w:pPr>
    <w:rPr>
      <w:rFonts w:hint="default" w:ascii=".VnTime" w:hAnsi=".VnTime"/>
      <w:color w:val="0000ff"/>
      <w:sz w:val="24"/>
      <w:szCs w:val="24"/>
    </w:rPr>
  </w:style>
  <w:style w:type="paragraph" w:styleId="1007" w:customStyle="1">
    <w:name w:val="normal-p"/>
    <w:basedOn w:val="986"/>
    <w:pPr>
      <w:pBdr/>
      <w:spacing/>
      <w:ind/>
      <w:jc w:val="both"/>
    </w:pPr>
    <w:rPr>
      <w:sz w:val="20"/>
      <w:szCs w:val="20"/>
    </w:rPr>
  </w:style>
  <w:style w:type="paragraph" w:styleId="1008">
    <w:name w:val="List Paragraph"/>
    <w:basedOn w:val="986"/>
    <w:link w:val="1095"/>
    <w:uiPriority w:val="34"/>
    <w:qFormat/>
    <w:pPr>
      <w:pBdr/>
      <w:spacing/>
      <w:ind w:left="720"/>
    </w:pPr>
  </w:style>
  <w:style w:type="paragraph" w:styleId="1009">
    <w:name w:val="Normal (Web)"/>
    <w:basedOn w:val="986"/>
    <w:uiPriority w:val="99"/>
    <w:pPr>
      <w:pBdr/>
      <w:spacing w:after="100" w:afterAutospacing="1" w:before="100" w:beforeAutospacing="1"/>
      <w:ind/>
    </w:pPr>
  </w:style>
  <w:style w:type="paragraph" w:styleId="1010">
    <w:name w:val="Body Text"/>
    <w:basedOn w:val="986"/>
    <w:link w:val="1011"/>
    <w:pPr>
      <w:pBdr/>
      <w:spacing w:after="120"/>
      <w:ind/>
      <w:jc w:val="both"/>
    </w:pPr>
  </w:style>
  <w:style w:type="character" w:styleId="1011" w:customStyle="1">
    <w:name w:val="Body Text Char"/>
    <w:basedOn w:val="991"/>
    <w:link w:val="1010"/>
    <w:pPr>
      <w:pBdr/>
      <w:spacing/>
      <w:ind/>
    </w:pPr>
    <w:rPr>
      <w:rFonts w:ascii="Times New Roman" w:hAnsi="Times New Roman" w:eastAsia="Times New Roman" w:cs="Times New Roman"/>
      <w:sz w:val="24"/>
      <w:szCs w:val="24"/>
    </w:rPr>
  </w:style>
  <w:style w:type="table" w:styleId="1012">
    <w:name w:val="Table Grid"/>
    <w:basedOn w:val="99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1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14">
    <w:name w:val="annotation reference"/>
    <w:basedOn w:val="991"/>
    <w:uiPriority w:val="99"/>
    <w:semiHidden/>
    <w:unhideWhenUsed/>
    <w:pPr>
      <w:pBdr/>
      <w:spacing/>
      <w:ind/>
    </w:pPr>
    <w:rPr>
      <w:sz w:val="16"/>
      <w:szCs w:val="16"/>
    </w:rPr>
  </w:style>
  <w:style w:type="paragraph" w:styleId="1015">
    <w:name w:val="annotation text"/>
    <w:basedOn w:val="986"/>
    <w:link w:val="1016"/>
    <w:uiPriority w:val="99"/>
    <w:unhideWhenUsed/>
    <w:pPr>
      <w:pBdr/>
      <w:spacing/>
      <w:ind/>
    </w:pPr>
    <w:rPr>
      <w:sz w:val="20"/>
      <w:szCs w:val="20"/>
    </w:rPr>
  </w:style>
  <w:style w:type="character" w:styleId="1016" w:customStyle="1">
    <w:name w:val="Comment Text Char"/>
    <w:basedOn w:val="991"/>
    <w:link w:val="1015"/>
    <w:uiPriority w:val="99"/>
    <w:pPr>
      <w:pBdr/>
      <w:spacing/>
      <w:ind/>
    </w:pPr>
    <w:rPr>
      <w:rFonts w:ascii="Times New Roman" w:hAnsi="Times New Roman" w:eastAsia="Times New Roman" w:cs="Times New Roman"/>
      <w:sz w:val="20"/>
      <w:szCs w:val="20"/>
    </w:rPr>
  </w:style>
  <w:style w:type="paragraph" w:styleId="1017">
    <w:name w:val="annotation subject"/>
    <w:basedOn w:val="1015"/>
    <w:next w:val="1015"/>
    <w:link w:val="1018"/>
    <w:uiPriority w:val="99"/>
    <w:semiHidden/>
    <w:unhideWhenUsed/>
    <w:pPr>
      <w:pBdr/>
      <w:spacing/>
      <w:ind/>
    </w:pPr>
    <w:rPr>
      <w:b/>
      <w:bCs/>
    </w:rPr>
  </w:style>
  <w:style w:type="character" w:styleId="1018" w:customStyle="1">
    <w:name w:val="Comment Subject Char"/>
    <w:basedOn w:val="1016"/>
    <w:link w:val="1017"/>
    <w:uiPriority w:val="99"/>
    <w:semiHidden/>
    <w:pPr>
      <w:pBdr/>
      <w:spacing/>
      <w:ind/>
    </w:pPr>
    <w:rPr>
      <w:rFonts w:ascii="Times New Roman" w:hAnsi="Times New Roman" w:eastAsia="Times New Roman" w:cs="Times New Roman"/>
      <w:b/>
      <w:bCs/>
      <w:sz w:val="20"/>
      <w:szCs w:val="20"/>
    </w:rPr>
  </w:style>
  <w:style w:type="paragraph" w:styleId="1019" w:customStyle="1">
    <w:name w:val="font5"/>
    <w:basedOn w:val="986"/>
    <w:pPr>
      <w:pBdr/>
      <w:spacing w:after="100" w:afterAutospacing="1" w:before="100" w:beforeAutospacing="1"/>
      <w:ind/>
    </w:pPr>
    <w:rPr>
      <w:rFonts w:ascii="Tahoma" w:hAnsi="Tahoma" w:cs="Tahoma"/>
      <w:color w:val="000000"/>
      <w:sz w:val="18"/>
      <w:szCs w:val="18"/>
    </w:rPr>
  </w:style>
  <w:style w:type="paragraph" w:styleId="1020" w:customStyle="1">
    <w:name w:val="font6"/>
    <w:basedOn w:val="986"/>
    <w:pPr>
      <w:pBdr/>
      <w:spacing w:after="100" w:afterAutospacing="1" w:before="100" w:beforeAutospacing="1"/>
      <w:ind/>
    </w:pPr>
    <w:rPr>
      <w:rFonts w:ascii="Tahoma" w:hAnsi="Tahoma" w:cs="Tahoma"/>
      <w:b/>
      <w:bCs/>
      <w:color w:val="000000"/>
      <w:sz w:val="18"/>
      <w:szCs w:val="18"/>
    </w:rPr>
  </w:style>
  <w:style w:type="paragraph" w:styleId="1021" w:customStyle="1">
    <w:name w:val="xl233"/>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2" w:customStyle="1">
    <w:name w:val="xl234"/>
    <w:basedOn w:val="986"/>
    <w:pPr>
      <w:pBdr/>
      <w:spacing w:after="100" w:afterAutospacing="1" w:before="100" w:beforeAutospacing="1"/>
      <w:ind/>
      <w:jc w:val="center"/>
    </w:pPr>
  </w:style>
  <w:style w:type="paragraph" w:styleId="1023" w:customStyle="1">
    <w:name w:val="xl235"/>
    <w:basedOn w:val="986"/>
    <w:pPr>
      <w:pBdr/>
      <w:spacing w:after="100" w:afterAutospacing="1" w:before="100" w:beforeAutospacing="1"/>
      <w:ind/>
      <w:jc w:val="center"/>
    </w:pPr>
    <w:rPr>
      <w:b/>
      <w:bCs/>
    </w:rPr>
  </w:style>
  <w:style w:type="paragraph" w:styleId="1024" w:customStyle="1">
    <w:name w:val="xl236"/>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5" w:customStyle="1">
    <w:name w:val="xl237"/>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6" w:customStyle="1">
    <w:name w:val="xl238"/>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27" w:customStyle="1">
    <w:name w:val="xl239"/>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8" w:customStyle="1">
    <w:name w:val="xl240"/>
    <w:basedOn w:val="986"/>
    <w:pPr>
      <w:pBdr/>
      <w:spacing w:after="100" w:afterAutospacing="1" w:before="100" w:beforeAutospacing="1"/>
      <w:ind/>
    </w:pPr>
  </w:style>
  <w:style w:type="paragraph" w:styleId="1029" w:customStyle="1">
    <w:name w:val="xl241"/>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0" w:customStyle="1">
    <w:name w:val="xl242"/>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1" w:customStyle="1">
    <w:name w:val="xl243"/>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2" w:customStyle="1">
    <w:name w:val="xl244"/>
    <w:basedOn w:val="986"/>
    <w:pPr>
      <w:pBdr/>
      <w:spacing w:after="100" w:afterAutospacing="1" w:before="100" w:beforeAutospacing="1"/>
      <w:ind/>
    </w:pPr>
    <w:rPr>
      <w:b/>
      <w:bCs/>
    </w:rPr>
  </w:style>
  <w:style w:type="paragraph" w:styleId="1033" w:customStyle="1">
    <w:name w:val="xl245"/>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4" w:customStyle="1">
    <w:name w:val="xl246"/>
    <w:basedOn w:val="98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35" w:customStyle="1">
    <w:name w:val="xl247"/>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6" w:customStyle="1">
    <w:name w:val="xl248"/>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7" w:customStyle="1">
    <w:name w:val="xl249"/>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50"/>
    <w:basedOn w:val="98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9" w:customStyle="1">
    <w:name w:val="xl251"/>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0" w:customStyle="1">
    <w:name w:val="xl252"/>
    <w:basedOn w:val="98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1" w:customStyle="1">
    <w:name w:val="xl253"/>
    <w:basedOn w:val="98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2" w:customStyle="1">
    <w:name w:val="xl254"/>
    <w:basedOn w:val="98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3" w:customStyle="1">
    <w:name w:val="xl255"/>
    <w:basedOn w:val="98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4" w:customStyle="1">
    <w:name w:val="xl256"/>
    <w:basedOn w:val="98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5" w:customStyle="1">
    <w:name w:val="xl257"/>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6" w:customStyle="1">
    <w:name w:val="xl258"/>
    <w:basedOn w:val="98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7" w:customStyle="1">
    <w:name w:val="xl259"/>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8" w:customStyle="1">
    <w:name w:val="xl260"/>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9" w:customStyle="1">
    <w:name w:val="xl261"/>
    <w:basedOn w:val="98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62"/>
    <w:basedOn w:val="98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63"/>
    <w:basedOn w:val="986"/>
    <w:pPr>
      <w:pBdr/>
      <w:shd w:val="clear" w:color="000000" w:fill="ffffff"/>
      <w:spacing w:after="100" w:afterAutospacing="1" w:before="100" w:beforeAutospacing="1"/>
      <w:ind/>
    </w:pPr>
  </w:style>
  <w:style w:type="paragraph" w:styleId="1052" w:customStyle="1">
    <w:name w:val="xl264"/>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65"/>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66"/>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67"/>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68"/>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69"/>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70"/>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71"/>
    <w:basedOn w:val="98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60" w:customStyle="1">
    <w:name w:val="xl272"/>
    <w:basedOn w:val="98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73"/>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74"/>
    <w:basedOn w:val="98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75"/>
    <w:basedOn w:val="986"/>
    <w:pPr>
      <w:pBdr/>
      <w:spacing w:after="100" w:afterAutospacing="1" w:before="100" w:beforeAutospacing="1"/>
      <w:ind/>
    </w:pPr>
  </w:style>
  <w:style w:type="paragraph" w:styleId="1064" w:customStyle="1">
    <w:name w:val="xl276"/>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77"/>
    <w:basedOn w:val="98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78"/>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79"/>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8" w:customStyle="1">
    <w:name w:val="xl280"/>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81"/>
    <w:basedOn w:val="98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82"/>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83"/>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2" w:customStyle="1">
    <w:name w:val="xl284"/>
    <w:basedOn w:val="986"/>
    <w:pPr>
      <w:pBdr>
        <w:left w:val="single" w:color="000000" w:sz="4" w:space="0"/>
        <w:bottom w:val="single" w:color="000000" w:sz="4" w:space="0"/>
        <w:right w:val="single" w:color="000000" w:sz="4" w:space="0"/>
      </w:pBdr>
      <w:spacing w:after="100" w:afterAutospacing="1" w:before="100" w:beforeAutospacing="1"/>
      <w:ind/>
    </w:pPr>
  </w:style>
  <w:style w:type="paragraph" w:styleId="1073" w:customStyle="1">
    <w:name w:val="xl285"/>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86"/>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87"/>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6" w:customStyle="1">
    <w:name w:val="xl288"/>
    <w:basedOn w:val="986"/>
    <w:pPr>
      <w:pBdr>
        <w:top w:val="single" w:color="000000" w:sz="4" w:space="0"/>
        <w:left w:val="single" w:color="000000" w:sz="4" w:space="0"/>
        <w:right w:val="single" w:color="000000" w:sz="4" w:space="0"/>
      </w:pBdr>
      <w:spacing w:after="100" w:afterAutospacing="1" w:before="100" w:beforeAutospacing="1"/>
      <w:ind/>
    </w:pPr>
  </w:style>
  <w:style w:type="paragraph" w:styleId="1077" w:customStyle="1">
    <w:name w:val="xl289"/>
    <w:basedOn w:val="986"/>
    <w:pPr>
      <w:pBdr>
        <w:left w:val="single" w:color="000000" w:sz="4" w:space="0"/>
        <w:right w:val="single" w:color="000000" w:sz="4" w:space="0"/>
      </w:pBdr>
      <w:spacing w:after="100" w:afterAutospacing="1" w:before="100" w:beforeAutospacing="1"/>
      <w:ind/>
    </w:pPr>
    <w:rPr>
      <w:b/>
      <w:bCs/>
    </w:rPr>
  </w:style>
  <w:style w:type="paragraph" w:styleId="1078" w:customStyle="1">
    <w:name w:val="xl290"/>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91"/>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92"/>
    <w:basedOn w:val="986"/>
    <w:pPr>
      <w:pBdr>
        <w:top w:val="single" w:color="000000" w:sz="4" w:space="0"/>
        <w:left w:val="single" w:color="000000" w:sz="4" w:space="0"/>
        <w:right w:val="single" w:color="000000" w:sz="4" w:space="0"/>
      </w:pBdr>
      <w:spacing w:after="100" w:afterAutospacing="1" w:before="100" w:beforeAutospacing="1"/>
      <w:ind/>
    </w:pPr>
  </w:style>
  <w:style w:type="paragraph" w:styleId="1081" w:customStyle="1">
    <w:name w:val="xl293"/>
    <w:basedOn w:val="986"/>
    <w:pPr>
      <w:pBdr>
        <w:left w:val="single" w:color="000000" w:sz="4" w:space="0"/>
        <w:bottom w:val="single" w:color="000000" w:sz="4" w:space="0"/>
        <w:right w:val="single" w:color="000000" w:sz="4" w:space="0"/>
      </w:pBdr>
      <w:spacing w:after="100" w:afterAutospacing="1" w:before="100" w:beforeAutospacing="1"/>
      <w:ind/>
    </w:pPr>
  </w:style>
  <w:style w:type="paragraph" w:styleId="1082" w:customStyle="1">
    <w:name w:val="xl294"/>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name w:val="Title"/>
    <w:basedOn w:val="986"/>
    <w:link w:val="1084"/>
    <w:qFormat/>
    <w:pPr>
      <w:pBdr/>
      <w:spacing/>
      <w:ind/>
      <w:jc w:val="center"/>
    </w:pPr>
    <w:rPr>
      <w:b/>
      <w:bCs/>
      <w:sz w:val="32"/>
      <w:szCs w:val="26"/>
    </w:rPr>
  </w:style>
  <w:style w:type="character" w:styleId="1084" w:customStyle="1">
    <w:name w:val="Title Char"/>
    <w:basedOn w:val="991"/>
    <w:link w:val="1083"/>
    <w:pPr>
      <w:pBdr/>
      <w:spacing/>
      <w:ind/>
    </w:pPr>
    <w:rPr>
      <w:rFonts w:ascii="Times New Roman" w:hAnsi="Times New Roman" w:eastAsia="Times New Roman" w:cs="Times New Roman"/>
      <w:b/>
      <w:bCs/>
      <w:sz w:val="32"/>
      <w:szCs w:val="26"/>
    </w:rPr>
  </w:style>
  <w:style w:type="character" w:styleId="1085" w:customStyle="1">
    <w:name w:val="Unresolved Mention1"/>
    <w:basedOn w:val="991"/>
    <w:uiPriority w:val="99"/>
    <w:semiHidden/>
    <w:unhideWhenUsed/>
    <w:pPr>
      <w:pBdr/>
      <w:spacing/>
      <w:ind/>
    </w:pPr>
    <w:rPr>
      <w:color w:val="605e5c"/>
      <w:shd w:val="clear" w:color="auto" w:fill="e1dfdd"/>
    </w:rPr>
  </w:style>
  <w:style w:type="character" w:styleId="1086" w:customStyle="1">
    <w:name w:val="Body text (3)_"/>
    <w:link w:val="1087"/>
    <w:pPr>
      <w:pBdr/>
      <w:spacing/>
      <w:ind/>
    </w:pPr>
    <w:rPr>
      <w:rFonts w:ascii="Times New Roman" w:hAnsi="Times New Roman" w:cs="Times New Roman"/>
      <w:i/>
      <w:iCs/>
      <w:spacing w:val="4"/>
      <w:shd w:val="clear" w:color="auto" w:fill="ffffff"/>
    </w:rPr>
  </w:style>
  <w:style w:type="paragraph" w:styleId="1087" w:customStyle="1">
    <w:name w:val="Body text (3)1"/>
    <w:basedOn w:val="986"/>
    <w:link w:val="108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88" w:customStyle="1">
    <w:name w:val="t-j"/>
    <w:basedOn w:val="986"/>
    <w:pPr>
      <w:pBdr/>
      <w:spacing w:after="100" w:afterAutospacing="1" w:before="100" w:beforeAutospacing="1"/>
      <w:ind/>
    </w:pPr>
  </w:style>
  <w:style w:type="character" w:styleId="1089" w:customStyle="1">
    <w:name w:val="Unresolved Mention2"/>
    <w:basedOn w:val="991"/>
    <w:uiPriority w:val="99"/>
    <w:semiHidden/>
    <w:unhideWhenUsed/>
    <w:pPr>
      <w:pBdr/>
      <w:spacing/>
      <w:ind/>
    </w:pPr>
    <w:rPr>
      <w:color w:val="605e5c"/>
      <w:shd w:val="clear" w:color="auto" w:fill="e1dfdd"/>
    </w:rPr>
  </w:style>
  <w:style w:type="character" w:styleId="1090">
    <w:name w:val="FollowedHyperlink"/>
    <w:basedOn w:val="991"/>
    <w:uiPriority w:val="99"/>
    <w:semiHidden/>
    <w:unhideWhenUsed/>
    <w:pPr>
      <w:pBdr/>
      <w:spacing/>
      <w:ind/>
    </w:pPr>
    <w:rPr>
      <w:color w:val="800080" w:themeColor="followedHyperlink"/>
      <w:u w:val="single"/>
    </w:rPr>
  </w:style>
  <w:style w:type="character" w:styleId="1091" w:customStyle="1">
    <w:name w:val="text"/>
    <w:basedOn w:val="991"/>
    <w:pPr>
      <w:pBdr/>
      <w:spacing/>
      <w:ind/>
    </w:pPr>
  </w:style>
  <w:style w:type="character" w:styleId="1092" w:customStyle="1">
    <w:name w:val="card-send-time__sendtime"/>
    <w:basedOn w:val="991"/>
    <w:pPr>
      <w:pBdr/>
      <w:spacing/>
      <w:ind/>
    </w:pPr>
  </w:style>
  <w:style w:type="character" w:styleId="1093" w:customStyle="1">
    <w:name w:val="Đề cập Chưa giải quyết1"/>
    <w:basedOn w:val="991"/>
    <w:uiPriority w:val="99"/>
    <w:semiHidden/>
    <w:unhideWhenUsed/>
    <w:pPr>
      <w:pBdr/>
      <w:spacing/>
      <w:ind/>
    </w:pPr>
    <w:rPr>
      <w:color w:val="605e5c"/>
      <w:shd w:val="clear" w:color="auto" w:fill="e1dfdd"/>
    </w:rPr>
  </w:style>
  <w:style w:type="paragraph" w:styleId="1094" w:customStyle="1">
    <w:name w:val="nqtitle"/>
    <w:basedOn w:val="986"/>
    <w:pPr>
      <w:pBdr/>
      <w:spacing w:after="100" w:afterAutospacing="1" w:before="100" w:beforeAutospacing="1"/>
      <w:ind/>
    </w:pPr>
    <w:rPr>
      <w:lang w:val="vi-VN" w:eastAsia="vi-VN"/>
    </w:rPr>
  </w:style>
  <w:style w:type="character" w:styleId="1095" w:customStyle="1">
    <w:name w:val="List Paragraph Char"/>
    <w:link w:val="1008"/>
    <w:uiPriority w:val="34"/>
    <w:qFormat/>
    <w:pPr>
      <w:pBdr/>
      <w:spacing/>
      <w:ind/>
    </w:pPr>
    <w:rPr>
      <w:rFonts w:ascii="Times New Roman" w:hAnsi="Times New Roman" w:eastAsia="Times New Roman" w:cs="Times New Roman"/>
      <w:sz w:val="24"/>
      <w:szCs w:val="24"/>
    </w:rPr>
  </w:style>
  <w:style w:type="character" w:styleId="1096" w:customStyle="1">
    <w:name w:val="Đề cập Chưa giải quyết2"/>
    <w:basedOn w:val="991"/>
    <w:uiPriority w:val="99"/>
    <w:semiHidden/>
    <w:unhideWhenUsed/>
    <w:pPr>
      <w:pBdr/>
      <w:spacing/>
      <w:ind/>
    </w:pPr>
    <w:rPr>
      <w:color w:val="605e5c"/>
      <w:shd w:val="clear" w:color="auto" w:fill="e1dfdd"/>
    </w:rPr>
  </w:style>
  <w:style w:type="character" w:styleId="1097" w:customStyle="1">
    <w:name w:val="Unresolved Mention3"/>
    <w:basedOn w:val="991"/>
    <w:uiPriority w:val="99"/>
    <w:semiHidden/>
    <w:unhideWhenUsed/>
    <w:pPr>
      <w:pBdr/>
      <w:spacing/>
      <w:ind/>
    </w:pPr>
    <w:rPr>
      <w:color w:val="605e5c"/>
      <w:shd w:val="clear" w:color="auto" w:fill="e1dfdd"/>
    </w:rPr>
  </w:style>
  <w:style w:type="character" w:styleId="1098" w:customStyle="1">
    <w:name w:val="copy"/>
    <w:basedOn w:val="991"/>
    <w:pPr>
      <w:pBdr/>
      <w:spacing/>
      <w:ind/>
    </w:pPr>
  </w:style>
  <w:style w:type="paragraph" w:styleId="1099" w:customStyle="1">
    <w:name w:val="align-justify"/>
    <w:basedOn w:val="986"/>
    <w:pPr>
      <w:pBdr/>
      <w:spacing w:after="100" w:afterAutospacing="1" w:before="100" w:beforeAutospacing="1"/>
      <w:ind/>
    </w:pPr>
  </w:style>
  <w:style w:type="character" w:styleId="1100" w:customStyle="1">
    <w:name w:val="btn"/>
    <w:basedOn w:val="991"/>
    <w:pPr>
      <w:pBdr/>
      <w:spacing/>
      <w:ind/>
    </w:pPr>
  </w:style>
  <w:style w:type="character" w:styleId="1101" w:customStyle="1">
    <w:name w:val="hide_mobile"/>
    <w:basedOn w:val="991"/>
    <w:pPr>
      <w:pBdr/>
      <w:spacing/>
      <w:ind/>
    </w:pPr>
  </w:style>
  <w:style w:type="character" w:styleId="1102">
    <w:name w:val="Emphasis"/>
    <w:basedOn w:val="991"/>
    <w:uiPriority w:val="20"/>
    <w:qFormat/>
    <w:pPr>
      <w:pBdr/>
      <w:spacing/>
      <w:ind/>
    </w:pPr>
    <w:rPr>
      <w:i/>
      <w:iCs/>
    </w:rPr>
  </w:style>
  <w:style w:type="character" w:styleId="1103" w:customStyle="1">
    <w:name w:val="t1"/>
    <w:basedOn w:val="991"/>
    <w:pPr>
      <w:pBdr/>
      <w:spacing/>
      <w:ind/>
    </w:pPr>
  </w:style>
  <w:style w:type="character" w:styleId="1104" w:customStyle="1">
    <w:name w:val="Unresolved Mention4"/>
    <w:basedOn w:val="991"/>
    <w:uiPriority w:val="99"/>
    <w:semiHidden/>
    <w:unhideWhenUsed/>
    <w:pPr>
      <w:pBdr/>
      <w:spacing/>
      <w:ind/>
    </w:pPr>
    <w:rPr>
      <w:color w:val="605e5c"/>
      <w:shd w:val="clear" w:color="auto" w:fill="e1dfdd"/>
    </w:rPr>
  </w:style>
  <w:style w:type="character" w:styleId="1105" w:customStyle="1">
    <w:name w:val="Unresolved Mention5"/>
    <w:basedOn w:val="99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mailto:ilotus.contact@gmail.com" TargetMode="External"/><Relationship Id="rId14" Type="http://schemas.openxmlformats.org/officeDocument/2006/relationships/hyperlink" Target="mailto:ilotus.contact@gmail.com" TargetMode="External"/><Relationship Id="rId15" Type="http://schemas.openxmlformats.org/officeDocument/2006/relationships/hyperlink" Target="https://summerland.com.vn/tong-quan-tiem-nang-du-an-bat-dong-san-thanh-pho-hai-phong" TargetMode="Externa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hyperlink" Target="https://alonhadat.com.vn/chinh-chu-gui-ban-340m-dat-03-trang-due-le-loi-an-duong-17240629.html" TargetMode="External"/><Relationship Id="rId22" Type="http://schemas.openxmlformats.org/officeDocument/2006/relationships/hyperlink" Target="https://alonhadat.com.vn/chinh-chu-gui-ban-340m-dat-03-trang-due-le-loi-an-duong-17240629.html" TargetMode="External"/><Relationship Id="rId23" Type="http://schemas.openxmlformats.org/officeDocument/2006/relationships/hyperlink" Target="https://alonhadat.com.vn/chinh-chu-gui-ban-340m-dat-03-trang-due-le-loi-an-duong-17240629.html" TargetMode="External"/><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jpg"/><Relationship Id="rId28" Type="http://schemas.openxmlformats.org/officeDocument/2006/relationships/image" Target="media/image11.jpg"/><Relationship Id="rId29" Type="http://schemas.openxmlformats.org/officeDocument/2006/relationships/image" Target="media/image12.jpg"/><Relationship Id="rId30" Type="http://schemas.openxmlformats.org/officeDocument/2006/relationships/image" Target="media/image13.jpg"/><Relationship Id="rId31" Type="http://schemas.openxmlformats.org/officeDocument/2006/relationships/image" Target="media/image14.jpg"/><Relationship Id="rId32" Type="http://schemas.openxmlformats.org/officeDocument/2006/relationships/image" Target="media/image15.jpg"/><Relationship Id="rId33" Type="http://schemas.openxmlformats.org/officeDocument/2006/relationships/image" Target="media/image16.jpg"/><Relationship Id="rId34" Type="http://schemas.openxmlformats.org/officeDocument/2006/relationships/image" Target="media/image17.jpg"/><Relationship Id="rId35" Type="http://schemas.openxmlformats.org/officeDocument/2006/relationships/image" Target="media/image18.jpg"/><Relationship Id="rId36" Type="http://schemas.openxmlformats.org/officeDocument/2006/relationships/image" Target="media/image19.jpg"/><Relationship Id="rId37" Type="http://schemas.openxmlformats.org/officeDocument/2006/relationships/image" Target="media/image20.jpg"/><Relationship Id="rId38" Type="http://schemas.openxmlformats.org/officeDocument/2006/relationships/image" Target="media/image21.jpg"/><Relationship Id="rId39" Type="http://schemas.openxmlformats.org/officeDocument/2006/relationships/image" Target="media/image22.jpg"/><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Phạm Thị Dung</cp:lastModifiedBy>
  <cp:revision>143</cp:revision>
  <dcterms:created xsi:type="dcterms:W3CDTF">2025-10-09T05:06:00Z</dcterms:created>
  <dcterms:modified xsi:type="dcterms:W3CDTF">2026-04-29T07:55:46Z</dcterms:modified>
</cp:coreProperties>
</file>