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78785</wp:posOffset>
                </wp:positionH>
                <wp:positionV relativeFrom="paragraph">
                  <wp:posOffset>200499</wp:posOffset>
                </wp:positionV>
                <wp:extent cx="5718810" cy="5439100"/>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718809" cy="5439100"/>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b/>
                                <w:color w:val="17365d"/>
                                <w:sz w:val="30"/>
                              </w:rPr>
                              <w:t xml:space="preserve">CHỨNG THƯ, BÁO CÁO THẨM ĐỊNH GIÁ</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pPr>
                            <w:r>
                              <w:rPr>
                                <w:rFonts w:ascii="Times New Roman" w:hAnsi="Times New Roman" w:eastAsia="Times New Roman" w:cs="Times New Roman"/>
                                <w:b/>
                                <w:color w:val="000000"/>
                                <w:sz w:val="24"/>
                              </w:rPr>
                              <w:t xml:space="preserve">Số: 275/2026/0514/VFI-CT.63.A</w:t>
                            </w:r>
                            <w:r/>
                          </w:p>
                          <w:p>
                            <w:pPr>
                              <w:pBdr>
                                <w:top w:val="none" w:color="000000" w:sz="4" w:space="0"/>
                                <w:left w:val="none" w:color="000000" w:sz="4" w:space="0"/>
                                <w:bottom w:val="none" w:color="000000" w:sz="4" w:space="0"/>
                                <w:right w:val="none" w:color="000000" w:sz="4" w:space="0"/>
                              </w:pBdr>
                              <w:tabs>
                                <w:tab w:val="left" w:leader="none" w:pos="3002"/>
                              </w:tabs>
                              <w:spacing w:after="120" w:before="120" w:line="276" w:lineRule="auto"/>
                              <w:ind w:right="0" w:firstLine="0" w:left="0"/>
                              <w:jc w:val="center"/>
                              <w:rPr/>
                            </w:pPr>
                            <w:r>
                              <w:rPr>
                                <w:rFonts w:ascii="Times New Roman" w:hAnsi="Times New Roman" w:eastAsia="Times New Roman" w:cs="Times New Roman"/>
                                <w:b/>
                                <w:color w:val="000000"/>
                                <w:sz w:val="24"/>
                              </w:rPr>
                              <w:t xml:space="preserve">Khách hàng yêu cầu: Bà Đỗ Thị Minh Tâm</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center"/>
                              <w:rPr/>
                            </w:pPr>
                            <w:r>
                              <w:rPr>
                                <w:rFonts w:ascii="Times New Roman" w:hAnsi="Times New Roman" w:eastAsia="Times New Roman" w:cs="Times New Roman"/>
                                <w:b/>
                                <w:color w:val="000000"/>
                                <w:sz w:val="24"/>
                              </w:rPr>
                              <w:t xml:space="preserve">Tài sản thẩm định:</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Tài sản 1</w:t>
                            </w:r>
                            <w:r>
                              <w:rPr>
                                <w:rFonts w:ascii="Times New Roman" w:hAnsi="Times New Roman" w:eastAsia="Times New Roman" w:cs="Times New Roman"/>
                                <w:color w:val="000000"/>
                                <w:sz w:val="24"/>
                              </w:rPr>
                              <w:t xml:space="preserve">: Quyền sử dụng đất tại thửa đất số: 67, tờ bản đồ số: 15, có địa chỉ: Khu 6, xã Sơn Cương, huyện Thanh Ba, tỉnh Phú Thọ (nay là xã Chí Tiên, tỉnh Phú Thọ) theo Giấy chứng nhận quyền sử dụng đất, quyền sở hữu nhà ở và tài sản khác gắn liền với đất số: CB82</w:t>
                            </w:r>
                            <w:r>
                              <w:rPr>
                                <w:rFonts w:ascii="Times New Roman" w:hAnsi="Times New Roman" w:eastAsia="Times New Roman" w:cs="Times New Roman"/>
                                <w:color w:val="000000"/>
                                <w:sz w:val="24"/>
                              </w:rPr>
                              <w:t xml:space="preserve">5064, Số vào sổ cấp GCN: CH 000833 do UBND Huyện Thanh Ba cấp ngày 22/12/2015; chủ sử dụng đất là Ông Đỗ Hữu Nam.</w:t>
                            </w:r>
                            <w:r>
                              <w:br/>
                            </w:r>
                            <w:r>
                              <w:rPr>
                                <w:rFonts w:ascii="Times New Roman" w:hAnsi="Times New Roman" w:eastAsia="Times New Roman" w:cs="Times New Roman"/>
                                <w:b/>
                                <w:color w:val="000000"/>
                                <w:sz w:val="24"/>
                              </w:rPr>
                              <w:t xml:space="preserve">Tài sản 2</w:t>
                            </w:r>
                            <w:r>
                              <w:rPr>
                                <w:rFonts w:ascii="Times New Roman" w:hAnsi="Times New Roman" w:eastAsia="Times New Roman" w:cs="Times New Roman"/>
                                <w:color w:val="000000"/>
                                <w:sz w:val="24"/>
                              </w:rPr>
                              <w:t xml:space="preserve">: Quyền sử dụng đất tại thửa đất số: 497, tờ bản đồ số: 22, có địa chỉ: Khu 6, xã Sơn Cương, huyện Thanh Ba, tỉnh Phú Thọ (nay là xã Chí Tiên, tỉnh Phú Thọ) theo Giấy chứng nhận quyền sử dụng đất, quyền sở hữu nhà ở và tài sản khác gắn liền với đất số: CT </w:t>
                            </w:r>
                            <w:r>
                              <w:rPr>
                                <w:rFonts w:ascii="Times New Roman" w:hAnsi="Times New Roman" w:eastAsia="Times New Roman" w:cs="Times New Roman"/>
                                <w:color w:val="000000"/>
                                <w:sz w:val="24"/>
                              </w:rPr>
                              <w:t xml:space="preserve">967298, Số vào sổ cấp GCN: Ch 001233 do UBND Huyện Thanh Ba cấp ngày 30/12/2019; chủ sử dụng đất là Ông Đỗ Hữu Nam và vợ Đỗ Thị Minh Tâm (cập nhật ngày 06/01/2025)</w:t>
                              <w:tab/>
                            </w:r>
                            <w:r>
                              <w:rPr>
                                <w:rFonts w:ascii="Times New Roman" w:hAnsi="Times New Roman" w:eastAsia="Times New Roman" w:cs="Times New Roman"/>
                                <w:sz w:val="24"/>
                              </w:rPr>
                            </w:r>
                            <w:r/>
                          </w:p>
                          <w:p>
                            <w:pPr>
                              <w:pBdr/>
                              <w:spacing w:after="120" w:before="120" w:line="360" w:lineRule="auto"/>
                              <w:ind/>
                              <w:jc w:val="center"/>
                              <w:rPr>
                                <w:bCs/>
                                <w:i/>
                                <w:iCs/>
                              </w:rPr>
                            </w:pPr>
                            <w:r>
                              <w:rPr>
                                <w:bCs/>
                                <w:i/>
                                <w:iCs/>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20pt;mso-position-horizontal:absolute;mso-position-vertical-relative:text;margin-top:15.79pt;mso-position-vertical:absolute;width:450.30pt;height:428.28pt;mso-wrap-distance-left:9.00pt;mso-wrap-distance-top:0.00pt;mso-wrap-distance-right:9.00pt;mso-wrap-distance-bottom:0.00pt;v-text-anchor:top;visibility:visible;" fillcolor="#FFFFFF" strokecolor="#16355B" strokeweight="2.50pt">
                <v:textbox inset="0,0,0,0">
                  <w:txbxContent>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b/>
                          <w:color w:val="17365d"/>
                          <w:sz w:val="30"/>
                        </w:rPr>
                        <w:t xml:space="preserve">CHỨNG THƯ, BÁO CÁO THẨM ĐỊNH GIÁ</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pPr>
                      <w:r>
                        <w:rPr>
                          <w:rFonts w:ascii="Times New Roman" w:hAnsi="Times New Roman" w:eastAsia="Times New Roman" w:cs="Times New Roman"/>
                          <w:b/>
                          <w:color w:val="000000"/>
                          <w:sz w:val="24"/>
                        </w:rPr>
                        <w:t xml:space="preserve">Số: 275/2026/0514/VFI-CT.63.A</w:t>
                      </w:r>
                      <w:r/>
                    </w:p>
                    <w:p>
                      <w:pPr>
                        <w:pBdr>
                          <w:top w:val="none" w:color="000000" w:sz="4" w:space="0"/>
                          <w:left w:val="none" w:color="000000" w:sz="4" w:space="0"/>
                          <w:bottom w:val="none" w:color="000000" w:sz="4" w:space="0"/>
                          <w:right w:val="none" w:color="000000" w:sz="4" w:space="0"/>
                        </w:pBdr>
                        <w:tabs>
                          <w:tab w:val="left" w:leader="none" w:pos="3002"/>
                        </w:tabs>
                        <w:spacing w:after="120" w:before="120" w:line="276" w:lineRule="auto"/>
                        <w:ind w:right="0" w:firstLine="0" w:left="0"/>
                        <w:jc w:val="center"/>
                        <w:rPr/>
                      </w:pPr>
                      <w:r>
                        <w:rPr>
                          <w:rFonts w:ascii="Times New Roman" w:hAnsi="Times New Roman" w:eastAsia="Times New Roman" w:cs="Times New Roman"/>
                          <w:b/>
                          <w:color w:val="000000"/>
                          <w:sz w:val="24"/>
                        </w:rPr>
                        <w:t xml:space="preserve">Khách hàng yêu cầu: Bà Đỗ Thị Minh Tâm</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center"/>
                        <w:rPr/>
                      </w:pPr>
                      <w:r>
                        <w:rPr>
                          <w:rFonts w:ascii="Times New Roman" w:hAnsi="Times New Roman" w:eastAsia="Times New Roman" w:cs="Times New Roman"/>
                          <w:b/>
                          <w:color w:val="000000"/>
                          <w:sz w:val="24"/>
                        </w:rPr>
                        <w:t xml:space="preserve">Tài sản thẩm định:</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Tài sản 1</w:t>
                      </w:r>
                      <w:r>
                        <w:rPr>
                          <w:rFonts w:ascii="Times New Roman" w:hAnsi="Times New Roman" w:eastAsia="Times New Roman" w:cs="Times New Roman"/>
                          <w:color w:val="000000"/>
                          <w:sz w:val="24"/>
                        </w:rPr>
                        <w:t xml:space="preserve">: Quyền sử dụng đất tại thửa đất số: 67, tờ bản đồ số: 15, có địa chỉ: Khu 6, xã Sơn Cương, huyện Thanh Ba, tỉnh Phú Thọ (nay là xã Chí Tiên, tỉnh Phú Thọ) theo Giấy chứng nhận quyền sử dụng đất, quyền sở hữu nhà ở và tài sản khác gắn liền với đất số: CB82</w:t>
                      </w:r>
                      <w:r>
                        <w:rPr>
                          <w:rFonts w:ascii="Times New Roman" w:hAnsi="Times New Roman" w:eastAsia="Times New Roman" w:cs="Times New Roman"/>
                          <w:color w:val="000000"/>
                          <w:sz w:val="24"/>
                        </w:rPr>
                        <w:t xml:space="preserve">5064, Số vào sổ cấp GCN: CH 000833 do UBND Huyện Thanh Ba cấp ngày 22/12/2015; chủ sử dụng đất là Ông Đỗ Hữu Nam.</w:t>
                      </w:r>
                      <w:r>
                        <w:br/>
                      </w:r>
                      <w:r>
                        <w:rPr>
                          <w:rFonts w:ascii="Times New Roman" w:hAnsi="Times New Roman" w:eastAsia="Times New Roman" w:cs="Times New Roman"/>
                          <w:b/>
                          <w:color w:val="000000"/>
                          <w:sz w:val="24"/>
                        </w:rPr>
                        <w:t xml:space="preserve">Tài sản 2</w:t>
                      </w:r>
                      <w:r>
                        <w:rPr>
                          <w:rFonts w:ascii="Times New Roman" w:hAnsi="Times New Roman" w:eastAsia="Times New Roman" w:cs="Times New Roman"/>
                          <w:color w:val="000000"/>
                          <w:sz w:val="24"/>
                        </w:rPr>
                        <w:t xml:space="preserve">: Quyền sử dụng đất tại thửa đất số: 497, tờ bản đồ số: 22, có địa chỉ: Khu 6, xã Sơn Cương, huyện Thanh Ba, tỉnh Phú Thọ (nay là xã Chí Tiên, tỉnh Phú Thọ) theo Giấy chứng nhận quyền sử dụng đất, quyền sở hữu nhà ở và tài sản khác gắn liền với đất số: CT </w:t>
                      </w:r>
                      <w:r>
                        <w:rPr>
                          <w:rFonts w:ascii="Times New Roman" w:hAnsi="Times New Roman" w:eastAsia="Times New Roman" w:cs="Times New Roman"/>
                          <w:color w:val="000000"/>
                          <w:sz w:val="24"/>
                        </w:rPr>
                        <w:t xml:space="preserve">967298, Số vào sổ cấp GCN: Ch 001233 do UBND Huyện Thanh Ba cấp ngày 30/12/2019; chủ sử dụng đất là Ông Đỗ Hữu Nam và vợ Đỗ Thị Minh Tâm (cập nhật ngày 06/01/2025)</w:t>
                        <w:tab/>
                      </w:r>
                      <w:r>
                        <w:rPr>
                          <w:rFonts w:ascii="Times New Roman" w:hAnsi="Times New Roman" w:eastAsia="Times New Roman" w:cs="Times New Roman"/>
                          <w:sz w:val="24"/>
                        </w:rPr>
                      </w:r>
                      <w:r/>
                    </w:p>
                    <w:p>
                      <w:pPr>
                        <w:pBdr/>
                        <w:spacing w:after="120" w:before="120" w:line="360" w:lineRule="auto"/>
                        <w:ind/>
                        <w:jc w:val="center"/>
                        <w:rPr>
                          <w:bCs/>
                          <w:i/>
                          <w:iCs/>
                        </w:rPr>
                      </w:pPr>
                      <w:r>
                        <w:rPr>
                          <w:bCs/>
                          <w:i/>
                          <w:iCs/>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7152"/>
        <w:gridCol w:w="2219"/>
      </w:tblGrid>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r>
            <w:r>
              <w:rPr>
                <w:b/>
                <w:bCs/>
              </w:rPr>
            </w:r>
            <w:r>
              <w:rPr>
                <w:b/>
                <w:bCs/>
              </w:rPr>
            </w:r>
          </w:p>
        </w:tc>
      </w:tr>
      <w:tr>
        <w:trPr/>
        <w:tc>
          <w:tcPr>
            <w:shd w:val="clear" w:color="auto" w:fill="auto"/>
            <w:tcBorders/>
            <w:tcMar>
              <w:left w:w="108" w:type="dxa"/>
              <w:right w:w="108" w:type="dxa"/>
            </w:tcMar>
            <w:tcW w:w="7280" w:type="dxa"/>
            <w:vAlign w:val="center"/>
            <w:textDirection w:val="lrTb"/>
            <w:noWrap w:val="false"/>
          </w:tcPr>
          <w:p>
            <w:pPr>
              <w:pStyle w:val="1032"/>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shd w:val="clear" w:color="auto" w:fill="auto"/>
            <w:tcBorders/>
            <w:tcMar>
              <w:left w:w="108" w:type="dxa"/>
              <w:right w:w="108" w:type="dxa"/>
            </w:tcMar>
            <w:tcW w:w="7280" w:type="dxa"/>
            <w:vAlign w:val="center"/>
            <w:textDirection w:val="lrTb"/>
            <w:noWrap w:val="false"/>
          </w:tcPr>
          <w:p>
            <w:pPr>
              <w:pStyle w:val="1032"/>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2"/>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bl>
    <w:tbl>
      <w:tblPr>
        <w:tblStyle w:val="1036"/>
        <w:tblInd w:w="-28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053"/>
        <w:gridCol w:w="5614"/>
      </w:tblGrid>
      <w:tr>
        <w:trPr>
          <w:trHeight w:val="482"/>
        </w:trPr>
        <w:tc>
          <w:tcPr>
            <w:tcBorders/>
            <w:tcMar>
              <w:left w:w="108" w:type="dxa"/>
              <w:top w:w="0" w:type="dxa"/>
              <w:right w:w="108" w:type="dxa"/>
              <w:bottom w:w="0" w:type="dxa"/>
            </w:tcMar>
            <w:tcW w:w="4053" w:type="dxa"/>
            <w:vAlign w:val="top"/>
            <w:textDirection w:val="lrTb"/>
            <w:noWrap w:val="false"/>
          </w:tcPr>
          <w:p>
            <w:pPr>
              <w:pBdr>
                <w:top w:val="none" w:color="000000" w:sz="4" w:space="0"/>
                <w:left w:val="none" w:color="000000" w:sz="4" w:space="0"/>
                <w:bottom w:val="none" w:color="000000" w:sz="4" w:space="0"/>
                <w:right w:val="none" w:color="000000" w:sz="4" w:space="0"/>
              </w:pBdr>
              <w:spacing w:after="60"/>
              <w:ind w:right="0" w:firstLine="0" w:left="0"/>
              <w:jc w:val="both"/>
              <w:rPr/>
            </w:pPr>
            <w:r>
              <w:rPr>
                <w:rFonts w:ascii="Arial" w:hAnsi="Arial" w:eastAsia="Arial" w:cs="Arial"/>
                <w:color w:val="000000"/>
                <w:sz w:val="24"/>
              </w:rPr>
              <w:t xml:space="preserve">Số: 275/2026/0514/VFI-CT.63.A</w:t>
            </w:r>
            <w:r/>
          </w:p>
        </w:tc>
        <w:tc>
          <w:tcPr>
            <w:tcBorders/>
            <w:tcMar>
              <w:left w:w="108" w:type="dxa"/>
              <w:top w:w="0" w:type="dxa"/>
              <w:right w:w="108" w:type="dxa"/>
              <w:bottom w:w="0" w:type="dxa"/>
            </w:tcMar>
            <w:tcW w:w="5614" w:type="dxa"/>
            <w:vAlign w:val="top"/>
            <w:textDirection w:val="lrTb"/>
            <w:noWrap w:val="false"/>
          </w:tcPr>
          <w:p>
            <w:pPr>
              <w:pBdr>
                <w:top w:val="none" w:color="000000" w:sz="4" w:space="0"/>
                <w:left w:val="none" w:color="000000" w:sz="4" w:space="0"/>
                <w:bottom w:val="none" w:color="000000" w:sz="4" w:space="0"/>
                <w:right w:val="none" w:color="000000" w:sz="4" w:space="0"/>
              </w:pBdr>
              <w:spacing w:after="60" w:before="0"/>
              <w:ind w:right="-56" w:firstLine="0" w:left="0"/>
              <w:jc w:val="right"/>
              <w:rPr/>
            </w:pPr>
            <w:r>
              <w:rPr>
                <w:rFonts w:ascii="Arial" w:hAnsi="Arial" w:eastAsia="Arial" w:cs="Arial"/>
                <w:i/>
                <w:color w:val="0000ff"/>
                <w:sz w:val="24"/>
              </w:rPr>
              <w:t xml:space="preserve">TP. Hà Nội, </w:t>
            </w:r>
            <w:r>
              <w:rPr>
                <w:rFonts w:ascii="Arial" w:hAnsi="Arial" w:eastAsia="Arial" w:cs="Arial"/>
                <w:i/>
                <w:color w:val="000000"/>
                <w:sz w:val="24"/>
              </w:rPr>
              <w:t xml:space="preserve">ngày 2 tháng 4 năm 2026</w:t>
            </w:r>
            <w:r/>
          </w:p>
        </w:tc>
      </w:tr>
    </w:tbl>
    <w:p>
      <w:pPr>
        <w:pBdr>
          <w:top w:val="none" w:color="000000" w:sz="4" w:space="0"/>
          <w:left w:val="none" w:color="000000" w:sz="4" w:space="0"/>
          <w:bottom w:val="none" w:color="000000" w:sz="4" w:space="0"/>
          <w:right w:val="none" w:color="000000" w:sz="4" w:space="0"/>
        </w:pBdr>
        <w:spacing w:after="120" w:before="200" w:line="288" w:lineRule="auto"/>
        <w:ind w:right="0" w:firstLine="0" w:left="0"/>
        <w:jc w:val="center"/>
        <w:rPr/>
      </w:pPr>
      <w:r>
        <w:rPr>
          <w:rFonts w:ascii="Arial" w:hAnsi="Arial" w:eastAsia="Arial" w:cs="Arial"/>
          <w:b/>
          <w:color w:val="0000ff"/>
          <w:sz w:val="30"/>
        </w:rPr>
        <w:t xml:space="preserve">CHỨNG THƯ THẨM ĐỊNH GIÁ</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u w:val="single"/>
        </w:rPr>
        <w:t xml:space="preserve">Kính gửi</w:t>
      </w:r>
      <w:r>
        <w:rPr>
          <w:rFonts w:ascii="Times New Roman" w:hAnsi="Times New Roman" w:eastAsia="Times New Roman" w:cs="Times New Roman"/>
          <w:b/>
          <w:color w:val="000000"/>
          <w:sz w:val="24"/>
        </w:rPr>
        <w:t xml:space="preserve">: Bà Đỗ Thị Minh Tâm</w:t>
      </w:r>
      <w:r/>
    </w:p>
    <w:p>
      <w:pPr>
        <w:pBdr>
          <w:top w:val="none" w:color="000000" w:sz="4" w:space="0"/>
          <w:left w:val="none" w:color="000000" w:sz="4" w:space="0"/>
          <w:bottom w:val="none" w:color="000000" w:sz="4" w:space="0"/>
          <w:right w:val="none" w:color="000000" w:sz="4" w:space="0"/>
        </w:pBdr>
        <w:tabs>
          <w:tab w:val="left" w:leader="none" w:pos="450"/>
        </w:tabs>
        <w:spacing w:after="120" w:before="120" w:line="288" w:lineRule="auto"/>
        <w:ind w:right="0" w:firstLine="0" w:left="-72"/>
        <w:jc w:val="both"/>
        <w:rPr/>
      </w:pPr>
      <w:r>
        <w:rPr>
          <w:rFonts w:ascii="Times New Roman" w:hAnsi="Times New Roman" w:eastAsia="Times New Roman" w:cs="Times New Roman"/>
          <w:color w:val="000000"/>
          <w:spacing w:val="-4"/>
          <w:sz w:val="24"/>
        </w:rPr>
        <w:tab/>
        <w:t xml:space="preserve">Căn cứ Hợp đồng dịch vụ thẩm định giá số: 275/2026/0514/VFI-HĐTĐ.63.A ký ngày 1 tháng 4 năm 2026 giữa Bà Đỗ Thị Minh Tâm </w:t>
      </w:r>
      <w:r>
        <w:rPr>
          <w:rFonts w:ascii="Times New Roman" w:hAnsi="Times New Roman" w:eastAsia="Times New Roman" w:cs="Times New Roman"/>
          <w:color w:val="000000"/>
          <w:spacing w:val="-6"/>
          <w:sz w:val="24"/>
        </w:rPr>
        <w:t xml:space="preserve">với </w:t>
      </w:r>
      <w:r>
        <w:rPr>
          <w:rFonts w:ascii="Times New Roman" w:hAnsi="Times New Roman" w:eastAsia="Times New Roman" w:cs="Times New Roman"/>
          <w:color w:val="000000"/>
          <w:spacing w:val="-4"/>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pPr>
      <w:r>
        <w:rPr>
          <w:rFonts w:ascii="Times New Roman" w:hAnsi="Times New Roman" w:eastAsia="Times New Roman" w:cs="Times New Roman"/>
          <w:color w:val="000000"/>
          <w:spacing w:val="-2"/>
          <w:sz w:val="24"/>
        </w:rPr>
        <w:t xml:space="preserve">Căn cứ Báo cáo thẩm định giá số 275/2026/0514/VFI-BC.63.A ngày 2tháng 4 năm 2026 của 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pPr>
      <w:r>
        <w:rPr>
          <w:rFonts w:ascii="Times New Roman" w:hAnsi="Times New Roman" w:eastAsia="Times New Roman" w:cs="Times New Roman"/>
          <w:color w:val="000000"/>
          <w:spacing w:val="-2"/>
          <w:sz w:val="24"/>
        </w:rPr>
        <w:t xml:space="preserve">Công ty Cổ phần Thẩm định và Đầu tư Tài chính Hoa Sen</w:t>
      </w:r>
      <w:r>
        <w:rPr>
          <w:rFonts w:ascii="Times New Roman" w:hAnsi="Times New Roman" w:eastAsia="Times New Roman" w:cs="Times New Roman"/>
          <w:color w:val="000000"/>
          <w:sz w:val="24"/>
        </w:rPr>
        <w:t xml:space="preserve"> cung cấp Chứng thư thẩm định giá tài sản với nội dung sau:</w:t>
      </w:r>
      <w:r/>
    </w:p>
    <w:p>
      <w:pPr>
        <w:pBdr>
          <w:top w:val="none" w:color="000000" w:sz="4" w:space="0"/>
          <w:left w:val="none" w:color="000000" w:sz="4" w:space="0"/>
          <w:bottom w:val="none" w:color="000000" w:sz="4" w:space="0"/>
          <w:right w:val="none" w:color="000000" w:sz="4" w:space="0"/>
        </w:pBdr>
        <w:tabs>
          <w:tab w:val="left" w:leader="none" w:pos="851"/>
        </w:tabs>
        <w:spacing w:after="120" w:before="120" w:line="288" w:lineRule="auto"/>
        <w:ind w:right="0" w:firstLine="0" w:left="0"/>
        <w:jc w:val="both"/>
        <w:rPr/>
      </w:pPr>
      <w:r>
        <w:rPr>
          <w:rFonts w:ascii="Times New Roman" w:hAnsi="Times New Roman" w:eastAsia="Times New Roman" w:cs="Times New Roman"/>
          <w:b/>
          <w:color w:val="000000"/>
          <w:sz w:val="24"/>
        </w:rPr>
        <w:t xml:space="preserve">1. Khách hàng yêu cầu thẩm định giá:</w:t>
      </w:r>
      <w:r/>
    </w:p>
    <w:tbl>
      <w:tblPr>
        <w:tblStyle w:val="1036"/>
        <w:tblInd w:w="108" w:type="dxa"/>
        <w:tblW w:w="485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2012"/>
        <w:gridCol w:w="283"/>
        <w:gridCol w:w="7153"/>
      </w:tblGrid>
      <w:tr>
        <w:trPr>
          <w:trHeight w:val="20"/>
        </w:trPr>
        <w:tc>
          <w:tcPr>
            <w:tcBorders/>
            <w:tcMar>
              <w:left w:w="108" w:type="dxa"/>
              <w:top w:w="0" w:type="dxa"/>
              <w:right w:w="108" w:type="dxa"/>
              <w:bottom w:w="0" w:type="dxa"/>
            </w:tcMar>
            <w:tcW w:w="201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BÀ ĐỖ THỊ MINH TÂM</w:t>
            </w:r>
            <w:r/>
          </w:p>
        </w:tc>
      </w:tr>
      <w:tr>
        <w:trPr>
          <w:trHeight w:val="20"/>
        </w:trPr>
        <w:tc>
          <w:tcPr>
            <w:tcBorders/>
            <w:tcMar>
              <w:left w:w="108" w:type="dxa"/>
              <w:top w:w="0" w:type="dxa"/>
              <w:right w:w="108" w:type="dxa"/>
              <w:bottom w:w="0" w:type="dxa"/>
            </w:tcMar>
            <w:tcW w:w="201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CCCD:</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5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025301001126</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2. Thông tin về doanh nghiệp thẩm định giá:</w:t>
      </w:r>
      <w:r/>
    </w:p>
    <w:tbl>
      <w:tblPr>
        <w:tblStyle w:val="1036"/>
        <w:tblInd w:w="-3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127"/>
        <w:gridCol w:w="270"/>
        <w:gridCol w:w="6629"/>
      </w:tblGrid>
      <w:tr>
        <w:trPr>
          <w:trHeight w:val="20"/>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Đơn vị thẩm định</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b/>
                <w:color w:val="000000"/>
                <w:spacing w:val="-4"/>
                <w:sz w:val="24"/>
              </w:rPr>
              <w:t xml:space="preserve">CÔNG TY CỔ PHẦN THẨM ĐỊNH VÀ ĐẦU TƯ TÀI CHÍNH HOA SEN</w:t>
            </w:r>
            <w:r/>
          </w:p>
        </w:tc>
      </w:tr>
      <w:tr>
        <w:trPr>
          <w:trHeight w:val="20"/>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Địa chỉ trụ sở</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pacing w:val="-2"/>
                <w:sz w:val="24"/>
              </w:rPr>
              <w:t xml:space="preserve">BT5 - 23, Khu đô thị mới Văn Phú, Phường Kiến Hưng, Thành phố Hà Nội</w:t>
            </w:r>
            <w:r/>
          </w:p>
        </w:tc>
      </w:tr>
      <w:tr>
        <w:trPr>
          <w:trHeight w:val="20"/>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Điện thoại</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6629"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3382"/>
              </w:tabs>
              <w:spacing w:after="40" w:before="40" w:line="276" w:lineRule="auto"/>
              <w:ind w:right="0" w:firstLine="0" w:left="0"/>
              <w:rPr/>
            </w:pPr>
            <w:r>
              <w:rPr>
                <w:rFonts w:ascii="Times New Roman" w:hAnsi="Times New Roman" w:eastAsia="Times New Roman" w:cs="Times New Roman"/>
                <w:color w:val="000000"/>
                <w:sz w:val="24"/>
              </w:rPr>
              <w:t xml:space="preserve">024 2264 4333</w:t>
            </w:r>
            <w:r/>
          </w:p>
        </w:tc>
      </w:tr>
      <w:tr>
        <w:trPr>
          <w:trHeight w:val="20"/>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0102708994</w:t>
            </w:r>
            <w:r/>
          </w:p>
        </w:tc>
      </w:tr>
      <w:tr>
        <w:trPr>
          <w:trHeight w:val="20"/>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GCN đủ điều kiện hành nghề</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275/TĐG</w:t>
            </w:r>
            <w:r/>
          </w:p>
        </w:tc>
      </w:tr>
      <w:tr>
        <w:trPr>
          <w:trHeight w:val="20"/>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Thông báo</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292a2e"/>
                <w:sz w:val="24"/>
              </w:rPr>
              <w:t xml:space="preserve">Số 1294/TB-BTC ngày 25/12/2025</w:t>
            </w:r>
            <w:r>
              <w:rPr>
                <w:rFonts w:ascii="Segoe UI" w:hAnsi="Segoe UI" w:eastAsia="Segoe UI" w:cs="Segoe UI"/>
                <w:color w:val="292a2e"/>
                <w:sz w:val="21"/>
              </w:rPr>
              <w:t xml:space="preserve"> </w:t>
            </w:r>
            <w:r>
              <w:rPr>
                <w:rFonts w:ascii="Times New Roman" w:hAnsi="Times New Roman" w:eastAsia="Times New Roman" w:cs="Times New Roman"/>
                <w:color w:val="000000"/>
                <w:sz w:val="24"/>
              </w:rPr>
              <w:t xml:space="preserve">về việc doanh nghiệp đủ điều kiện kinh doanh Dịch vụ thẩm định giá.</w:t>
            </w:r>
            <w:r/>
          </w:p>
        </w:tc>
      </w:tr>
      <w:tr>
        <w:trPr>
          <w:trHeight w:val="20"/>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Tài khoản số</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pacing w:val="-4"/>
                <w:sz w:val="24"/>
              </w:rPr>
              <w:t xml:space="preserve">1505112366666 tại Agribank Chi nhánh Hà Nội II</w:t>
            </w:r>
            <w:r/>
          </w:p>
        </w:tc>
      </w:tr>
      <w:tr>
        <w:trPr>
          <w:trHeight w:val="20"/>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b/>
                <w:color w:val="000000"/>
                <w:sz w:val="24"/>
              </w:rPr>
              <w:t xml:space="preserve">Ông Vũ Văn Quân</w:t>
              <w:tab/>
            </w:r>
            <w:r/>
          </w:p>
        </w:tc>
      </w:tr>
      <w:tr>
        <w:trPr>
          <w:trHeight w:val="20"/>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Chức vụ</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b/>
                <w:color w:val="000000"/>
                <w:sz w:val="24"/>
              </w:rPr>
              <w:t xml:space="preserve">Chủ tịch HĐQT kiêm Tổng Giám Đốc</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3. Tài sản thẩm định:</w:t>
      </w: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1</w:t>
      </w:r>
      <w:r>
        <w:rPr>
          <w:rFonts w:ascii="Times New Roman" w:hAnsi="Times New Roman" w:eastAsia="Times New Roman" w:cs="Times New Roman"/>
          <w:color w:val="000000"/>
          <w:sz w:val="24"/>
        </w:rPr>
        <w:t xml:space="preserve">: Quyền sử dụng đất tại thửa đất số: 67, tờ bản đồ số: 15, có địa chỉ: Khu 6, xã Sơn Cương, huyện Thanh Ba, tỉnh Phú Thọ (nay là xã Chí Tiên, tỉnh Phú Thọ) theo Giấy chứng nhận quyền sử dụng đất, quyền sở hữu nhà ở và tài sản khác gắn liền với đất số: CB82</w:t>
      </w:r>
      <w:r>
        <w:rPr>
          <w:rFonts w:ascii="Times New Roman" w:hAnsi="Times New Roman" w:eastAsia="Times New Roman" w:cs="Times New Roman"/>
          <w:color w:val="000000"/>
          <w:sz w:val="24"/>
        </w:rPr>
        <w:t xml:space="preserve">5064, Số vào sổ cấp GCN: CH 000833 do UBND Huyện Thanh Ba cấp ngày 22/12/2015; chủ sử dụng đất là Ông Đỗ Hữu Nam.</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2</w:t>
      </w:r>
      <w:r>
        <w:rPr>
          <w:rFonts w:ascii="Times New Roman" w:hAnsi="Times New Roman" w:eastAsia="Times New Roman" w:cs="Times New Roman"/>
          <w:color w:val="000000"/>
          <w:sz w:val="24"/>
        </w:rPr>
        <w:t xml:space="preserve">: Quyền sử dụng đất tại thửa đất số: 497, tờ bản đồ số: 22, có địa chỉ: Khu 6, xã Sơn Cương, huyện Thanh Ba, tỉnh Phú Thọ (nay là xã Chí Tiên, tỉnh Phú Thọ) theo Giấy chứng nhận quyền sử dụng đất, quyền sở hữu nhà ở và tài sản khác gắn liền với đất số: CT </w:t>
      </w:r>
      <w:r>
        <w:rPr>
          <w:rFonts w:ascii="Times New Roman" w:hAnsi="Times New Roman" w:eastAsia="Times New Roman" w:cs="Times New Roman"/>
          <w:color w:val="000000"/>
          <w:sz w:val="24"/>
        </w:rPr>
        <w:t xml:space="preserve">967298, Số vào sổ cấp GCN: Ch 001233 do UBND Huyện Thanh Ba cấp ngày 30/12/2019; chủ sử dụng đất là Ông Đỗ Hữu Nam và vợ Đỗ Thị Minh Tâm (cập nhật ngày 06/01/2025)</w:t>
        <w:tab/>
        <w:tab/>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4. Thời điểm thẩm định giá:</w:t>
      </w:r>
      <w:r>
        <w:rPr>
          <w:rFonts w:ascii="Times New Roman" w:hAnsi="Times New Roman" w:eastAsia="Times New Roman" w:cs="Times New Roman"/>
          <w:color w:val="000000"/>
          <w:sz w:val="24"/>
        </w:rPr>
        <w:t xml:space="preserve"> Tháng 04/2026.</w:t>
      </w:r>
      <w:r/>
    </w:p>
    <w:p>
      <w:pPr>
        <w:pBdr>
          <w:top w:val="none" w:color="000000" w:sz="4" w:space="0"/>
          <w:left w:val="none" w:color="000000" w:sz="4" w:space="0"/>
          <w:bottom w:val="none" w:color="000000" w:sz="4" w:space="0"/>
          <w:right w:val="none" w:color="000000" w:sz="4" w:space="0"/>
        </w:pBdr>
        <w:tabs>
          <w:tab w:val="left" w:leader="none" w:pos="851"/>
        </w:tabs>
        <w:spacing w:after="120" w:before="120" w:line="276" w:lineRule="auto"/>
        <w:ind w:right="0" w:firstLine="0" w:left="0"/>
        <w:jc w:val="both"/>
        <w:rPr/>
      </w:pPr>
      <w:r>
        <w:rPr>
          <w:rFonts w:ascii="Times New Roman" w:hAnsi="Times New Roman" w:eastAsia="Times New Roman" w:cs="Times New Roman"/>
          <w:b/>
          <w:color w:val="000000"/>
          <w:sz w:val="24"/>
        </w:rPr>
        <w:t xml:space="preserve">5. Mục đích thẩm định giá:</w:t>
      </w:r>
      <w:r>
        <w:rPr>
          <w:rFonts w:ascii="Times New Roman" w:hAnsi="Times New Roman" w:eastAsia="Times New Roman" w:cs="Times New Roman"/>
          <w:color w:val="000000"/>
          <w:spacing w:val="-4"/>
          <w:sz w:val="24"/>
        </w:rPr>
        <w:t xml:space="preserve"> Kết quả thẩm định giá để khách hàng tham khảo giá trị tài sản phục vụ công tác  vay vốn tại tổ chức tín dụng</w:t>
      </w:r>
      <w:r>
        <w:rPr>
          <w:rFonts w:ascii="Times New Roman" w:hAnsi="Times New Roman" w:eastAsia="Times New Roman" w:cs="Times New Roman"/>
          <w:color w:val="000000"/>
          <w:sz w:val="24"/>
        </w:rPr>
        <w:t xml:space="preserve">.</w:t>
      </w:r>
      <w:r/>
    </w:p>
    <w:p>
      <w:pPr>
        <w:pBdr>
          <w:top w:val="none" w:color="000000" w:sz="4" w:space="0"/>
          <w:left w:val="none" w:color="000000" w:sz="4" w:space="0"/>
          <w:bottom w:val="none" w:color="000000" w:sz="4" w:space="0"/>
          <w:right w:val="none" w:color="000000" w:sz="4" w:space="0"/>
        </w:pBdr>
        <w:tabs>
          <w:tab w:val="left" w:leader="none" w:pos="851"/>
        </w:tabs>
        <w:spacing w:after="120" w:before="120" w:line="276" w:lineRule="auto"/>
        <w:ind w:right="0" w:firstLine="0" w:left="0"/>
        <w:jc w:val="both"/>
        <w:rPr/>
      </w:pPr>
      <w:r>
        <w:rPr>
          <w:rFonts w:ascii="Times New Roman" w:hAnsi="Times New Roman" w:eastAsia="Times New Roman" w:cs="Times New Roman"/>
          <w:b/>
          <w:color w:val="000000"/>
          <w:sz w:val="24"/>
        </w:rPr>
        <w:t xml:space="preserve">6. Cơ sở giá trị của tài sản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2" w:left="0"/>
        <w:jc w:val="both"/>
        <w:rPr/>
      </w:pPr>
      <w:r>
        <w:rPr>
          <w:rFonts w:ascii="Times New Roman" w:hAnsi="Times New Roman" w:eastAsia="Times New Roman" w:cs="Times New Roman"/>
          <w:i/>
          <w:color w:val="000000"/>
          <w:sz w:val="24"/>
        </w:rPr>
        <w:t xml:space="preserve">Chi tiết như Báo cáo kèm theo </w:t>
      </w: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276" w:lineRule="auto"/>
        <w:ind w:right="0" w:firstLine="0" w:left="0"/>
        <w:jc w:val="both"/>
        <w:rPr/>
      </w:pPr>
      <w:r>
        <w:rPr>
          <w:rFonts w:ascii="Times New Roman" w:hAnsi="Times New Roman" w:eastAsia="Times New Roman" w:cs="Times New Roman"/>
          <w:b/>
          <w:color w:val="000000"/>
          <w:sz w:val="24"/>
        </w:rPr>
        <w:t xml:space="preserve">7. Giả thiết và giả thiết đặc biệt:</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2" w:left="0"/>
        <w:jc w:val="both"/>
        <w:rPr/>
      </w:pPr>
      <w:r>
        <w:rPr>
          <w:rFonts w:ascii="Times New Roman" w:hAnsi="Times New Roman" w:eastAsia="Times New Roman" w:cs="Times New Roman"/>
          <w:i/>
          <w:color w:val="000000"/>
          <w:sz w:val="24"/>
        </w:rPr>
        <w:t xml:space="preserve">Chi tiết như Báo cáo kèm theo</w:t>
      </w: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276" w:lineRule="auto"/>
        <w:ind w:right="0" w:firstLine="0" w:left="0"/>
        <w:jc w:val="both"/>
        <w:rPr/>
      </w:pPr>
      <w:r>
        <w:rPr>
          <w:rFonts w:ascii="Times New Roman" w:hAnsi="Times New Roman" w:eastAsia="Times New Roman" w:cs="Times New Roman"/>
          <w:b/>
          <w:color w:val="000000"/>
          <w:sz w:val="24"/>
        </w:rPr>
        <w:t xml:space="preserve">8. Cách tiếp cận và phương pháp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2" w:left="0"/>
        <w:jc w:val="both"/>
        <w:rPr/>
      </w:pPr>
      <w:r>
        <w:rPr>
          <w:rFonts w:ascii="Times New Roman" w:hAnsi="Times New Roman" w:eastAsia="Times New Roman" w:cs="Times New Roman"/>
          <w:i/>
          <w:color w:val="000000"/>
          <w:sz w:val="24"/>
        </w:rPr>
        <w:t xml:space="preserve">Chi tiết như Báo cáo kèm theo</w:t>
      </w: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276" w:lineRule="auto"/>
        <w:ind w:right="0" w:firstLine="0" w:left="0"/>
        <w:jc w:val="both"/>
        <w:rPr/>
      </w:pPr>
      <w:r>
        <w:rPr>
          <w:rFonts w:ascii="Times New Roman" w:hAnsi="Times New Roman" w:eastAsia="Times New Roman" w:cs="Times New Roman"/>
          <w:b/>
          <w:color w:val="000000"/>
          <w:sz w:val="24"/>
        </w:rPr>
        <w:t xml:space="preserve">9. Giá trị tài sản thẩm định giá:</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Trên cơ sở các hồ sơ, tài liệu do Khách hàng cung cấp, qua điều tra thông tin thực tế trên thị trường với cách tiếp cận và phương pháp thẩm định được áp dụng trong tính toán, Công ty Cổ phần Thẩm định và Đầu tư Tài chính Hoa Sen thông báo giá trị tài sản c</w:t>
      </w:r>
      <w:r>
        <w:rPr>
          <w:rFonts w:ascii="Times New Roman" w:hAnsi="Times New Roman" w:eastAsia="Times New Roman" w:cs="Times New Roman"/>
          <w:color w:val="000000"/>
          <w:sz w:val="24"/>
        </w:rPr>
        <w:t xml:space="preserve">hưa bao gồm các loại thuế, phí và lệ phí liên quan đến việc chuyển nhượng tài sản của Quý khách hàng tại thời điểm Tháng 04/2026 ước tính như sau:</w:t>
      </w:r>
      <w:r/>
    </w:p>
    <w:tbl>
      <w:tblPr>
        <w:tblStyle w:val="1036"/>
        <w:tblInd w:w="113"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04"/>
        <w:gridCol w:w="2693"/>
        <w:gridCol w:w="1843"/>
        <w:gridCol w:w="1701"/>
        <w:gridCol w:w="2439"/>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4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01</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2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67, tờ bản đồ số: 15, có địa chỉ: Khu 6, xã Sơn Cương, huyện Thanh Ba, tỉnh Phú Thọ (nay là xã Chí Tiên, tỉnh Phú Thọ) theo Giấy chứng nhận quyền sử dụng đất, quyền sở hữu nhà ở và tài sản khác gắn liền với đất số: CB8250</w:t>
            </w:r>
            <w:r>
              <w:rPr>
                <w:rFonts w:ascii="Times New Roman" w:hAnsi="Times New Roman" w:eastAsia="Times New Roman" w:cs="Times New Roman"/>
                <w:b/>
                <w:color w:val="000000"/>
                <w:sz w:val="24"/>
              </w:rPr>
              <w:t xml:space="preserve">64, Số vào sổ cấp GCN: CH 000833 do UBND Huyện Thanh Ba cấp ngày 22/12/2015; chủ sử dụng đất là Ông Đỗ Hữu Nam.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b/>
                <w:color w:val="000000"/>
                <w:sz w:val="24"/>
              </w:rPr>
              <w:t xml:space="preserve">501.500.000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rPr/>
            </w:pPr>
            <w:r>
              <w:rPr>
                <w:rFonts w:ascii="Times New Roman" w:hAnsi="Times New Roman" w:eastAsia="Times New Roman" w:cs="Times New Roman"/>
                <w:color w:val="000000"/>
                <w:sz w:val="24"/>
              </w:rPr>
              <w:t xml:space="preserve">Đất ở nông thôn (100m2) – Đất trồng cây lâu năm (750m2)</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850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590.000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color w:val="000000"/>
                <w:sz w:val="24"/>
              </w:rPr>
              <w:t xml:space="preserve">501.500.000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02</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2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497, tờ bản đồ số: 22, có địa chỉ: Khu 6, xã Sơn Cương, huyện Thanh Ba, tỉnh Phú Thọ (nay là xã Chí Tiên, tỉnh Phú Thọ) theo Giấy chứng nhận quyền sử dụng đất, quyền sở hữu nhà ở và tài sản khác gắn liền với đất số: CT 96</w:t>
            </w:r>
            <w:r>
              <w:rPr>
                <w:rFonts w:ascii="Times New Roman" w:hAnsi="Times New Roman" w:eastAsia="Times New Roman" w:cs="Times New Roman"/>
                <w:b/>
                <w:color w:val="000000"/>
                <w:sz w:val="24"/>
              </w:rPr>
              <w:t xml:space="preserve">7298, Số vào sổ cấp GCN: Ch 001233 do UBND Huyện Thanh Ba cấp ngày 30/12/2019; chủ sử dụng đất là Ông Đỗ Hữu Nam và vợ Đỗ Thị Minh Tâm (cập nhật ngày 06/01/2025)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b/>
                <w:color w:val="000000"/>
                <w:sz w:val="24"/>
              </w:rPr>
              <w:t xml:space="preserve">1.053.860.000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rPr/>
            </w:pPr>
            <w:r>
              <w:rPr>
                <w:rFonts w:ascii="Times New Roman" w:hAnsi="Times New Roman" w:eastAsia="Times New Roman" w:cs="Times New Roman"/>
                <w:color w:val="000000"/>
                <w:sz w:val="24"/>
              </w:rPr>
              <w:t xml:space="preserve">Đất ở nông thôn (200m2) – Đất trồng cây lâu năm (258,2m2)</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458,2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2.300.000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color w:val="000000"/>
                <w:sz w:val="24"/>
              </w:rPr>
              <w:t xml:space="preserve">1.053.860.000</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6941"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2439"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right"/>
              <w:rPr/>
            </w:pPr>
            <w:r>
              <w:rPr>
                <w:rFonts w:ascii="Times New Roman" w:hAnsi="Times New Roman" w:eastAsia="Times New Roman" w:cs="Times New Roman"/>
                <w:b/>
                <w:color w:val="000000"/>
                <w:sz w:val="24"/>
              </w:rPr>
              <w:t xml:space="preserve">1.555.360.000</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6941"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2439"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right"/>
              <w:rPr/>
            </w:pPr>
            <w:r>
              <w:rPr>
                <w:rFonts w:ascii="Times New Roman" w:hAnsi="Times New Roman" w:eastAsia="Times New Roman" w:cs="Times New Roman"/>
                <w:b/>
                <w:color w:val="000000"/>
                <w:sz w:val="24"/>
              </w:rPr>
              <w:t xml:space="preserve">1.555.400.000</w:t>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937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b/>
                <w:i/>
                <w:color w:val="000000"/>
                <w:sz w:val="24"/>
              </w:rPr>
              <w:t xml:space="preserve">(Bằng chữ:</w:t>
            </w:r>
            <w:r>
              <w:rPr>
                <w:rFonts w:ascii="Times New Roman" w:hAnsi="Times New Roman" w:eastAsia="Times New Roman" w:cs="Times New Roman"/>
                <w:b/>
                <w:color w:val="000000"/>
                <w:sz w:val="24"/>
              </w:rPr>
              <w:t xml:space="preserve"> </w:t>
            </w:r>
            <w:r>
              <w:rPr>
                <w:rFonts w:ascii="Times New Roman" w:hAnsi="Times New Roman" w:eastAsia="Times New Roman" w:cs="Times New Roman"/>
                <w:b/>
                <w:i/>
                <w:color w:val="000000"/>
                <w:sz w:val="24"/>
              </w:rPr>
              <w:t xml:space="preserve">Một tỷ năm trăm năm mươi lăm triệu bốn trăm nghìn đồng./.)</w:t>
            </w:r>
            <w:r/>
          </w:p>
        </w:tc>
      </w:tr>
    </w:tbl>
    <w:p>
      <w:pPr>
        <w:pBdr>
          <w:top w:val="none" w:color="000000" w:sz="4" w:space="0"/>
          <w:left w:val="none" w:color="000000" w:sz="4" w:space="0"/>
          <w:bottom w:val="none" w:color="000000" w:sz="4" w:space="0"/>
          <w:right w:val="none" w:color="000000" w:sz="4" w:space="0"/>
        </w:pBdr>
        <w:spacing w:after="120" w:before="120" w:line="288" w:lineRule="auto"/>
        <w:ind w:right="0" w:firstLine="0" w:left="0"/>
        <w:jc w:val="both"/>
        <w:rPr/>
      </w:pPr>
      <w:r>
        <w:rPr>
          <w:rFonts w:ascii="Times New Roman" w:hAnsi="Times New Roman" w:eastAsia="Times New Roman" w:cs="Times New Roman"/>
          <w:b/>
          <w:color w:val="000000"/>
          <w:sz w:val="24"/>
        </w:rPr>
        <w:t xml:space="preserve">10. Thời hạn hiệu lực của kết quả thẩm định giá:</w:t>
      </w:r>
      <w:r/>
    </w:p>
    <w:p>
      <w:pPr>
        <w:pBdr>
          <w:top w:val="none" w:color="000000" w:sz="4" w:space="0"/>
          <w:left w:val="none" w:color="000000" w:sz="4" w:space="0"/>
          <w:bottom w:val="none" w:color="000000" w:sz="4" w:space="0"/>
          <w:right w:val="none" w:color="000000" w:sz="4" w:space="0"/>
        </w:pBdr>
        <w:spacing w:after="120" w:before="120" w:line="288" w:lineRule="auto"/>
        <w:ind w:right="0" w:firstLine="360" w:left="0"/>
        <w:jc w:val="both"/>
        <w:rPr/>
      </w:pPr>
      <w:r>
        <w:rPr>
          <w:rFonts w:ascii="Times New Roman" w:hAnsi="Times New Roman" w:eastAsia="Times New Roman" w:cs="Times New Roman"/>
          <w:color w:val="000000"/>
          <w:sz w:val="24"/>
        </w:rPr>
        <w:t xml:space="preserve">- Tối đa 06 (sáu) tháng tính từ ngày ký đối với tài sản là Bất động sản.</w:t>
      </w:r>
      <w:r/>
    </w:p>
    <w:p>
      <w:pPr>
        <w:pBdr>
          <w:top w:val="none" w:color="000000" w:sz="4" w:space="0"/>
          <w:left w:val="none" w:color="000000" w:sz="4" w:space="0"/>
          <w:bottom w:val="none" w:color="000000" w:sz="4" w:space="0"/>
          <w:right w:val="none" w:color="000000" w:sz="4" w:space="0"/>
        </w:pBdr>
        <w:spacing w:after="120" w:before="120" w:line="288" w:lineRule="auto"/>
        <w:ind w:right="0" w:firstLine="0" w:left="0"/>
        <w:rPr/>
      </w:pPr>
      <w:r>
        <w:rPr>
          <w:rFonts w:ascii="Times New Roman" w:hAnsi="Times New Roman" w:eastAsia="Times New Roman" w:cs="Times New Roman"/>
          <w:b/>
          <w:color w:val="000000"/>
          <w:sz w:val="24"/>
        </w:rPr>
        <w:t xml:space="preserve">11. Những điều khoản loại trừ và hạn chế của kết quả thẩm định giá:</w:t>
      </w:r>
      <w:r/>
    </w:p>
    <w:p>
      <w:pPr>
        <w:pBdr>
          <w:top w:val="none" w:color="000000" w:sz="4" w:space="0"/>
          <w:left w:val="none" w:color="000000" w:sz="4" w:space="0"/>
          <w:bottom w:val="none" w:color="000000" w:sz="4" w:space="0"/>
          <w:right w:val="none" w:color="000000" w:sz="4" w:space="0"/>
        </w:pBdr>
        <w:spacing w:after="120" w:before="120" w:line="288" w:lineRule="auto"/>
        <w:ind w:right="0" w:firstLine="360" w:left="0"/>
        <w:jc w:val="both"/>
        <w:rPr/>
      </w:pPr>
      <w:r>
        <w:rPr>
          <w:rFonts w:ascii="Times New Roman" w:hAnsi="Times New Roman" w:eastAsia="Times New Roman" w:cs="Times New Roman"/>
          <w:color w:val="000000"/>
          <w:sz w:val="24"/>
        </w:rPr>
        <w:t xml:space="preserve">- Chi tiết như Báo cáo kèm theo.</w:t>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b/>
          <w:color w:val="000000"/>
          <w:spacing w:val="-4"/>
          <w:sz w:val="24"/>
        </w:rPr>
        <w:t xml:space="preserve">12. Các tài liệu kèm theo:</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Báo cáo kết quả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Các phụ lục chi tiết kèm theo.</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Chứng thư thẩm định giá được phát hành 03 (ba) bản chính bằng tiếng Việt, cấp cho quý khách hàng 02 (hai) bản, lưu lại Công ty Cổ phần Thẩm định và Đầu tư Tài chính Hoa Sen 01 (một) bản có giá trị pháp lý như nhau.</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 Mọi hình thức sao chép báo cáo và chứng thư thẩm định giá không có sự đồng ý bằng văn bản của Công ty Cổ phần Thẩm định và Đầu tư Tài chính Hoa Sen đều là hành vi vi phạm pháp luật.</w:t>
      </w:r>
      <w:r/>
    </w:p>
    <w:p>
      <w:pPr>
        <w:pBdr/>
        <w:tabs>
          <w:tab w:val="left" w:leader="none" w:pos="5202"/>
        </w:tabs>
        <w:spacing w:after="120" w:before="120" w:line="276" w:lineRule="auto"/>
        <w:ind w:firstLine="431"/>
        <w:jc w:val="both"/>
        <w:rPr>
          <w:spacing w:val="-6"/>
          <w:lang w:val="vi-VN"/>
        </w:rPr>
      </w:pPr>
      <w:r>
        <w:rPr>
          <w:spacing w:val="-6"/>
          <w:lang w:val="vi-VN"/>
        </w:rPr>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r>
      <w:r>
        <w:rPr>
          <w:spacing w:val="-6"/>
          <w:lang w:val="vi-VN"/>
        </w:rPr>
      </w:r>
      <w:r>
        <w:rPr>
          <w:spacing w:val="-6"/>
          <w:lang w:val="vi-VN"/>
        </w:rPr>
      </w:r>
    </w:p>
    <w:tbl>
      <w:tblPr>
        <w:tblW w:w="4806" w:type="pct"/>
        <w:tblBorders/>
        <w:tblLook w:val="01E0" w:firstRow="1" w:lastRow="1" w:firstColumn="1" w:lastColumn="1" w:noHBand="0" w:noVBand="0"/>
      </w:tblPr>
      <w:tblGrid>
        <w:gridCol w:w="4457"/>
        <w:gridCol w:w="4906"/>
      </w:tblGrid>
      <w:tr>
        <w:trPr>
          <w:trHeight w:val="20"/>
        </w:trPr>
        <w:tc>
          <w:tcPr>
            <w:tcBorders/>
            <w:tcW w:w="2380"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620" w:type="pct"/>
            <w:vAlign w:val="bottom"/>
            <w:textDirection w:val="lrTb"/>
            <w:noWrap w:val="false"/>
          </w:tcPr>
          <w:p>
            <w:pPr>
              <w:pBdr/>
              <w:spacing w:line="276" w:lineRule="auto"/>
              <w:ind/>
              <w:jc w:val="center"/>
              <w:rPr>
                <w:rFonts w:eastAsia="Calibri"/>
                <w:b/>
                <w:lang w:val="pt-BR"/>
              </w:rPr>
            </w:pPr>
            <w:r>
              <w:rPr>
                <w:rFonts w:eastAsia="Calibri"/>
                <w:b/>
                <w:color w:val="000000" w:themeColor="text1"/>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380"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620"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380" w:type="pct"/>
            <w:vAlign w:val="center"/>
            <w:textDirection w:val="lrTb"/>
            <w:noWrap w:val="false"/>
          </w:tcPr>
          <w:p>
            <w:pPr>
              <w:pBdr/>
              <w:spacing w:line="276" w:lineRule="auto"/>
              <w:ind/>
              <w:jc w:val="center"/>
              <w:rPr>
                <w:rFonts w:eastAsia="Calibri"/>
                <w:b/>
                <w:bCs/>
                <w:color w:val="000000" w:themeColor="text1"/>
                <w:lang w:val="pt-BR"/>
              </w:rPr>
            </w:pPr>
            <w:r>
              <w:rPr>
                <w:rFonts w:eastAsia="Calibri"/>
                <w:b/>
                <w:bCs/>
                <w:color w:val="000000" w:themeColor="text1"/>
                <w:lang w:val="pt-BR"/>
              </w:rPr>
              <w:t xml:space="preserve">Nguyễn Thị Thùy Dương</w:t>
            </w:r>
            <w:r>
              <w:rPr>
                <w:rFonts w:eastAsia="Calibri"/>
                <w:b/>
                <w:bCs/>
                <w:color w:val="000000" w:themeColor="text1"/>
                <w:lang w:val="pt-BR"/>
              </w:rPr>
            </w:r>
            <w:r>
              <w:rPr>
                <w:rFonts w:eastAsia="Calibri"/>
                <w:b/>
                <w:bCs/>
                <w:color w:val="000000" w:themeColor="text1"/>
                <w:lang w:val="pt-BR"/>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w:t>
            </w:r>
            <w:r>
              <w:rPr>
                <w:rFonts w:eastAsia="Calibri"/>
                <w:color w:val="000000" w:themeColor="text1"/>
                <w:lang w:val="pt-BR"/>
              </w:rPr>
              <w:t xml:space="preserve">XVI25TS.2576</w:t>
            </w:r>
            <w:r>
              <w:rPr>
                <w:rFonts w:eastAsia="Calibri"/>
                <w:b/>
                <w:lang w:val="pt-BR"/>
              </w:rPr>
            </w:r>
            <w:r>
              <w:rPr>
                <w:rFonts w:eastAsia="Calibri"/>
                <w:b/>
                <w:lang w:val="pt-BR"/>
              </w:rPr>
            </w:r>
          </w:p>
        </w:tc>
        <w:tc>
          <w:tcPr>
            <w:tcBorders/>
            <w:tcW w:w="2620"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094"/>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2"/>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bl>
    <w:tbl>
      <w:tblPr>
        <w:tblStyle w:val="1036"/>
        <w:tblInd w:w="-28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3959"/>
        <w:gridCol w:w="5483"/>
      </w:tblGrid>
      <w:tr>
        <w:trPr>
          <w:trHeight w:val="457"/>
        </w:trPr>
        <w:tc>
          <w:tcPr>
            <w:tcBorders/>
            <w:tcMar>
              <w:left w:w="108" w:type="dxa"/>
              <w:top w:w="0" w:type="dxa"/>
              <w:right w:w="108" w:type="dxa"/>
              <w:bottom w:w="0" w:type="dxa"/>
            </w:tcMar>
            <w:tcW w:w="3959" w:type="dxa"/>
            <w:vAlign w:val="top"/>
            <w:textDirection w:val="lrTb"/>
            <w:noWrap w:val="false"/>
          </w:tcPr>
          <w:p>
            <w:pPr>
              <w:pBdr>
                <w:top w:val="none" w:color="000000" w:sz="4" w:space="0"/>
                <w:left w:val="none" w:color="000000" w:sz="4" w:space="0"/>
                <w:bottom w:val="none" w:color="000000" w:sz="4" w:space="0"/>
                <w:right w:val="none" w:color="000000" w:sz="4" w:space="0"/>
              </w:pBdr>
              <w:spacing w:line="312" w:lineRule="auto"/>
              <w:ind/>
              <w:jc w:val="both"/>
              <w:rPr>
                <w:lang w:val="da-DK"/>
                <w14:ligatures w14:val="none"/>
              </w:rPr>
            </w:pPr>
            <w:r>
              <w:rPr>
                <w:lang w:val="da-DK"/>
              </w:rPr>
              <w:t xml:space="preserve">Số: 275/2026/0514/VFI-BC.63.A</w:t>
            </w:r>
            <w:r>
              <w:rPr>
                <w:lang w:val="da-DK"/>
              </w:rPr>
            </w:r>
            <w:r>
              <w:rPr>
                <w:lang w:val="da-DK"/>
                <w14:ligatures w14:val="none"/>
              </w:rPr>
            </w:r>
          </w:p>
        </w:tc>
        <w:tc>
          <w:tcPr>
            <w:tcBorders/>
            <w:tcMar>
              <w:left w:w="108" w:type="dxa"/>
              <w:top w:w="0" w:type="dxa"/>
              <w:right w:w="108" w:type="dxa"/>
              <w:bottom w:w="0" w:type="dxa"/>
            </w:tcMar>
            <w:tcW w:w="5483" w:type="dxa"/>
            <w:vAlign w:val="top"/>
            <w:textDirection w:val="lrTb"/>
            <w:noWrap w:val="false"/>
          </w:tcPr>
          <w:p>
            <w:pPr>
              <w:pBdr>
                <w:top w:val="none" w:color="000000" w:sz="4" w:space="0"/>
                <w:left w:val="none" w:color="000000" w:sz="4" w:space="0"/>
                <w:bottom w:val="none" w:color="000000" w:sz="4" w:space="0"/>
                <w:right w:val="none" w:color="000000" w:sz="4" w:space="0"/>
              </w:pBdr>
              <w:spacing w:line="312" w:lineRule="auto"/>
              <w:ind/>
              <w:jc w:val="both"/>
              <w:rPr>
                <w:lang w:val="da-DK"/>
                <w14:ligatures w14:val="none"/>
              </w:rPr>
            </w:pPr>
            <w:r>
              <w:rPr>
                <w:lang w:val="da-DK"/>
              </w:rPr>
              <w:t xml:space="preserve">                          TP. Hà Nội, </w:t>
            </w:r>
            <w:r>
              <w:rPr>
                <w:lang w:val="da-DK"/>
              </w:rPr>
              <w:t xml:space="preserve">ngày 2 tháng 4 năm 2026</w:t>
            </w:r>
            <w:r>
              <w:rPr>
                <w:lang w:val="da-DK"/>
              </w:rPr>
            </w:r>
            <w:r>
              <w:rPr>
                <w:lang w:val="da-DK"/>
                <w14:ligatures w14:val="none"/>
              </w:rPr>
            </w:r>
          </w:p>
        </w:tc>
      </w:tr>
      <w:tr>
        <w:trPr>
          <w:trHeight w:val="84"/>
        </w:trPr>
        <w:tc>
          <w:tcPr>
            <w:tcBorders/>
            <w:tcMar>
              <w:left w:w="108" w:type="dxa"/>
              <w:top w:w="0" w:type="dxa"/>
              <w:right w:w="108" w:type="dxa"/>
              <w:bottom w:w="0" w:type="dxa"/>
            </w:tcMar>
            <w:tcW w:w="3959" w:type="dxa"/>
            <w:vAlign w:val="top"/>
            <w:textDirection w:val="lrTb"/>
            <w:noWrap w:val="false"/>
          </w:tcPr>
          <w:p>
            <w:pPr>
              <w:pBdr>
                <w:top w:val="none" w:color="000000" w:sz="4" w:space="0"/>
                <w:left w:val="none" w:color="000000" w:sz="4" w:space="0"/>
                <w:bottom w:val="none" w:color="000000" w:sz="4" w:space="0"/>
                <w:right w:val="none" w:color="000000" w:sz="4" w:space="0"/>
              </w:pBdr>
              <w:spacing w:after="60"/>
              <w:ind w:right="0" w:firstLine="0" w:left="0"/>
              <w:jc w:val="both"/>
              <w:rPr/>
            </w:pPr>
            <w:r>
              <w:rPr>
                <w:rFonts w:ascii="Arial" w:hAnsi="Arial" w:eastAsia="Arial" w:cs="Arial"/>
                <w:color w:val="000000"/>
                <w:sz w:val="24"/>
              </w:rPr>
              <w:t xml:space="preserve"> </w:t>
            </w:r>
            <w:r/>
          </w:p>
        </w:tc>
        <w:tc>
          <w:tcPr>
            <w:tcBorders/>
            <w:tcMar>
              <w:left w:w="108" w:type="dxa"/>
              <w:top w:w="0" w:type="dxa"/>
              <w:right w:w="108" w:type="dxa"/>
              <w:bottom w:w="0" w:type="dxa"/>
            </w:tcMar>
            <w:tcW w:w="5483" w:type="dxa"/>
            <w:vAlign w:val="top"/>
            <w:textDirection w:val="lrTb"/>
            <w:noWrap w:val="false"/>
          </w:tcPr>
          <w:p>
            <w:pPr>
              <w:pBdr>
                <w:top w:val="none" w:color="000000" w:sz="4" w:space="0"/>
                <w:left w:val="none" w:color="000000" w:sz="4" w:space="0"/>
                <w:bottom w:val="none" w:color="000000" w:sz="4" w:space="0"/>
                <w:right w:val="none" w:color="000000" w:sz="4" w:space="0"/>
              </w:pBdr>
              <w:spacing w:after="60" w:before="0"/>
              <w:ind w:right="-56" w:firstLine="0" w:left="0"/>
              <w:jc w:val="both"/>
              <w:rPr/>
            </w:pPr>
            <w:r>
              <w:rPr>
                <w:rFonts w:ascii="Arial" w:hAnsi="Arial" w:eastAsia="Arial" w:cs="Arial"/>
                <w:i/>
                <w:color w:val="0000ff"/>
                <w:sz w:val="24"/>
              </w:rPr>
              <w:t xml:space="preserve"> </w:t>
            </w:r>
            <w:r/>
          </w:p>
        </w:tc>
      </w:tr>
    </w:tbl>
    <w:p>
      <w:pPr>
        <w:pBdr>
          <w:top w:val="none" w:color="000000" w:sz="4" w:space="0"/>
          <w:left w:val="none" w:color="000000" w:sz="4" w:space="0"/>
          <w:bottom w:val="none" w:color="000000" w:sz="4" w:space="0"/>
          <w:right w:val="none" w:color="000000" w:sz="4" w:space="0"/>
        </w:pBdr>
        <w:tabs>
          <w:tab w:val="left" w:leader="none" w:pos="5103"/>
        </w:tabs>
        <w:spacing w:before="200" w:line="340" w:lineRule="atLeast"/>
        <w:ind w:right="0" w:firstLine="0" w:left="0"/>
        <w:jc w:val="center"/>
        <w:rPr/>
      </w:pPr>
      <w:r>
        <w:rPr>
          <w:rFonts w:ascii="Times New Roman" w:hAnsi="Times New Roman" w:eastAsia="Times New Roman" w:cs="Times New Roman"/>
          <w:b/>
          <w:color w:val="000000"/>
          <w:sz w:val="30"/>
        </w:rPr>
        <w:t xml:space="preserve">BÁO CÁO KẾT QUẢ THẨM ĐỊNH GIÁ</w:t>
      </w:r>
      <w:r/>
    </w:p>
    <w:p>
      <w:pPr>
        <w:pStyle w:val="1011"/>
        <w:pBdr>
          <w:top w:val="none" w:color="000000" w:sz="4" w:space="0"/>
          <w:left w:val="none" w:color="000000" w:sz="4" w:space="0"/>
          <w:bottom w:val="none" w:color="000000" w:sz="4" w:space="0"/>
          <w:right w:val="none" w:color="000000" w:sz="4" w:space="0"/>
        </w:pBdr>
        <w:tabs>
          <w:tab w:val="left" w:leader="none" w:pos="4820"/>
        </w:tabs>
        <w:spacing w:after="200" w:before="100" w:line="340" w:lineRule="atLeast"/>
        <w:ind w:right="0" w:hanging="180" w:left="0"/>
        <w:jc w:val="center"/>
        <w:rPr/>
      </w:pPr>
      <w:r>
        <w:rPr>
          <w:rFonts w:ascii="Times New Roman" w:hAnsi="Times New Roman" w:eastAsia="Times New Roman" w:cs="Times New Roman"/>
          <w:i/>
          <w:color w:val="000000"/>
          <w:spacing w:val="-6"/>
          <w:sz w:val="24"/>
        </w:rPr>
        <w:t xml:space="preserve">(Kèm theo Chứng thư thẩm định giá số: 275/2026/022/VFI-CT.47 ngày 3 tháng 4 năm 2026)</w:t>
      </w:r>
      <w:r/>
    </w:p>
    <w:p>
      <w:pPr>
        <w:pStyle w:val="1011"/>
        <w:pBdr>
          <w:top w:val="none" w:color="000000" w:sz="4" w:space="0"/>
          <w:left w:val="none" w:color="000000" w:sz="4" w:space="0"/>
          <w:bottom w:val="none" w:color="000000" w:sz="4" w:space="0"/>
          <w:right w:val="none" w:color="000000" w:sz="4" w:space="0"/>
        </w:pBdr>
        <w:tabs>
          <w:tab w:val="left" w:leader="none" w:pos="4820"/>
        </w:tabs>
        <w:spacing w:after="200" w:before="0" w:line="340" w:lineRule="atLeast"/>
        <w:ind w:right="0" w:firstLine="0" w:left="0"/>
        <w:jc w:val="both"/>
        <w:rPr/>
      </w:pPr>
      <w:r>
        <w:rPr>
          <w:rFonts w:ascii="Times New Roman" w:hAnsi="Times New Roman" w:eastAsia="Times New Roman" w:cs="Times New Roman"/>
          <w:b/>
          <w:color w:val="000000"/>
          <w:sz w:val="24"/>
        </w:rPr>
        <w:t xml:space="preserve">I. THÔNG TIN VỀ DOANH NGHIỆP THẨM ĐỊNH GIÁ </w:t>
      </w:r>
      <w:r/>
    </w:p>
    <w:tbl>
      <w:tblPr>
        <w:tblStyle w:val="1036"/>
        <w:tblInd w:w="-3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385"/>
        <w:gridCol w:w="270"/>
        <w:gridCol w:w="6479"/>
      </w:tblGrid>
      <w:tr>
        <w:trPr>
          <w:trHeight w:val="20"/>
        </w:trPr>
        <w:tc>
          <w:tcPr>
            <w:tcBorders/>
            <w:tcMar>
              <w:left w:w="108" w:type="dxa"/>
              <w:top w:w="0" w:type="dxa"/>
              <w:right w:w="108" w:type="dxa"/>
              <w:bottom w:w="0" w:type="dxa"/>
            </w:tcMar>
            <w:tcW w:w="238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Đơn vị thẩm định</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47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pacing w:val="-4"/>
                <w:sz w:val="24"/>
              </w:rPr>
              <w:t xml:space="preserve">CÔNG TY CỔ PHẦN THẨM ĐỊNH VÀ ĐẦU TƯ TÀI CHÍNH HOA SEN</w:t>
            </w:r>
            <w:r/>
          </w:p>
        </w:tc>
      </w:tr>
      <w:tr>
        <w:trPr>
          <w:trHeight w:val="20"/>
        </w:trPr>
        <w:tc>
          <w:tcPr>
            <w:tcBorders/>
            <w:tcMar>
              <w:left w:w="108" w:type="dxa"/>
              <w:top w:w="0" w:type="dxa"/>
              <w:right w:w="108" w:type="dxa"/>
              <w:bottom w:w="0" w:type="dxa"/>
            </w:tcMar>
            <w:tcW w:w="238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Địa chỉ trụ sở</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47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pacing w:val="-2"/>
                <w:sz w:val="24"/>
              </w:rPr>
              <w:t xml:space="preserve">BT5 - 23, Khu đô thị mới Văn Phú, Phường Kiến Hưng, Thành phố Hà Nội</w:t>
            </w:r>
            <w:r/>
          </w:p>
        </w:tc>
      </w:tr>
      <w:tr>
        <w:trPr>
          <w:trHeight w:val="20"/>
        </w:trPr>
        <w:tc>
          <w:tcPr>
            <w:tcBorders/>
            <w:tcMar>
              <w:left w:w="108" w:type="dxa"/>
              <w:top w:w="0" w:type="dxa"/>
              <w:right w:w="108" w:type="dxa"/>
              <w:bottom w:w="0" w:type="dxa"/>
            </w:tcMar>
            <w:tcW w:w="238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Điện thoại</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6479"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3382"/>
              </w:tabs>
              <w:spacing w:after="60" w:before="60" w:line="276" w:lineRule="auto"/>
              <w:ind w:right="0" w:firstLine="0" w:left="0"/>
              <w:rPr/>
            </w:pPr>
            <w:r>
              <w:rPr>
                <w:rFonts w:ascii="Times New Roman" w:hAnsi="Times New Roman" w:eastAsia="Times New Roman" w:cs="Times New Roman"/>
                <w:color w:val="000000"/>
                <w:sz w:val="24"/>
              </w:rPr>
              <w:t xml:space="preserve">024 2264 4333</w:t>
            </w:r>
            <w:r/>
          </w:p>
        </w:tc>
      </w:tr>
      <w:tr>
        <w:trPr>
          <w:trHeight w:val="20"/>
        </w:trPr>
        <w:tc>
          <w:tcPr>
            <w:tcBorders/>
            <w:tcMar>
              <w:left w:w="108" w:type="dxa"/>
              <w:top w:w="0" w:type="dxa"/>
              <w:right w:w="108" w:type="dxa"/>
              <w:bottom w:w="0" w:type="dxa"/>
            </w:tcMar>
            <w:tcW w:w="238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47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0102708994</w:t>
            </w:r>
            <w:r/>
          </w:p>
        </w:tc>
      </w:tr>
      <w:tr>
        <w:trPr>
          <w:trHeight w:val="20"/>
        </w:trPr>
        <w:tc>
          <w:tcPr>
            <w:tcBorders/>
            <w:tcMar>
              <w:left w:w="108" w:type="dxa"/>
              <w:top w:w="0" w:type="dxa"/>
              <w:right w:w="108" w:type="dxa"/>
              <w:bottom w:w="0" w:type="dxa"/>
            </w:tcMar>
            <w:tcW w:w="238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GCN đủ điều kiện hành nghề</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47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0102708994</w:t>
            </w:r>
            <w:r/>
          </w:p>
        </w:tc>
      </w:tr>
      <w:tr>
        <w:trPr>
          <w:trHeight w:val="20"/>
        </w:trPr>
        <w:tc>
          <w:tcPr>
            <w:tcBorders/>
            <w:tcMar>
              <w:left w:w="108" w:type="dxa"/>
              <w:top w:w="0" w:type="dxa"/>
              <w:right w:w="108" w:type="dxa"/>
              <w:bottom w:w="0" w:type="dxa"/>
            </w:tcMar>
            <w:tcW w:w="238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Tài khoản số</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47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4"/>
                <w:sz w:val="24"/>
              </w:rPr>
              <w:t xml:space="preserve">1505112366666 tại Agribank Chi nhánh Hà Nội II</w:t>
            </w:r>
            <w:r/>
          </w:p>
        </w:tc>
      </w:tr>
      <w:tr>
        <w:trPr>
          <w:trHeight w:val="20"/>
        </w:trPr>
        <w:tc>
          <w:tcPr>
            <w:tcBorders/>
            <w:tcMar>
              <w:left w:w="108" w:type="dxa"/>
              <w:top w:w="0" w:type="dxa"/>
              <w:right w:w="108" w:type="dxa"/>
              <w:bottom w:w="0" w:type="dxa"/>
            </w:tcMar>
            <w:tcW w:w="238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47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b/>
                <w:color w:val="000000"/>
                <w:sz w:val="24"/>
              </w:rPr>
              <w:t xml:space="preserve">Ông Vũ Văn Quân</w:t>
              <w:tab/>
              <w:t xml:space="preserve">Chức vụ: Chủ tịch HĐQT kiêm Tổng Giám Đốc</w:t>
            </w:r>
            <w:r/>
          </w:p>
        </w:tc>
      </w:tr>
    </w:tbl>
    <w:p>
      <w:pPr>
        <w:pBdr>
          <w:top w:val="none" w:color="000000" w:sz="4" w:space="0"/>
          <w:left w:val="none" w:color="000000" w:sz="4" w:space="0"/>
          <w:bottom w:val="none" w:color="000000" w:sz="4" w:space="0"/>
          <w:right w:val="none" w:color="000000" w:sz="4" w:space="0"/>
        </w:pBdr>
        <w:tabs>
          <w:tab w:val="left" w:leader="none" w:pos="284"/>
        </w:tabs>
        <w:spacing w:after="120" w:before="0" w:line="320" w:lineRule="atLeast"/>
        <w:ind w:right="0" w:firstLine="0" w:left="0"/>
        <w:jc w:val="both"/>
        <w:rPr/>
      </w:pPr>
      <w:r>
        <w:rPr>
          <w:rFonts w:ascii="Times New Roman" w:hAnsi="Times New Roman" w:eastAsia="Times New Roman" w:cs="Times New Roman"/>
          <w:b/>
          <w:color w:val="000000"/>
          <w:sz w:val="24"/>
        </w:rPr>
        <w:t xml:space="preserve">II. THÔNG TIN CƠ BẢN VỀ CUỘC THẨM ĐỊNH GIÁ</w:t>
      </w:r>
      <w:r/>
    </w:p>
    <w:p>
      <w:pPr>
        <w:numPr>
          <w:ilvl w:val="0"/>
          <w:numId w:val="42"/>
        </w:numPr>
        <w:pBdr>
          <w:top w:val="none" w:color="000000" w:sz="4" w:space="0"/>
          <w:left w:val="none" w:color="000000" w:sz="4" w:space="0"/>
          <w:bottom w:val="none" w:color="000000" w:sz="4" w:space="0"/>
          <w:right w:val="none" w:color="000000" w:sz="4" w:space="0"/>
        </w:pBdr>
        <w:tabs>
          <w:tab w:val="left" w:leader="none" w:pos="284"/>
        </w:tabs>
        <w:spacing w:after="120" w:before="120" w:line="320" w:lineRule="atLeast"/>
        <w:ind/>
        <w:jc w:val="both"/>
        <w:rPr/>
      </w:pPr>
      <w:r>
        <w:rPr>
          <w:rFonts w:ascii="Times New Roman" w:hAnsi="Times New Roman" w:eastAsia="Times New Roman" w:cs="Times New Roman"/>
          <w:b/>
          <w:color w:val="000000"/>
          <w:sz w:val="24"/>
        </w:rPr>
        <w:t xml:space="preserve">Thông tin cơ bản về cuộc thẩm định giá:</w:t>
      </w:r>
      <w:r/>
    </w:p>
    <w:tbl>
      <w:tblPr>
        <w:tblStyle w:val="103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357"/>
        <w:gridCol w:w="264"/>
        <w:gridCol w:w="6478"/>
      </w:tblGrid>
      <w:tr>
        <w:trPr>
          <w:trHeight w:val="20"/>
        </w:trPr>
        <w:tc>
          <w:tcPr>
            <w:tcBorders/>
            <w:tcMar>
              <w:left w:w="108" w:type="dxa"/>
              <w:top w:w="0" w:type="dxa"/>
              <w:right w:w="108" w:type="dxa"/>
              <w:bottom w:w="0" w:type="dxa"/>
            </w:tcMar>
            <w:tcW w:w="2357"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47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BÀ ĐỖ THỊ MINH TÂM</w:t>
            </w:r>
            <w:r/>
          </w:p>
        </w:tc>
      </w:tr>
      <w:tr>
        <w:trPr>
          <w:trHeight w:val="20"/>
        </w:trPr>
        <w:tc>
          <w:tcPr>
            <w:tcBorders/>
            <w:tcMar>
              <w:left w:w="108" w:type="dxa"/>
              <w:top w:w="0" w:type="dxa"/>
              <w:right w:w="108" w:type="dxa"/>
              <w:bottom w:w="0" w:type="dxa"/>
            </w:tcMar>
            <w:tcW w:w="2357"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CCCD:</w:t>
            </w:r>
            <w:r/>
          </w:p>
        </w:tc>
        <w:tc>
          <w:tcPr>
            <w:tcBorders/>
            <w:tcMar>
              <w:left w:w="108" w:type="dxa"/>
              <w:top w:w="0" w:type="dxa"/>
              <w:right w:w="108" w:type="dxa"/>
              <w:bottom w:w="0" w:type="dxa"/>
            </w:tcMar>
            <w:tcW w:w="2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47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025301001126</w:t>
            </w:r>
            <w:r/>
          </w:p>
        </w:tc>
      </w:tr>
      <w:tr>
        <w:trPr>
          <w:trHeight w:val="20"/>
        </w:trPr>
        <w:tc>
          <w:tcPr>
            <w:tcBorders/>
            <w:tcMar>
              <w:left w:w="108" w:type="dxa"/>
              <w:top w:w="0" w:type="dxa"/>
              <w:right w:w="108" w:type="dxa"/>
              <w:bottom w:w="0" w:type="dxa"/>
            </w:tcMar>
            <w:tcW w:w="2357"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Tài sản thẩm định giá</w:t>
            </w:r>
            <w:r/>
          </w:p>
        </w:tc>
        <w:tc>
          <w:tcPr>
            <w:tcBorders/>
            <w:tcMar>
              <w:left w:w="108" w:type="dxa"/>
              <w:top w:w="0" w:type="dxa"/>
              <w:right w:w="108" w:type="dxa"/>
              <w:bottom w:w="0" w:type="dxa"/>
            </w:tcMar>
            <w:tcW w:w="2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4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88" w:lineRule="auto"/>
              <w:ind w:right="0" w:firstLine="0" w:left="0"/>
              <w:jc w:val="both"/>
              <w:rPr/>
            </w:pPr>
            <w:r>
              <w:rPr>
                <w:rFonts w:ascii="Times New Roman" w:hAnsi="Times New Roman" w:eastAsia="Times New Roman" w:cs="Times New Roman"/>
                <w:b/>
                <w:color w:val="000000"/>
                <w:sz w:val="24"/>
              </w:rPr>
              <w:t xml:space="preserve">Tài sản 1</w:t>
            </w:r>
            <w:r>
              <w:rPr>
                <w:rFonts w:ascii="Times New Roman" w:hAnsi="Times New Roman" w:eastAsia="Times New Roman" w:cs="Times New Roman"/>
                <w:color w:val="000000"/>
                <w:sz w:val="24"/>
              </w:rPr>
              <w:t xml:space="preserve">: Quyền sử dụng đất tại thửa đất số: 67, tờ bản đồ số: 15, có địa chỉ: Khu 6, xã Sơn Cương, huyện Thanh Ba, tỉnh Phú Thọ (nay là xã Chí Tiên, tỉnh Phú Thọ) theo Giấy chứng nhận quyền sử dụng đất, quyền sở hữu nhà ở và tài sản khác gắn liền với đất số: CB82</w:t>
            </w:r>
            <w:r>
              <w:rPr>
                <w:rFonts w:ascii="Times New Roman" w:hAnsi="Times New Roman" w:eastAsia="Times New Roman" w:cs="Times New Roman"/>
                <w:color w:val="000000"/>
                <w:sz w:val="24"/>
              </w:rPr>
              <w:t xml:space="preserve">5064, Số vào sổ cấp GCN: CH 000833 do UBND Huyện Thanh Ba cấp ngày 22/12/2015; chủ sử dụng đất là Ông Đỗ Hữu Nam.</w:t>
            </w:r>
            <w:r/>
          </w:p>
          <w:p>
            <w:pPr>
              <w:pBdr>
                <w:top w:val="none" w:color="000000" w:sz="4" w:space="0"/>
                <w:left w:val="none" w:color="000000" w:sz="4" w:space="0"/>
                <w:bottom w:val="none" w:color="000000" w:sz="4" w:space="0"/>
                <w:right w:val="none" w:color="000000" w:sz="4" w:space="0"/>
              </w:pBdr>
              <w:spacing w:after="120" w:before="120" w:line="288" w:lineRule="auto"/>
              <w:ind w:right="0" w:firstLine="0" w:left="0"/>
              <w:jc w:val="both"/>
              <w:rPr/>
            </w:pPr>
            <w:r>
              <w:rPr>
                <w:rFonts w:ascii="Times New Roman" w:hAnsi="Times New Roman" w:eastAsia="Times New Roman" w:cs="Times New Roman"/>
                <w:b/>
                <w:color w:val="000000"/>
                <w:sz w:val="24"/>
              </w:rPr>
              <w:t xml:space="preserve">Tài sản 2</w:t>
            </w:r>
            <w:r>
              <w:rPr>
                <w:rFonts w:ascii="Times New Roman" w:hAnsi="Times New Roman" w:eastAsia="Times New Roman" w:cs="Times New Roman"/>
                <w:color w:val="000000"/>
                <w:sz w:val="24"/>
              </w:rPr>
              <w:t xml:space="preserve">: Quyền sử dụng đất tại thửa đất số: 497, tờ bản đồ số: 22, có địa chỉ: Khu 6, xã Sơn Cương, huyện Thanh Ba, tỉnh Phú Thọ (nay là xã Chí Tiên, tỉnh Phú Thọ) theo Giấy chứng nhận quyền sử dụng đất, quyền sở hữu nhà ở và tài sản khác gắn liền với đất số: CT </w:t>
            </w:r>
            <w:r>
              <w:rPr>
                <w:rFonts w:ascii="Times New Roman" w:hAnsi="Times New Roman" w:eastAsia="Times New Roman" w:cs="Times New Roman"/>
                <w:color w:val="000000"/>
                <w:sz w:val="24"/>
              </w:rPr>
              <w:t xml:space="preserve">967298, Số vào sổ cấp GCN: Ch 001233 do UBND Huyện Thanh Ba cấp ngày 30/12/2019; chủ sử dụng đất là Ông Đỗ Hữu Nam và vợ Đỗ Thị Minh Tâm (cập nhật ngày 06/01/2025)</w:t>
              <w:tab/>
            </w:r>
            <w:r/>
          </w:p>
        </w:tc>
      </w:tr>
      <w:tr>
        <w:trPr>
          <w:trHeight w:val="20"/>
        </w:trPr>
        <w:tc>
          <w:tcPr>
            <w:tcBorders/>
            <w:tcMar>
              <w:left w:w="108" w:type="dxa"/>
              <w:top w:w="0" w:type="dxa"/>
              <w:right w:w="108" w:type="dxa"/>
              <w:bottom w:w="0" w:type="dxa"/>
            </w:tcMar>
            <w:tcW w:w="2357"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Mục đích thẩm định giá</w:t>
            </w:r>
            <w:r/>
          </w:p>
        </w:tc>
        <w:tc>
          <w:tcPr>
            <w:tcBorders/>
            <w:tcMar>
              <w:left w:w="108" w:type="dxa"/>
              <w:top w:w="0" w:type="dxa"/>
              <w:right w:w="108" w:type="dxa"/>
              <w:bottom w:w="0" w:type="dxa"/>
            </w:tcMar>
            <w:tcW w:w="2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478"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851"/>
              </w:tabs>
              <w:spacing w:after="60" w:before="60" w:line="276" w:lineRule="auto"/>
              <w:ind w:right="0" w:firstLine="0" w:left="0"/>
              <w:jc w:val="both"/>
              <w:rPr/>
            </w:pPr>
            <w:r>
              <w:rPr>
                <w:rFonts w:ascii="Times New Roman" w:hAnsi="Times New Roman" w:eastAsia="Times New Roman" w:cs="Times New Roman"/>
                <w:color w:val="000000"/>
                <w:spacing w:val="-4"/>
                <w:sz w:val="24"/>
              </w:rPr>
              <w:t xml:space="preserve">Kết quả thẩm định giá để khách hàng tham khảo giá trị tài sản phục vụ công tác  vay vốn tại tổ chức tín dụng.</w:t>
            </w:r>
            <w:r/>
          </w:p>
        </w:tc>
      </w:tr>
      <w:tr>
        <w:trPr>
          <w:trHeight w:val="20"/>
        </w:trPr>
        <w:tc>
          <w:tcPr>
            <w:tcBorders/>
            <w:tcMar>
              <w:left w:w="108" w:type="dxa"/>
              <w:top w:w="0" w:type="dxa"/>
              <w:right w:w="108" w:type="dxa"/>
              <w:bottom w:w="0" w:type="dxa"/>
            </w:tcMar>
            <w:tcW w:w="2357"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12"/>
                <w:sz w:val="24"/>
              </w:rPr>
              <w:t xml:space="preserve">Cơ sở giá trị thẩm định giá</w:t>
            </w:r>
            <w:r/>
          </w:p>
        </w:tc>
        <w:tc>
          <w:tcPr>
            <w:tcBorders/>
            <w:tcMar>
              <w:left w:w="108" w:type="dxa"/>
              <w:top w:w="0" w:type="dxa"/>
              <w:right w:w="108" w:type="dxa"/>
              <w:bottom w:w="0" w:type="dxa"/>
            </w:tcMar>
            <w:tcW w:w="2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478"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851"/>
              </w:tabs>
              <w:spacing w:after="60" w:before="60" w:line="276" w:lineRule="auto"/>
              <w:ind w:right="0" w:firstLine="0" w:left="0"/>
              <w:jc w:val="both"/>
              <w:rPr/>
            </w:pPr>
            <w:r>
              <w:rPr>
                <w:rFonts w:ascii="Times New Roman" w:hAnsi="Times New Roman" w:eastAsia="Times New Roman" w:cs="Times New Roman"/>
                <w:color w:val="000000"/>
                <w:spacing w:val="-4"/>
                <w:sz w:val="24"/>
              </w:rPr>
              <w:t xml:space="preserve">Giá trị thị trường.</w:t>
            </w:r>
            <w:r/>
          </w:p>
        </w:tc>
      </w:tr>
      <w:tr>
        <w:trPr>
          <w:trHeight w:val="20"/>
        </w:trPr>
        <w:tc>
          <w:tcPr>
            <w:tcBorders/>
            <w:tcMar>
              <w:left w:w="108" w:type="dxa"/>
              <w:top w:w="0" w:type="dxa"/>
              <w:right w:w="108" w:type="dxa"/>
              <w:bottom w:w="0" w:type="dxa"/>
            </w:tcMar>
            <w:tcW w:w="2357"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rPr>
              <w:t xml:space="preserve">Thời điểm thẩm định giá</w:t>
            </w:r>
            <w:r/>
          </w:p>
        </w:tc>
        <w:tc>
          <w:tcPr>
            <w:tcBorders/>
            <w:tcMar>
              <w:left w:w="108" w:type="dxa"/>
              <w:top w:w="0" w:type="dxa"/>
              <w:right w:w="108" w:type="dxa"/>
              <w:bottom w:w="0" w:type="dxa"/>
            </w:tcMar>
            <w:tcW w:w="2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4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Tháng 04/2026.</w:t>
            </w:r>
            <w:r/>
          </w:p>
        </w:tc>
      </w:tr>
      <w:tr>
        <w:trPr>
          <w:trHeight w:val="20"/>
        </w:trPr>
        <w:tc>
          <w:tcPr>
            <w:tcBorders/>
            <w:tcMar>
              <w:left w:w="108" w:type="dxa"/>
              <w:top w:w="0" w:type="dxa"/>
              <w:right w:w="108" w:type="dxa"/>
              <w:bottom w:w="0" w:type="dxa"/>
            </w:tcMar>
            <w:tcW w:w="2357"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rPr>
              <w:t xml:space="preserve">Địa điểm thẩm định giá</w:t>
            </w:r>
            <w:r/>
          </w:p>
        </w:tc>
        <w:tc>
          <w:tcPr>
            <w:tcBorders/>
            <w:tcMar>
              <w:left w:w="108" w:type="dxa"/>
              <w:top w:w="0" w:type="dxa"/>
              <w:right w:w="108" w:type="dxa"/>
              <w:bottom w:w="0" w:type="dxa"/>
            </w:tcMar>
            <w:tcW w:w="2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4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Xã Chí Tiên, tỉnh Phú Thọ</w:t>
            </w:r>
            <w:r/>
          </w:p>
        </w:tc>
      </w:tr>
      <w:tr>
        <w:trPr>
          <w:trHeight w:val="20"/>
        </w:trPr>
        <w:tc>
          <w:tcPr>
            <w:tcBorders/>
            <w:tcMar>
              <w:left w:w="108" w:type="dxa"/>
              <w:top w:w="0" w:type="dxa"/>
              <w:right w:w="108" w:type="dxa"/>
              <w:bottom w:w="0" w:type="dxa"/>
            </w:tcMar>
            <w:tcW w:w="2357"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rPr>
              <w:t xml:space="preserve">Thời điểm khảo sát</w:t>
            </w:r>
            <w:r/>
          </w:p>
        </w:tc>
        <w:tc>
          <w:tcPr>
            <w:tcBorders/>
            <w:tcMar>
              <w:left w:w="108" w:type="dxa"/>
              <w:top w:w="0" w:type="dxa"/>
              <w:right w:w="108" w:type="dxa"/>
              <w:bottom w:w="0" w:type="dxa"/>
            </w:tcMar>
            <w:tcW w:w="2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4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Tháng 04/2026.</w:t>
            </w: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2"/>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2"/>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2"/>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2"/>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2"/>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2"/>
        <w:numPr>
          <w:ilvl w:val="0"/>
          <w:numId w:val="1"/>
        </w:numPr>
        <w:pBdr/>
        <w:tabs>
          <w:tab w:val="left" w:leader="none" w:pos="993"/>
        </w:tabs>
        <w:spacing w:after="120" w:before="120" w:line="276" w:lineRule="auto"/>
        <w:ind/>
        <w:jc w:val="both"/>
        <w:rPr>
          <w:lang w:val="pt-BR"/>
        </w:rPr>
      </w:pPr>
      <w:r>
        <w:rPr>
          <w:lang w:val="pt-BR"/>
        </w:rPr>
        <w:t xml:space="preserve">Luật Giá số 16/2023/QH15 ngày 19/6/2023;</w:t>
      </w:r>
      <w:r>
        <w:rPr>
          <w:lang w:val="pt-BR"/>
        </w:rPr>
      </w:r>
      <w:r>
        <w:rPr>
          <w:lang w:val="pt-BR"/>
        </w:rPr>
      </w:r>
    </w:p>
    <w:p>
      <w:pPr>
        <w:pStyle w:val="1032"/>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2"/>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2"/>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2"/>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2"/>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2"/>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2"/>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2"/>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2"/>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2"/>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2"/>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2"/>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2"/>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2"/>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2"/>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2"/>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2"/>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32"/>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2"/>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2"/>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2"/>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bCs/>
        </w:rPr>
        <w:t xml:space="preserve">-   </w:t>
      </w: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CB825064, Số vào sổ cấp GCN: CH 000833 do UBND Huyện Thanh Ba cấp ngày 22/12/2015; chủ sử dụng đất là Ông Đỗ Hữu Nam.</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   Giấy chứng nhận quyền sử dụng đất, quyền sở hữu nhà ở và tài sản khác gắn liền với đất số: CT 967298, Số vào sổ cấp GCN: Ch 001233 do UBND Huyện Thanh Ba cấp ngày 30/12/2019; chủ sử dụng đất là Ông Đỗ Hữu Nam và vợ Đỗ Thị Minh Tâm (cập nhật ngày 06</w:t>
      </w:r>
      <w:r>
        <w:rPr>
          <w:rFonts w:ascii="Times New Roman" w:hAnsi="Times New Roman" w:eastAsia="Times New Roman" w:cs="Times New Roman"/>
          <w:color w:val="000000"/>
          <w:sz w:val="24"/>
        </w:rPr>
        <w:t xml:space="preserve">/01/2025)</w:t>
        <w:tab/>
      </w:r>
      <w:r>
        <w:rPr>
          <w:rFonts w:ascii="Times New Roman" w:hAnsi="Times New Roman" w:eastAsia="Times New Roman" w:cs="Times New Roman"/>
          <w:sz w:val="24"/>
        </w:rPr>
      </w:r>
      <w:r/>
    </w:p>
    <w:p>
      <w:pPr>
        <w:pBdr/>
        <w:spacing w:after="120" w:before="120" w:line="276" w:lineRule="auto"/>
        <w:ind/>
        <w:jc w:val="both"/>
        <w:rPr/>
      </w:pPr>
      <w:r>
        <w:rPr>
          <w:b/>
          <w:lang w:val="pt-BR"/>
        </w:rPr>
        <w:t xml:space="preserve">b. Hồ sơ khác</w:t>
      </w:r>
      <w:r>
        <w:rPr>
          <w:b/>
          <w:lang w:val="vi-VN"/>
        </w:rPr>
        <w:t xml:space="preserve">:</w:t>
      </w:r>
      <w:r/>
    </w:p>
    <w:p>
      <w:pPr>
        <w:pStyle w:val="1032"/>
        <w:numPr>
          <w:ilvl w:val="0"/>
          <w:numId w:val="2"/>
        </w:numPr>
        <w:pBdr/>
        <w:tabs>
          <w:tab w:val="left" w:leader="none" w:pos="993"/>
        </w:tabs>
        <w:spacing w:after="120" w:before="120" w:line="276" w:lineRule="auto"/>
        <w:ind/>
        <w:jc w:val="both"/>
        <w:rPr>
          <w:b/>
          <w:lang w:val="pt-BR"/>
        </w:rPr>
      </w:pPr>
      <w:r>
        <w:rPr>
          <w:color w:val="000000" w:themeColor="text1"/>
          <w:lang w:val="pt-BR"/>
        </w:rPr>
      </w:r>
      <w:r>
        <w:rPr>
          <w:rFonts w:ascii="Times New Roman" w:hAnsi="Times New Roman" w:eastAsia="Times New Roman" w:cs="Times New Roman"/>
          <w:color w:val="000000"/>
          <w:sz w:val="24"/>
        </w:rPr>
        <w:t xml:space="preserve">Hợp đồng số 275/2026/0514/VFI-HĐTĐ.63.A ngày 1/4/2026 giữa Bà Đỗ Thị Minh Tâm  với Công ty Cổ phần Thẩm định và Đầu tư Tài chính Hoa Sen</w:t>
      </w:r>
      <w:r>
        <w:rPr>
          <w:b/>
          <w:lang w:val="pt-BR"/>
        </w:rPr>
      </w:r>
      <w:r>
        <w:rPr>
          <w:b/>
          <w:lang w:val="pt-BR"/>
        </w:rPr>
      </w:r>
    </w:p>
    <w:p>
      <w:pPr>
        <w:pStyle w:val="1032"/>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highlight w:val="none"/>
          <w:lang w:val="pt-BR"/>
        </w:rPr>
      </w:pPr>
      <w:r>
        <w:rPr>
          <w:b/>
          <w:bCs/>
          <w:lang w:val="pt-BR"/>
        </w:rPr>
        <w:t xml:space="preserve">III</w:t>
      </w:r>
      <w:r>
        <w:rPr>
          <w:b/>
          <w:bCs/>
          <w:lang w:val="pt-BR"/>
        </w:rPr>
        <w:t xml:space="preserve">. TỔNG QUAN VỀ THỊ TRƯỜNG CỦA TÀI SẢN THẨM ĐỊNH GIÁ</w:t>
      </w:r>
      <w:r>
        <w:rPr>
          <w:b/>
          <w:bCs/>
          <w:lang w:val="pt-BR"/>
        </w:rPr>
      </w:r>
      <w:r>
        <w:rPr>
          <w:b/>
          <w:bCs/>
          <w:highlight w:val="none"/>
          <w:lang w:val="pt-BR"/>
        </w:rPr>
      </w:r>
    </w:p>
    <w:p>
      <w:pPr>
        <w:pBdr>
          <w:top w:val="none" w:color="000000" w:sz="4" w:space="0"/>
          <w:left w:val="none" w:color="000000" w:sz="4" w:space="0"/>
          <w:bottom w:val="none" w:color="000000" w:sz="4" w:space="0"/>
          <w:right w:val="none" w:color="000000" w:sz="4" w:space="0"/>
        </w:pBdr>
        <w:spacing/>
        <w:ind w:right="0" w:firstLine="0" w:left="0"/>
        <w:rPr/>
      </w:pPr>
      <w:r>
        <w:t xml:space="preserve">Thị trường bất động sản Phú Thọ thời gian gần đây ghi nhận nhiều biến động đáng chú ý, đặc biệt trong bối cảnh xuất hiện thông tin liên quan đến khả năng sáp nhập tỉnh. Yếu tố này đã tạo ra làn sóng quan tâm mạnh mẽ từ giới đầu tư, góp phần khiến thị trườn</w:t>
      </w:r>
      <w:r>
        <w:t xml:space="preserve">g trở nên sôi động hơn sau giai đoạn trầm lắng kéo dài.</w:t>
      </w:r>
      <w:r/>
    </w:p>
    <w:p>
      <w:pPr>
        <w:pBdr>
          <w:top w:val="none" w:color="000000" w:sz="4" w:space="0"/>
          <w:left w:val="none" w:color="000000" w:sz="4" w:space="0"/>
          <w:bottom w:val="none" w:color="000000" w:sz="4" w:space="0"/>
          <w:right w:val="none" w:color="000000" w:sz="4" w:space="0"/>
        </w:pBdr>
        <w:spacing/>
        <w:ind w:right="0" w:firstLine="0" w:left="0"/>
        <w:rPr/>
      </w:pPr>
      <w:r>
        <w:t xml:space="preserve">Điểm nổi bật đầu tiên là sự gia tăng nhanh chóng về mức độ quan tâm của nhà đầu tư. Lượng tìm kiếm và giao dịch bất động sản tại Phú Thọ, đặc biệt ở khu vực trung tâm như thành phố Việt Trì, tăng rõ rệt trong thời gian ngắn. Nguyên nhân chủ yếu đến từ kỳ v</w:t>
      </w:r>
      <w:r>
        <w:t xml:space="preserve">ọng về sự thay đổi hành chính, khi nhiều người tin rằng nếu Phú Thọ trở thành trung tâm hành chính mới sau sáp nhập, giá trị bất động sản sẽ tăng đáng kể.</w:t>
      </w:r>
      <w:r/>
    </w:p>
    <w:p>
      <w:pPr>
        <w:pBdr>
          <w:top w:val="none" w:color="000000" w:sz="4" w:space="0"/>
          <w:left w:val="none" w:color="000000" w:sz="4" w:space="0"/>
          <w:bottom w:val="none" w:color="000000" w:sz="4" w:space="0"/>
          <w:right w:val="none" w:color="000000" w:sz="4" w:space="0"/>
        </w:pBdr>
        <w:spacing/>
        <w:ind w:right="0" w:firstLine="0" w:left="0"/>
        <w:rPr/>
      </w:pPr>
      <w:r>
        <w:t xml:space="preserve">Cùng với sự gia tăng nhu cầu, giá đất tại nhiều khu vực cũng có xu hướng đi lên. Một số nơi ghi nhận mức tăng từ 10–15% so với trước đó, đặc biệt tại các khu đô thị trung tâm. Đất nền trở thành phân khúc thu hút dòng tiền mạnh nhất do tính nhạy cảm với thô</w:t>
      </w:r>
      <w:r>
        <w:t xml:space="preserve">ng tin quy hoạch. Nhiều khu vực như Thanh Miếu, Gia Cẩm, Thọ Sơn hay Bến Gót ghi nhận tình trạng giá tăng nhanh và hoạt động mua bán nhộn nhịp hơn so với trước.</w:t>
      </w:r>
      <w:r/>
    </w:p>
    <w:p>
      <w:pPr>
        <w:pBdr>
          <w:top w:val="none" w:color="000000" w:sz="4" w:space="0"/>
          <w:left w:val="none" w:color="000000" w:sz="4" w:space="0"/>
          <w:bottom w:val="none" w:color="000000" w:sz="4" w:space="0"/>
          <w:right w:val="none" w:color="000000" w:sz="4" w:space="0"/>
        </w:pBdr>
        <w:spacing/>
        <w:ind w:right="0" w:firstLine="0" w:left="0"/>
        <w:rPr/>
      </w:pPr>
      <w:r>
        <w:t xml:space="preserve">Tuy nhiên, sự sôi động này chưa phản ánh đầy đủ tính bền vững của thị trường. Một thực tế đáng chú ý là dù giá có xu hướng tăng, nhưng lượng giao dịch thực tế thông qua các sàn chính thức lại không tăng tương ứng, thậm chí vẫn ở mức hạn chế. Điều này cho t</w:t>
      </w:r>
      <w:r>
        <w:t xml:space="preserve">hấy phần lớn hoạt động mua bán có thể đến từ đầu cơ hoặc giao dịch nhỏ lẻ, thay vì nhu cầu ở thực hoặc đầu tư dài hạn.</w:t>
      </w:r>
      <w:r/>
    </w:p>
    <w:p>
      <w:pPr>
        <w:pBdr>
          <w:top w:val="none" w:color="000000" w:sz="4" w:space="0"/>
          <w:left w:val="none" w:color="000000" w:sz="4" w:space="0"/>
          <w:bottom w:val="none" w:color="000000" w:sz="4" w:space="0"/>
          <w:right w:val="none" w:color="000000" w:sz="4" w:space="0"/>
        </w:pBdr>
        <w:spacing/>
        <w:ind w:right="0" w:firstLine="0" w:left="0"/>
        <w:rPr/>
      </w:pPr>
      <w:r>
        <w:t xml:space="preserve">Bên cạnh đó, hiện tượng “sốt đất cục bộ” đã xuất hiện tại một số khu vực. Một số môi giới và nhà đầu tư lợi dụng thông tin sáp nhập để đẩy giá lên cao, tạo tâm lý sợ bỏ lỡ cơ hội trên thị trường. Đây là yếu tố tiềm ẩn nhiều rủi ro, bởi các đợt tăng giá dựa</w:t>
      </w:r>
      <w:r>
        <w:t xml:space="preserve"> trên tin đồn hoặc kỳ vọng ngắn hạn thường không bền vững và có thể dẫn đến tình trạng bong bóng bất động sản.</w:t>
      </w:r>
      <w:r/>
    </w:p>
    <w:p>
      <w:pPr>
        <w:pBdr>
          <w:top w:val="none" w:color="000000" w:sz="4" w:space="0"/>
          <w:left w:val="none" w:color="000000" w:sz="4" w:space="0"/>
          <w:bottom w:val="none" w:color="000000" w:sz="4" w:space="0"/>
          <w:right w:val="none" w:color="000000" w:sz="4" w:space="0"/>
        </w:pBdr>
        <w:spacing/>
        <w:ind w:right="0" w:firstLine="0" w:left="0"/>
        <w:rPr/>
      </w:pPr>
      <w:r>
        <w:t xml:space="preserve">Các chuyên gia nhận định rằng giá trị bất động sản chỉ có thể tăng trưởng ổn định khi đi kèm với các yếu tố nền tảng như hạ tầng, kinh tế và quy hoạch. Nếu việc sáp nhập diễn ra, đây có thể là động lực thúc đẩy phát triển khu vực thông qua đầu tư hạ tầng, </w:t>
      </w:r>
      <w:r>
        <w:t xml:space="preserve">tăng cường kết nối vùng và mở rộng các khu công nghiệp. Tuy nhiên, những tác động tích cực này cần thời gian để hiện thực hóa và không thể phản ánh ngay lập tức vào giá đất trong ngắn hạn.</w:t>
      </w:r>
      <w:r/>
    </w:p>
    <w:p>
      <w:pPr>
        <w:pBdr>
          <w:top w:val="none" w:color="000000" w:sz="4" w:space="0"/>
          <w:left w:val="none" w:color="000000" w:sz="4" w:space="0"/>
          <w:bottom w:val="none" w:color="000000" w:sz="4" w:space="0"/>
          <w:right w:val="none" w:color="000000" w:sz="4" w:space="0"/>
        </w:pBdr>
        <w:spacing/>
        <w:ind w:right="0" w:firstLine="0" w:left="0"/>
        <w:rPr/>
      </w:pPr>
      <w:r>
        <w:t xml:space="preserve">Ngoài ra, thị trường cũng đang có sự phân hóa rõ rệt giữa các khu vực. Những nơi có vị trí trung tâm, hạ tầng phát triển hoặc gần khu công nghiệp có tiềm năng tăng giá tốt hơn. Ngược lại, các khu vực xa trung tâm hoặc thiếu kết nối hạ tầng có thể không hưở</w:t>
      </w:r>
      <w:r>
        <w:t xml:space="preserve">ng lợi nhiều từ thông tin sáp nhập, thậm chí rơi vào tình trạng kém hấp dẫn hơn đối với nhà đầu tư.</w:t>
      </w:r>
      <w:r/>
    </w:p>
    <w:p>
      <w:pPr>
        <w:pBdr>
          <w:top w:val="none" w:color="000000" w:sz="4" w:space="0"/>
          <w:left w:val="none" w:color="000000" w:sz="4" w:space="0"/>
          <w:bottom w:val="none" w:color="000000" w:sz="4" w:space="0"/>
          <w:right w:val="none" w:color="000000" w:sz="4" w:space="0"/>
        </w:pBdr>
        <w:spacing/>
        <w:ind w:right="0" w:firstLine="0" w:left="0"/>
        <w:rPr/>
      </w:pPr>
      <w:r>
        <w:t xml:space="preserve">Tổng thể, thị trường bất động sản Phú Thọ đang trong giai đoạn chuyển đổi từ trầm lắng sang sôi động nhờ tác động của thông tin sáp nhập. Mặc dù mở ra nhiều cơ hội trong dài hạn, đặc biệt nếu có sự cải thiện về hạ tầng và quy hoạch, nhưng thị trường hiện t</w:t>
      </w:r>
      <w:r>
        <w:t xml:space="preserve">ại vẫn tiềm ẩn không ít rủi ro do yếu tố đầu cơ và tâm lý đám đông. Vì vậy, nhà đầu tư cần thận trọng, ưu tiên đánh giá dựa trên các yếu tố thực tế như quy hoạch, vị trí và tiềm năng phát triển kinh tế, thay vì chạy theo các cơn sốt ngắn hạn.</w:t>
      </w:r>
      <w:r/>
    </w:p>
    <w:p>
      <w:pPr>
        <w:pBdr>
          <w:top w:val="none" w:color="000000" w:sz="4" w:space="0"/>
          <w:left w:val="none" w:color="000000" w:sz="4" w:space="0"/>
          <w:bottom w:val="none" w:color="000000" w:sz="4" w:space="0"/>
          <w:right w:val="none" w:color="000000" w:sz="4" w:space="0"/>
        </w:pBdr>
        <w:spacing/>
        <w:ind w:right="0" w:firstLine="0" w:left="0"/>
        <w:rPr/>
      </w:pPr>
      <w:r>
        <w:t xml:space="preserve">(Nguồn: https://onehousing.vn/blog/thi-truong-bat-dong-san-phu-tho-vinh-phuc-hoa-binh-day-song-truoc-thong-tin-sap-nhap-tinh-n17t)</w:t>
      </w:r>
      <w:r>
        <w:rPr>
          <w:rFonts w:ascii="Times New Roman" w:hAnsi="Times New Roman" w:eastAsia="Times New Roman" w:cs="Times New Roman"/>
          <w:sz w:val="24"/>
        </w:rPr>
      </w:r>
      <w:r/>
    </w:p>
    <w:p>
      <w:pPr>
        <w:pStyle w:val="1032"/>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p>
      <w:pPr>
        <w:pStyle w:val="1032"/>
        <w:pBdr/>
        <w:tabs>
          <w:tab w:val="left" w:leader="none" w:pos="993"/>
        </w:tabs>
        <w:spacing w:after="120" w:before="120" w:line="276" w:lineRule="auto"/>
        <w:ind w:left="0"/>
        <w:jc w:val="both"/>
        <w:rPr>
          <w:b/>
          <w:bCs/>
          <w:i/>
          <w:iCs/>
          <w:lang w:val="pt-BR"/>
        </w:rPr>
      </w:pPr>
      <w:r>
        <w:rPr>
          <w:b/>
          <w:bCs/>
          <w:i/>
          <w:iCs/>
          <w:lang w:val="pt-BR"/>
        </w:rPr>
        <w:t xml:space="preserve">Tài sản </w:t>
      </w:r>
      <w:r>
        <w:rPr>
          <w:b/>
          <w:bCs/>
          <w:i/>
          <w:iCs/>
          <w:lang w:val="pt-BR"/>
        </w:rPr>
        <w:t xml:space="preserve">0</w:t>
      </w:r>
      <w:r>
        <w:rPr>
          <w:b/>
          <w:bCs/>
          <w:i/>
          <w:iCs/>
          <w:lang w:val="pt-BR"/>
        </w:rPr>
        <w:t xml:space="preserve">1:</w:t>
      </w:r>
      <w:r>
        <w:rPr>
          <w:b/>
          <w:bCs/>
          <w:i/>
          <w:iCs/>
          <w:lang w:val="pt-BR"/>
        </w:rPr>
      </w:r>
      <w:r>
        <w:rPr>
          <w:b/>
          <w:bCs/>
          <w:i/>
          <w:i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tại thửa đất số: 67, tờ bản đồ số: 15, có địa chỉ: Khu 6, xã Sơn Cương, huyện Thanh Ba, tỉnh Phú Thọ (nay là xã Chí Tiên, tỉnh Phú Thọ) theo Giấy chứng nhận quyền sử dụng đất, quyền sở hữu nhà ở và tài sản khác gắn liền với đất số: CB8250</w:t>
            </w:r>
            <w:r>
              <w:rPr>
                <w:rFonts w:ascii="Times New Roman" w:hAnsi="Times New Roman" w:eastAsia="Times New Roman" w:cs="Times New Roman"/>
                <w:b/>
                <w:color w:val="000000"/>
                <w:sz w:val="24"/>
              </w:rPr>
              <w:t xml:space="preserve">64, Số vào sổ cấp GCN: CH 000833 do UBND Huyện Thanh Ba cấp ngày 22/12/2015; chủ sử dụng đất là Ông Đỗ Hữu Nam.</w:t>
            </w: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674</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w:t>
            </w: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Xã Chí Tiên, tỉnh Phú Thọ</w:t>
            </w: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850</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w:t>
            </w: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nông thôn: 100m2</w:t>
              <w:br/>
              <w:t xml:space="preserve"> Đất trồng cây lâu năm: 750m2</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nông thôn: Lâu dài</w:t>
              <w:br/>
              <w:t xml:space="preserve"> Đất trồng cây lâu năm: Có thời hạn</w:t>
            </w: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Nhận tặng cho đất được Công nhận quyền sử dụng đất như giao đất có thu tiền sử dụng đất</w:t>
            </w:r>
            <w:r/>
          </w:p>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Nhận tặng cho đất được Công nhận quyền sử dụng đất như giao đất không thu tiền sử dụng đất </w:t>
            </w: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theo thông tin chủ tài sản cung cấp, Tổ thẩm định không thu được bất kỳ thông tin quy hoạch nào liên quan đến thửa đất.</w:t>
            </w: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Ngõ giao thông</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Tiếp giáp 1 mặt tiền</w:t>
            </w: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 (m):</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 (m):</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w:t>
            </w: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 (m):</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Cách DT320 khoảng 2,2km</w:t>
            </w: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 </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Nam: tiếp giáp ngõ giao thông</w:t>
              <w:br/>
              <w:t xml:space="preserve"> Các hướng còn lại: tiếp giáp các thửa đất khác </w:t>
            </w: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(21.416428, 105.173979)</w:t>
            </w: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mc:AlternateContent>
                <mc:Choice Requires="wpg">
                  <w:drawing>
                    <wp:inline xmlns:wp="http://schemas.openxmlformats.org/drawingml/2006/wordprocessingDrawing" distT="0" distB="0" distL="0" distR="0">
                      <wp:extent cx="5438775" cy="263842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781006" name=""/>
                              <pic:cNvPicPr>
                                <a:picLocks noChangeAspect="1"/>
                              </pic:cNvPicPr>
                              <pic:nvPr/>
                            </pic:nvPicPr>
                            <pic:blipFill rotWithShape="1">
                              <a:blip r:embed="rId17"/>
                              <a:stretch/>
                            </pic:blipFill>
                            <pic:spPr bwMode="auto">
                              <a:xfrm>
                                <a:off x="0" y="0"/>
                                <a:ext cx="5438774" cy="26384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8.25pt;height:207.75pt;mso-wrap-distance-left:0.00pt;mso-wrap-distance-top:0.00pt;mso-wrap-distance-right:0.00pt;mso-wrap-distance-bottom:0.00pt;z-index:1;" stroked="false">
                      <v:imagedata r:id="rId17" o:title=""/>
                      <o:lock v:ext="edit" rotation="t"/>
                    </v:shape>
                  </w:pict>
                </mc:Fallback>
              </mc:AlternateContent>
            </w: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850</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20,5</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47.4</w:t>
            </w: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Đa giác khác</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Nam</w:t>
            </w: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cấp nước: Nước máy, Hạ tầng thoát nước: Rãnh có nắp, Hạ tầng cấp điện: Điện lưới, Hạ tầng thông tin liên lạc: Điện thoại, Mạng internet, Truyền hình cáp</w:t>
            </w: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khu dân cư</w:t>
            </w: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Trung bình</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Khá</w:t>
            </w: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 có lợi thế kinh doanh</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Trung bình</w:t>
            </w:r>
            <w:r/>
          </w:p>
        </w:tc>
      </w:tr>
    </w:tbl>
    <w:p>
      <w:pPr>
        <w:pStyle w:val="1032"/>
        <w:pBdr/>
        <w:tabs>
          <w:tab w:val="left" w:leader="none" w:pos="993"/>
        </w:tabs>
        <w:spacing w:after="120" w:before="120" w:line="276" w:lineRule="auto"/>
        <w:ind w:left="0"/>
        <w:jc w:val="both"/>
        <w:rPr>
          <w:b/>
          <w:bCs/>
          <w:i/>
          <w:iCs/>
          <w:lang w:val="pt-BR"/>
        </w:rPr>
      </w:pPr>
      <w:r>
        <w:rPr>
          <w:b/>
          <w:bCs/>
          <w:i/>
          <w:iCs/>
          <w:lang w:val="pt-BR"/>
        </w:rPr>
        <w:t xml:space="preserve">Tài sản </w:t>
      </w:r>
      <w:r>
        <w:rPr>
          <w:b/>
          <w:bCs/>
          <w:i/>
          <w:iCs/>
          <w:lang w:val="pt-BR"/>
        </w:rPr>
        <w:t xml:space="preserve">0</w:t>
      </w:r>
      <w:r>
        <w:rPr>
          <w:b/>
          <w:bCs/>
          <w:i/>
          <w:iCs/>
          <w:lang w:val="pt-BR"/>
        </w:rPr>
        <w:t xml:space="preserve">2</w:t>
      </w:r>
      <w:r>
        <w:rPr>
          <w:b/>
          <w:bCs/>
          <w:i/>
          <w:iCs/>
          <w:lang w:val="pt-BR"/>
        </w:rPr>
        <w:t xml:space="preserve">:</w:t>
      </w:r>
      <w:r>
        <w:rPr>
          <w:b/>
          <w:bCs/>
          <w:i/>
          <w:iCs/>
          <w:lang w:val="pt-BR"/>
        </w:rPr>
      </w:r>
      <w:r>
        <w:rPr>
          <w:b/>
          <w:bCs/>
          <w:i/>
          <w:i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tại thửa đất số: 497, tờ bản đồ số: 22, có địa chỉ: Khu 6, xã Sơn Cương, huyện Thanh Ba, tỉnh Phú Thọ (nay là xã Chí Tiên, tỉnh Phú Thọ) theo Giấy chứng nhận quyền sử dụng đất, quyền sở hữu nhà ở và tài sản khác gắn liền với đất số: CT 96</w:t>
            </w:r>
            <w:r>
              <w:rPr>
                <w:rFonts w:ascii="Times New Roman" w:hAnsi="Times New Roman" w:eastAsia="Times New Roman" w:cs="Times New Roman"/>
                <w:b/>
                <w:color w:val="000000"/>
                <w:sz w:val="24"/>
              </w:rPr>
              <w:t xml:space="preserve">7298, Số vào sổ cấp GCN: Ch 001233 do UBND Huyện Thanh Ba cấp ngày 30/12/2019; chủ sử dụng đất là Ông Đỗ Hữu Nam và vợ Đỗ Thị Minh Tâm (cập nhật ngày 06/01/2025)</w:t>
              <w:tab/>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497</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22</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Xã Chí Tiên, tỉnh Phú Thọ</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458,2</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nông thôn: 200m2</w:t>
              <w:br/>
              <w:t xml:space="preserve"> Đất trồng cây lâu năm: 258,2m2</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Nhận tặng cho đất được Công nhận quyền sử dụng đất như giao đất có thu tiền sử dụng đất</w:t>
            </w:r>
            <w:r/>
          </w:p>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Nhận tặng cho đất được Công nhận quyền sử dụng đất như giao đất không thu tiền sử dụng đất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theo thông tin chủ tài sản cung cấp, Tổ thẩm định không thu được bất kỳ thông tin quy hoạch nào liên quan đến thửa đất.</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Ngõ giao thông</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Tiếp giáp 1 mặt tiền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 (m):</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 (m):</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 (m):</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Cách DT320 khoảng 1,9km</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 </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Bắc: tiếp giáp ngõ giao thông</w:t>
              <w:br/>
              <w:t xml:space="preserve"> Các hướng còn lại tiếp giáp các thửa đất khác </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(21.415352, 105.172428)</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mc:AlternateContent>
                <mc:Choice Requires="wpg">
                  <w:drawing>
                    <wp:inline xmlns:wp="http://schemas.openxmlformats.org/drawingml/2006/wordprocessingDrawing" distT="0" distB="0" distL="0" distR="0">
                      <wp:extent cx="5438775" cy="261937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477545" name=""/>
                              <pic:cNvPicPr>
                                <a:picLocks noChangeAspect="1"/>
                              </pic:cNvPicPr>
                              <pic:nvPr/>
                            </pic:nvPicPr>
                            <pic:blipFill rotWithShape="1">
                              <a:blip r:embed="rId18"/>
                              <a:stretch/>
                            </pic:blipFill>
                            <pic:spPr bwMode="auto">
                              <a:xfrm>
                                <a:off x="0" y="0"/>
                                <a:ext cx="5438774" cy="26193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8.25pt;height:206.25pt;mso-wrap-distance-left:0.00pt;mso-wrap-distance-top:0.00pt;mso-wrap-distance-right:0.00pt;mso-wrap-distance-bottom:0.00pt;z-index:1;" stroked="false">
                      <v:imagedata r:id="rId18" o:title=""/>
                      <o:lock v:ext="edit" rotation="t"/>
                    </v:shape>
                  </w:pict>
                </mc:Fallback>
              </mc:AlternateConten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458,2</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47,6</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đối vuông vức</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Bắc</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cấp nước: Nước máy, Hạ tầng thoát nước: Rãnh có nắp, Hạ tầng cấp điện: Điện lưới, Hạ tầng thông tin liên lạc: Điện thoại, Mạng internet, Truyền hình cáp</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khu dân cư </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Thưa thớt</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Khá</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 có lợi thế kinh doanh</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Trung bình</w:t>
            </w:r>
            <w:r/>
          </w:p>
        </w:tc>
      </w:tr>
    </w:tbl>
    <w:p>
      <w:pPr>
        <w:pStyle w:val="1032"/>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2"/>
        <w:numPr>
          <w:ilvl w:val="0"/>
          <w:numId w:val="3"/>
        </w:numPr>
        <w:pBdr/>
        <w:tabs>
          <w:tab w:val="left" w:leader="none" w:pos="993"/>
        </w:tabs>
        <w:spacing w:after="120" w:before="120" w:line="264" w:lineRule="auto"/>
        <w:ind/>
        <w:jc w:val="both"/>
        <w:rPr>
          <w:lang w:val="pt-BR"/>
        </w:rPr>
      </w:pPr>
      <w:r>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Pr>
          <w:lang w:val="pt-BR"/>
        </w:rPr>
        <w:t xml:space="preserve">dịch vụ thẩm định giá khác. Chúng tôi</w:t>
      </w:r>
      <w:r>
        <w:rPr>
          <w:lang w:val="pt-BR"/>
        </w:rPr>
        <w:t xml:space="preserve"> được hoàn toàn miễn trừ mọi trách nhiệm phát </w:t>
      </w:r>
      <w:r>
        <w:rPr>
          <w:lang w:val="pt-BR"/>
        </w:rPr>
        <w:t xml:space="preserve">sinh, liên đới (nếu có) trong trường hợp này.</w:t>
      </w:r>
      <w:r>
        <w:rPr>
          <w:lang w:val="pt-BR"/>
        </w:rPr>
      </w:r>
      <w:r>
        <w:rPr>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2"/>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2"/>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2"/>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2"/>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2"/>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2"/>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làm trọng yếu để xác định giá trị</w:t>
      </w:r>
      <w:r>
        <w:rPr>
          <w:spacing w:val="-4"/>
          <w:lang w:val="pt-BR"/>
        </w:rPr>
        <w:t xml:space="preserve"> quyền sử dụng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2"/>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2"/>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 nằm ngoài quy hoạch</w:t>
      </w:r>
      <w:r>
        <w:rPr>
          <w:b/>
          <w:lang w:val="pt-BR"/>
        </w:rPr>
        <w:t xml:space="preserve">:</w:t>
      </w:r>
      <w:r>
        <w:rPr>
          <w:b/>
          <w:lang w:val="pt-BR"/>
        </w:rPr>
      </w:r>
      <w:r>
        <w:rPr>
          <w:b/>
          <w:lang w:val="pt-BR"/>
        </w:rPr>
      </w:r>
    </w:p>
    <w:p>
      <w:pPr>
        <w:pStyle w:val="1032"/>
        <w:numPr>
          <w:ilvl w:val="0"/>
          <w:numId w:val="39"/>
        </w:numPr>
        <w:pBdr/>
        <w:spacing w:after="120" w:before="120" w:line="276" w:lineRule="auto"/>
        <w:ind w:hanging="426" w:left="426"/>
        <w:jc w:val="both"/>
        <w:rPr>
          <w:b/>
          <w:i/>
          <w:iCs/>
          <w:lang w:val="pt-BR"/>
        </w:rPr>
      </w:pPr>
      <w:r>
        <w:rPr>
          <w:b/>
          <w:i/>
          <w:iCs/>
          <w:lang w:val="pt-BR"/>
        </w:rPr>
        <w:t xml:space="preserve">Tài sản 01:</w:t>
      </w:r>
      <w:r>
        <w:rPr>
          <w:b/>
          <w:i/>
          <w:iCs/>
          <w:lang w:val="pt-BR"/>
        </w:rPr>
      </w:r>
      <w:r>
        <w:rPr>
          <w:b/>
          <w:i/>
          <w:iCs/>
          <w:lang w:val="pt-BR"/>
        </w:rPr>
      </w:r>
    </w:p>
    <w:p>
      <w:pPr>
        <w:pStyle w:val="1032"/>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p>
      <w:pPr>
        <w:pBdr/>
        <w:tabs>
          <w:tab w:val="left" w:leader="none" w:pos="720"/>
        </w:tabs>
        <w:spacing w:after="120" w:before="120" w:line="276" w:lineRule="auto"/>
        <w:ind/>
        <w:jc w:val="both"/>
        <w:rPr>
          <w:b/>
          <w:lang w:val="nl-NL"/>
        </w:rPr>
      </w:pPr>
      <w:r>
        <w:rPr>
          <w:b/>
          <w:lang w:val="nl-NL"/>
        </w:rPr>
      </w:r>
      <w:r>
        <w:rPr>
          <w:b/>
          <w:lang w:val="nl-NL"/>
        </w:rPr>
      </w:r>
      <w:r>
        <w:rPr>
          <w:b/>
          <w:lang w:val="nl-NL"/>
        </w:rPr>
      </w:r>
    </w:p>
    <w:p>
      <w:pPr>
        <w:pBdr/>
        <w:tabs>
          <w:tab w:val="left" w:leader="none" w:pos="720"/>
        </w:tabs>
        <w:spacing w:after="120" w:before="120" w:line="276" w:lineRule="auto"/>
        <w:ind/>
        <w:jc w:val="both"/>
        <w:rPr>
          <w:b/>
          <w:lang w:val="nl-NL"/>
        </w:rPr>
      </w:pPr>
      <w:r>
        <w:rPr>
          <w:b/>
          <w:lang w:val="nl-NL"/>
        </w:rPr>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Chí Tiên, tỉnh Phú Thọ</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Chí Tiên, tỉnh Phú Thọ</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Chí Tiên, tỉnh Phú Thọ</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Chí Tiên, tỉnh Phú Thọ</w:t>
            </w: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https://www.facebook.com/thuat.phung.9277/posts/pfbid0cBtj2nMChhQFaW4j95YpYPAEX4TfUwUsvRxAFKXHfgWjq35sMLKPT1Wq4TGAJu7El</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https://www.facebook.com/luyen.minh.7393/posts/pfbid02jJNurGiuZTFTDT2SSVpv7r3PNKn56tKyEYfjYLDJunVmcCjaXEK3HF3ykaDrDvRtl</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0367062873 </w:t>
              <w:br/>
              <w:t xml:space="preserve"> (Thuật)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0349 613 858</w:t>
              <w:br/>
              <w:t xml:space="preserve"> (Luyến)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0349 613 858</w:t>
              <w:br/>
              <w:t xml:space="preserve"> (Luyến)</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03/2026</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03/2026</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03/2026</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 (100m2), Đất trồng cây lâu năm (750m2)</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 Đất trồng cây lâu năm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 Đất trồng cây lâu năm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 Đất trồng cây lâu năm</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 Lâu dài</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trồng cây lâu năm: Có thời hạn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 Lâu dài</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trồng cây lâu năm: Có thời hạn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 Lâu dài</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trồng cây lâu năm: Có thời hạn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 Lâu dài</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trồng cây lâu năm: Có thời hạn</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Xã Chí Tiên, tỉnh Phú Thọ</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Xã Chí Tiên, tỉnh Phú Thọ</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Xã Chí Tiên, tỉnh Phú Thọ</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Xã Chí Tiên, tỉnh Phú Thọ</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bê tông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bê tông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bê tông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bê tông</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3,5</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850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329,4</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130,6</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318,7</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20,5</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Chiều sâu (m)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47,4</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29,95</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21,77</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26,56</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 giác khác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đối vuông vức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đối vuông vức</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1.250.000.000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480.000.000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1.750.000.000</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937.500.000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384.000.000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1.400.000.000</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Chi tiết tính toán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tài sản trên đất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đất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937.500.000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384.000.000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1.400.000.000</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QSDĐ (đồng/m²)</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2.846.084</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2.940.276</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4.392.846</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138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Chiều sâu (m)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bl>
    <w:p>
      <w:pPr>
        <w:pBdr/>
        <w:tabs>
          <w:tab w:val="left" w:leader="none" w:pos="90"/>
          <w:tab w:val="left" w:leader="none" w:pos="180"/>
        </w:tabs>
        <w:spacing w:after="120" w:before="120" w:line="264" w:lineRule="auto"/>
        <w:ind/>
        <w:jc w:val="both"/>
        <w:rPr>
          <w:b/>
          <w:lang w:val="de-DE"/>
        </w:rPr>
      </w:pPr>
      <w:r>
        <w:rPr>
          <w:lang w:val="it-IT"/>
        </w:rPr>
        <w:t xml:space="preserve"> </w:t>
      </w: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2"/>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639"/>
        <w:gridCol w:w="1405"/>
        <w:gridCol w:w="1522"/>
      </w:tblGrid>
      <w:tr>
        <w:trPr>
          <w:gridAfter w:val="2"/>
          <w:trHeight w:val="20"/>
          <w:tblHeader/>
        </w:trPr>
        <w:tc>
          <w:tcPr>
            <w:shd w:val="clear" w:color="000000" w:fill="ffffff"/>
            <w:tcBorders/>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000000" w:fill="ffffff"/>
            <w:tcBorders/>
            <w:tcW w:w="16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gridAfter w:val="2"/>
          <w:trHeight w:val="20"/>
        </w:trPr>
        <w:tc>
          <w:tcPr>
            <w:shd w:val="clear" w:color="000000" w:fill="ffffff"/>
            <w:tcBorders/>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937.500.000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384.000.000</w:t>
            </w:r>
            <w:r/>
          </w:p>
        </w:tc>
        <w:tc>
          <w:tcPr>
            <w:shd w:val="clear" w:color="000000" w:fill="ffffff"/>
            <w:tcBorders/>
            <w:tcW w:w="16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1.400.000.000</w:t>
            </w:r>
            <w:r/>
          </w:p>
        </w:tc>
      </w:tr>
      <w:tr>
        <w:trPr>
          <w:gridAfter w:val="2"/>
          <w:trHeight w:val="20"/>
        </w:trPr>
        <w:tc>
          <w:tcPr>
            <w:shd w:val="clear" w:color="000000" w:fill="ffffff"/>
            <w:tcBorders/>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2.846.084</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2.940.276</w:t>
            </w:r>
            <w:r/>
          </w:p>
        </w:tc>
        <w:tc>
          <w:tcPr>
            <w:shd w:val="clear" w:color="000000" w:fill="ffffff"/>
            <w:tcBorders/>
            <w:tcW w:w="16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4.392.846</w:t>
            </w:r>
            <w:r/>
          </w:p>
        </w:tc>
      </w:tr>
      <w:tr>
        <w:trPr>
          <w:gridAfter w:val="2"/>
          <w:trHeight w:val="20"/>
        </w:trPr>
        <w:tc>
          <w:tcPr>
            <w:shd w:val="clear" w:color="000000" w:fill="ffffff"/>
            <w:tcBorders/>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000000" w:fill="ffffff"/>
            <w:tcBorders/>
            <w:tcW w:w="16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gridAfter w:val="2"/>
          <w:trHeight w:val="20"/>
        </w:trPr>
        <w:tc>
          <w:tcPr>
            <w:shd w:val="clear" w:color="000000" w:fill="ffffff"/>
            <w:tcBorders/>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p>
            <w:pPr>
              <w:pBdr/>
              <w:spacing/>
              <w:ind/>
              <w:rPr/>
            </w:pPr>
            <w:r/>
            <w:r/>
          </w:p>
          <w:p>
            <w:pPr>
              <w:pBdr/>
              <w:spacing/>
              <w:ind/>
              <w:rPr/>
            </w:pPr>
            <w:r/>
            <w:r/>
          </w:p>
          <w:p>
            <w:pPr>
              <w:pBdr/>
              <w:spacing/>
              <w:ind/>
              <w:rPr/>
            </w:pPr>
            <w: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shd w:val="clear" w:color="000000" w:fill="ffffff"/>
            <w:tcBorders/>
            <w:tcW w:w="16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6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6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2.846.084</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2.940.276</w:t>
            </w:r>
            <w:r/>
          </w:p>
        </w:tc>
        <w:tc>
          <w:tcPr>
            <w:shd w:val="clear" w:color="000000" w:fill="ffffff"/>
            <w:tcBorders/>
            <w:tcW w:w="16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4.392.846</w:t>
            </w:r>
            <w:r/>
          </w:p>
        </w:tc>
      </w:tr>
      <w:tr>
        <w:trPr>
          <w:gridAfter w:val="2"/>
          <w:trHeight w:val="20"/>
        </w:trPr>
        <w:tc>
          <w:tcPr>
            <w:shd w:val="clear" w:color="000000" w:fill="ffffff"/>
            <w:tcBorders/>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p>
            <w:pPr>
              <w:pBdr/>
              <w:spacing/>
              <w:ind/>
              <w:rPr/>
            </w:pPr>
            <w:r/>
            <w:r/>
          </w:p>
          <w:p>
            <w:pPr>
              <w:pBdr/>
              <w:spacing/>
              <w:ind/>
              <w:rPr/>
            </w:pPr>
            <w:r/>
            <w:r/>
          </w:p>
          <w:p>
            <w:pPr>
              <w:pBdr/>
              <w:spacing/>
              <w:ind/>
              <w:rPr/>
            </w:pPr>
            <w: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Mục đích sử dụng</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 (100m2), Đất trồng cây lâu năm (750m2)</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 (200m2), Đất trồng cây lâu năm (129,4m2)</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 (100m2), Đất trồng cây lâu năm (30,6m2)</w:t>
            </w:r>
            <w:r/>
          </w:p>
        </w:tc>
        <w:tc>
          <w:tcPr>
            <w:shd w:val="clear" w:color="000000" w:fill="ffffff"/>
            <w:tcBorders/>
            <w:tcW w:w="16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 (160m2), Đất trồng cây lâu năm (158,7m2)</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6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6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2.846.084</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2.940.276</w:t>
            </w:r>
            <w:r/>
          </w:p>
        </w:tc>
        <w:tc>
          <w:tcPr>
            <w:shd w:val="clear" w:color="000000" w:fill="ffffff"/>
            <w:tcBorders/>
            <w:tcW w:w="16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4.392.846</w:t>
            </w:r>
            <w:r/>
          </w:p>
        </w:tc>
      </w:tr>
      <w:tr>
        <w:trPr>
          <w:gridAfter w:val="2"/>
          <w:trHeight w:val="20"/>
        </w:trPr>
        <w:tc>
          <w:tcPr>
            <w:shd w:val="clear" w:color="000000" w:fill="ffffff"/>
            <w:tcBorders/>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p>
            <w:pPr>
              <w:pBdr/>
              <w:spacing/>
              <w:ind/>
              <w:rPr/>
            </w:pPr>
            <w:r/>
            <w:r/>
          </w:p>
          <w:p>
            <w:pPr>
              <w:pBdr/>
              <w:spacing/>
              <w:ind/>
              <w:rPr/>
            </w:pPr>
            <w:r/>
            <w:r/>
          </w:p>
          <w:p>
            <w:pPr>
              <w:pBdr/>
              <w:spacing/>
              <w:ind/>
              <w:rPr/>
            </w:pPr>
            <w: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Thời hạn sử dụng đất</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 Lâu dài</w:t>
            </w:r>
            <w:r/>
          </w:p>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trồng cây lâu năm: Có thời hạn</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 Lâu dài</w:t>
            </w:r>
            <w:r/>
          </w:p>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trồng cây lâu năm: Có thời hạn</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 Lâu dài</w:t>
            </w:r>
            <w:r/>
          </w:p>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trồng cây lâu năm: Có thời hạn</w:t>
            </w:r>
            <w:r/>
          </w:p>
        </w:tc>
        <w:tc>
          <w:tcPr>
            <w:shd w:val="clear" w:color="000000" w:fill="ffffff"/>
            <w:tcBorders/>
            <w:tcW w:w="16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 Lâu dài</w:t>
            </w:r>
            <w:r/>
          </w:p>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trồng cây lâu năm: Có thời hạn</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6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6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2.846.084</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2.940.276</w:t>
            </w:r>
            <w:r/>
          </w:p>
        </w:tc>
        <w:tc>
          <w:tcPr>
            <w:shd w:val="clear" w:color="000000" w:fill="ffffff"/>
            <w:tcBorders/>
            <w:tcW w:w="16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4.392.846</w:t>
            </w:r>
            <w:r/>
          </w:p>
        </w:tc>
      </w:tr>
      <w:tr>
        <w:trPr>
          <w:gridAfter w:val="2"/>
          <w:trHeight w:val="20"/>
        </w:trPr>
        <w:tc>
          <w:tcPr>
            <w:shd w:val="clear" w:color="000000" w:fill="ffffff"/>
            <w:tcBorders/>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p>
            <w:pPr>
              <w:pBdr/>
              <w:spacing/>
              <w:ind/>
              <w:rPr/>
            </w:pPr>
            <w:r/>
            <w:r/>
          </w:p>
          <w:p>
            <w:pPr>
              <w:pBdr/>
              <w:spacing/>
              <w:ind/>
              <w:rPr/>
            </w:pPr>
            <w:r/>
            <w:r/>
          </w:p>
          <w:p>
            <w:pPr>
              <w:pBdr/>
              <w:spacing/>
              <w:ind/>
              <w:rPr/>
            </w:pPr>
            <w: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Xã Chí Tiên, tỉnh Phú Thọ</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Xã Chí Tiên, tỉnh Phú Thọ</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Xã Chí Tiên, tỉnh Phú Thọ</w:t>
            </w:r>
            <w:r/>
          </w:p>
        </w:tc>
        <w:tc>
          <w:tcPr>
            <w:shd w:val="clear" w:color="000000" w:fill="ffffff"/>
            <w:tcBorders/>
            <w:tcW w:w="16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Xã Chí Tiên, tỉnh Phú Thọ</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6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6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-219.642</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2.846.084</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2.940.276</w:t>
            </w:r>
            <w:r/>
          </w:p>
        </w:tc>
        <w:tc>
          <w:tcPr>
            <w:shd w:val="clear" w:color="000000" w:fill="ffffff"/>
            <w:tcBorders/>
            <w:tcW w:w="16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4.173.204</w:t>
            </w:r>
            <w:r/>
          </w:p>
        </w:tc>
      </w:tr>
      <w:tr>
        <w:trPr>
          <w:gridAfter w:val="2"/>
          <w:trHeight w:val="20"/>
        </w:trPr>
        <w:tc>
          <w:tcPr>
            <w:shd w:val="clear" w:color="000000" w:fill="ffffff"/>
            <w:tcBorders/>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p>
            <w:pPr>
              <w:pBdr/>
              <w:spacing/>
              <w:ind/>
              <w:rPr/>
            </w:pPr>
            <w:r/>
            <w:r/>
          </w:p>
          <w:p>
            <w:pPr>
              <w:pBdr/>
              <w:spacing/>
              <w:ind/>
              <w:rPr/>
            </w:pPr>
            <w:r/>
            <w:r/>
          </w:p>
          <w:p>
            <w:pPr>
              <w:pBdr/>
              <w:spacing/>
              <w:ind/>
              <w:rPr/>
            </w:pPr>
            <w: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w:t>
            </w:r>
            <w:r/>
          </w:p>
        </w:tc>
        <w:tc>
          <w:tcPr>
            <w:shd w:val="clear" w:color="000000" w:fill="ffffff"/>
            <w:tcBorders/>
            <w:tcW w:w="16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6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6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2.846.084</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2.940.276</w:t>
            </w:r>
            <w:r/>
          </w:p>
        </w:tc>
        <w:tc>
          <w:tcPr>
            <w:shd w:val="clear" w:color="000000" w:fill="ffffff"/>
            <w:tcBorders/>
            <w:tcW w:w="16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4.173.204</w:t>
            </w:r>
            <w:r/>
          </w:p>
        </w:tc>
      </w:tr>
      <w:tr>
        <w:trPr>
          <w:gridAfter w:val="2"/>
          <w:trHeight w:val="20"/>
        </w:trPr>
        <w:tc>
          <w:tcPr>
            <w:shd w:val="clear" w:color="000000" w:fill="ffffff"/>
            <w:tcBorders/>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p>
            <w:pPr>
              <w:pBdr/>
              <w:spacing/>
              <w:ind/>
              <w:rPr/>
            </w:pPr>
            <w:r/>
            <w:r/>
          </w:p>
          <w:p>
            <w:pPr>
              <w:pBdr/>
              <w:spacing/>
              <w:ind/>
              <w:rPr/>
            </w:pPr>
            <w:r/>
            <w:r/>
          </w:p>
          <w:p>
            <w:pPr>
              <w:pBdr/>
              <w:spacing/>
              <w:ind/>
              <w:rPr/>
            </w:pPr>
            <w: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Độ rộng đường trước tài sản (m)</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w:t>
            </w:r>
            <w:r/>
          </w:p>
        </w:tc>
        <w:tc>
          <w:tcPr>
            <w:shd w:val="clear" w:color="000000" w:fill="ffffff"/>
            <w:tcBorders/>
            <w:tcW w:w="16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000000" w:fill="ffffff"/>
            <w:tcBorders/>
            <w:tcW w:w="16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147.014</w:t>
            </w:r>
            <w:r/>
          </w:p>
        </w:tc>
        <w:tc>
          <w:tcPr>
            <w:shd w:val="clear" w:color="000000" w:fill="ffffff"/>
            <w:tcBorders/>
            <w:tcW w:w="16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-439.285</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2.846.084</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3.087.290</w:t>
            </w:r>
            <w:r/>
          </w:p>
        </w:tc>
        <w:tc>
          <w:tcPr>
            <w:shd w:val="clear" w:color="000000" w:fill="ffffff"/>
            <w:tcBorders/>
            <w:tcW w:w="16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3.733.919</w:t>
            </w:r>
            <w:r/>
          </w:p>
        </w:tc>
      </w:tr>
      <w:tr>
        <w:trPr>
          <w:gridAfter w:val="2"/>
          <w:trHeight w:val="20"/>
        </w:trPr>
        <w:tc>
          <w:tcPr>
            <w:shd w:val="clear" w:color="000000" w:fill="ffffff"/>
            <w:tcBorders/>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p>
            <w:pPr>
              <w:pBdr/>
              <w:spacing/>
              <w:ind/>
              <w:rPr/>
            </w:pPr>
            <w:r/>
            <w:r/>
          </w:p>
          <w:p>
            <w:pPr>
              <w:pBdr/>
              <w:spacing/>
              <w:ind/>
              <w:rPr/>
            </w:pPr>
            <w:r/>
            <w:r/>
          </w:p>
          <w:p>
            <w:pPr>
              <w:pBdr/>
              <w:spacing/>
              <w:ind/>
              <w:rPr/>
            </w:pPr>
            <w: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 (m²)</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(m2)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850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329,4</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130,6</w:t>
            </w:r>
            <w:r/>
          </w:p>
        </w:tc>
        <w:tc>
          <w:tcPr>
            <w:shd w:val="clear" w:color="000000" w:fill="ffffff"/>
            <w:tcBorders/>
            <w:tcW w:w="16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318,7</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w:t>
            </w:r>
            <w:r/>
          </w:p>
        </w:tc>
        <w:tc>
          <w:tcPr>
            <w:shd w:val="clear" w:color="000000" w:fill="ffffff"/>
            <w:tcBorders/>
            <w:tcW w:w="16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-569.217</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-882.083</w:t>
            </w:r>
            <w:r/>
          </w:p>
        </w:tc>
        <w:tc>
          <w:tcPr>
            <w:shd w:val="clear" w:color="000000" w:fill="ffffff"/>
            <w:tcBorders/>
            <w:tcW w:w="16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-878.569</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2.276.867</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2.205.207</w:t>
            </w:r>
            <w:r/>
          </w:p>
        </w:tc>
        <w:tc>
          <w:tcPr>
            <w:shd w:val="clear" w:color="000000" w:fill="ffffff"/>
            <w:tcBorders/>
            <w:tcW w:w="16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2.855.350</w:t>
            </w:r>
            <w:r/>
          </w:p>
        </w:tc>
      </w:tr>
      <w:tr>
        <w:trPr>
          <w:gridAfter w:val="2"/>
          <w:trHeight w:val="20"/>
        </w:trPr>
        <w:tc>
          <w:tcPr>
            <w:shd w:val="clear" w:color="000000" w:fill="ffffff"/>
            <w:tcBorders/>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p>
            <w:pPr>
              <w:pBdr/>
              <w:spacing/>
              <w:ind/>
              <w:rPr/>
            </w:pPr>
            <w:r/>
            <w:r/>
          </w:p>
          <w:p>
            <w:pPr>
              <w:pBdr/>
              <w:spacing/>
              <w:ind/>
              <w:rPr/>
            </w:pPr>
            <w:r/>
            <w:r/>
          </w:p>
          <w:p>
            <w:pPr>
              <w:pBdr/>
              <w:spacing/>
              <w:ind/>
              <w:rPr/>
            </w:pPr>
            <w: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(m)</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20,5</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000000" w:fill="ffffff"/>
            <w:tcBorders/>
            <w:tcW w:w="16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000000" w:fill="ffffff"/>
            <w:tcBorders/>
            <w:tcW w:w="16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170.765</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294.028</w:t>
            </w:r>
            <w:r/>
          </w:p>
        </w:tc>
        <w:tc>
          <w:tcPr>
            <w:shd w:val="clear" w:color="000000" w:fill="ffffff"/>
            <w:tcBorders/>
            <w:tcW w:w="16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219.642</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2.447.632</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2.499.235</w:t>
            </w:r>
            <w:r/>
          </w:p>
        </w:tc>
        <w:tc>
          <w:tcPr>
            <w:shd w:val="clear" w:color="000000" w:fill="ffffff"/>
            <w:tcBorders/>
            <w:tcW w:w="16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3.074.992</w:t>
            </w:r>
            <w:r/>
          </w:p>
        </w:tc>
      </w:tr>
      <w:tr>
        <w:trPr>
          <w:gridAfter w:val="2"/>
          <w:trHeight w:val="20"/>
        </w:trPr>
        <w:tc>
          <w:tcPr>
            <w:shd w:val="clear" w:color="000000" w:fill="ffffff"/>
            <w:tcBorders/>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p>
            <w:pPr>
              <w:pBdr/>
              <w:spacing/>
              <w:ind/>
              <w:rPr/>
            </w:pPr>
            <w:r/>
            <w:r/>
          </w:p>
          <w:p>
            <w:pPr>
              <w:pBdr/>
              <w:spacing/>
              <w:ind/>
              <w:rPr/>
            </w:pPr>
            <w:r/>
            <w:r/>
          </w:p>
          <w:p>
            <w:pPr>
              <w:pBdr/>
              <w:spacing/>
              <w:ind/>
              <w:rPr/>
            </w:pPr>
            <w: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Chiều sâu (m)</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47,4</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29,95</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21,77</w:t>
            </w:r>
            <w:r/>
          </w:p>
        </w:tc>
        <w:tc>
          <w:tcPr>
            <w:shd w:val="clear" w:color="000000" w:fill="ffffff"/>
            <w:tcBorders/>
            <w:tcW w:w="16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26,56</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c>
          <w:tcPr>
            <w:shd w:val="clear" w:color="000000" w:fill="ffffff"/>
            <w:tcBorders/>
            <w:tcW w:w="16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-426.913</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-441.041</w:t>
            </w:r>
            <w:r/>
          </w:p>
        </w:tc>
        <w:tc>
          <w:tcPr>
            <w:shd w:val="clear" w:color="000000" w:fill="ffffff"/>
            <w:tcBorders/>
            <w:tcW w:w="16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-658.927</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2.020.719</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2.058.194</w:t>
            </w:r>
            <w:r/>
          </w:p>
        </w:tc>
        <w:tc>
          <w:tcPr>
            <w:shd w:val="clear" w:color="000000" w:fill="ffffff"/>
            <w:tcBorders/>
            <w:tcW w:w="16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2.416.065</w:t>
            </w:r>
            <w:r/>
          </w:p>
        </w:tc>
      </w:tr>
      <w:tr>
        <w:trPr>
          <w:gridAfter w:val="2"/>
          <w:trHeight w:val="20"/>
        </w:trPr>
        <w:tc>
          <w:tcPr>
            <w:shd w:val="clear" w:color="000000" w:fill="ffffff"/>
            <w:tcBorders/>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C.10</w:t>
            </w:r>
            <w:r/>
          </w:p>
          <w:p>
            <w:pPr>
              <w:pBdr/>
              <w:spacing/>
              <w:ind/>
              <w:rPr/>
            </w:pPr>
            <w:r/>
            <w:r/>
          </w:p>
          <w:p>
            <w:pPr>
              <w:pBdr/>
              <w:spacing/>
              <w:ind/>
              <w:rPr/>
            </w:pPr>
            <w:r/>
            <w:r/>
          </w:p>
          <w:p>
            <w:pPr>
              <w:pBdr/>
              <w:spacing/>
              <w:ind/>
              <w:rPr/>
            </w:pPr>
            <w: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000000" w:fill="ffffff"/>
            <w:tcBorders/>
            <w:tcW w:w="16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6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6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2.020.719</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2.058.194</w:t>
            </w:r>
            <w:r/>
          </w:p>
        </w:tc>
        <w:tc>
          <w:tcPr>
            <w:shd w:val="clear" w:color="000000" w:fill="ffffff"/>
            <w:tcBorders/>
            <w:tcW w:w="16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2.416.065</w:t>
            </w:r>
            <w:r/>
          </w:p>
        </w:tc>
      </w:tr>
      <w:tr>
        <w:trPr>
          <w:gridAfter w:val="2"/>
          <w:trHeight w:val="20"/>
        </w:trPr>
        <w:tc>
          <w:tcPr>
            <w:shd w:val="clear" w:color="000000" w:fill="ffffff"/>
            <w:tcBorders/>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C.11</w:t>
            </w:r>
            <w:r/>
          </w:p>
          <w:p>
            <w:pPr>
              <w:pBdr/>
              <w:spacing/>
              <w:ind/>
              <w:rPr/>
            </w:pPr>
            <w:r/>
            <w:r/>
          </w:p>
          <w:p>
            <w:pPr>
              <w:pBdr/>
              <w:spacing/>
              <w:ind/>
              <w:rPr/>
            </w:pPr>
            <w:r/>
            <w:r/>
          </w:p>
          <w:p>
            <w:pPr>
              <w:pBdr/>
              <w:spacing/>
              <w:ind/>
              <w:rPr/>
            </w:pPr>
            <w: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Đa giác khác</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đối vuông vức</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000000" w:fill="ffffff"/>
            <w:tcBorders/>
            <w:tcW w:w="16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đối vuông vức</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w:t>
            </w:r>
            <w:r/>
          </w:p>
        </w:tc>
        <w:tc>
          <w:tcPr>
            <w:shd w:val="clear" w:color="000000" w:fill="ffffff"/>
            <w:tcBorders/>
            <w:tcW w:w="16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-626.138</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-646.861</w:t>
            </w:r>
            <w:r/>
          </w:p>
        </w:tc>
        <w:tc>
          <w:tcPr>
            <w:shd w:val="clear" w:color="000000" w:fill="ffffff"/>
            <w:tcBorders/>
            <w:tcW w:w="16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-966.426</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1.394.581</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1.411.333</w:t>
            </w:r>
            <w:r/>
          </w:p>
        </w:tc>
        <w:tc>
          <w:tcPr>
            <w:shd w:val="clear" w:color="000000" w:fill="ffffff"/>
            <w:tcBorders/>
            <w:tcW w:w="16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1.449.639</w:t>
            </w:r>
            <w:r/>
          </w:p>
        </w:tc>
      </w:tr>
      <w:tr>
        <w:trPr>
          <w:gridAfter w:val="2"/>
          <w:trHeight w:val="20"/>
        </w:trPr>
        <w:tc>
          <w:tcPr>
            <w:tcBorders/>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C.12</w:t>
            </w:r>
            <w:r/>
          </w:p>
        </w:tc>
        <w:tc>
          <w:tcPr>
            <w:shd w:val="clear" w:color="000000" w:fill="ffffff"/>
            <w:tcBorders/>
            <w:tcW w:w="176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Tỷ lệ đất ở/tổng diện tích</w:t>
            </w:r>
            <w:r/>
          </w:p>
        </w:tc>
        <w:tc>
          <w:tcPr>
            <w:shd w:val="clear" w:color="000000" w:fill="ffffff"/>
            <w:tcBorders/>
            <w:tcW w:w="1030" w:type="dxa"/>
            <w:vAlign w:val="center"/>
            <w:vMerge w:val="restart"/>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000000" w:fill="ffffff"/>
            <w:tcBorders/>
            <w:tcW w:w="1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Tỷ lệ đất ở/tổng diện tích: 11,76%</w:t>
            </w:r>
            <w:r/>
          </w:p>
        </w:tc>
        <w:tc>
          <w:tcPr>
            <w:shd w:val="clear" w:color="000000" w:fill="ffffff"/>
            <w:tcBorders/>
            <w:tcW w:w="1522" w:type="dxa"/>
            <w:vAlign w:val="center"/>
            <w:vMerge w:val="restart"/>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Tỷ lệ đất ở/tổng diện tích: 60,71%</w:t>
            </w:r>
            <w:r/>
          </w:p>
        </w:tc>
        <w:tc>
          <w:tcPr>
            <w:shd w:val="clear" w:color="000000" w:fill="ffffff"/>
            <w:tcBorders/>
            <w:tcW w:w="1522" w:type="dxa"/>
            <w:vAlign w:val="center"/>
            <w:vMerge w:val="restart"/>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Tỷ lệ đất ở/tổng diện tích: 76,57%</w:t>
            </w:r>
            <w:r/>
          </w:p>
        </w:tc>
        <w:tc>
          <w:tcPr>
            <w:shd w:val="clear" w:color="000000" w:fill="ffffff"/>
            <w:tcBorders/>
            <w:tcW w:w="1639" w:type="dxa"/>
            <w:vAlign w:val="center"/>
            <w:vMerge w:val="restart"/>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Tỷ lệ đất ở/tổng diện tích: 50,3%</w:t>
            </w:r>
            <w:r/>
          </w:p>
        </w:tc>
      </w:tr>
      <w:tr>
        <w:trPr>
          <w:gridAfter w:val="2"/>
          <w:trHeight w:val="20"/>
        </w:trPr>
        <w:tc>
          <w:tcPr>
            <w:tcBorders/>
            <w:tcW w:w="632" w:type="dxa"/>
            <w:vAlign w:val="center"/>
            <w:vMerge w:val="restart"/>
            <w:textDirection w:val="lrTb"/>
            <w:noWrap w:val="false"/>
          </w:tcPr>
          <w:p>
            <w:pPr>
              <w:pBdr/>
              <w:spacing/>
              <w:ind/>
              <w:rPr/>
            </w:pPr>
            <w:r/>
            <w:r/>
          </w:p>
        </w:tc>
        <w:tc>
          <w:tcPr>
            <w:shd w:val="clear" w:color="000000" w:fill="ffffff"/>
            <w:tcBorders/>
            <w:tcW w:w="176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000000" w:fill="ffffff"/>
            <w:tcBorders/>
            <w:tcW w:w="1030" w:type="dxa"/>
            <w:vAlign w:val="center"/>
            <w:vMerge w:val="restart"/>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000000" w:fill="ffffff"/>
            <w:tcBorders/>
            <w:tcW w:w="1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vMerge w:val="restart"/>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w:t>
            </w:r>
            <w:r/>
          </w:p>
        </w:tc>
        <w:tc>
          <w:tcPr>
            <w:shd w:val="clear" w:color="000000" w:fill="ffffff"/>
            <w:tcBorders/>
            <w:tcW w:w="1522" w:type="dxa"/>
            <w:vAlign w:val="center"/>
            <w:vMerge w:val="restart"/>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w:t>
            </w:r>
            <w:r/>
          </w:p>
        </w:tc>
        <w:tc>
          <w:tcPr>
            <w:shd w:val="clear" w:color="000000" w:fill="ffffff"/>
            <w:tcBorders/>
            <w:tcW w:w="1639" w:type="dxa"/>
            <w:vAlign w:val="center"/>
            <w:vMerge w:val="restart"/>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r>
      <w:tr>
        <w:trPr>
          <w:gridAfter w:val="2"/>
          <w:trHeight w:val="20"/>
        </w:trPr>
        <w:tc>
          <w:tcPr>
            <w:tcBorders/>
            <w:tcW w:w="632" w:type="dxa"/>
            <w:vAlign w:val="center"/>
            <w:vMerge w:val="restart"/>
            <w:textDirection w:val="lrTb"/>
            <w:noWrap w:val="false"/>
          </w:tcPr>
          <w:p>
            <w:pPr>
              <w:pBdr/>
              <w:spacing/>
              <w:ind/>
              <w:rPr/>
            </w:pPr>
            <w:r/>
            <w:r/>
          </w:p>
        </w:tc>
        <w:tc>
          <w:tcPr>
            <w:shd w:val="clear" w:color="000000" w:fill="ffffff"/>
            <w:tcBorders/>
            <w:tcW w:w="176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000000" w:fill="ffffff"/>
            <w:tcBorders/>
            <w:tcW w:w="1030" w:type="dxa"/>
            <w:vAlign w:val="center"/>
            <w:vMerge w:val="restart"/>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000000" w:fill="ffffff"/>
            <w:tcBorders/>
            <w:tcW w:w="1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vMerge w:val="restart"/>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-711.521</w:t>
            </w:r>
            <w:r/>
          </w:p>
        </w:tc>
        <w:tc>
          <w:tcPr>
            <w:shd w:val="clear" w:color="000000" w:fill="ffffff"/>
            <w:tcBorders/>
            <w:tcW w:w="1522" w:type="dxa"/>
            <w:vAlign w:val="center"/>
            <w:vMerge w:val="restart"/>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-882.083</w:t>
            </w:r>
            <w:r/>
          </w:p>
        </w:tc>
        <w:tc>
          <w:tcPr>
            <w:shd w:val="clear" w:color="000000" w:fill="ffffff"/>
            <w:tcBorders/>
            <w:tcW w:w="1639" w:type="dxa"/>
            <w:vAlign w:val="center"/>
            <w:vMerge w:val="restart"/>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-878.569</w:t>
            </w:r>
            <w:r/>
          </w:p>
        </w:tc>
      </w:tr>
      <w:tr>
        <w:trPr>
          <w:gridAfter w:val="2"/>
          <w:trHeight w:val="20"/>
        </w:trPr>
        <w:tc>
          <w:tcPr>
            <w:tcBorders/>
            <w:tcW w:w="632" w:type="dxa"/>
            <w:vAlign w:val="center"/>
            <w:vMerge w:val="restart"/>
            <w:textDirection w:val="lrTb"/>
            <w:noWrap w:val="false"/>
          </w:tcPr>
          <w:p>
            <w:pPr>
              <w:pBdr/>
              <w:spacing/>
              <w:ind/>
              <w:rPr/>
            </w:pPr>
            <w:r/>
            <w:r/>
          </w:p>
        </w:tc>
        <w:tc>
          <w:tcPr>
            <w:shd w:val="clear" w:color="000000" w:fill="ffffff"/>
            <w:tcBorders/>
            <w:tcW w:w="176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000000" w:fill="ffffff"/>
            <w:tcBorders/>
            <w:tcW w:w="1030" w:type="dxa"/>
            <w:vAlign w:val="center"/>
            <w:vMerge w:val="restart"/>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000000" w:fill="ffffff"/>
            <w:tcBorders/>
            <w:tcW w:w="1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vMerge w:val="restart"/>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683.060</w:t>
            </w:r>
            <w:r/>
          </w:p>
        </w:tc>
        <w:tc>
          <w:tcPr>
            <w:shd w:val="clear" w:color="000000" w:fill="ffffff"/>
            <w:tcBorders/>
            <w:tcW w:w="1522" w:type="dxa"/>
            <w:vAlign w:val="center"/>
            <w:vMerge w:val="restart"/>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529.250</w:t>
            </w:r>
            <w:r/>
          </w:p>
        </w:tc>
        <w:tc>
          <w:tcPr>
            <w:shd w:val="clear" w:color="000000" w:fill="ffffff"/>
            <w:tcBorders/>
            <w:tcW w:w="1639" w:type="dxa"/>
            <w:vAlign w:val="center"/>
            <w:vMerge w:val="restart"/>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571.070</w:t>
            </w:r>
            <w:r/>
          </w:p>
        </w:tc>
      </w:tr>
      <w:tr>
        <w:trPr>
          <w:gridAfter w:val="2"/>
          <w:trHeight w:val="20"/>
        </w:trPr>
        <w:tc>
          <w:tcPr>
            <w:tcBorders/>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683.060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529.250</w:t>
            </w:r>
            <w:r/>
          </w:p>
        </w:tc>
        <w:tc>
          <w:tcPr>
            <w:shd w:val="clear" w:color="000000" w:fill="ffffff"/>
            <w:tcBorders/>
            <w:tcW w:w="16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571.070</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594.460</w:t>
            </w: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-882.083</w:t>
            </w:r>
            <w:r>
              <w:rPr>
                <w:color w:val="000000"/>
                <w:sz w:val="22"/>
                <w:szCs w:val="22"/>
              </w:rPr>
            </w:r>
            <w:r>
              <w:rPr>
                <w:color w:val="000000"/>
                <w:sz w:val="22"/>
                <w:szCs w:val="22"/>
              </w:rPr>
            </w:r>
          </w:p>
        </w:tc>
        <w:tc>
          <w:tcPr>
            <w:shd w:val="clear" w:color="000000" w:fill="ffffff"/>
            <w:tcBorders/>
            <w:tcW w:w="1639" w:type="dxa"/>
            <w:vAlign w:val="center"/>
            <w:textDirection w:val="lrTb"/>
            <w:noWrap/>
          </w:tcPr>
          <w:p>
            <w:pPr>
              <w:pBdr/>
              <w:spacing/>
              <w:ind/>
              <w:jc w:val="center"/>
              <w:rPr>
                <w:color w:val="000000"/>
                <w:sz w:val="22"/>
                <w:szCs w:val="22"/>
              </w:rPr>
            </w:pPr>
            <w:r>
              <w:rPr>
                <w:color w:val="000000" w:themeColor="text1"/>
                <w:sz w:val="22"/>
                <w:szCs w:val="22"/>
              </w:rPr>
              <w:t xml:space="preserve">-878.569</w:t>
            </w:r>
            <w:r>
              <w:rPr>
                <w:color w:val="000000"/>
                <w:sz w:val="22"/>
                <w:szCs w:val="22"/>
              </w:rPr>
            </w:r>
            <w:r>
              <w:rPr>
                <w:color w:val="000000"/>
                <w:sz w:val="22"/>
                <w:szCs w:val="22"/>
              </w:rP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14,9%</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-10,97%</w:t>
            </w:r>
            <w:r/>
          </w:p>
        </w:tc>
        <w:tc>
          <w:tcPr>
            <w:shd w:val="clear" w:color="000000" w:fill="ffffff"/>
            <w:tcBorders/>
            <w:tcW w:w="16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-3,93%</w:t>
            </w:r>
            <w:r/>
          </w:p>
        </w:tc>
      </w:tr>
      <w:tr>
        <w:trPr>
          <w:gridAfter w:val="2"/>
          <w:trHeight w:val="20"/>
        </w:trPr>
        <w:tc>
          <w:tcPr>
            <w:shd w:val="clear" w:color="000000" w:fill="ffffff"/>
            <w:tcBorders/>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shd w:val="clear" w:color="000000" w:fill="ffffff"/>
            <w:tcBorders/>
            <w:tcW w:w="176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000000" w:fill="ffffff"/>
            <w:tcBorders/>
            <w:tcW w:w="16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000000" w:fill="ffffff"/>
            <w:tcBorders/>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3"/>
            <w:shd w:val="clear" w:color="000000" w:fill="ffffff"/>
            <w:tcBorders/>
            <w:tcW w:w="46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2.504.554</w:t>
            </w: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3.293.110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4.261.060</w:t>
            </w:r>
            <w:r/>
          </w:p>
        </w:tc>
      </w:tr>
      <w:tr>
        <w:trPr>
          <w:gridAfter w:val="2"/>
          <w:trHeight w:val="20"/>
        </w:trPr>
        <w:tc>
          <w:tcPr>
            <w:shd w:val="clear" w:color="000000" w:fill="ffffff"/>
            <w:tcBorders/>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000000" w:fill="ffffff"/>
            <w:tcBorders/>
            <w:tcW w:w="16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r>
      <w:tr>
        <w:trPr>
          <w:gridAfter w:val="2"/>
          <w:trHeight w:val="20"/>
        </w:trPr>
        <w:tc>
          <w:tcPr>
            <w:shd w:val="clear" w:color="000000" w:fill="ffffff"/>
            <w:tcBorders/>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- 25%</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- 30%</w:t>
            </w:r>
            <w:r/>
          </w:p>
        </w:tc>
        <w:tc>
          <w:tcPr>
            <w:shd w:val="clear" w:color="000000" w:fill="ffffff"/>
            <w:tcBorders/>
            <w:tcW w:w="16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- 22%</w:t>
            </w:r>
            <w:r/>
          </w:p>
        </w:tc>
      </w:tr>
      <w:tr>
        <w:trPr>
          <w:gridAfter w:val="2"/>
          <w:trHeight w:val="20"/>
        </w:trPr>
        <w:tc>
          <w:tcPr>
            <w:shd w:val="clear" w:color="000000" w:fill="ffffff"/>
            <w:tcBorders/>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2.163.024</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2.411.026</w:t>
            </w:r>
            <w:r/>
          </w:p>
        </w:tc>
        <w:tc>
          <w:tcPr>
            <w:shd w:val="clear" w:color="000000" w:fill="ffffff"/>
            <w:tcBorders/>
            <w:tcW w:w="16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3.821.776</w:t>
            </w:r>
            <w:r/>
          </w:p>
        </w:tc>
      </w:tr>
      <w:tr>
        <w:trPr>
          <w:gridAfter w:val="2"/>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639" w:type="dxa"/>
            <w:vAlign w:val="center"/>
            <w:textDirection w:val="lrTb"/>
            <w:noWrap/>
          </w:tcPr>
          <w:p>
            <w:pPr>
              <w:pBdr/>
              <w:spacing/>
              <w:ind/>
              <w:jc w:val="center"/>
              <w:rPr>
                <w:sz w:val="22"/>
                <w:szCs w:val="22"/>
              </w:rPr>
            </w:pPr>
            <w:r>
              <w:rPr>
                <w:color w:val="000000" w:themeColor="text1"/>
                <w:sz w:val="22"/>
                <w:szCs w:val="22"/>
              </w:rPr>
              <w:t xml:space="preserve">7</w:t>
            </w:r>
            <w:r>
              <w:rPr>
                <w:sz w:val="22"/>
                <w:szCs w:val="22"/>
              </w:rPr>
            </w:r>
            <w:r>
              <w:rPr>
                <w:sz w:val="22"/>
                <w:szCs w:val="22"/>
              </w:rPr>
            </w:r>
          </w:p>
        </w:tc>
      </w:tr>
      <w:tr>
        <w:trPr>
          <w:gridAfter w:val="2"/>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- 30%</w:t>
            </w:r>
            <w:r>
              <w:rPr>
                <w:sz w:val="22"/>
                <w:szCs w:val="22"/>
              </w:rPr>
            </w:r>
            <w:r>
              <w:rPr>
                <w:sz w:val="22"/>
                <w:szCs w:val="22"/>
              </w:rPr>
            </w:r>
          </w:p>
        </w:tc>
        <w:tc>
          <w:tcPr>
            <w:shd w:val="clear" w:color="000000" w:fill="ffffff"/>
            <w:tcBorders/>
            <w:tcW w:w="1639" w:type="dxa"/>
            <w:vAlign w:val="center"/>
            <w:textDirection w:val="lrTb"/>
            <w:noWrap/>
          </w:tcPr>
          <w:p>
            <w:pPr>
              <w:pBdr/>
              <w:spacing/>
              <w:ind/>
              <w:jc w:val="center"/>
              <w:rPr>
                <w:sz w:val="22"/>
                <w:szCs w:val="22"/>
              </w:rPr>
            </w:pPr>
            <w:r>
              <w:rPr>
                <w:color w:val="000000" w:themeColor="text1"/>
                <w:sz w:val="22"/>
                <w:szCs w:val="22"/>
              </w:rPr>
              <w:t xml:space="preserve">0% - 22%</w:t>
            </w:r>
            <w:r>
              <w:rPr>
                <w:sz w:val="22"/>
                <w:szCs w:val="22"/>
              </w:rPr>
            </w:r>
            <w:r>
              <w:rPr>
                <w:sz w:val="22"/>
                <w:szCs w:val="22"/>
              </w:rPr>
            </w:r>
          </w:p>
        </w:tc>
      </w:tr>
      <w:tr>
        <w:trPr>
          <w:gridAfter w:val="2"/>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2.163.024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2.411.026</w:t>
            </w:r>
            <w:r>
              <w:rPr>
                <w:sz w:val="22"/>
                <w:szCs w:val="22"/>
              </w:rPr>
            </w:r>
            <w:r>
              <w:rPr>
                <w:sz w:val="22"/>
                <w:szCs w:val="22"/>
              </w:rPr>
            </w:r>
          </w:p>
        </w:tc>
        <w:tc>
          <w:tcPr>
            <w:shd w:val="clear" w:color="000000" w:fill="ffffff"/>
            <w:tcBorders/>
            <w:tcW w:w="1639" w:type="dxa"/>
            <w:vAlign w:val="center"/>
            <w:textDirection w:val="lrTb"/>
            <w:noWrap/>
          </w:tcPr>
          <w:p>
            <w:pPr>
              <w:pBdr/>
              <w:spacing/>
              <w:ind/>
              <w:jc w:val="center"/>
              <w:rPr>
                <w:sz w:val="22"/>
                <w:szCs w:val="22"/>
              </w:rPr>
            </w:pPr>
            <w:r>
              <w:rPr>
                <w:color w:val="000000" w:themeColor="text1"/>
                <w:sz w:val="22"/>
                <w:szCs w:val="22"/>
              </w:rPr>
              <w:t xml:space="preserve">3.821.776</w:t>
            </w:r>
            <w:r>
              <w:rPr>
                <w:sz w:val="22"/>
                <w:szCs w:val="22"/>
              </w:rPr>
            </w:r>
            <w:r>
              <w:rPr>
                <w:sz w:val="22"/>
                <w:szCs w:val="22"/>
              </w:rPr>
            </w:r>
          </w:p>
        </w:tc>
      </w:tr>
    </w:tbl>
    <w:p>
      <w:pPr>
        <w:pBdr/>
        <w:tabs>
          <w:tab w:val="left" w:leader="none" w:pos="720"/>
        </w:tabs>
        <w:spacing w:after="120" w:before="120" w:line="276" w:lineRule="auto"/>
        <w:ind/>
        <w:jc w:val="both"/>
        <w:rPr>
          <w:b/>
          <w:lang w:val="nl-NL"/>
        </w:rPr>
      </w:pPr>
      <w:r>
        <w:rPr>
          <w:b/>
          <w:lang w:val="nl-NL"/>
        </w:rPr>
      </w:r>
      <w:r>
        <w:rPr>
          <w:b/>
          <w:lang w:val="nl-NL"/>
        </w:rPr>
      </w:r>
      <w:r>
        <w:rPr>
          <w:b/>
          <w:lang w:val="nl-NL"/>
        </w:rPr>
      </w:r>
    </w:p>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-10,97% đến 14,9%, đảm bảo không quá 15% (theo Thông tư số 32/2024/TT-BTC ngày 16/5/2024 của Bộ Tài chính).</w:t>
      </w:r>
      <w:r>
        <w:rPr>
          <w:rFonts w:ascii="Times New Roman" w:hAnsi="Times New Roman" w:eastAsia="Times New Roman" w:cs="Times New Roman"/>
          <w:sz w:val="24"/>
        </w:rPr>
      </w:r>
      <w:r/>
    </w:p>
    <w:p>
      <w:pPr>
        <w:pBdr/>
        <w:spacing w:after="120" w:before="120" w:line="276" w:lineRule="auto"/>
        <w:ind/>
        <w:rPr>
          <w:b/>
          <w:bCs/>
          <w:i/>
          <w:iCs/>
          <w:highlight w:val="none"/>
          <w:u w:val="single"/>
        </w:rPr>
      </w:pPr>
      <w:r>
        <w:rPr>
          <w:b/>
          <w:bCs/>
          <w:i/>
          <w:iCs/>
          <w:u w:val="single"/>
        </w:rPr>
        <w:t xml:space="preserve">Về thống nhất mức giá chỉ dẫn</w:t>
      </w:r>
      <w:r>
        <w:rPr>
          <w:b/>
          <w:bCs/>
          <w:i/>
          <w:iCs/>
          <w:u w:val="single"/>
        </w:rPr>
        <w:t xml:space="preserve">:</w:t>
      </w:r>
      <w:r>
        <w:rPr>
          <w:b/>
          <w:bCs/>
          <w:i/>
          <w:iCs/>
          <w:u w:val="single"/>
        </w:rPr>
      </w:r>
      <w:r>
        <w:rPr>
          <w:b/>
          <w:bCs/>
          <w:i/>
          <w:iCs/>
          <w:highlight w:val="none"/>
          <w:u w:val="single"/>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i/>
          <w:color w:val="000000"/>
          <w:sz w:val="24"/>
          <w:u w:val="none"/>
        </w:rPr>
        <w:t xml:space="preserve"> </w:t>
      </w:r>
      <w:r/>
    </w:p>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4"/>
        </w:rPr>
        <w:t xml:space="preserve">Đơn vị tính: Đồng/m²</w:t>
      </w:r>
      <w:r/>
    </w:p>
    <w:tbl>
      <w:tblPr>
        <w:tblStyle w:val="1036"/>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3986"/>
        <w:gridCol w:w="32206"/>
        <w:gridCol w:w="34894"/>
        <w:gridCol w:w="33580"/>
        <w:gridCol w:w="33521"/>
      </w:tblGrid>
      <w:tr>
        <w:trPr>
          <w:trHeight w:val="93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9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22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48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35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35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39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322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1</w:t>
            </w:r>
            <w:r/>
          </w:p>
        </w:tc>
        <w:tc>
          <w:tcPr>
            <w:tcBorders>
              <w:bottom w:val="single" w:color="000000" w:sz="8" w:space="0"/>
              <w:right w:val="single" w:color="000000" w:sz="8" w:space="0"/>
            </w:tcBorders>
            <w:tcMar>
              <w:left w:w="108" w:type="dxa"/>
              <w:top w:w="0" w:type="dxa"/>
              <w:right w:w="108" w:type="dxa"/>
              <w:bottom w:w="0" w:type="dxa"/>
            </w:tcMar>
            <w:tcW w:w="348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683.060</w:t>
            </w:r>
            <w:r/>
          </w:p>
        </w:tc>
        <w:tc>
          <w:tcPr>
            <w:tcBorders>
              <w:bottom w:val="single" w:color="000000" w:sz="8" w:space="0"/>
              <w:right w:val="single" w:color="000000" w:sz="8" w:space="0"/>
            </w:tcBorders>
            <w:tcMar>
              <w:left w:w="108" w:type="dxa"/>
              <w:top w:w="0" w:type="dxa"/>
              <w:right w:w="108" w:type="dxa"/>
              <w:bottom w:w="0" w:type="dxa"/>
            </w:tcMar>
            <w:tcW w:w="335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33,34%</w:t>
            </w:r>
            <w:r/>
          </w:p>
        </w:tc>
        <w:tc>
          <w:tcPr>
            <w:tcBorders>
              <w:bottom w:val="single" w:color="000000" w:sz="8" w:space="0"/>
              <w:right w:val="single" w:color="000000" w:sz="8" w:space="0"/>
            </w:tcBorders>
            <w:tcMar>
              <w:left w:w="108" w:type="dxa"/>
              <w:top w:w="0" w:type="dxa"/>
              <w:right w:w="108" w:type="dxa"/>
              <w:bottom w:w="0" w:type="dxa"/>
            </w:tcMar>
            <w:tcW w:w="335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227.732</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39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322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2</w:t>
            </w:r>
            <w:r/>
          </w:p>
        </w:tc>
        <w:tc>
          <w:tcPr>
            <w:tcBorders>
              <w:bottom w:val="single" w:color="000000" w:sz="8" w:space="0"/>
              <w:right w:val="single" w:color="000000" w:sz="8" w:space="0"/>
            </w:tcBorders>
            <w:tcMar>
              <w:left w:w="108" w:type="dxa"/>
              <w:top w:w="0" w:type="dxa"/>
              <w:right w:w="108" w:type="dxa"/>
              <w:bottom w:w="0" w:type="dxa"/>
            </w:tcMar>
            <w:tcW w:w="348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529.250</w:t>
            </w:r>
            <w:r/>
          </w:p>
        </w:tc>
        <w:tc>
          <w:tcPr>
            <w:tcBorders>
              <w:bottom w:val="single" w:color="000000" w:sz="8" w:space="0"/>
              <w:right w:val="single" w:color="000000" w:sz="8" w:space="0"/>
            </w:tcBorders>
            <w:tcMar>
              <w:left w:w="108" w:type="dxa"/>
              <w:top w:w="0" w:type="dxa"/>
              <w:right w:w="108" w:type="dxa"/>
              <w:bottom w:w="0" w:type="dxa"/>
            </w:tcMar>
            <w:tcW w:w="335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bottom w:val="single" w:color="000000" w:sz="8" w:space="0"/>
              <w:right w:val="single" w:color="000000" w:sz="8" w:space="0"/>
            </w:tcBorders>
            <w:tcMar>
              <w:left w:w="108" w:type="dxa"/>
              <w:top w:w="0" w:type="dxa"/>
              <w:right w:w="108" w:type="dxa"/>
              <w:bottom w:w="0" w:type="dxa"/>
            </w:tcMar>
            <w:tcW w:w="335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176.399</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39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322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3</w:t>
            </w:r>
            <w:r/>
          </w:p>
        </w:tc>
        <w:tc>
          <w:tcPr>
            <w:tcBorders>
              <w:bottom w:val="single" w:color="000000" w:sz="8" w:space="0"/>
              <w:right w:val="single" w:color="000000" w:sz="8" w:space="0"/>
            </w:tcBorders>
            <w:tcMar>
              <w:left w:w="108" w:type="dxa"/>
              <w:top w:w="0" w:type="dxa"/>
              <w:right w:w="108" w:type="dxa"/>
              <w:bottom w:w="0" w:type="dxa"/>
            </w:tcMar>
            <w:tcW w:w="348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571.070</w:t>
            </w:r>
            <w:r/>
          </w:p>
        </w:tc>
        <w:tc>
          <w:tcPr>
            <w:tcBorders>
              <w:bottom w:val="single" w:color="000000" w:sz="8" w:space="0"/>
              <w:right w:val="single" w:color="000000" w:sz="8" w:space="0"/>
            </w:tcBorders>
            <w:tcMar>
              <w:left w:w="108" w:type="dxa"/>
              <w:top w:w="0" w:type="dxa"/>
              <w:right w:w="108" w:type="dxa"/>
              <w:bottom w:w="0" w:type="dxa"/>
            </w:tcMar>
            <w:tcW w:w="335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bottom w:val="single" w:color="000000" w:sz="8" w:space="0"/>
              <w:right w:val="single" w:color="000000" w:sz="8" w:space="0"/>
            </w:tcBorders>
            <w:tcMar>
              <w:left w:w="108" w:type="dxa"/>
              <w:top w:w="0" w:type="dxa"/>
              <w:right w:w="108" w:type="dxa"/>
              <w:bottom w:w="0" w:type="dxa"/>
            </w:tcMar>
            <w:tcW w:w="335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190.338</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1146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bình quân theo trọng số:</w:t>
            </w:r>
            <w:r/>
          </w:p>
        </w:tc>
        <w:tc>
          <w:tcPr>
            <w:tcBorders>
              <w:bottom w:val="single" w:color="000000" w:sz="8" w:space="0"/>
              <w:right w:val="single" w:color="000000" w:sz="8" w:space="0"/>
            </w:tcBorders>
            <w:tcMar>
              <w:left w:w="108" w:type="dxa"/>
              <w:top w:w="0" w:type="dxa"/>
              <w:right w:w="108" w:type="dxa"/>
              <w:bottom w:w="0" w:type="dxa"/>
            </w:tcMar>
            <w:tcW w:w="335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594.469</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1146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335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590.000</w:t>
            </w:r>
            <w:r/>
          </w:p>
        </w:tc>
      </w:tr>
    </w:tbl>
    <w:p>
      <w:pPr>
        <w:pBdr/>
        <w:spacing w:after="120" w:before="120" w:line="276" w:lineRule="auto"/>
        <w:ind/>
        <w:jc w:val="both"/>
        <w:rPr>
          <w:b/>
          <w:bCs/>
        </w:rPr>
      </w:pPr>
      <w:r>
        <w:t xml:space="preserve"> </w:t>
      </w:r>
      <w:r>
        <w:t xml:space="preserve">Tổ thẩm định sử dụng mức giá chỉ dẫn là mức giá bình quân có trọng số của 03 tài sản so sánh làm mức giá của tài sản thẩm định giá, tương ứng là</w:t>
      </w:r>
      <w:r>
        <w:t xml:space="preserve">:</w:t>
      </w:r>
      <w:r>
        <w:t xml:space="preserve"> </w:t>
      </w:r>
      <w:r>
        <w:rPr>
          <w:rFonts w:ascii="Times New Roman" w:hAnsi="Times New Roman" w:eastAsia="Times New Roman" w:cs="Times New Roman"/>
          <w:b/>
          <w:color w:val="000000"/>
          <w:sz w:val="24"/>
        </w:rPr>
        <w:t xml:space="preserve">590.000 đồng/m</w:t>
      </w:r>
      <w:r>
        <w:rPr>
          <w:b/>
          <w:bCs/>
        </w:rPr>
        <w:t xml:space="preserve">².</w:t>
      </w:r>
      <w:r>
        <w:rPr>
          <w:b/>
          <w:bCs/>
        </w:rPr>
      </w:r>
      <w:r>
        <w:rPr>
          <w:b/>
          <w:bCs/>
        </w:rPr>
      </w:r>
    </w:p>
    <w:p>
      <w:pPr>
        <w:pStyle w:val="1032"/>
        <w:numPr>
          <w:ilvl w:val="0"/>
          <w:numId w:val="39"/>
        </w:numPr>
        <w:pBdr/>
        <w:spacing w:after="120" w:before="120" w:line="276" w:lineRule="auto"/>
        <w:ind w:hanging="426" w:left="426"/>
        <w:jc w:val="both"/>
        <w:rPr>
          <w:b/>
          <w:bCs/>
        </w:rPr>
      </w:pPr>
      <w:r>
        <w:rPr>
          <w:b/>
          <w:i/>
          <w:iCs/>
          <w:lang w:val="pt-BR"/>
        </w:rPr>
        <w:t xml:space="preserve">Tài sản 02:</w:t>
      </w:r>
      <w:r>
        <w:rPr>
          <w:b/>
          <w:bCs/>
        </w:rPr>
      </w:r>
      <w:r>
        <w:rPr>
          <w:b/>
          <w:bCs/>
        </w:rPr>
      </w:r>
    </w:p>
    <w:p>
      <w:pPr>
        <w:pStyle w:val="1032"/>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Chí Tiên, tỉnh Phú Thọ</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Chí Tiên, tỉnh Phú Thọ</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Chí Tiên, tỉnh Phú Thọ</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Chí Tiên, tỉnh Phú Thọ</w:t>
            </w: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https://www.facebook.com/thuat.phung.9277/posts/pfbid0cBtj2nMChhQFaW4j95YpYPAEX4TfUwUsvRxAFKXHfgWjq35sMLKPT1Wq4TGAJu7El</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https://www.facebook.com/luyen.minh.7393/posts/pfbid02jJNurGiuZTFTDT2SSVpv7r3PNKn56tKyEYfjYLDJunVmcCjaXEK3HF3ykaDrDvRtl</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0367062873 </w:t>
              <w:br/>
              <w:t xml:space="preserve"> (Thuật)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0349 613 858</w:t>
              <w:br/>
              <w:t xml:space="preserve"> (Luyến)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0349 613 858</w:t>
              <w:br/>
              <w:t xml:space="preserve"> (Luyến)</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  </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03/2026</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03/2026</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03/2026</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 (200m2), Đất trồng cây lâu năm (258,2m2)</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 Đất trồng cây lâu năm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 Đất trồng cây lâu năm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 Đất trồng cây lâu năm</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 Lâu dài</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trồng cây lâu năm: Có thời hạn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 Lâu dài</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trồng cây lâu năm: Có thời hạn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 Lâu dài</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trồng cây lâu năm: Có thời hạn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 Lâu dài</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trồng cây lâu năm: Có thời hạn</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Chí Tiên, tỉnh Phú Thọ</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Chí Tiên, tỉnh Phú Thọ</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Chí Tiên, tỉnh Phú Thọ</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Chí Tiên, tỉnh Phú Thọ</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bê tông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bê tông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bê tông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bê tông</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3.5</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458,2</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329,4</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130,6</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318,7</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Chiều sâu (m)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47,6</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29,95</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21,77</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26,56</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đối vuông vức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đối vuông vức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đối vuông vức</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 </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1.250.000.000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480.000.000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1.750.000.000</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937.500.000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384.000.000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1.400.000.000</w:t>
            </w: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Chi tiết tính toán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tài sản trên đất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r>
      <w:tr>
        <w:trPr>
          <w:trHeight w:val="138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đất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937.500.000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384.000.000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1.400.000.000</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QSDĐ (đồng/m²)</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2.846.084</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2.940.276</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4.392.846</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Chiều sâu (m)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720"/>
        </w:tabs>
        <w:spacing w:after="120" w:before="120" w:line="276" w:lineRule="auto"/>
        <w:ind/>
        <w:jc w:val="both"/>
        <w:rPr>
          <w:b/>
          <w:lang w:val="nl-NL"/>
        </w:rPr>
      </w:pPr>
      <w:r>
        <w:rPr>
          <w:b/>
          <w:lang w:val="nl-NL"/>
        </w:rPr>
      </w:r>
      <w:r>
        <w:rPr>
          <w:b/>
          <w:lang w:val="nl-NL"/>
        </w:rPr>
      </w:r>
      <w:r>
        <w:rPr>
          <w:b/>
          <w:lang w:val="nl-NL"/>
        </w:rPr>
      </w:r>
    </w:p>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w:t>
      </w:r>
      <w:r>
        <w:rPr>
          <w:lang w:val="vi-VN"/>
        </w:rPr>
        <w:t xml:space="preserve">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2"/>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gridCol w:w="1522"/>
        <w:gridCol w:w="1522"/>
      </w:tblGrid>
      <w:tr>
        <w:trPr>
          <w:gridAfter w:val="2"/>
          <w:trHeight w:val="20"/>
          <w:tblHeader/>
        </w:trPr>
        <w:tc>
          <w:tcPr>
            <w:shd w:val="clear" w:color="000000" w:fill="ffffff"/>
            <w:tcBorders/>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gridAfter w:val="2"/>
          <w:trHeight w:val="20"/>
        </w:trPr>
        <w:tc>
          <w:tcPr>
            <w:shd w:val="clear" w:color="000000" w:fill="ffffff"/>
            <w:tcBorders/>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937.500.000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384.000.000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1.400.000.000</w:t>
            </w:r>
            <w:r/>
          </w:p>
        </w:tc>
      </w:tr>
      <w:tr>
        <w:trPr>
          <w:gridAfter w:val="2"/>
          <w:trHeight w:val="20"/>
        </w:trPr>
        <w:tc>
          <w:tcPr>
            <w:shd w:val="clear" w:color="000000" w:fill="ffffff"/>
            <w:tcBorders/>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2.846.084</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2.940.276</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4.392.846</w:t>
            </w:r>
            <w:r/>
          </w:p>
        </w:tc>
      </w:tr>
      <w:tr>
        <w:trPr>
          <w:gridAfter w:val="2"/>
          <w:trHeight w:val="20"/>
        </w:trPr>
        <w:tc>
          <w:tcPr>
            <w:shd w:val="clear" w:color="000000" w:fill="ffffff"/>
            <w:tcBorders/>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gridAfter w:val="2"/>
          <w:trHeight w:val="20"/>
        </w:trPr>
        <w:tc>
          <w:tcPr>
            <w:shd w:val="clear" w:color="000000" w:fill="ffffff"/>
            <w:tcBorders/>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p>
            <w:pPr>
              <w:pBdr/>
              <w:spacing/>
              <w:ind/>
              <w:rPr/>
            </w:pPr>
            <w:r/>
            <w:r/>
          </w:p>
          <w:p>
            <w:pPr>
              <w:pBdr/>
              <w:spacing/>
              <w:ind/>
              <w:rPr/>
            </w:pPr>
            <w:r/>
            <w:r/>
          </w:p>
          <w:p>
            <w:pPr>
              <w:pBdr/>
              <w:spacing/>
              <w:ind/>
              <w:rPr/>
            </w:pPr>
            <w: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2.846.084</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2.940.276</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4.392.846</w:t>
            </w:r>
            <w:r/>
          </w:p>
        </w:tc>
      </w:tr>
      <w:tr>
        <w:trPr>
          <w:gridAfter w:val="2"/>
          <w:trHeight w:val="20"/>
        </w:trPr>
        <w:tc>
          <w:tcPr>
            <w:shd w:val="clear" w:color="000000" w:fill="ffffff"/>
            <w:tcBorders/>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p>
            <w:pPr>
              <w:pBdr/>
              <w:spacing/>
              <w:ind/>
              <w:rPr/>
            </w:pPr>
            <w:r/>
            <w:r/>
          </w:p>
          <w:p>
            <w:pPr>
              <w:pBdr/>
              <w:spacing/>
              <w:ind/>
              <w:rPr/>
            </w:pPr>
            <w:r/>
            <w:r/>
          </w:p>
          <w:p>
            <w:pPr>
              <w:pBdr/>
              <w:spacing/>
              <w:ind/>
              <w:rPr/>
            </w:pPr>
            <w: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Mục đích sử dụng</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 (200m2), Đất trồng cây lâu năm (258,2m2)</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 (200m2), Đất trồng cây lâu năm (129,4m2)</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 (100m2), Đất trồng cây lâu năm (30,6m2)</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 (160m2), Đất trồng cây lâu năm (158,7m2)</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2.846.084</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2.940.276</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4.392.846</w:t>
            </w:r>
            <w:r/>
          </w:p>
        </w:tc>
      </w:tr>
      <w:tr>
        <w:trPr>
          <w:gridAfter w:val="2"/>
          <w:trHeight w:val="20"/>
        </w:trPr>
        <w:tc>
          <w:tcPr>
            <w:shd w:val="clear" w:color="000000" w:fill="ffffff"/>
            <w:tcBorders/>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p>
            <w:pPr>
              <w:pBdr/>
              <w:spacing/>
              <w:ind/>
              <w:rPr/>
            </w:pPr>
            <w:r/>
            <w:r/>
          </w:p>
          <w:p>
            <w:pPr>
              <w:pBdr/>
              <w:spacing/>
              <w:ind/>
              <w:rPr/>
            </w:pPr>
            <w:r/>
            <w:r/>
          </w:p>
          <w:p>
            <w:pPr>
              <w:pBdr/>
              <w:spacing/>
              <w:ind/>
              <w:rPr/>
            </w:pPr>
            <w: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Thời hạn sử dụng đất</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 Lâu dài</w:t>
            </w:r>
            <w:r/>
          </w:p>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trồng cây lâu năm: Có thời hạn</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 Lâu dài</w:t>
            </w:r>
            <w:r/>
          </w:p>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trồng cây lâu năm: Có thời hạn</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 Lâu dài</w:t>
            </w:r>
            <w:r/>
          </w:p>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trồng cây lâu năm: Có thời hạn</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 Lâu dài</w:t>
            </w:r>
            <w:r/>
          </w:p>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trồng cây lâu năm: Có thời hạn</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2.846.084</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2.940.276</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4.392.846</w:t>
            </w:r>
            <w:r/>
          </w:p>
        </w:tc>
      </w:tr>
      <w:tr>
        <w:trPr>
          <w:gridAfter w:val="2"/>
          <w:trHeight w:val="20"/>
        </w:trPr>
        <w:tc>
          <w:tcPr>
            <w:shd w:val="clear" w:color="000000" w:fill="ffffff"/>
            <w:tcBorders/>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p>
            <w:pPr>
              <w:pBdr/>
              <w:spacing/>
              <w:ind/>
              <w:rPr/>
            </w:pPr>
            <w:r/>
            <w:r/>
          </w:p>
          <w:p>
            <w:pPr>
              <w:pBdr/>
              <w:spacing/>
              <w:ind/>
              <w:rPr/>
            </w:pPr>
            <w:r/>
            <w:r/>
          </w:p>
          <w:p>
            <w:pPr>
              <w:pBdr/>
              <w:spacing/>
              <w:ind/>
              <w:rPr/>
            </w:pPr>
            <w: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Xã Chí Tiên, tỉnh Phú Thọ</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Xã Chí Tiên, tỉnh Phú Thọ</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Xã Chí Tiên, tỉnh Phú Thọ</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Xã Chí Tiên, tỉnh Phú Thọ</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56.922</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58.806</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-219.642</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2.903.006</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2.999.082</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4.173.204</w:t>
            </w:r>
            <w:r/>
          </w:p>
        </w:tc>
      </w:tr>
      <w:tr>
        <w:trPr>
          <w:gridAfter w:val="2"/>
          <w:trHeight w:val="20"/>
        </w:trPr>
        <w:tc>
          <w:tcPr>
            <w:shd w:val="clear" w:color="000000" w:fill="ffffff"/>
            <w:tcBorders/>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p>
            <w:pPr>
              <w:pBdr/>
              <w:spacing/>
              <w:ind/>
              <w:rPr/>
            </w:pPr>
            <w:r/>
            <w:r/>
          </w:p>
          <w:p>
            <w:pPr>
              <w:pBdr/>
              <w:spacing/>
              <w:ind/>
              <w:rPr/>
            </w:pPr>
            <w:r/>
            <w:r/>
          </w:p>
          <w:p>
            <w:pPr>
              <w:pBdr/>
              <w:spacing/>
              <w:ind/>
              <w:rPr/>
            </w:pPr>
            <w: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2.903.006</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2.999.082</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4.173.204</w:t>
            </w:r>
            <w:r/>
          </w:p>
        </w:tc>
      </w:tr>
      <w:tr>
        <w:trPr>
          <w:gridAfter w:val="2"/>
          <w:trHeight w:val="20"/>
        </w:trPr>
        <w:tc>
          <w:tcPr>
            <w:shd w:val="clear" w:color="000000" w:fill="ffffff"/>
            <w:tcBorders/>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p>
            <w:pPr>
              <w:pBdr/>
              <w:spacing/>
              <w:ind/>
              <w:rPr/>
            </w:pPr>
            <w:r/>
            <w:r/>
          </w:p>
          <w:p>
            <w:pPr>
              <w:pBdr/>
              <w:spacing/>
              <w:ind/>
              <w:rPr/>
            </w:pPr>
            <w:r/>
            <w:r/>
          </w:p>
          <w:p>
            <w:pPr>
              <w:pBdr/>
              <w:spacing/>
              <w:ind/>
              <w:rPr/>
            </w:pPr>
            <w: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Độ rộng đường trước tài sản (m)</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284.608</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441.041</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3.187.614</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3.440.123</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4.173.204</w:t>
            </w:r>
            <w:r/>
          </w:p>
        </w:tc>
      </w:tr>
      <w:tr>
        <w:trPr>
          <w:gridAfter w:val="2"/>
          <w:trHeight w:val="20"/>
        </w:trPr>
        <w:tc>
          <w:tcPr>
            <w:shd w:val="clear" w:color="000000" w:fill="ffffff"/>
            <w:tcBorders/>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p>
            <w:pPr>
              <w:pBdr/>
              <w:spacing/>
              <w:ind/>
              <w:rPr/>
            </w:pPr>
            <w:r/>
            <w:r/>
          </w:p>
          <w:p>
            <w:pPr>
              <w:pBdr/>
              <w:spacing/>
              <w:ind/>
              <w:rPr/>
            </w:pPr>
            <w:r/>
            <w:r/>
          </w:p>
          <w:p>
            <w:pPr>
              <w:pBdr/>
              <w:spacing/>
              <w:ind/>
              <w:rPr/>
            </w:pPr>
            <w: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 (m²)</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(m2)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458,2</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329,4</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130,6</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318,7</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-284.608</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-588.055</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-439.285</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2.903.006</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2.852.068</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3.733.919</w:t>
            </w:r>
            <w:r/>
          </w:p>
        </w:tc>
      </w:tr>
      <w:tr>
        <w:trPr>
          <w:gridAfter w:val="2"/>
          <w:trHeight w:val="20"/>
        </w:trPr>
        <w:tc>
          <w:tcPr>
            <w:shd w:val="clear" w:color="000000" w:fill="ffffff"/>
            <w:tcBorders/>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p>
            <w:pPr>
              <w:pBdr/>
              <w:spacing/>
              <w:ind/>
              <w:rPr/>
            </w:pPr>
            <w:r/>
            <w:r/>
          </w:p>
          <w:p>
            <w:pPr>
              <w:pBdr/>
              <w:spacing/>
              <w:ind/>
              <w:rPr/>
            </w:pPr>
            <w:r/>
            <w:r/>
          </w:p>
          <w:p>
            <w:pPr>
              <w:pBdr/>
              <w:spacing/>
              <w:ind/>
              <w:rPr/>
            </w:pPr>
            <w: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(m)</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147.014</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-131.785</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2.903.006</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2.999.082</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3.602.134</w:t>
            </w:r>
            <w:r/>
          </w:p>
        </w:tc>
      </w:tr>
      <w:tr>
        <w:trPr>
          <w:gridAfter w:val="2"/>
          <w:trHeight w:val="20"/>
        </w:trPr>
        <w:tc>
          <w:tcPr>
            <w:shd w:val="clear" w:color="000000" w:fill="ffffff"/>
            <w:tcBorders/>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p>
            <w:pPr>
              <w:pBdr/>
              <w:spacing/>
              <w:ind/>
              <w:rPr/>
            </w:pPr>
            <w:r/>
            <w:r/>
          </w:p>
          <w:p>
            <w:pPr>
              <w:pBdr/>
              <w:spacing/>
              <w:ind/>
              <w:rPr/>
            </w:pPr>
            <w:r/>
            <w:r/>
          </w:p>
          <w:p>
            <w:pPr>
              <w:pBdr/>
              <w:spacing/>
              <w:ind/>
              <w:rPr/>
            </w:pPr>
            <w: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Chiều sâu (m)</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47,6</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29,95</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21,77</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26,56</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-426.913</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-441.041</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-658.927</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2.476.093</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2.558.041</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2.943.207</w:t>
            </w:r>
            <w:r/>
          </w:p>
        </w:tc>
      </w:tr>
      <w:tr>
        <w:trPr>
          <w:gridAfter w:val="2"/>
          <w:trHeight w:val="20"/>
        </w:trPr>
        <w:tc>
          <w:tcPr>
            <w:shd w:val="clear" w:color="000000" w:fill="ffffff"/>
            <w:tcBorders/>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C.10</w:t>
            </w:r>
            <w:r/>
          </w:p>
          <w:p>
            <w:pPr>
              <w:pBdr/>
              <w:spacing/>
              <w:ind/>
              <w:rPr/>
            </w:pPr>
            <w:r/>
            <w:r/>
          </w:p>
          <w:p>
            <w:pPr>
              <w:pBdr/>
              <w:spacing/>
              <w:ind/>
              <w:rPr/>
            </w:pPr>
            <w:r/>
            <w:r/>
          </w:p>
          <w:p>
            <w:pPr>
              <w:pBdr/>
              <w:spacing/>
              <w:ind/>
              <w:rPr/>
            </w:pPr>
            <w: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2.476.093</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2.558.041</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2.943.207</w:t>
            </w:r>
            <w:r/>
          </w:p>
        </w:tc>
      </w:tr>
      <w:tr>
        <w:trPr>
          <w:gridAfter w:val="2"/>
          <w:trHeight w:val="20"/>
        </w:trPr>
        <w:tc>
          <w:tcPr>
            <w:shd w:val="clear" w:color="000000" w:fill="ffffff"/>
            <w:tcBorders/>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C.11</w:t>
            </w:r>
            <w:r/>
          </w:p>
          <w:p>
            <w:pPr>
              <w:pBdr/>
              <w:spacing/>
              <w:ind/>
              <w:rPr/>
            </w:pPr>
            <w:r/>
            <w:r/>
          </w:p>
          <w:p>
            <w:pPr>
              <w:pBdr/>
              <w:spacing/>
              <w:ind/>
              <w:rPr/>
            </w:pPr>
            <w:r/>
            <w:r/>
          </w:p>
          <w:p>
            <w:pPr>
              <w:pBdr/>
              <w:spacing/>
              <w:ind/>
              <w:rPr/>
            </w:pPr>
            <w: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đối vuông vức</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đối vuông vức</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đối vuông vức</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2.476.093</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2.558.041</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2.943.207</w:t>
            </w:r>
            <w:r/>
          </w:p>
        </w:tc>
      </w:tr>
      <w:tr>
        <w:trPr>
          <w:gridAfter w:val="2"/>
          <w:trHeight w:val="20"/>
        </w:trPr>
        <w:tc>
          <w:tcPr>
            <w:tcBorders/>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C.12</w:t>
            </w:r>
            <w:r/>
          </w:p>
        </w:tc>
        <w:tc>
          <w:tcPr>
            <w:shd w:val="clear" w:color="000000" w:fill="ffffff"/>
            <w:tcBorders/>
            <w:tcW w:w="176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Tỷ lệ đất ở/tổng diện tích</w:t>
            </w:r>
            <w:r/>
          </w:p>
        </w:tc>
        <w:tc>
          <w:tcPr>
            <w:shd w:val="clear" w:color="000000" w:fill="ffffff"/>
            <w:tcBorders/>
            <w:tcW w:w="1030" w:type="dxa"/>
            <w:vAlign w:val="center"/>
            <w:vMerge w:val="restart"/>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Tỷ lệ đất ở/tổng diện tích: 43,65%</w:t>
            </w:r>
            <w:r/>
          </w:p>
        </w:tc>
        <w:tc>
          <w:tcPr>
            <w:shd w:val="clear" w:color="000000" w:fill="ffffff"/>
            <w:tcBorders/>
            <w:tcW w:w="1522" w:type="dxa"/>
            <w:vAlign w:val="center"/>
            <w:vMerge w:val="restart"/>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Tỷ lệ đất ở/tổng diện tích: 60,71%</w:t>
            </w:r>
            <w:r/>
          </w:p>
        </w:tc>
        <w:tc>
          <w:tcPr>
            <w:shd w:val="clear" w:color="000000" w:fill="ffffff"/>
            <w:tcBorders/>
            <w:tcW w:w="1522" w:type="dxa"/>
            <w:vAlign w:val="center"/>
            <w:vMerge w:val="restart"/>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Tỷ lệ đất ở/tổng diện tích: 76,57%</w:t>
            </w:r>
            <w:r/>
          </w:p>
        </w:tc>
        <w:tc>
          <w:tcPr>
            <w:shd w:val="clear" w:color="000000" w:fill="ffffff"/>
            <w:tcBorders/>
            <w:tcW w:w="1522" w:type="dxa"/>
            <w:vAlign w:val="center"/>
            <w:vMerge w:val="restart"/>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Tỷ lệ đất ở/tổng diện tích: 50,3%</w:t>
            </w:r>
            <w:r/>
          </w:p>
        </w:tc>
      </w:tr>
      <w:tr>
        <w:trPr>
          <w:gridAfter w:val="2"/>
          <w:trHeight w:val="20"/>
        </w:trPr>
        <w:tc>
          <w:tcPr>
            <w:tcBorders/>
            <w:tcW w:w="632" w:type="dxa"/>
            <w:vAlign w:val="center"/>
            <w:vMerge w:val="restart"/>
            <w:textDirection w:val="lrTb"/>
            <w:noWrap w:val="false"/>
          </w:tcPr>
          <w:p>
            <w:pPr>
              <w:pBdr/>
              <w:spacing/>
              <w:ind/>
              <w:rPr/>
            </w:pPr>
            <w:r/>
            <w:r/>
          </w:p>
        </w:tc>
        <w:tc>
          <w:tcPr>
            <w:shd w:val="clear" w:color="000000" w:fill="ffffff"/>
            <w:tcBorders/>
            <w:tcW w:w="176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000000" w:fill="ffffff"/>
            <w:tcBorders/>
            <w:tcW w:w="1030" w:type="dxa"/>
            <w:vAlign w:val="center"/>
            <w:vMerge w:val="restart"/>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vMerge w:val="restart"/>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000000" w:fill="ffffff"/>
            <w:tcBorders/>
            <w:tcW w:w="1522" w:type="dxa"/>
            <w:vAlign w:val="center"/>
            <w:vMerge w:val="restart"/>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c>
          <w:tcPr>
            <w:shd w:val="clear" w:color="000000" w:fill="ffffff"/>
            <w:tcBorders/>
            <w:tcW w:w="1522" w:type="dxa"/>
            <w:vAlign w:val="center"/>
            <w:vMerge w:val="restart"/>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r>
      <w:tr>
        <w:trPr>
          <w:gridAfter w:val="2"/>
          <w:trHeight w:val="20"/>
        </w:trPr>
        <w:tc>
          <w:tcPr>
            <w:tcBorders/>
            <w:tcW w:w="632" w:type="dxa"/>
            <w:vAlign w:val="center"/>
            <w:vMerge w:val="restart"/>
            <w:textDirection w:val="lrTb"/>
            <w:noWrap w:val="false"/>
          </w:tcPr>
          <w:p>
            <w:pPr>
              <w:pBdr/>
              <w:spacing/>
              <w:ind/>
              <w:rPr/>
            </w:pPr>
            <w:r/>
            <w:r/>
          </w:p>
        </w:tc>
        <w:tc>
          <w:tcPr>
            <w:shd w:val="clear" w:color="000000" w:fill="ffffff"/>
            <w:tcBorders/>
            <w:tcW w:w="176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000000" w:fill="ffffff"/>
            <w:tcBorders/>
            <w:tcW w:w="1030" w:type="dxa"/>
            <w:vAlign w:val="center"/>
            <w:vMerge w:val="restart"/>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vMerge w:val="restart"/>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-284.608</w:t>
            </w:r>
            <w:r/>
          </w:p>
        </w:tc>
        <w:tc>
          <w:tcPr>
            <w:shd w:val="clear" w:color="000000" w:fill="ffffff"/>
            <w:tcBorders/>
            <w:tcW w:w="1522" w:type="dxa"/>
            <w:vAlign w:val="center"/>
            <w:vMerge w:val="restart"/>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-441.041</w:t>
            </w:r>
            <w:r/>
          </w:p>
        </w:tc>
        <w:tc>
          <w:tcPr>
            <w:shd w:val="clear" w:color="000000" w:fill="ffffff"/>
            <w:tcBorders/>
            <w:tcW w:w="1522" w:type="dxa"/>
            <w:vAlign w:val="center"/>
            <w:vMerge w:val="restart"/>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-351.428</w:t>
            </w:r>
            <w:r/>
          </w:p>
        </w:tc>
      </w:tr>
      <w:tr>
        <w:trPr>
          <w:gridAfter w:val="2"/>
          <w:trHeight w:val="20"/>
        </w:trPr>
        <w:tc>
          <w:tcPr>
            <w:tcBorders/>
            <w:tcW w:w="632" w:type="dxa"/>
            <w:vAlign w:val="center"/>
            <w:vMerge w:val="restart"/>
            <w:textDirection w:val="lrTb"/>
            <w:noWrap w:val="false"/>
          </w:tcPr>
          <w:p>
            <w:pPr>
              <w:pBdr/>
              <w:spacing/>
              <w:ind/>
              <w:rPr/>
            </w:pPr>
            <w:r/>
            <w:r/>
          </w:p>
        </w:tc>
        <w:tc>
          <w:tcPr>
            <w:shd w:val="clear" w:color="000000" w:fill="ffffff"/>
            <w:tcBorders/>
            <w:tcW w:w="176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000000" w:fill="ffffff"/>
            <w:tcBorders/>
            <w:tcW w:w="1030" w:type="dxa"/>
            <w:vAlign w:val="center"/>
            <w:vMerge w:val="restart"/>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vMerge w:val="restart"/>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2.191.485</w:t>
            </w:r>
            <w:r/>
          </w:p>
        </w:tc>
        <w:tc>
          <w:tcPr>
            <w:shd w:val="clear" w:color="000000" w:fill="ffffff"/>
            <w:tcBorders/>
            <w:tcW w:w="1522" w:type="dxa"/>
            <w:vAlign w:val="center"/>
            <w:vMerge w:val="restart"/>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2.117.000</w:t>
            </w:r>
            <w:r/>
          </w:p>
        </w:tc>
        <w:tc>
          <w:tcPr>
            <w:shd w:val="clear" w:color="000000" w:fill="ffffff"/>
            <w:tcBorders/>
            <w:tcW w:w="1522" w:type="dxa"/>
            <w:vAlign w:val="center"/>
            <w:vMerge w:val="restart"/>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2.591.779</w:t>
            </w:r>
            <w:r/>
          </w:p>
        </w:tc>
      </w:tr>
      <w:tr>
        <w:trPr>
          <w:gridAfter w:val="2"/>
          <w:trHeight w:val="20"/>
        </w:trPr>
        <w:tc>
          <w:tcPr>
            <w:tcBorders/>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2.191.485</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2.117.000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2.591.779</w:t>
            </w: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2.300.088</w:t>
            </w: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-441.041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-351.428</w:t>
            </w:r>
            <w:r>
              <w:rPr>
                <w:color w:val="000000"/>
                <w:sz w:val="22"/>
                <w:szCs w:val="22"/>
              </w:rPr>
            </w:r>
            <w:r>
              <w:rPr>
                <w:color w:val="000000"/>
                <w:sz w:val="22"/>
                <w:szCs w:val="22"/>
              </w:rPr>
            </w:r>
          </w:p>
        </w:tc>
      </w:tr>
      <w:tr>
        <w:trPr>
          <w:gridAfter w:val="2"/>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-4,72%</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-7,96%</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12,68%</w:t>
            </w:r>
            <w:r/>
          </w:p>
        </w:tc>
      </w:tr>
      <w:tr>
        <w:trPr>
          <w:gridAfter w:val="2"/>
          <w:trHeight w:val="20"/>
        </w:trPr>
        <w:tc>
          <w:tcPr>
            <w:shd w:val="clear" w:color="000000" w:fill="ffffff"/>
            <w:tcBorders/>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shd w:val="clear" w:color="000000" w:fill="ffffff"/>
            <w:tcBorders/>
            <w:tcW w:w="176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000000" w:fill="ffffff"/>
            <w:tcBorders/>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3"/>
            <w:shd w:val="clear" w:color="000000" w:fill="ffffff"/>
            <w:tcBorders/>
            <w:tcW w:w="45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1.337.659</w:t>
            </w: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2.116.998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1.801.067</w:t>
            </w:r>
            <w:r/>
          </w:p>
        </w:tc>
      </w:tr>
      <w:tr>
        <w:trPr>
          <w:gridAfter w:val="2"/>
          <w:trHeight w:val="20"/>
        </w:trPr>
        <w:tc>
          <w:tcPr>
            <w:shd w:val="clear" w:color="000000" w:fill="ffffff"/>
            <w:tcBorders/>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gridAfter w:val="2"/>
          <w:trHeight w:val="20"/>
        </w:trPr>
        <w:tc>
          <w:tcPr>
            <w:shd w:val="clear" w:color="000000" w:fill="ffffff"/>
            <w:tcBorders/>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- 15%</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- 20%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- 15%</w:t>
            </w:r>
            <w:r/>
          </w:p>
        </w:tc>
      </w:tr>
      <w:tr>
        <w:trPr>
          <w:gridAfter w:val="2"/>
          <w:trHeight w:val="20"/>
        </w:trPr>
        <w:tc>
          <w:tcPr>
            <w:shd w:val="clear" w:color="000000" w:fill="ffffff"/>
            <w:tcBorders/>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654.599</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823.276</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1.801.067</w:t>
            </w:r>
            <w:r/>
          </w:p>
        </w:tc>
      </w:tr>
      <w:tr>
        <w:trPr>
          <w:gridAfter w:val="2"/>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r>
      <w:tr>
        <w:trPr>
          <w:gridAfter w:val="2"/>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r>
      <w:tr>
        <w:trPr>
          <w:gridAfter w:val="2"/>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654.599</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823.276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1.801.067</w:t>
            </w:r>
            <w:r>
              <w:rPr>
                <w:sz w:val="22"/>
                <w:szCs w:val="22"/>
              </w:rPr>
            </w:r>
            <w:r>
              <w:rPr>
                <w:sz w:val="22"/>
                <w:szCs w:val="22"/>
              </w:rPr>
            </w:r>
          </w:p>
        </w:tc>
      </w:tr>
    </w:tbl>
    <w:p>
      <w:pPr>
        <w:pBdr/>
        <w:tabs>
          <w:tab w:val="left" w:leader="none" w:pos="720"/>
        </w:tabs>
        <w:spacing w:after="120" w:before="120" w:line="276" w:lineRule="auto"/>
        <w:ind/>
        <w:jc w:val="both"/>
        <w:rPr>
          <w:b/>
          <w:lang w:val="nl-NL"/>
        </w:rPr>
      </w:pPr>
      <w:r>
        <w:rPr>
          <w:b/>
          <w:lang w:val="nl-NL"/>
        </w:rPr>
      </w:r>
      <w:r>
        <w:rPr>
          <w:b/>
          <w:lang w:val="nl-NL"/>
        </w:rPr>
      </w:r>
      <w:r>
        <w:rPr>
          <w:b/>
          <w:lang w:val="nl-NL"/>
        </w:rPr>
      </w:r>
    </w:p>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D2, chênh lệch giữa mức giá trung bình của các mức giá chỉ dẫn nằm trong khoảng từ </w:t>
      </w:r>
      <w:r>
        <w:t xml:space="preserve">-7.96</w:t>
      </w:r>
      <w:r>
        <w:t xml:space="preserve">% đến </w:t>
      </w:r>
      <w:r>
        <w:t xml:space="preserve">12.68</w:t>
      </w:r>
      <w:r>
        <w:t xml:space="preserve">%, đảm bảo không quá 15% (theo Thông tư số 32/2024/TT-BTC ngày 16/5/2024 của Bộ Tài chính).</w:t>
      </w:r>
      <w:r>
        <w:rPr>
          <w:b/>
          <w:bCs/>
          <w:u w:val="single"/>
        </w:rPr>
      </w:r>
      <w:r>
        <w:rPr>
          <w:b/>
          <w:bCs/>
          <w:u w:val="single"/>
        </w:rPr>
      </w:r>
    </w:p>
    <w:p>
      <w:pPr>
        <w:pBdr/>
        <w:spacing w:after="120" w:before="120" w:line="276" w:lineRule="auto"/>
        <w:ind/>
        <w:rPr>
          <w:b/>
          <w:bCs/>
          <w:i/>
          <w:iCs/>
          <w:highlight w:val="none"/>
          <w:u w:val="single"/>
        </w:rPr>
      </w:pPr>
      <w:r>
        <w:rPr>
          <w:b/>
          <w:bCs/>
          <w:i/>
          <w:iCs/>
          <w:u w:val="single"/>
        </w:rPr>
        <w:t xml:space="preserve">Về thống nhất mức giá chỉ dẫn:</w:t>
      </w:r>
      <w:r>
        <w:rPr>
          <w:b/>
          <w:bCs/>
          <w:i/>
          <w:iCs/>
          <w:u w:val="single"/>
        </w:rPr>
      </w:r>
      <w:r>
        <w:rPr>
          <w:b/>
          <w:bCs/>
          <w:i/>
          <w:iCs/>
          <w:highlight w:val="none"/>
          <w:u w:val="single"/>
        </w:rPr>
      </w:r>
    </w:p>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4"/>
        </w:rPr>
        <w:t xml:space="preserve">Đơn vị tính: Đồng/m²</w:t>
      </w:r>
      <w:r/>
    </w:p>
    <w:tbl>
      <w:tblPr>
        <w:tblStyle w:val="1036"/>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3986"/>
        <w:gridCol w:w="32206"/>
        <w:gridCol w:w="34894"/>
        <w:gridCol w:w="33580"/>
        <w:gridCol w:w="33521"/>
      </w:tblGrid>
      <w:tr>
        <w:trPr>
          <w:trHeight w:val="93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9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22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48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35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35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39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322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1</w:t>
            </w:r>
            <w:r/>
          </w:p>
        </w:tc>
        <w:tc>
          <w:tcPr>
            <w:tcBorders>
              <w:bottom w:val="single" w:color="000000" w:sz="8" w:space="0"/>
              <w:right w:val="single" w:color="000000" w:sz="8" w:space="0"/>
            </w:tcBorders>
            <w:tcMar>
              <w:left w:w="108" w:type="dxa"/>
              <w:top w:w="0" w:type="dxa"/>
              <w:right w:w="108" w:type="dxa"/>
              <w:bottom w:w="0" w:type="dxa"/>
            </w:tcMar>
            <w:tcW w:w="348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2.191.485</w:t>
            </w:r>
            <w:r/>
          </w:p>
        </w:tc>
        <w:tc>
          <w:tcPr>
            <w:tcBorders>
              <w:bottom w:val="single" w:color="000000" w:sz="8" w:space="0"/>
              <w:right w:val="single" w:color="000000" w:sz="8" w:space="0"/>
            </w:tcBorders>
            <w:tcMar>
              <w:left w:w="108" w:type="dxa"/>
              <w:top w:w="0" w:type="dxa"/>
              <w:right w:w="108" w:type="dxa"/>
              <w:bottom w:w="0" w:type="dxa"/>
            </w:tcMar>
            <w:tcW w:w="335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33,34%</w:t>
            </w:r>
            <w:r/>
          </w:p>
        </w:tc>
        <w:tc>
          <w:tcPr>
            <w:tcBorders>
              <w:bottom w:val="single" w:color="000000" w:sz="8" w:space="0"/>
              <w:right w:val="single" w:color="000000" w:sz="8" w:space="0"/>
            </w:tcBorders>
            <w:tcMar>
              <w:left w:w="108" w:type="dxa"/>
              <w:top w:w="0" w:type="dxa"/>
              <w:right w:w="108" w:type="dxa"/>
              <w:bottom w:w="0" w:type="dxa"/>
            </w:tcMar>
            <w:tcW w:w="335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730.641</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39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322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2</w:t>
            </w:r>
            <w:r/>
          </w:p>
        </w:tc>
        <w:tc>
          <w:tcPr>
            <w:tcBorders>
              <w:bottom w:val="single" w:color="000000" w:sz="8" w:space="0"/>
              <w:right w:val="single" w:color="000000" w:sz="8" w:space="0"/>
            </w:tcBorders>
            <w:tcMar>
              <w:left w:w="108" w:type="dxa"/>
              <w:top w:w="0" w:type="dxa"/>
              <w:right w:w="108" w:type="dxa"/>
              <w:bottom w:w="0" w:type="dxa"/>
            </w:tcMar>
            <w:tcW w:w="348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2.117.000</w:t>
            </w:r>
            <w:r/>
          </w:p>
        </w:tc>
        <w:tc>
          <w:tcPr>
            <w:tcBorders>
              <w:bottom w:val="single" w:color="000000" w:sz="8" w:space="0"/>
              <w:right w:val="single" w:color="000000" w:sz="8" w:space="0"/>
            </w:tcBorders>
            <w:tcMar>
              <w:left w:w="108" w:type="dxa"/>
              <w:top w:w="0" w:type="dxa"/>
              <w:right w:w="108" w:type="dxa"/>
              <w:bottom w:w="0" w:type="dxa"/>
            </w:tcMar>
            <w:tcW w:w="335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bottom w:val="single" w:color="000000" w:sz="8" w:space="0"/>
              <w:right w:val="single" w:color="000000" w:sz="8" w:space="0"/>
            </w:tcBorders>
            <w:tcMar>
              <w:left w:w="108" w:type="dxa"/>
              <w:top w:w="0" w:type="dxa"/>
              <w:right w:w="108" w:type="dxa"/>
              <w:bottom w:w="0" w:type="dxa"/>
            </w:tcMar>
            <w:tcW w:w="335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705.596</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39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322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3</w:t>
            </w:r>
            <w:r/>
          </w:p>
        </w:tc>
        <w:tc>
          <w:tcPr>
            <w:tcBorders>
              <w:bottom w:val="single" w:color="000000" w:sz="8" w:space="0"/>
              <w:right w:val="single" w:color="000000" w:sz="8" w:space="0"/>
            </w:tcBorders>
            <w:tcMar>
              <w:left w:w="108" w:type="dxa"/>
              <w:top w:w="0" w:type="dxa"/>
              <w:right w:w="108" w:type="dxa"/>
              <w:bottom w:w="0" w:type="dxa"/>
            </w:tcMar>
            <w:tcW w:w="348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2.591.779</w:t>
            </w:r>
            <w:r/>
          </w:p>
        </w:tc>
        <w:tc>
          <w:tcPr>
            <w:tcBorders>
              <w:bottom w:val="single" w:color="000000" w:sz="8" w:space="0"/>
              <w:right w:val="single" w:color="000000" w:sz="8" w:space="0"/>
            </w:tcBorders>
            <w:tcMar>
              <w:left w:w="108" w:type="dxa"/>
              <w:top w:w="0" w:type="dxa"/>
              <w:right w:w="108" w:type="dxa"/>
              <w:bottom w:w="0" w:type="dxa"/>
            </w:tcMar>
            <w:tcW w:w="335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bottom w:val="single" w:color="000000" w:sz="8" w:space="0"/>
              <w:right w:val="single" w:color="000000" w:sz="8" w:space="0"/>
            </w:tcBorders>
            <w:tcMar>
              <w:left w:w="108" w:type="dxa"/>
              <w:top w:w="0" w:type="dxa"/>
              <w:right w:w="108" w:type="dxa"/>
              <w:bottom w:w="0" w:type="dxa"/>
            </w:tcMar>
            <w:tcW w:w="335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863.840</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1146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bình quân theo trọng số:</w:t>
            </w:r>
            <w:r/>
          </w:p>
        </w:tc>
        <w:tc>
          <w:tcPr>
            <w:tcBorders>
              <w:bottom w:val="single" w:color="000000" w:sz="8" w:space="0"/>
              <w:right w:val="single" w:color="000000" w:sz="8" w:space="0"/>
            </w:tcBorders>
            <w:tcMar>
              <w:left w:w="108" w:type="dxa"/>
              <w:top w:w="0" w:type="dxa"/>
              <w:right w:w="108" w:type="dxa"/>
              <w:bottom w:w="0" w:type="dxa"/>
            </w:tcMar>
            <w:tcW w:w="335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2.300.077</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1146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335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2.300.000</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Tổ thẩm định sử dụng mức giá chỉ dẫn là mức giá bình quân có trọng số của 03 tài sản so sánh làm mức giá của tài sản thẩm định giá, tương ứng là: </w:t>
      </w:r>
      <w:r>
        <w:rPr>
          <w:rFonts w:ascii="Times New Roman" w:hAnsi="Times New Roman" w:eastAsia="Times New Roman" w:cs="Times New Roman"/>
          <w:b/>
          <w:color w:val="000000"/>
          <w:sz w:val="24"/>
        </w:rPr>
        <w:t xml:space="preserve">2.300.000 đồng/m²</w:t>
      </w:r>
      <w:r>
        <w:rPr>
          <w:rFonts w:ascii="Times New Roman" w:hAnsi="Times New Roman" w:eastAsia="Times New Roman" w:cs="Times New Roman"/>
          <w:sz w:val="24"/>
        </w:rPr>
      </w:r>
      <w:r/>
    </w:p>
    <w:p>
      <w:pPr>
        <w:pStyle w:val="1032"/>
        <w:pBdr/>
        <w:spacing w:after="120" w:before="120" w:line="276" w:lineRule="auto"/>
        <w:ind w:left="357"/>
        <w:jc w:val="both"/>
        <w:rPr>
          <w:b/>
          <w:bCs/>
        </w:rPr>
      </w:pPr>
      <w:r>
        <w:rPr>
          <w:b/>
          <w:bCs/>
        </w:rPr>
      </w:r>
      <w:r>
        <w:rPr>
          <w:b/>
          <w:bCs/>
        </w:rPr>
      </w:r>
      <w:r>
        <w:rPr>
          <w:b/>
          <w:bCs/>
        </w:rPr>
      </w:r>
    </w:p>
    <w:p>
      <w:pPr>
        <w:pStyle w:val="1032"/>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2"/>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rPr>
          <w:color w:val="000000" w:themeColor="text1"/>
          <w:lang w:val="pt-BR"/>
        </w:rPr>
        <w:t xml:space="preserve">Tháng 04/2026</w:t>
      </w:r>
      <w:r>
        <w:t xml:space="preserve"> </w:t>
      </w:r>
      <w:r>
        <w:t xml:space="preserve">ước tính </w:t>
      </w:r>
      <w:r>
        <w:t xml:space="preserve">như sau</w:t>
      </w:r>
      <w:r>
        <w:t xml:space="preserve">:</w:t>
      </w:r>
      <w:r/>
    </w:p>
    <w:tbl>
      <w:tblPr>
        <w:tblInd w:w="113"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04"/>
        <w:gridCol w:w="2693"/>
        <w:gridCol w:w="1523"/>
        <w:gridCol w:w="2021"/>
        <w:gridCol w:w="2439"/>
      </w:tblGrid>
      <w:tr>
        <w:trPr>
          <w:trHeight w:val="20"/>
        </w:trPr>
        <w:tc>
          <w:tcPr>
            <w:shd w:val="clear" w:color="000000" w:fill="ffffff"/>
            <w:tcBorders/>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000000" w:fill="ffffff"/>
            <w:tcBorders/>
            <w:tcW w:w="2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000000" w:fill="ffffff"/>
            <w:tcBorders/>
            <w:tcW w:w="15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000000" w:fill="ffffff"/>
            <w:tcBorders/>
            <w:tcW w:w="2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000000" w:fill="ffffff"/>
            <w:tcBorders/>
            <w:tcW w:w="24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000000" w:fill="ffffff"/>
            <w:tcBorders/>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01</w:t>
            </w:r>
            <w:r/>
          </w:p>
        </w:tc>
        <w:tc>
          <w:tcPr>
            <w:gridSpan w:val="3"/>
            <w:shd w:val="clear" w:color="000000" w:fill="ffffff"/>
            <w:tcBorders/>
            <w:tcW w:w="62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67, tờ bản đồ số: 15, có địa chỉ: Khu 6, xã Sơn Cương, huyện Thanh Ba, tỉnh Phú Thọ (nay là xã Chí Tiên, tỉnh Phú Thọ) theo Giấy chứng nhận quyền sử dụng đất, quyền sở hữu nhà ở và tài sản khác gắn liền với đất số: CB8250</w:t>
            </w:r>
            <w:r>
              <w:rPr>
                <w:rFonts w:ascii="Times New Roman" w:hAnsi="Times New Roman" w:eastAsia="Times New Roman" w:cs="Times New Roman"/>
                <w:b/>
                <w:color w:val="000000"/>
                <w:sz w:val="24"/>
              </w:rPr>
              <w:t xml:space="preserve">64, Số vào sổ cấp GCN: CH 000833 do UBND Huyện Thanh Ba cấp ngày 22/12/2015; chủ sử dụng đất là Ông Đỗ Hữu Nam.</w:t>
            </w:r>
            <w:r/>
          </w:p>
        </w:tc>
        <w:tc>
          <w:tcPr>
            <w:shd w:val="clear" w:color="000000" w:fill="ffffff"/>
            <w:tcBorders/>
            <w:tcW w:w="24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b/>
                <w:color w:val="000000"/>
                <w:sz w:val="24"/>
              </w:rPr>
              <w:t xml:space="preserve">501.500.000</w:t>
            </w:r>
            <w:r/>
          </w:p>
        </w:tc>
      </w:tr>
      <w:tr>
        <w:trPr>
          <w:trHeight w:val="20"/>
        </w:trPr>
        <w:tc>
          <w:tcPr>
            <w:shd w:val="clear" w:color="000000" w:fill="ffffff"/>
            <w:tcBorders/>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000000" w:fill="ffffff"/>
            <w:tcBorders/>
            <w:tcW w:w="2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rPr/>
            </w:pPr>
            <w:r>
              <w:rPr>
                <w:rFonts w:ascii="Times New Roman" w:hAnsi="Times New Roman" w:eastAsia="Times New Roman" w:cs="Times New Roman"/>
                <w:color w:val="000000"/>
                <w:sz w:val="24"/>
              </w:rPr>
              <w:t xml:space="preserve">Đất ở nông thôn (100m2) – Đất trồng cây lâu năm (750m2)</w:t>
            </w:r>
            <w:r/>
          </w:p>
        </w:tc>
        <w:tc>
          <w:tcPr>
            <w:shd w:val="clear" w:color="auto" w:fill="auto"/>
            <w:tcBorders/>
            <w:tcW w:w="152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850</w:t>
            </w:r>
            <w:r/>
          </w:p>
        </w:tc>
        <w:tc>
          <w:tcPr>
            <w:shd w:val="clear" w:color="000000" w:fill="ffffff"/>
            <w:tcBorders/>
            <w:tcW w:w="2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590.000</w:t>
            </w:r>
            <w:r/>
          </w:p>
        </w:tc>
        <w:tc>
          <w:tcPr>
            <w:shd w:val="clear" w:color="000000" w:fill="ffffff"/>
            <w:tcBorders/>
            <w:tcW w:w="24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color w:val="000000"/>
                <w:sz w:val="24"/>
              </w:rPr>
              <w:t xml:space="preserve">501.500.000</w:t>
            </w:r>
            <w:r/>
          </w:p>
        </w:tc>
      </w:tr>
      <w:tr>
        <w:trPr>
          <w:trHeight w:val="20"/>
        </w:trPr>
        <w:tc>
          <w:tcPr>
            <w:shd w:val="clear" w:color="000000" w:fill="ffffff"/>
            <w:tcBorders/>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02</w:t>
            </w:r>
            <w:r/>
          </w:p>
        </w:tc>
        <w:tc>
          <w:tcPr>
            <w:gridSpan w:val="3"/>
            <w:shd w:val="clear" w:color="000000" w:fill="ffffff"/>
            <w:tcBorders/>
            <w:tcW w:w="62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497, tờ bản đồ số: 22, có địa chỉ: Khu 6, xã Sơn Cương, huyện Thanh Ba, tỉnh Phú Thọ (nay là xã Chí Tiên, tỉnh Phú Thọ) theo Giấy chứng nhận quyền sử dụng đất, quyền sở hữu nhà ở và tài sản khác gắn liền với đất số: CT 96</w:t>
            </w:r>
            <w:r>
              <w:rPr>
                <w:rFonts w:ascii="Times New Roman" w:hAnsi="Times New Roman" w:eastAsia="Times New Roman" w:cs="Times New Roman"/>
                <w:b/>
                <w:color w:val="000000"/>
                <w:sz w:val="24"/>
              </w:rPr>
              <w:t xml:space="preserve">7298, Số vào sổ cấp GCN: Ch 001233 do UBND Huyện Thanh Ba cấp ngày 30/12/2019; chủ sử dụng đất là Ông Đỗ Hữu Nam và vợ </w:t>
            </w:r>
            <w:r>
              <w:rPr>
                <w:rFonts w:ascii="Times New Roman" w:hAnsi="Times New Roman" w:eastAsia="Times New Roman" w:cs="Times New Roman"/>
                <w:b/>
                <w:color w:val="000000"/>
                <w:sz w:val="24"/>
              </w:rPr>
              <w:t xml:space="preserve">Đỗ Thị Minh Tâm (cập nhật ngày 06/01/2025)</w:t>
            </w:r>
            <w:r/>
          </w:p>
        </w:tc>
        <w:tc>
          <w:tcPr>
            <w:shd w:val="clear" w:color="000000" w:fill="ffffff"/>
            <w:tcBorders/>
            <w:tcW w:w="24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b/>
                <w:color w:val="000000"/>
                <w:sz w:val="24"/>
              </w:rPr>
              <w:t xml:space="preserve">1.053.860.000</w:t>
            </w:r>
            <w:r/>
          </w:p>
        </w:tc>
      </w:tr>
      <w:tr>
        <w:trPr>
          <w:trHeight w:val="20"/>
        </w:trPr>
        <w:tc>
          <w:tcPr>
            <w:shd w:val="clear" w:color="000000" w:fill="ffffff"/>
            <w:tcBorders/>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000000" w:fill="ffffff"/>
            <w:tcBorders/>
            <w:tcW w:w="2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rPr/>
            </w:pPr>
            <w:r>
              <w:rPr>
                <w:rFonts w:ascii="Times New Roman" w:hAnsi="Times New Roman" w:eastAsia="Times New Roman" w:cs="Times New Roman"/>
                <w:color w:val="000000"/>
                <w:sz w:val="24"/>
              </w:rPr>
              <w:t xml:space="preserve">Đất ở nông thôn (200m2) – Đất trồng cây lâu năm (258,2m2)</w:t>
            </w:r>
            <w:r/>
          </w:p>
        </w:tc>
        <w:tc>
          <w:tcPr>
            <w:shd w:val="clear" w:color="auto" w:fill="auto"/>
            <w:tcBorders/>
            <w:tcW w:w="152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458,2</w:t>
            </w:r>
            <w:r/>
          </w:p>
        </w:tc>
        <w:tc>
          <w:tcPr>
            <w:shd w:val="clear" w:color="000000" w:fill="ffffff"/>
            <w:tcBorders/>
            <w:tcW w:w="2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2.300.000</w:t>
            </w:r>
            <w:r/>
          </w:p>
        </w:tc>
        <w:tc>
          <w:tcPr>
            <w:shd w:val="clear" w:color="000000" w:fill="ffffff"/>
            <w:tcBorders/>
            <w:tcW w:w="24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color w:val="000000"/>
                <w:sz w:val="24"/>
              </w:rPr>
              <w:t xml:space="preserve">1.053.860.000</w:t>
            </w:r>
            <w:r/>
          </w:p>
        </w:tc>
      </w:tr>
      <w:tr>
        <w:trPr>
          <w:trHeight w:val="20"/>
        </w:trPr>
        <w:tc>
          <w:tcPr>
            <w:gridSpan w:val="4"/>
            <w:shd w:val="clear" w:color="auto" w:fill="auto"/>
            <w:tcBorders/>
            <w:tcW w:w="6941"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b/>
                <w:color w:val="000000"/>
                <w:sz w:val="24"/>
              </w:rPr>
              <w:t xml:space="preserve">TỔNG CỘNG</w:t>
            </w:r>
            <w:r/>
          </w:p>
        </w:tc>
        <w:tc>
          <w:tcPr>
            <w:shd w:val="clear" w:color="auto" w:fill="auto"/>
            <w:tcBorders/>
            <w:tcW w:w="2439"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right"/>
              <w:rPr/>
            </w:pPr>
            <w:r>
              <w:rPr>
                <w:rFonts w:ascii="Times New Roman" w:hAnsi="Times New Roman" w:eastAsia="Times New Roman" w:cs="Times New Roman"/>
                <w:b/>
                <w:color w:val="000000"/>
                <w:sz w:val="24"/>
              </w:rPr>
              <w:t xml:space="preserve">1.555.360.000</w:t>
            </w:r>
            <w:r/>
          </w:p>
        </w:tc>
      </w:tr>
      <w:tr>
        <w:trPr>
          <w:trHeight w:val="20"/>
        </w:trPr>
        <w:tc>
          <w:tcPr>
            <w:gridSpan w:val="4"/>
            <w:shd w:val="clear" w:color="auto" w:fill="auto"/>
            <w:tcBorders/>
            <w:tcW w:w="6941"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b/>
                <w:color w:val="000000"/>
                <w:sz w:val="24"/>
              </w:rPr>
              <w:t xml:space="preserve">LÀM TRÒN</w:t>
            </w:r>
            <w:r/>
          </w:p>
        </w:tc>
        <w:tc>
          <w:tcPr>
            <w:shd w:val="clear" w:color="auto" w:fill="auto"/>
            <w:tcBorders/>
            <w:tcW w:w="2439"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right"/>
              <w:rPr/>
            </w:pPr>
            <w:r>
              <w:rPr>
                <w:rFonts w:ascii="Times New Roman" w:hAnsi="Times New Roman" w:eastAsia="Times New Roman" w:cs="Times New Roman"/>
                <w:b/>
                <w:color w:val="000000"/>
                <w:sz w:val="24"/>
              </w:rPr>
              <w:t xml:space="preserve">1.555.400.000</w:t>
            </w:r>
            <w:r/>
          </w:p>
        </w:tc>
      </w:tr>
      <w:tr>
        <w:trPr>
          <w:trHeight w:val="20"/>
        </w:trPr>
        <w:tc>
          <w:tcPr>
            <w:gridSpan w:val="5"/>
            <w:shd w:val="clear" w:color="auto" w:fill="auto"/>
            <w:tcBorders/>
            <w:tcW w:w="93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b/>
                <w:i/>
                <w:color w:val="000000"/>
                <w:sz w:val="24"/>
              </w:rPr>
              <w:t xml:space="preserve">(Bằng chữ:</w:t>
            </w:r>
            <w:r>
              <w:rPr>
                <w:rFonts w:ascii="Times New Roman" w:hAnsi="Times New Roman" w:eastAsia="Times New Roman" w:cs="Times New Roman"/>
                <w:b/>
                <w:color w:val="000000"/>
                <w:sz w:val="24"/>
              </w:rPr>
              <w:t xml:space="preserve"> </w:t>
            </w:r>
            <w:r>
              <w:rPr>
                <w:rFonts w:ascii="Times New Roman" w:hAnsi="Times New Roman" w:eastAsia="Times New Roman" w:cs="Times New Roman"/>
                <w:b/>
                <w:i/>
                <w:color w:val="000000"/>
                <w:sz w:val="24"/>
              </w:rPr>
              <w:t xml:space="preserve">Một tỷ năm trăm năm mươi lăm triệu bốn trăm nghìn đồng./.)</w:t>
            </w:r>
            <w:r/>
          </w:p>
        </w:tc>
      </w:tr>
    </w:tbl>
    <w:p>
      <w:pPr>
        <w:pStyle w:val="1032"/>
        <w:pBdr/>
        <w:tabs>
          <w:tab w:val="left" w:leader="none" w:pos="993"/>
        </w:tabs>
        <w:spacing w:after="120" w:before="120" w:line="276" w:lineRule="auto"/>
        <w:ind w:left="0"/>
        <w:jc w:val="both"/>
        <w:rPr/>
      </w:pPr>
      <w:r/>
      <w:r/>
    </w:p>
    <w:p>
      <w:pPr>
        <w:pStyle w:val="1032"/>
        <w:pBdr/>
        <w:tabs>
          <w:tab w:val="left" w:leader="none" w:pos="993"/>
        </w:tabs>
        <w:spacing w:after="120" w:before="120" w:line="305"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2"/>
        <w:numPr>
          <w:ilvl w:val="0"/>
          <w:numId w:val="4"/>
        </w:numPr>
        <w:pBdr/>
        <w:tabs>
          <w:tab w:val="left" w:leader="none" w:pos="993"/>
        </w:tabs>
        <w:spacing w:after="120" w:before="120" w:line="305"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2"/>
        <w:pBdr/>
        <w:tabs>
          <w:tab w:val="left" w:leader="none" w:pos="993"/>
        </w:tabs>
        <w:spacing w:after="120" w:before="120" w:line="305"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2"/>
        <w:numPr>
          <w:ilvl w:val="0"/>
          <w:numId w:val="5"/>
        </w:numPr>
        <w:pBdr/>
        <w:tabs>
          <w:tab w:val="left" w:leader="none" w:pos="993"/>
        </w:tabs>
        <w:spacing w:after="120" w:before="120" w:line="305"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2"/>
        <w:numPr>
          <w:ilvl w:val="0"/>
          <w:numId w:val="5"/>
        </w:numPr>
        <w:pBdr/>
        <w:tabs>
          <w:tab w:val="left" w:leader="none" w:pos="993"/>
        </w:tabs>
        <w:spacing w:after="120" w:before="120" w:line="305"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2"/>
        <w:numPr>
          <w:ilvl w:val="0"/>
          <w:numId w:val="5"/>
        </w:numPr>
        <w:pBdr/>
        <w:tabs>
          <w:tab w:val="left" w:leader="none" w:pos="993"/>
        </w:tabs>
        <w:spacing w:after="120" w:before="120" w:line="305"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2"/>
        <w:numPr>
          <w:ilvl w:val="0"/>
          <w:numId w:val="5"/>
        </w:numPr>
        <w:pBdr/>
        <w:tabs>
          <w:tab w:val="left" w:leader="none" w:pos="993"/>
        </w:tabs>
        <w:spacing w:after="120" w:before="120" w:line="305"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2"/>
        <w:numPr>
          <w:ilvl w:val="0"/>
          <w:numId w:val="10"/>
        </w:numPr>
        <w:pBdr/>
        <w:spacing w:after="120" w:before="120" w:line="305"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2"/>
        <w:numPr>
          <w:ilvl w:val="0"/>
          <w:numId w:val="10"/>
        </w:numPr>
        <w:pBdr/>
        <w:spacing w:after="120" w:before="120" w:line="305"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2"/>
        <w:numPr>
          <w:ilvl w:val="0"/>
          <w:numId w:val="10"/>
        </w:numPr>
        <w:pBdr/>
        <w:spacing w:after="120" w:before="120" w:line="305"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2"/>
        <w:pBdr/>
        <w:tabs>
          <w:tab w:val="left" w:leader="none" w:pos="993"/>
        </w:tabs>
        <w:spacing w:after="120" w:before="120" w:line="305"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2"/>
        <w:numPr>
          <w:ilvl w:val="0"/>
          <w:numId w:val="5"/>
        </w:numPr>
        <w:pBdr/>
        <w:tabs>
          <w:tab w:val="left" w:leader="none" w:pos="993"/>
        </w:tabs>
        <w:spacing w:after="120" w:before="120" w:line="305"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2"/>
        <w:numPr>
          <w:ilvl w:val="0"/>
          <w:numId w:val="5"/>
        </w:numPr>
        <w:pBdr/>
        <w:tabs>
          <w:tab w:val="left" w:leader="none" w:pos="993"/>
        </w:tabs>
        <w:spacing w:after="120" w:before="120" w:line="305"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2"/>
        <w:numPr>
          <w:ilvl w:val="0"/>
          <w:numId w:val="5"/>
        </w:numPr>
        <w:pBdr/>
        <w:tabs>
          <w:tab w:val="left" w:leader="none" w:pos="993"/>
        </w:tabs>
        <w:spacing w:after="120" w:before="120" w:line="305"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2"/>
        <w:numPr>
          <w:ilvl w:val="0"/>
          <w:numId w:val="5"/>
        </w:numPr>
        <w:pBdr/>
        <w:tabs>
          <w:tab w:val="left" w:leader="none" w:pos="993"/>
        </w:tabs>
        <w:spacing w:after="120" w:before="120" w:line="305"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2"/>
        <w:numPr>
          <w:ilvl w:val="0"/>
          <w:numId w:val="5"/>
        </w:numPr>
        <w:pBdr/>
        <w:tabs>
          <w:tab w:val="left" w:leader="none" w:pos="993"/>
        </w:tabs>
        <w:spacing w:after="120" w:before="120" w:line="305"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2"/>
        <w:numPr>
          <w:ilvl w:val="0"/>
          <w:numId w:val="5"/>
        </w:numPr>
        <w:pBdr/>
        <w:tabs>
          <w:tab w:val="left" w:leader="none" w:pos="993"/>
        </w:tabs>
        <w:spacing w:after="120" w:before="120" w:line="305"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2"/>
        <w:numPr>
          <w:ilvl w:val="0"/>
          <w:numId w:val="5"/>
        </w:numPr>
        <w:pBdr/>
        <w:spacing w:after="120" w:before="120" w:line="305"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2"/>
        <w:numPr>
          <w:ilvl w:val="0"/>
          <w:numId w:val="5"/>
        </w:numPr>
        <w:pBdr/>
        <w:tabs>
          <w:tab w:val="left" w:leader="none" w:pos="993"/>
        </w:tabs>
        <w:spacing w:after="120" w:before="120" w:line="305"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đất  đã cung cấp cho chúng tôi.</w:t>
      </w:r>
      <w:r>
        <w:rPr>
          <w:shd w:val="clear" w:color="auto" w:fill="ffffff"/>
          <w:lang w:val="pt-BR"/>
        </w:rPr>
      </w:r>
      <w:r>
        <w:rPr>
          <w:shd w:val="clear" w:color="auto" w:fill="ffffff"/>
          <w:lang w:val="pt-BR"/>
        </w:rPr>
      </w:r>
    </w:p>
    <w:p>
      <w:pPr>
        <w:pStyle w:val="1032"/>
        <w:numPr>
          <w:ilvl w:val="0"/>
          <w:numId w:val="5"/>
        </w:numPr>
        <w:pBdr/>
        <w:tabs>
          <w:tab w:val="left" w:leader="none" w:pos="993"/>
        </w:tabs>
        <w:spacing w:after="120" w:before="120" w:line="305" w:lineRule="auto"/>
        <w:ind/>
        <w:jc w:val="both"/>
        <w:rPr>
          <w:lang w:val="pt-BR"/>
        </w:rPr>
      </w:pPr>
      <w:r>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Pr>
          <w:lang w:val="pt-BR"/>
        </w:rPr>
        <w:t xml:space="preserve">dịch vụ thẩm định giá khác. Chúng tôi được hoàn toàn miễn trừ mọi trách nhiệm phát sinh, liên đới (nếu có) trong trường hợp này.</w:t>
      </w:r>
      <w:r>
        <w:rPr>
          <w:lang w:val="pt-BR"/>
        </w:rPr>
      </w:r>
      <w:r>
        <w:rPr>
          <w:lang w:val="pt-BR"/>
        </w:rPr>
      </w:r>
    </w:p>
    <w:p>
      <w:pPr>
        <w:pStyle w:val="1032"/>
        <w:pBdr/>
        <w:tabs>
          <w:tab w:val="left" w:leader="none" w:pos="993"/>
        </w:tabs>
        <w:spacing w:after="120" w:before="120" w:line="305" w:lineRule="auto"/>
        <w:ind w:left="360"/>
        <w:jc w:val="both"/>
        <w:rPr>
          <w:lang w:val="pt-BR"/>
        </w:rPr>
      </w:pPr>
      <w:r>
        <w:rPr>
          <w:lang w:val="pt-BR"/>
        </w:rPr>
        <w:t xml:space="preserve">T</w:t>
      </w:r>
      <w:r>
        <w:rPr>
          <w:lang w:val="pt-BR"/>
        </w:rPr>
        <w:t xml:space="preserve">ổ thẩm định cũng không nhận được bất kì hồ sơ pháp lí nào liên quan tới </w:t>
      </w:r>
      <w:r>
        <w:rPr>
          <w:lang w:val="pt-BR"/>
        </w:rPr>
        <w:t xml:space="preserve">các </w:t>
      </w:r>
      <w:r>
        <w:rPr>
          <w:lang w:val="pt-BR"/>
        </w:rPr>
        <w:t xml:space="preserve">CTXD hiện có</w:t>
      </w:r>
      <w:r>
        <w:rPr>
          <w:lang w:val="pt-BR"/>
        </w:rPr>
        <w:t xml:space="preserve"> trên. Đồng thời, tài sản đang trong quá trình xử lý tài sản tại Ngân hàng, Tổ thẩm định không nhận được sự phối hợp hoàn toàn của các bên liên quan để thực hiện đầy đủ các thủ tục khảo sát, đo đạc.</w:t>
      </w:r>
      <w:r>
        <w:rPr>
          <w:lang w:val="pt-BR"/>
        </w:rPr>
        <w:t xml:space="preserve"> </w:t>
      </w:r>
      <w:r>
        <w:rPr>
          <w:lang w:val="pt-BR"/>
        </w:rPr>
        <w:t xml:space="preserve">D</w:t>
      </w:r>
      <w:r>
        <w:rPr>
          <w:lang w:val="pt-BR"/>
        </w:rPr>
        <w:t xml:space="preserve">o vậy, theo đề nghị của Khách hàng/Ngân hàng, tổ thẩm định xác định giá trị </w:t>
      </w:r>
      <w:r>
        <w:rPr>
          <w:lang w:val="pt-BR"/>
        </w:rPr>
        <w:t xml:space="preserve">công trình theo hiện trạng</w:t>
      </w:r>
      <w:r>
        <w:rPr>
          <w:lang w:val="pt-BR"/>
        </w:rPr>
        <w:t xml:space="preserve"> với giả định thông số </w:t>
      </w:r>
      <w:r>
        <w:rPr>
          <w:lang w:val="pt-BR"/>
        </w:rPr>
        <w:t xml:space="preserve">Khách hàng cung cấp </w:t>
      </w:r>
      <w:r>
        <w:rPr>
          <w:lang w:val="pt-BR"/>
        </w:rPr>
        <w:t xml:space="preserve">là chính xác</w:t>
      </w:r>
      <w:r>
        <w:rPr>
          <w:lang w:val="pt-BR"/>
        </w:rPr>
        <w:t xml:space="preserve">, </w:t>
      </w:r>
      <w:r>
        <w:rPr>
          <w:lang w:val="nl-NL"/>
        </w:rPr>
        <w:t xml:space="preserve">giá trị công trình xây dựng chỉ mang tính chất tham khảo. Ngoài ra, Tổ thẩm định không có trách nhiệm xác </w:t>
      </w:r>
      <w:r>
        <w:rPr>
          <w:lang w:val="nl-NL"/>
        </w:rPr>
        <w:t xml:space="preserve">minh chủ sở hữu công trình xây dựng trên. Kính đề nghị đơn vị sử dụng kết quả lưu ý</w:t>
      </w:r>
      <w:r>
        <w:rPr>
          <w:lang w:val="nl-NL"/>
        </w:rPr>
        <w:t xml:space="preserve">.</w:t>
      </w:r>
      <w:r>
        <w:rPr>
          <w:lang w:val="pt-BR"/>
        </w:rPr>
      </w:r>
      <w:r>
        <w:rPr>
          <w:lang w:val="pt-BR"/>
        </w:rPr>
      </w:r>
    </w:p>
    <w:p>
      <w:pPr>
        <w:pStyle w:val="1032"/>
        <w:numPr>
          <w:ilvl w:val="0"/>
          <w:numId w:val="3"/>
        </w:numPr>
        <w:pBdr/>
        <w:tabs>
          <w:tab w:val="left" w:leader="none" w:pos="993"/>
        </w:tabs>
        <w:spacing w:after="120" w:before="120" w:line="305"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2"/>
        <w:numPr>
          <w:ilvl w:val="0"/>
          <w:numId w:val="5"/>
        </w:numPr>
        <w:pBdr/>
        <w:tabs>
          <w:tab w:val="left" w:leader="none" w:pos="993"/>
        </w:tabs>
        <w:spacing w:after="120" w:before="120" w:line="305"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2"/>
        <w:numPr>
          <w:ilvl w:val="0"/>
          <w:numId w:val="5"/>
        </w:numPr>
        <w:pBdr/>
        <w:tabs>
          <w:tab w:val="left" w:leader="none" w:pos="993"/>
        </w:tabs>
        <w:spacing w:after="120" w:before="120" w:line="305"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lang w:val="pt-BR"/>
        </w:rPr>
      </w:r>
      <w:r>
        <w:rPr>
          <w:lang w:val="pt-BR"/>
        </w:rPr>
      </w:r>
    </w:p>
    <w:p>
      <w:pPr>
        <w:pBdr/>
        <w:spacing w:after="120" w:before="120" w:line="305"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2"/>
        <w:pBdr/>
        <w:tabs>
          <w:tab w:val="left" w:leader="none" w:pos="993"/>
        </w:tabs>
        <w:spacing w:after="120" w:before="120" w:line="305"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2"/>
        <w:pBdr/>
        <w:tabs>
          <w:tab w:val="left" w:leader="none" w:pos="993"/>
        </w:tabs>
        <w:spacing w:after="120" w:before="120" w:line="305"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Bdr/>
        <w:spacing w:after="200" w:line="276" w:lineRule="auto"/>
        <w:ind/>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275/2026/022/VFI-CT.47</w:t>
      </w:r>
      <w:r>
        <w:rPr>
          <w:color w:val="000000" w:themeColor="text1"/>
        </w:rPr>
        <w:t xml:space="preserve"> </w:t>
      </w:r>
      <w:r>
        <w:rPr>
          <w:lang w:val="vi-VN"/>
        </w:rPr>
        <w:t xml:space="preserve">ngày </w:t>
      </w:r>
      <w:r>
        <w:rPr>
          <w:color w:val="000000" w:themeColor="text1"/>
        </w:rPr>
        <w:t xml:space="preserve">ngày 3 tháng 4 năm 2026</w:t>
      </w:r>
      <w:r>
        <w:rPr>
          <w:lang w:val="vi-VN"/>
        </w:rPr>
        <w:t xml:space="preserve"> </w:t>
      </w:r>
      <w:r>
        <w:rPr>
          <w:lang w:val="vi-VN"/>
        </w:rPr>
        <w:t xml:space="preserve">tại</w:t>
      </w:r>
      <w:r>
        <w:rPr>
          <w:lang w:val="vi-VN"/>
        </w:rPr>
        <w:t xml:space="preserve"> </w:t>
      </w:r>
      <w:r>
        <w:rPr>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457"/>
        <w:gridCol w:w="4906"/>
      </w:tblGrid>
      <w:tr>
        <w:trPr>
          <w:trHeight w:val="20"/>
        </w:trPr>
        <w:tc>
          <w:tcPr>
            <w:tcBorders/>
            <w:tcW w:w="2380"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620"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380"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620"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380" w:type="pct"/>
            <w:vAlign w:val="center"/>
            <w:textDirection w:val="lrTb"/>
            <w:noWrap w:val="false"/>
          </w:tcPr>
          <w:p>
            <w:pPr>
              <w:pBdr/>
              <w:spacing w:line="276" w:lineRule="auto"/>
              <w:ind/>
              <w:jc w:val="center"/>
              <w:rPr>
                <w:rFonts w:eastAsia="Calibri"/>
                <w:b/>
                <w:lang w:val="pt-BR"/>
              </w:rPr>
            </w:pPr>
            <w:r>
              <w:rPr>
                <w:rFonts w:eastAsia="Calibri"/>
                <w:b/>
                <w:color w:val="000000" w:themeColor="text1"/>
                <w:lang w:val="pt-BR"/>
              </w:rPr>
              <w:t xml:space="preserve">Nguyễn Thị Thùy Dương</w:t>
            </w:r>
            <w:r>
              <w:rPr>
                <w:rFonts w:eastAsia="Calibri"/>
                <w:b/>
                <w:lang w:val="pt-BR"/>
              </w:rPr>
            </w:r>
            <w:r>
              <w:rPr>
                <w:rFonts w:eastAsia="Calibri"/>
                <w:b/>
                <w:lang w:val="pt-BR"/>
              </w:rPr>
            </w:r>
          </w:p>
          <w:p>
            <w:pPr>
              <w:pBdr/>
              <w:spacing w:line="276" w:lineRule="auto"/>
              <w:ind/>
              <w:jc w:val="center"/>
              <w:rPr>
                <w:rFonts w:eastAsia="Calibri"/>
                <w:bCs/>
                <w:lang w:val="pt-BR"/>
              </w:rPr>
            </w:pPr>
            <w:r>
              <w:rPr>
                <w:rFonts w:eastAsia="Calibri"/>
                <w:lang w:val="pt-BR"/>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620"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784"/>
        <w:gridCol w:w="4579"/>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Chu Thế Hiển</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275/2026/022/VFI-BC.47 </w:t>
      </w:r>
      <w:r>
        <w:rPr>
          <w:i/>
          <w:lang w:val="pt-BR"/>
        </w:rPr>
        <w:t xml:space="preserve">ngày </w:t>
      </w:r>
      <w:r>
        <w:rPr>
          <w:i/>
          <w:lang w:val="pt-BR"/>
        </w:rPr>
        <w:t xml:space="preserve">3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i/>
          <w:lang w:val="pt-BR"/>
        </w:rPr>
      </w:pPr>
      <w:r>
        <w:rPr>
          <w:b/>
          <w:bCs/>
          <w:i/>
          <w:lang w:val="pt-BR"/>
        </w:rPr>
        <w:t xml:space="preserve">Tài </w:t>
      </w:r>
      <w:r>
        <w:rPr>
          <w:b/>
          <w:bCs/>
          <w:i/>
          <w:lang w:val="pt-BR"/>
        </w:rPr>
        <w:t xml:space="preserve">sản </w:t>
      </w:r>
      <w:r>
        <w:rPr>
          <w:b/>
          <w:bCs/>
          <w:i/>
          <w:lang w:val="pt-BR"/>
        </w:rPr>
        <w:t xml:space="preserve">0</w:t>
      </w:r>
      <w:r>
        <w:rPr>
          <w:b/>
          <w:bCs/>
          <w:i/>
          <w:lang w:val="pt-BR"/>
        </w:rPr>
        <w:t xml:space="preserve">1: </w:t>
      </w:r>
      <w:r>
        <w:rPr>
          <w:i/>
          <w:lang w:val="pt-BR"/>
        </w:rPr>
      </w:r>
      <w:r>
        <w:rPr>
          <w:i/>
          <w:lang w:val="pt-BR"/>
        </w:rPr>
      </w:r>
    </w:p>
    <w:p>
      <w:pPr>
        <w:pBdr/>
        <w:spacing/>
        <w:ind/>
        <w:rPr/>
      </w:pPr>
      <w:r/>
      <w:r/>
    </w:p>
    <w:p>
      <w:pPr>
        <w:pBdr/>
        <w:spacing w:after="200" w:line="276" w:lineRule="auto"/>
        <w:ind w:firstLine="720"/>
        <w:jc w:val="center"/>
        <w:rPr/>
      </w:pPr>
      <w:r>
        <w:rPr>
          <w:b/>
          <w:bCs/>
          <w:i/>
          <w:lang w:val="pt-BR"/>
        </w:rPr>
        <w:t xml:space="preserve">Tài </w:t>
      </w:r>
      <w:r>
        <w:rPr>
          <w:b/>
          <w:bCs/>
          <w:i/>
          <w:lang w:val="pt-BR"/>
        </w:rPr>
        <w:t xml:space="preserve">sản </w:t>
      </w:r>
      <w:r>
        <w:rPr>
          <w:b/>
          <w:bCs/>
          <w:i/>
          <w:lang w:val="pt-BR"/>
        </w:rPr>
        <w:t xml:space="preserve">02</w:t>
      </w:r>
      <w:r>
        <w:rPr>
          <w:b/>
          <w:bCs/>
          <w:i/>
          <w:lang w:val="pt-BR"/>
        </w:rPr>
        <w:t xml:space="preserve">:</w:t>
      </w:r>
      <w:r/>
    </w:p>
    <w:tbl>
      <w:tblPr>
        <w:tblStyle w:val="1036"/>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8"/>
        <w:gridCol w:w="4758"/>
        <w:gridCol w:w="4649"/>
        <w:gridCol w:w="108"/>
      </w:tblGrid>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2.50pt;height:150.00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12.50pt;height:150.00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12.50pt;height:150.00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12.50pt;height:150.00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12.50pt;height:150.00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w:rPr>
                <w:b/>
                <w:bCs/>
                <w:i/>
                <w:lang w:val="pt-BR"/>
              </w:rPr>
            </w:r>
            <w:r>
              <w:rPr>
                <w:b/>
                <w:bCs/>
                <w:i/>
                <w:lang w:val="pt-BR"/>
              </w:rPr>
            </w:r>
          </w:p>
        </w:tc>
      </w:tr>
      <w:tr>
        <w:trPr>
          <w:gridAfter w:val="1"/>
        </w:trPr>
        <w:tc>
          <w:tcPr>
            <w:gridSpan w:val="3"/>
            <w:tcBorders/>
            <w:tcW w:w="9515" w:type="dxa"/>
            <w:vAlign w:val="center"/>
            <w:textDirection w:val="lrTb"/>
            <w:noWrap w:val="false"/>
          </w:tcPr>
          <w:p>
            <w:pPr>
              <w:pBdr/>
              <w:spacing w:after="120"/>
              <w:ind/>
              <w:rPr>
                <w:b/>
                <w:bCs/>
                <w:i/>
                <w:lang w:val="pt-BR"/>
              </w:rPr>
            </w:pPr>
            <w:r>
              <w:rPr>
                <w:b/>
                <w:bCs/>
                <w:i/>
                <w:lang w:val="pt-BR"/>
              </w:rPr>
            </w:r>
            <w:r>
              <w:rPr>
                <w:b/>
                <w:bCs/>
                <w:i/>
                <w:lang w:val="pt-BR"/>
              </w:rPr>
            </w:r>
            <w:r>
              <w:rPr>
                <w:b/>
                <w:bCs/>
                <w:i/>
                <w:lang w:val="pt-BR"/>
              </w:rPr>
            </w:r>
          </w:p>
        </w:tc>
      </w:tr>
    </w:tbl>
    <w:p>
      <w:pPr>
        <w:pBdr/>
        <w:spacing w:after="200" w:line="276" w:lineRule="auto"/>
        <w:ind/>
        <w:rPr/>
      </w:pPr>
      <w:r/>
      <w:r/>
    </w:p>
    <w:p>
      <w:pPr>
        <w:pBdr/>
        <w:spacing w:after="200" w:line="276" w:lineRule="auto"/>
        <w:ind/>
        <w:rPr>
          <w:b/>
          <w:u w:val="single"/>
          <w:lang w:val="vi-VN"/>
        </w:rPr>
      </w:pPr>
      <w:r>
        <w:rPr>
          <w:b/>
          <w:u w:val="single"/>
          <w:lang w:val="vi-VN"/>
        </w:rPr>
        <w:br w:type="page" w:clear="all"/>
      </w:r>
      <w:r>
        <w:rPr>
          <w:b/>
          <w:u w:val="single"/>
          <w:lang w:val="vi-VN"/>
        </w:rPr>
      </w:r>
      <w:r>
        <w:rPr>
          <w:b/>
          <w:u w:val="single"/>
          <w:lang w:val="vi-VN"/>
        </w:rP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275/2026/022/VFI-BC.47 </w:t>
      </w:r>
      <w:r>
        <w:rPr>
          <w:i/>
        </w:rPr>
        <w:t xml:space="preserve">ngày</w:t>
      </w:r>
      <w:r>
        <w:rPr>
          <w:i/>
        </w:rPr>
        <w:t xml:space="preserve"> </w:t>
      </w:r>
      <w:r>
        <w:rPr>
          <w:i/>
          <w:lang w:val="pt-BR"/>
        </w:rPr>
        <w:t xml:space="preserve">3 tháng 4 năm 2026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i/>
          <w:iCs/>
          <w:lang w:val="pt-BR"/>
        </w:rPr>
      </w:pPr>
      <w:r>
        <w:rPr>
          <w:b/>
          <w:i/>
          <w:iCs/>
          <w:lang w:val="pt-BR"/>
        </w:rPr>
        <w:t xml:space="preserve">Tài sản so sánh cho </w:t>
      </w:r>
      <w:r>
        <w:rPr>
          <w:b/>
          <w:i/>
          <w:iCs/>
          <w:lang w:val="pt-BR"/>
        </w:rPr>
        <w:t xml:space="preserve">Tài sản 01: </w:t>
      </w:r>
      <w:r>
        <w:rPr>
          <w:b/>
          <w:i/>
          <w:iCs/>
          <w:lang w:val="pt-BR"/>
        </w:rPr>
      </w:r>
      <w:r>
        <w:rPr>
          <w:b/>
          <w:i/>
          <w:iCs/>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https://www.facebook.com/thuat.phung.9277/posts/pfbid0cBtj2nMChhQFaW4j95YpYPAEX4TfUwUsvRxAFKXHfgWjq35sMLKPT1Wq4TGAJu7El</w:t>
            </w:r>
            <w:r>
              <w:rPr>
                <w:color w:val="000000" w:themeColor="text1"/>
                <w:sz w:val="22"/>
                <w:szCs w:val="22"/>
              </w:rPr>
              <w:br/>
              <w:t xml:space="preserve">0367062873</w:t>
            </w:r>
            <w:r>
              <w:rPr>
                <w:sz w:val="22"/>
                <w:szCs w:val="22"/>
              </w:rPr>
              <w:t xml:space="preserve"> </w:t>
            </w:r>
            <w:r>
              <w:rPr>
                <w:sz w:val="22"/>
                <w:szCs w:val="22"/>
              </w:rPr>
              <w:br/>
              <w:t xml:space="preserve">(</w:t>
            </w:r>
            <w:r>
              <w:rPr>
                <w:color w:val="000000" w:themeColor="text1"/>
                <w:sz w:val="22"/>
                <w:szCs w:val="22"/>
              </w:rPr>
              <w:t xml:space="preserve">Thuật</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937.500.000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thôn,Đất trồng cây lâu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 Có thời hạn (đến 19/10/2063)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Sơn Cương, Huyện Thanh Ba, Tỉnh Phú Thọ, độ rộng đường trước mặt tài sản 4m, mặt tiền 11m, 21.408537768494536, 105.16252631241817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329.4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lợi thế kinh doanh</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413567"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641356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505.01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6531526"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653152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514.29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842956"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384295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02.59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785938"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178593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40.63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642319"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564231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44.28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Chu Thế Hiển</w:t>
            </w:r>
            <w:r>
              <w:rPr>
                <w:b/>
                <w:bCs/>
              </w:rPr>
            </w:r>
            <w:r>
              <w:rPr>
                <w:b/>
                <w:bCs/>
              </w:rPr>
            </w:r>
          </w:p>
          <w:p>
            <w:pPr>
              <w:pBdr/>
              <w:spacing/>
              <w:ind/>
              <w:jc w:val="center"/>
              <w:rPr>
                <w:b/>
                <w:bCs/>
              </w:rPr>
            </w:pPr>
            <w:r>
              <w:rPr>
                <w:b/>
                <w:bCs/>
              </w:rPr>
            </w:r>
            <w:r>
              <w:rPr>
                <w:b/>
                <w:bCs/>
              </w:rPr>
            </w:r>
            <w:r>
              <w:rPr>
                <w:b/>
                <w:bCs/>
              </w:rPr>
            </w:r>
          </w:p>
        </w:tc>
      </w:tr>
    </w:tbl>
    <w:p>
      <w:pPr>
        <w:pBdr/>
        <w:spacing w:after="120"/>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120"/>
        <w:ind/>
        <w:jc w:val="center"/>
        <w:rPr>
          <w:b/>
          <w:bCs/>
          <w:iCs/>
          <w:lang w:val="pt-BR"/>
        </w:rPr>
      </w:pPr>
      <w:r>
        <w:rPr>
          <w:b/>
          <w:bCs/>
          <w:iCs/>
          <w:lang w:val="pt-BR"/>
        </w:rPr>
        <w:br/>
      </w:r>
      <w:r>
        <w:rPr>
          <w:b/>
          <w:bCs/>
          <w:iCs/>
          <w:lang w:val="pt-BR"/>
        </w:rPr>
        <w:t xml:space="preserve">TSSS</w:t>
      </w:r>
      <w:r>
        <w:rPr>
          <w:b/>
          <w:bCs/>
          <w:iCs/>
          <w:lang w:val="pt-BR"/>
        </w:rPr>
        <w:t xml:space="preserve">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w:t>
            </w:r>
            <w:r>
              <w:rPr>
                <w:b/>
                <w:bCs/>
                <w:color w:val="000000"/>
                <w:sz w:val="22"/>
                <w:szCs w:val="22"/>
              </w:rPr>
              <w:t xml:space="preserve">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https://www.facebook.com/luyen.minh.7393/posts/pfbid02jJNurGiuZTFTDT2SSVpv7r3PNKn56tKyEYfjYLDJunVmcCjaXEK3HF3ykaDrDvRtl</w:t>
            </w:r>
            <w:r>
              <w:rPr>
                <w:color w:val="000000" w:themeColor="text1"/>
                <w:sz w:val="22"/>
                <w:szCs w:val="22"/>
              </w:rPr>
              <w:br/>
              <w:t xml:space="preserve">0349 613 858</w:t>
            </w:r>
            <w:r>
              <w:rPr>
                <w:sz w:val="22"/>
                <w:szCs w:val="22"/>
              </w:rPr>
              <w:t xml:space="preserve"> </w:t>
            </w:r>
            <w:r>
              <w:rPr>
                <w:sz w:val="22"/>
                <w:szCs w:val="22"/>
              </w:rPr>
              <w:br/>
              <w:t xml:space="preserve">(</w:t>
            </w:r>
            <w:r>
              <w:rPr>
                <w:color w:val="000000" w:themeColor="text1"/>
                <w:sz w:val="22"/>
                <w:szCs w:val="22"/>
              </w:rPr>
              <w:t xml:space="preserve">Luyến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384.000.000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thôn,Đất trồng cây lâu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 Có thời hạn (đến 30/09/2063)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Sơn Cương, Huyện Thanh Ba, Tỉnh Phú Thọ, độ rộng đường trước mặt tài sản 3.5m, mặt tiền 6m, 21.416378579710777, 105.16874903733272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130.6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kinh doanh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lợi thế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w:t>
            </w:r>
            <w:r>
              <w:rPr>
                <w:color w:val="000000"/>
                <w:sz w:val="22"/>
                <w:szCs w:val="22"/>
              </w:rPr>
              <w:t xml:space="preserve">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565544"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656554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516.97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851784"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385178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03.29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87.50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7.50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7762"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423776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33.68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Chu Thế Hiển</w:t>
            </w:r>
            <w:r>
              <w:rPr>
                <w:b/>
                <w:bCs/>
              </w:rPr>
            </w:r>
            <w:r>
              <w:rPr>
                <w:b/>
                <w:bCs/>
              </w:rPr>
            </w:r>
          </w:p>
        </w:tc>
      </w:tr>
    </w:tbl>
    <w:p>
      <w:pPr>
        <w:pBdr/>
        <w:spacing w:after="120"/>
        <w:ind/>
        <w:rPr>
          <w:b/>
          <w:bCs/>
        </w:rPr>
      </w:pPr>
      <w:r>
        <w:rPr>
          <w:b/>
          <w:bCs/>
        </w:rPr>
      </w:r>
      <w:r>
        <w:rPr>
          <w:b/>
          <w:bCs/>
        </w:rPr>
      </w:r>
      <w:r>
        <w:rPr>
          <w:b/>
          <w:bCs/>
        </w:rPr>
      </w:r>
    </w:p>
    <w:p>
      <w:pPr>
        <w:pBdr/>
        <w:spacing w:after="200" w:line="276" w:lineRule="auto"/>
        <w:ind/>
        <w:rPr>
          <w:b/>
          <w:bCs/>
        </w:rPr>
      </w:pPr>
      <w:r>
        <w:rPr>
          <w:b/>
          <w:bCs/>
        </w:rPr>
        <w:br w:type="page" w:clear="all"/>
      </w:r>
      <w:r>
        <w:rPr>
          <w:b/>
          <w:bCs/>
        </w:rPr>
      </w:r>
      <w:r>
        <w:rPr>
          <w:b/>
          <w:bCs/>
        </w:rPr>
      </w:r>
    </w:p>
    <w:p>
      <w:pPr>
        <w:pBdr/>
        <w:spacing w:after="120"/>
        <w:ind/>
        <w:rPr>
          <w:b/>
          <w:bCs/>
          <w:iCs/>
          <w:lang w:val="pt-BR"/>
        </w:rPr>
      </w:pPr>
      <w:r>
        <w:rPr>
          <w:b/>
          <w:bCs/>
          <w:iCs/>
          <w:lang w:val="pt-BR"/>
        </w:rPr>
      </w:r>
      <w:r>
        <w:rPr>
          <w:b/>
          <w:bCs/>
          <w:iCs/>
          <w:lang w:val="pt-BR"/>
        </w:rPr>
      </w:r>
      <w:r>
        <w:rPr>
          <w:b/>
          <w:bCs/>
          <w:iCs/>
          <w:lang w:val="pt-BR"/>
        </w:rPr>
      </w:r>
    </w:p>
    <w:p>
      <w:pPr>
        <w:pBdr/>
        <w:spacing w:after="120"/>
        <w:ind/>
        <w:jc w:val="center"/>
        <w:rPr>
          <w:b/>
          <w:bCs/>
          <w:iCs/>
          <w:lang w:val="pt-BR"/>
        </w:rPr>
      </w:pPr>
      <w:r>
        <w:rPr>
          <w:b/>
          <w:bCs/>
          <w:iCs/>
          <w:lang w:val="pt-BR"/>
        </w:rPr>
        <w:t xml:space="preserve">TSSS</w:t>
      </w:r>
      <w:r>
        <w:rPr>
          <w:b/>
          <w:bCs/>
          <w:iCs/>
          <w:lang w:val="pt-BR"/>
        </w:rPr>
        <w:t xml:space="preserve">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w:t>
            </w:r>
            <w:r>
              <w:rPr>
                <w:b/>
                <w:bCs/>
                <w:color w:val="000000"/>
                <w:sz w:val="22"/>
                <w:szCs w:val="22"/>
              </w:rPr>
              <w:t xml:space="preserve">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0349 613 858</w:t>
            </w:r>
            <w:r>
              <w:rPr>
                <w:sz w:val="22"/>
                <w:szCs w:val="22"/>
              </w:rPr>
              <w:t xml:space="preserve"> </w:t>
            </w:r>
            <w:r>
              <w:rPr>
                <w:sz w:val="22"/>
                <w:szCs w:val="22"/>
              </w:rPr>
              <w:br/>
              <w:t xml:space="preserve">(</w:t>
            </w:r>
            <w:r>
              <w:rPr>
                <w:color w:val="000000" w:themeColor="text1"/>
                <w:sz w:val="22"/>
                <w:szCs w:val="22"/>
              </w:rPr>
              <w:t xml:space="preserve">Luyến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1.750.000.000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thôn,Đất trồng cây lâu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 Có thời hạn (đến 30/09/2063)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Sơn Cương, Huyện Thanh Ba, Tỉnh Phú Thọ, khoảng cách ra đường chính cách DT320 khoảng 1500m, độ rộng đường trước mặt tài sản 6m, mặt tiền 12m, 21.416648256156968, 105.16686076218623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318.7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lợi thế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819416"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381941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300.74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875324"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387532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305.14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87.50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87.50pt;height:250.00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8"/>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187.50pt;height:250.00pt;mso-wrap-distance-left:0.00pt;mso-wrap-distance-top:0.00pt;mso-wrap-distance-right:0.00pt;mso-wrap-distance-bottom:0.00pt;z-index:1;" stroked="false">
                      <v:imagedata r:id="rId3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9"/>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187.50pt;height:250.00pt;mso-wrap-distance-left:0.00pt;mso-wrap-distance-top:0.00pt;mso-wrap-distance-right:0.00pt;mso-wrap-distance-bottom:0.00pt;z-index:1;" stroked="false">
                      <v:imagedata r:id="rId3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r>
            <w:r>
              <w:rPr>
                <w:b/>
                <w:bCs/>
              </w:rPr>
            </w:r>
            <w:r>
              <w:rPr>
                <w:b/>
                <w:bCs/>
              </w:rPr>
            </w:r>
          </w:p>
          <w:p>
            <w:pPr>
              <w:pBdr/>
              <w:spacing/>
              <w:ind/>
              <w:jc w:val="center"/>
              <w:rPr>
                <w:b/>
                <w:bCs/>
              </w:rPr>
            </w:pPr>
            <w:r>
              <w:rPr>
                <w:b/>
                <w:bCs/>
              </w:rPr>
              <w:t xml:space="preserve">Chu Thế Hiển</w:t>
            </w:r>
            <w:r>
              <w:rPr>
                <w:b/>
                <w:bCs/>
              </w:rPr>
            </w:r>
            <w:r>
              <w:rPr>
                <w:b/>
                <w:bCs/>
              </w:rPr>
            </w:r>
          </w:p>
        </w:tc>
      </w:tr>
    </w:tbl>
    <w:p>
      <w:pPr>
        <w:pBdr/>
        <w:spacing w:after="200" w:line="276" w:lineRule="auto"/>
        <w:ind/>
        <w:rPr>
          <w:b/>
          <w:bCs/>
        </w:rPr>
      </w:pPr>
      <w:r>
        <w:rPr>
          <w:b/>
          <w:bCs/>
        </w:rPr>
      </w:r>
      <w:r>
        <w:rPr>
          <w:b/>
          <w:bCs/>
        </w:rPr>
      </w:r>
      <w:r>
        <w:rPr>
          <w:b/>
          <w:bCs/>
        </w:rPr>
      </w:r>
    </w:p>
    <w:p>
      <w:pPr>
        <w:pBdr/>
        <w:spacing w:after="200" w:line="276" w:lineRule="auto"/>
        <w:ind/>
        <w:rPr>
          <w:b/>
          <w:bCs/>
        </w:rPr>
      </w:pPr>
      <w:r>
        <w:rPr>
          <w:b/>
          <w:bCs/>
        </w:rPr>
        <w:br w:type="page" w:clear="all"/>
      </w:r>
      <w:r>
        <w:rPr>
          <w:b/>
          <w:bCs/>
        </w:rPr>
      </w:r>
      <w:r>
        <w:rPr>
          <w:b/>
          <w:bCs/>
        </w:rPr>
      </w:r>
    </w:p>
    <w:p>
      <w:pPr>
        <w:pBdr/>
        <w:spacing w:after="200" w:line="276" w:lineRule="auto"/>
        <w:ind/>
        <w:jc w:val="center"/>
        <w:rPr>
          <w:b/>
          <w:i/>
          <w:iCs/>
        </w:rPr>
      </w:pPr>
      <w:r>
        <w:rPr>
          <w:b/>
          <w:i/>
          <w:iCs/>
          <w:lang w:val="pt-BR"/>
        </w:rPr>
        <w:t xml:space="preserve">Tài sản so sánh cho </w:t>
      </w:r>
      <w:r>
        <w:rPr>
          <w:b/>
          <w:i/>
          <w:iCs/>
          <w:lang w:val="pt-BR"/>
        </w:rPr>
        <w:t xml:space="preserve">Tài sản 02:</w:t>
      </w:r>
      <w:r>
        <w:rPr>
          <w:b/>
          <w:i/>
          <w:iCs/>
        </w:rPr>
      </w:r>
      <w:r>
        <w:rPr>
          <w:b/>
          <w:i/>
          <w:iCs/>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https://www.facebook.com/thuat.phung.9277/posts/pfbid0cBtj2nMChhQFaW4j95YpYPAEX4TfUwUsvRxAFKXHfgWjq35sMLKPT1Wq4TGAJu7El</w:t>
            </w:r>
            <w:r>
              <w:rPr>
                <w:color w:val="000000" w:themeColor="text1"/>
                <w:sz w:val="22"/>
                <w:szCs w:val="22"/>
              </w:rPr>
              <w:br/>
              <w:t xml:space="preserve">0367062873</w:t>
            </w:r>
            <w:r>
              <w:rPr>
                <w:sz w:val="22"/>
                <w:szCs w:val="22"/>
              </w:rPr>
              <w:t xml:space="preserve"> </w:t>
            </w:r>
            <w:r>
              <w:rPr>
                <w:sz w:val="22"/>
                <w:szCs w:val="22"/>
              </w:rPr>
              <w:br/>
              <w:t xml:space="preserve">(</w:t>
            </w:r>
            <w:r>
              <w:rPr>
                <w:color w:val="000000" w:themeColor="text1"/>
                <w:sz w:val="22"/>
                <w:szCs w:val="22"/>
              </w:rPr>
              <w:t xml:space="preserve">Thuật</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937.500.000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thôn,Đất trồng cây lâu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 Có thời hạn (đến 19/10/2063)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Sơn Cương, Huyện Thanh Ba, Tỉnh Phú Thọ, độ rộng đường trước mặt tài sản 4m, mặt tiền 11m, 21.408537768494536, 105.16252631241817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329.4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kinh doanh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lợi thế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413567" cy="3175000"/>
                      <wp:effectExtent l="0" t="0" r="0" b="0"/>
                      <wp:docPr id="2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641356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505.01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6531526" cy="3175000"/>
                      <wp:effectExtent l="0" t="0" r="0" b="0"/>
                      <wp:docPr id="2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653152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514.29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842956" cy="3175000"/>
                      <wp:effectExtent l="0" t="0" r="0" b="0"/>
                      <wp:docPr id="3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384295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302.59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785938" cy="3175000"/>
                      <wp:effectExtent l="0" t="0" r="0" b="0"/>
                      <wp:docPr id="3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178593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140.63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642319" cy="3175000"/>
                      <wp:effectExtent l="0" t="0" r="0" b="0"/>
                      <wp:docPr id="3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564231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444.28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rPr>
          <w:i/>
          <w:lang w:val="pt-BR"/>
        </w:rPr>
      </w:pPr>
      <w:r>
        <w:rPr>
          <w:i/>
          <w:lang w:val="pt-BR"/>
        </w:rPr>
      </w:r>
      <w:r>
        <w:rPr>
          <w:i/>
          <w:lang w:val="pt-BR"/>
        </w:rPr>
      </w:r>
      <w:r>
        <w:rPr>
          <w:i/>
          <w:lang w:val="pt-BR"/>
        </w:rPr>
      </w:r>
    </w:p>
    <w:p>
      <w:pPr>
        <w:pBdr/>
        <w:spacing w:after="120"/>
        <w:ind/>
        <w:jc w:val="center"/>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Chu Thế Hiển</w:t>
            </w:r>
            <w:r>
              <w:rPr>
                <w:b/>
                <w:bCs/>
              </w:rPr>
            </w:r>
            <w:r>
              <w:rPr>
                <w:b/>
                <w:bCs/>
              </w:rPr>
            </w:r>
          </w:p>
        </w:tc>
      </w:tr>
    </w:tbl>
    <w:p>
      <w:pPr>
        <w:pBdr/>
        <w:spacing w:after="120"/>
        <w:ind/>
        <w:jc w:val="center"/>
        <w:rPr>
          <w:b/>
          <w:bCs/>
        </w:rPr>
      </w:pPr>
      <w:r>
        <w:rPr>
          <w:b/>
          <w:bCs/>
        </w:rPr>
      </w:r>
      <w:r>
        <w:rPr>
          <w:b/>
          <w:bCs/>
        </w:rPr>
      </w:r>
      <w:r>
        <w:rPr>
          <w:b/>
          <w:bCs/>
        </w:rPr>
      </w:r>
    </w:p>
    <w:p>
      <w:pPr>
        <w:pBdr/>
        <w:spacing w:after="200" w:line="276" w:lineRule="auto"/>
        <w:ind/>
        <w:rPr>
          <w:b/>
          <w:bCs/>
        </w:rPr>
      </w:pPr>
      <w:r>
        <w:rPr>
          <w:b/>
          <w:bCs/>
        </w:rPr>
        <w:br w:type="page" w:clear="all"/>
      </w:r>
      <w:r>
        <w:rPr>
          <w:b/>
          <w:bCs/>
        </w:rPr>
      </w:r>
      <w:r>
        <w:rPr>
          <w:b/>
          <w:bCs/>
        </w:rPr>
      </w:r>
    </w:p>
    <w:p>
      <w:pPr>
        <w:pBdr/>
        <w:spacing w:after="120"/>
        <w:ind/>
        <w:jc w:val="center"/>
        <w:rPr>
          <w:b/>
          <w:bCs/>
          <w:iCs/>
          <w:lang w:val="pt-BR"/>
        </w:rPr>
      </w:pPr>
      <w:r>
        <w:rPr>
          <w:b/>
          <w:bCs/>
          <w:iCs/>
          <w:lang w:val="pt-BR"/>
        </w:rPr>
        <w:t xml:space="preserve">TSSS</w:t>
      </w:r>
      <w:r>
        <w:rPr>
          <w:b/>
          <w:bCs/>
          <w:iCs/>
          <w:lang w:val="pt-BR"/>
        </w:rPr>
        <w:t xml:space="preserve">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w:t>
            </w:r>
            <w:r>
              <w:rPr>
                <w:b/>
                <w:bCs/>
                <w:color w:val="000000"/>
                <w:sz w:val="22"/>
                <w:szCs w:val="22"/>
              </w:rPr>
              <w:t xml:space="preserve">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https://www.facebook.com/luyen.minh.7393/posts/pfbid02jJNurGiuZTFTDT2SSVpv7r3PNKn56tKyEYfjYLDJunVmcCjaXEK3HF3ykaDrDvRtl</w:t>
            </w:r>
            <w:r>
              <w:rPr>
                <w:color w:val="000000" w:themeColor="text1"/>
                <w:sz w:val="22"/>
                <w:szCs w:val="22"/>
              </w:rPr>
              <w:br/>
              <w:t xml:space="preserve">0349 613 858</w:t>
            </w:r>
            <w:r>
              <w:rPr>
                <w:sz w:val="22"/>
                <w:szCs w:val="22"/>
              </w:rPr>
              <w:t xml:space="preserve"> </w:t>
            </w:r>
            <w:r>
              <w:rPr>
                <w:sz w:val="22"/>
                <w:szCs w:val="22"/>
              </w:rPr>
              <w:br/>
              <w:t xml:space="preserve">(</w:t>
            </w:r>
            <w:r>
              <w:rPr>
                <w:color w:val="000000" w:themeColor="text1"/>
                <w:sz w:val="22"/>
                <w:szCs w:val="22"/>
              </w:rPr>
              <w:t xml:space="preserve">Luyến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384.000.000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thôn,Đất trồng cây lâu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 Có thời hạn (đến 30/09/2063)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Sơn Cương, Huyện Thanh Ba, Tỉnh Phú Thọ, độ rộng đường trước mặt tài sản 3.5m, mặt tiền 6m, 21.416378579710777, 105.16874903733272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130.6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kinh doanh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lợi thế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565544" cy="3175000"/>
                      <wp:effectExtent l="0" t="0" r="0" b="0"/>
                      <wp:docPr id="3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656554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2" o:spid="_x0000_s32" type="#_x0000_t75" style="width:516.97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851784" cy="3175000"/>
                      <wp:effectExtent l="0" t="0" r="0" b="0"/>
                      <wp:docPr id="3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385178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3" o:spid="_x0000_s33" type="#_x0000_t75" style="width:303.29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3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4" o:spid="_x0000_s34" type="#_x0000_t75" style="width:187.50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3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5" o:spid="_x0000_s35" type="#_x0000_t75" style="width:187.50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7762" cy="3175000"/>
                      <wp:effectExtent l="0" t="0" r="0" b="0"/>
                      <wp:docPr id="3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423776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6" o:spid="_x0000_s36" type="#_x0000_t75" style="width:333.68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Chu Thế Hiển</w:t>
            </w:r>
            <w:r>
              <w:rPr>
                <w:b/>
                <w:bCs/>
              </w:rPr>
            </w:r>
            <w:r>
              <w:rPr>
                <w:b/>
                <w:bCs/>
              </w:rPr>
            </w:r>
          </w:p>
        </w:tc>
      </w:tr>
    </w:tbl>
    <w:p>
      <w:pPr>
        <w:pBdr/>
        <w:spacing w:after="120"/>
        <w:ind/>
        <w:jc w:val="center"/>
        <w:rPr>
          <w:b/>
          <w:bCs/>
        </w:rPr>
      </w:pPr>
      <w:r>
        <w:rPr>
          <w:b/>
          <w:bCs/>
        </w:rPr>
      </w:r>
      <w:r>
        <w:rPr>
          <w:b/>
          <w:bCs/>
        </w:rPr>
      </w:r>
      <w:r>
        <w:rPr>
          <w:b/>
          <w:bCs/>
        </w:rPr>
      </w:r>
    </w:p>
    <w:p>
      <w:pPr>
        <w:pBdr/>
        <w:spacing w:after="200" w:line="276" w:lineRule="auto"/>
        <w:ind/>
        <w:rPr>
          <w:b/>
          <w:bCs/>
        </w:rPr>
      </w:pPr>
      <w:r>
        <w:rPr>
          <w:b/>
          <w:bCs/>
        </w:rPr>
        <w:br w:type="page" w:clear="all"/>
      </w:r>
      <w:r>
        <w:rPr>
          <w:b/>
          <w:bCs/>
        </w:rPr>
      </w:r>
      <w:r>
        <w:rPr>
          <w:b/>
          <w:bCs/>
        </w:rPr>
      </w:r>
    </w:p>
    <w:p>
      <w:pPr>
        <w:pBdr/>
        <w:spacing w:after="120"/>
        <w:ind/>
        <w:jc w:val="center"/>
        <w:rPr>
          <w:b/>
          <w:bCs/>
          <w:iCs/>
          <w:lang w:val="pt-BR"/>
        </w:rPr>
      </w:pPr>
      <w:r>
        <w:rPr>
          <w:b/>
          <w:bCs/>
          <w:iCs/>
          <w:lang w:val="pt-BR"/>
        </w:rPr>
        <w:t xml:space="preserve">TSSS</w:t>
      </w:r>
      <w:r>
        <w:rPr>
          <w:b/>
          <w:bCs/>
          <w:iCs/>
          <w:lang w:val="pt-BR"/>
        </w:rPr>
        <w:t xml:space="preserve">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w:t>
            </w:r>
            <w:r>
              <w:rPr>
                <w:b/>
                <w:bCs/>
                <w:color w:val="000000"/>
                <w:sz w:val="22"/>
                <w:szCs w:val="22"/>
              </w:rPr>
              <w:t xml:space="preserve">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0349 613 858</w:t>
            </w:r>
            <w:r>
              <w:rPr>
                <w:sz w:val="22"/>
                <w:szCs w:val="22"/>
              </w:rPr>
              <w:t xml:space="preserve"> </w:t>
            </w:r>
            <w:r>
              <w:rPr>
                <w:sz w:val="22"/>
                <w:szCs w:val="22"/>
              </w:rPr>
              <w:br/>
              <w:t xml:space="preserve">(</w:t>
            </w:r>
            <w:r>
              <w:rPr>
                <w:color w:val="000000" w:themeColor="text1"/>
                <w:sz w:val="22"/>
                <w:szCs w:val="22"/>
              </w:rPr>
              <w:t xml:space="preserve">Luyến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1.750.000.000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thôn,Đất trồng cây lâu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 Có thời hạn (đến 30/09/2063)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Sơn Cương, Huyện Thanh Ba, Tỉnh Phú Thọ, khoảng cách ra đường chính cách DT320 khoảng 1500m, độ rộng đường trước mặt tài sản 6m, mặt tiền 12m, 21.416648256156968, 105.16686076218623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318.7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lợi thế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819416" cy="3175000"/>
                      <wp:effectExtent l="0" t="0" r="0" b="0"/>
                      <wp:docPr id="3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381941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7" o:spid="_x0000_s37" type="#_x0000_t75" style="width:300.74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875324" cy="3175000"/>
                      <wp:effectExtent l="0" t="0" r="0" b="0"/>
                      <wp:docPr id="3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387532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8" o:spid="_x0000_s38" type="#_x0000_t75" style="width:305.14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4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9" o:spid="_x0000_s39" type="#_x0000_t75" style="width:187.50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4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0" o:spid="_x0000_s40" type="#_x0000_t75" style="width:187.50pt;height:250.00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4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8"/>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1" o:spid="_x0000_s41" type="#_x0000_t75" style="width:187.50pt;height:250.00pt;mso-wrap-distance-left:0.00pt;mso-wrap-distance-top:0.00pt;mso-wrap-distance-right:0.00pt;mso-wrap-distance-bottom:0.00pt;z-index:1;" stroked="false">
                      <v:imagedata r:id="rId3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4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9"/>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2" o:spid="_x0000_s42" type="#_x0000_t75" style="width:187.50pt;height:250.00pt;mso-wrap-distance-left:0.00pt;mso-wrap-distance-top:0.00pt;mso-wrap-distance-right:0.00pt;mso-wrap-distance-bottom:0.00pt;z-index:1;" stroked="false">
                      <v:imagedata r:id="rId3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Chu Thế Hiển</w:t>
            </w:r>
            <w:r>
              <w:rPr>
                <w:b/>
                <w:bCs/>
              </w:rPr>
            </w:r>
            <w:r>
              <w:rPr>
                <w:b/>
                <w:bCs/>
              </w:rPr>
            </w:r>
          </w:p>
        </w:tc>
      </w:tr>
    </w:tbl>
    <w:p>
      <w:pPr>
        <w:pBdr/>
        <w:spacing w:after="200" w:line="276" w:lineRule="auto"/>
        <w:ind/>
        <w:rPr>
          <w:b/>
          <w:i/>
          <w:iCs/>
          <w:lang w:val="pt-BR"/>
        </w:rPr>
      </w:pPr>
      <w:r>
        <w:rPr>
          <w:b/>
          <w:i/>
          <w:iCs/>
          <w:lang w:val="pt-BR"/>
        </w:rPr>
      </w:r>
      <w:r>
        <w:rPr>
          <w:b/>
          <w:i/>
          <w:iCs/>
          <w:lang w:val="pt-BR"/>
        </w:rPr>
      </w:r>
      <w:r>
        <w:rPr>
          <w:b/>
          <w:i/>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8"/>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46</w:t>
    </w:r>
    <w:r>
      <w:rPr>
        <w:caps/>
        <w:color w:val="000000" w:themeColor="text1"/>
      </w:rPr>
      <w:fldChar w:fldCharType="end"/>
    </w:r>
    <w:r>
      <w:rPr>
        <w:caps/>
        <w:color w:val="000000" w:themeColor="text1"/>
      </w:rPr>
    </w:r>
    <w:r>
      <w:rPr>
        <w:caps/>
        <w:color w:val="000000" w:themeColor="text1"/>
      </w:rPr>
    </w:r>
  </w:p>
  <w:p>
    <w:pPr>
      <w:pStyle w:val="1028"/>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8"/>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8"/>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6"/>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C157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3">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4">
    <w:nsid w:val="0E5329E7"/>
    <w:lvl w:ilvl="0">
      <w:isLgl w:val="false"/>
      <w:lvlJc w:val="left"/>
      <w:lvlText w:val=""/>
      <w:numFmt w:val="bullet"/>
      <w:pPr>
        <w:pBdr/>
        <w:spacing/>
        <w:ind w:hanging="360" w:left="1077"/>
      </w:pPr>
      <w:rPr>
        <w:rFonts w:hint="default" w:ascii="Wingdings" w:hAnsi="Wingdings"/>
        <w:color w:val="000000" w:themeColor="text1"/>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5">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6">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8">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0">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1">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2">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3">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6">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7">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8">
    <w:nsid w:val="45230541"/>
    <w:lvl w:ilvl="0">
      <w:isLgl w:val="false"/>
      <w:lvlJc w:val="left"/>
      <w:lvlText w:val=""/>
      <w:numFmt w:val="bullet"/>
      <w:pPr>
        <w:pBdr/>
        <w:spacing/>
        <w:ind w:hanging="360" w:left="1004"/>
      </w:pPr>
      <w:rPr>
        <w:rFonts w:hint="default" w:ascii="Wingdings" w:hAnsi="Wingdings"/>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9">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21">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22">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4">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5">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6">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7">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8">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9">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1">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32">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3">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4">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5">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7">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8">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9">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40">
    <w:nsid w:val="4671A03E"/>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num w:numId="1">
    <w:abstractNumId w:val="15"/>
  </w:num>
  <w:num w:numId="2">
    <w:abstractNumId w:val="8"/>
  </w:num>
  <w:num w:numId="3">
    <w:abstractNumId w:val="7"/>
  </w:num>
  <w:num w:numId="4">
    <w:abstractNumId w:val="30"/>
  </w:num>
  <w:num w:numId="5">
    <w:abstractNumId w:val="34"/>
  </w:num>
  <w:num w:numId="6">
    <w:abstractNumId w:val="36"/>
  </w:num>
  <w:num w:numId="7">
    <w:abstractNumId w:val="13"/>
  </w:num>
  <w:num w:numId="8">
    <w:abstractNumId w:val="5"/>
  </w:num>
  <w:num w:numId="9">
    <w:abstractNumId w:val="10"/>
  </w:num>
  <w:num w:numId="10">
    <w:abstractNumId w:val="14"/>
  </w:num>
  <w:num w:numId="11">
    <w:abstractNumId w:val="24"/>
  </w:num>
  <w:num w:numId="12">
    <w:abstractNumId w:val="9"/>
  </w:num>
  <w:num w:numId="13">
    <w:abstractNumId w:val="27"/>
  </w:num>
  <w:num w:numId="14">
    <w:abstractNumId w:val="21"/>
  </w:num>
  <w:num w:numId="15">
    <w:abstractNumId w:val="17"/>
  </w:num>
  <w:num w:numId="16">
    <w:abstractNumId w:val="6"/>
  </w:num>
  <w:num w:numId="17">
    <w:abstractNumId w:val="13"/>
  </w:num>
  <w:num w:numId="18">
    <w:abstractNumId w:val="38"/>
  </w:num>
  <w:num w:numId="19">
    <w:abstractNumId w:val="35"/>
  </w:num>
  <w:num w:numId="20">
    <w:abstractNumId w:val="26"/>
  </w:num>
  <w:num w:numId="21">
    <w:abstractNumId w:val="16"/>
  </w:num>
  <w:num w:numId="22">
    <w:abstractNumId w:val="11"/>
  </w:num>
  <w:num w:numId="23">
    <w:abstractNumId w:val="39"/>
  </w:num>
  <w:num w:numId="24">
    <w:abstractNumId w:val="19"/>
  </w:num>
  <w:num w:numId="25">
    <w:abstractNumId w:val="32"/>
  </w:num>
  <w:num w:numId="26">
    <w:abstractNumId w:val="28"/>
  </w:num>
  <w:num w:numId="27">
    <w:abstractNumId w:val="1"/>
  </w:num>
  <w:num w:numId="28">
    <w:abstractNumId w:val="2"/>
  </w:num>
  <w:num w:numId="29">
    <w:abstractNumId w:val="25"/>
  </w:num>
  <w:num w:numId="30">
    <w:abstractNumId w:val="31"/>
  </w:num>
  <w:num w:numId="31">
    <w:abstractNumId w:val="20"/>
  </w:num>
  <w:num w:numId="32">
    <w:abstractNumId w:val="33"/>
  </w:num>
  <w:num w:numId="33">
    <w:abstractNumId w:val="3"/>
  </w:num>
  <w:num w:numId="34">
    <w:abstractNumId w:val="12"/>
  </w:num>
  <w:num w:numId="35">
    <w:abstractNumId w:val="23"/>
  </w:num>
  <w:num w:numId="36">
    <w:abstractNumId w:val="37"/>
  </w:num>
  <w:num w:numId="37">
    <w:abstractNumId w:val="29"/>
  </w:num>
  <w:num w:numId="38">
    <w:abstractNumId w:val="22"/>
  </w:num>
  <w:num w:numId="39">
    <w:abstractNumId w:val="4"/>
  </w:num>
  <w:num w:numId="40">
    <w:abstractNumId w:val="18"/>
  </w:num>
  <w:num w:numId="41">
    <w:abstractNumId w:val="0"/>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4">
    <w:name w:val="Table Grid Light"/>
    <w:basedOn w:val="101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1"/>
    <w:basedOn w:val="101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2"/>
    <w:basedOn w:val="1016"/>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3"/>
    <w:basedOn w:val="101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4"/>
    <w:basedOn w:val="101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5"/>
    <w:basedOn w:val="101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w:basedOn w:val="1016"/>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1"/>
    <w:basedOn w:val="101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2"/>
    <w:basedOn w:val="101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3"/>
    <w:basedOn w:val="101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4"/>
    <w:basedOn w:val="101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5"/>
    <w:basedOn w:val="101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6"/>
    <w:basedOn w:val="101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w:basedOn w:val="101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1"/>
    <w:basedOn w:val="101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2"/>
    <w:basedOn w:val="101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3"/>
    <w:basedOn w:val="101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4"/>
    <w:basedOn w:val="101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5"/>
    <w:basedOn w:val="101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6"/>
    <w:basedOn w:val="101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w:basedOn w:val="101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1"/>
    <w:basedOn w:val="101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2"/>
    <w:basedOn w:val="101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3"/>
    <w:basedOn w:val="101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4"/>
    <w:basedOn w:val="101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5"/>
    <w:basedOn w:val="101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6"/>
    <w:basedOn w:val="101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w:basedOn w:val="1016"/>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1"/>
    <w:basedOn w:val="1016"/>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2"/>
    <w:basedOn w:val="1016"/>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3"/>
    <w:basedOn w:val="1016"/>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4"/>
    <w:basedOn w:val="1016"/>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5"/>
    <w:basedOn w:val="1016"/>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6"/>
    <w:basedOn w:val="1016"/>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w:basedOn w:val="10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1"/>
    <w:basedOn w:val="10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2"/>
    <w:basedOn w:val="10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3"/>
    <w:basedOn w:val="10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4"/>
    <w:basedOn w:val="10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5"/>
    <w:basedOn w:val="10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6"/>
    <w:basedOn w:val="10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6 Colorful"/>
    <w:basedOn w:val="1016"/>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6">
    <w:name w:val="Grid Table 6 Colorful - Accent 1"/>
    <w:basedOn w:val="1016"/>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7">
    <w:name w:val="Grid Table 6 Colorful - Accent 2"/>
    <w:basedOn w:val="101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8">
    <w:name w:val="Grid Table 6 Colorful - Accent 3"/>
    <w:basedOn w:val="1016"/>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9">
    <w:name w:val="Grid Table 6 Colorful - Accent 4"/>
    <w:basedOn w:val="101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0">
    <w:name w:val="Grid Table 6 Colorful - Accent 5"/>
    <w:basedOn w:val="1016"/>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6 Colorful - Accent 6"/>
    <w:basedOn w:val="1016"/>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2">
    <w:name w:val="Grid Table 7 Colorful"/>
    <w:basedOn w:val="1016"/>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1"/>
    <w:basedOn w:val="1016"/>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2"/>
    <w:basedOn w:val="1016"/>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3"/>
    <w:basedOn w:val="1016"/>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4"/>
    <w:basedOn w:val="1016"/>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5"/>
    <w:basedOn w:val="1016"/>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6"/>
    <w:basedOn w:val="1016"/>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w:basedOn w:val="10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1"/>
    <w:basedOn w:val="10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2"/>
    <w:basedOn w:val="10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3"/>
    <w:basedOn w:val="10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4"/>
    <w:basedOn w:val="10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5"/>
    <w:basedOn w:val="10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6"/>
    <w:basedOn w:val="10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w:basedOn w:val="1016"/>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1"/>
    <w:basedOn w:val="1016"/>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2"/>
    <w:basedOn w:val="1016"/>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3"/>
    <w:basedOn w:val="1016"/>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4"/>
    <w:basedOn w:val="1016"/>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5"/>
    <w:basedOn w:val="1016"/>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6"/>
    <w:basedOn w:val="1016"/>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w:basedOn w:val="101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1"/>
    <w:basedOn w:val="1016"/>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2"/>
    <w:basedOn w:val="101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3"/>
    <w:basedOn w:val="1016"/>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4"/>
    <w:basedOn w:val="101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5"/>
    <w:basedOn w:val="1016"/>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6"/>
    <w:basedOn w:val="1016"/>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w:basedOn w:val="101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1"/>
    <w:basedOn w:val="1016"/>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2"/>
    <w:basedOn w:val="1016"/>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3"/>
    <w:basedOn w:val="1016"/>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4"/>
    <w:basedOn w:val="1016"/>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5"/>
    <w:basedOn w:val="1016"/>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6"/>
    <w:basedOn w:val="1016"/>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5 Dark"/>
    <w:basedOn w:val="1016"/>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1"/>
    <w:basedOn w:val="1016"/>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2"/>
    <w:basedOn w:val="1016"/>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3"/>
    <w:basedOn w:val="1016"/>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4"/>
    <w:basedOn w:val="1016"/>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5"/>
    <w:basedOn w:val="1016"/>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6"/>
    <w:basedOn w:val="1016"/>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6 Colorful"/>
    <w:basedOn w:val="1016"/>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1"/>
    <w:basedOn w:val="1016"/>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2"/>
    <w:basedOn w:val="1016"/>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3"/>
    <w:basedOn w:val="1016"/>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4"/>
    <w:basedOn w:val="1016"/>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5"/>
    <w:basedOn w:val="1016"/>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6"/>
    <w:basedOn w:val="1016"/>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7 Colorful"/>
    <w:basedOn w:val="1016"/>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2">
    <w:name w:val="List Table 7 Colorful - Accent 1"/>
    <w:basedOn w:val="1016"/>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3">
    <w:name w:val="List Table 7 Colorful - Accent 2"/>
    <w:basedOn w:val="1016"/>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4">
    <w:name w:val="List Table 7 Colorful - Accent 3"/>
    <w:basedOn w:val="1016"/>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5">
    <w:name w:val="List Table 7 Colorful - Accent 4"/>
    <w:basedOn w:val="1016"/>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6">
    <w:name w:val="List Table 7 Colorful - Accent 5"/>
    <w:basedOn w:val="1016"/>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7">
    <w:name w:val="List Table 7 Colorful - Accent 6"/>
    <w:basedOn w:val="1016"/>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8">
    <w:name w:val="Lined - Accent"/>
    <w:basedOn w:val="10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1"/>
    <w:basedOn w:val="10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2"/>
    <w:basedOn w:val="10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3"/>
    <w:basedOn w:val="10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4"/>
    <w:basedOn w:val="10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5"/>
    <w:basedOn w:val="10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6"/>
    <w:basedOn w:val="10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w:basedOn w:val="1016"/>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1"/>
    <w:basedOn w:val="1016"/>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2"/>
    <w:basedOn w:val="1016"/>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3"/>
    <w:basedOn w:val="1016"/>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4"/>
    <w:basedOn w:val="1016"/>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5"/>
    <w:basedOn w:val="1016"/>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6"/>
    <w:basedOn w:val="1016"/>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w:basedOn w:val="1016"/>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1"/>
    <w:basedOn w:val="101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2"/>
    <w:basedOn w:val="101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3"/>
    <w:basedOn w:val="101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4"/>
    <w:basedOn w:val="101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5"/>
    <w:basedOn w:val="101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6"/>
    <w:basedOn w:val="101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9">
    <w:name w:val="Heading 5"/>
    <w:basedOn w:val="1010"/>
    <w:next w:val="1010"/>
    <w:link w:val="97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0">
    <w:name w:val="Heading 6"/>
    <w:basedOn w:val="1010"/>
    <w:next w:val="1010"/>
    <w:link w:val="97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1">
    <w:name w:val="Heading 7"/>
    <w:basedOn w:val="1010"/>
    <w:next w:val="1010"/>
    <w:link w:val="97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2">
    <w:name w:val="Heading 8"/>
    <w:basedOn w:val="1010"/>
    <w:next w:val="1010"/>
    <w:link w:val="97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3">
    <w:name w:val="Heading 9"/>
    <w:basedOn w:val="1010"/>
    <w:next w:val="1010"/>
    <w:link w:val="97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4">
    <w:name w:val="Heading 5 Char"/>
    <w:basedOn w:val="1015"/>
    <w:link w:val="969"/>
    <w:uiPriority w:val="9"/>
    <w:pPr>
      <w:pBdr/>
      <w:spacing/>
      <w:ind/>
    </w:pPr>
    <w:rPr>
      <w:rFonts w:ascii="Arial" w:hAnsi="Arial" w:eastAsia="Arial" w:cs="Arial"/>
      <w:color w:val="0f4761" w:themeColor="accent1" w:themeShade="BF"/>
    </w:rPr>
  </w:style>
  <w:style w:type="character" w:styleId="975">
    <w:name w:val="Heading 6 Char"/>
    <w:basedOn w:val="1015"/>
    <w:link w:val="970"/>
    <w:uiPriority w:val="9"/>
    <w:pPr>
      <w:pBdr/>
      <w:spacing/>
      <w:ind/>
    </w:pPr>
    <w:rPr>
      <w:rFonts w:ascii="Arial" w:hAnsi="Arial" w:eastAsia="Arial" w:cs="Arial"/>
      <w:i/>
      <w:iCs/>
      <w:color w:val="595959" w:themeColor="text1" w:themeTint="A6"/>
    </w:rPr>
  </w:style>
  <w:style w:type="character" w:styleId="976">
    <w:name w:val="Heading 7 Char"/>
    <w:basedOn w:val="1015"/>
    <w:link w:val="971"/>
    <w:uiPriority w:val="9"/>
    <w:pPr>
      <w:pBdr/>
      <w:spacing/>
      <w:ind/>
    </w:pPr>
    <w:rPr>
      <w:rFonts w:ascii="Arial" w:hAnsi="Arial" w:eastAsia="Arial" w:cs="Arial"/>
      <w:color w:val="595959" w:themeColor="text1" w:themeTint="A6"/>
    </w:rPr>
  </w:style>
  <w:style w:type="character" w:styleId="977">
    <w:name w:val="Heading 8 Char"/>
    <w:basedOn w:val="1015"/>
    <w:link w:val="972"/>
    <w:uiPriority w:val="9"/>
    <w:pPr>
      <w:pBdr/>
      <w:spacing/>
      <w:ind/>
    </w:pPr>
    <w:rPr>
      <w:rFonts w:ascii="Arial" w:hAnsi="Arial" w:eastAsia="Arial" w:cs="Arial"/>
      <w:i/>
      <w:iCs/>
      <w:color w:val="272727" w:themeColor="text1" w:themeTint="D8"/>
    </w:rPr>
  </w:style>
  <w:style w:type="character" w:styleId="978">
    <w:name w:val="Heading 9 Char"/>
    <w:basedOn w:val="1015"/>
    <w:link w:val="973"/>
    <w:uiPriority w:val="9"/>
    <w:pPr>
      <w:pBdr/>
      <w:spacing/>
      <w:ind/>
    </w:pPr>
    <w:rPr>
      <w:rFonts w:ascii="Arial" w:hAnsi="Arial" w:eastAsia="Arial" w:cs="Arial"/>
      <w:i/>
      <w:iCs/>
      <w:color w:val="272727" w:themeColor="text1" w:themeTint="D8"/>
    </w:rPr>
  </w:style>
  <w:style w:type="paragraph" w:styleId="979">
    <w:name w:val="Subtitle"/>
    <w:basedOn w:val="1010"/>
    <w:next w:val="1010"/>
    <w:link w:val="980"/>
    <w:uiPriority w:val="11"/>
    <w:qFormat/>
    <w:pPr>
      <w:numPr>
        <w:ilvl w:val="1"/>
      </w:numPr>
      <w:pBdr/>
      <w:spacing/>
      <w:ind/>
    </w:pPr>
    <w:rPr>
      <w:color w:val="595959" w:themeColor="text1" w:themeTint="A6"/>
      <w:spacing w:val="15"/>
      <w:sz w:val="28"/>
      <w:szCs w:val="28"/>
    </w:rPr>
  </w:style>
  <w:style w:type="character" w:styleId="980">
    <w:name w:val="Subtitle Char"/>
    <w:basedOn w:val="1015"/>
    <w:link w:val="979"/>
    <w:uiPriority w:val="11"/>
    <w:pPr>
      <w:pBdr/>
      <w:spacing/>
      <w:ind/>
    </w:pPr>
    <w:rPr>
      <w:color w:val="595959" w:themeColor="text1" w:themeTint="A6"/>
      <w:spacing w:val="15"/>
      <w:sz w:val="28"/>
      <w:szCs w:val="28"/>
    </w:rPr>
  </w:style>
  <w:style w:type="paragraph" w:styleId="981">
    <w:name w:val="Quote"/>
    <w:basedOn w:val="1010"/>
    <w:next w:val="1010"/>
    <w:link w:val="982"/>
    <w:uiPriority w:val="29"/>
    <w:qFormat/>
    <w:pPr>
      <w:pBdr/>
      <w:spacing w:before="160"/>
      <w:ind/>
      <w:jc w:val="center"/>
    </w:pPr>
    <w:rPr>
      <w:i/>
      <w:iCs/>
      <w:color w:val="404040" w:themeColor="text1" w:themeTint="BF"/>
    </w:rPr>
  </w:style>
  <w:style w:type="character" w:styleId="982">
    <w:name w:val="Quote Char"/>
    <w:basedOn w:val="1015"/>
    <w:link w:val="981"/>
    <w:uiPriority w:val="29"/>
    <w:pPr>
      <w:pBdr/>
      <w:spacing/>
      <w:ind/>
    </w:pPr>
    <w:rPr>
      <w:i/>
      <w:iCs/>
      <w:color w:val="404040" w:themeColor="text1" w:themeTint="BF"/>
    </w:rPr>
  </w:style>
  <w:style w:type="character" w:styleId="983">
    <w:name w:val="Intense Emphasis"/>
    <w:basedOn w:val="1015"/>
    <w:uiPriority w:val="21"/>
    <w:qFormat/>
    <w:pPr>
      <w:pBdr/>
      <w:spacing/>
      <w:ind/>
    </w:pPr>
    <w:rPr>
      <w:i/>
      <w:iCs/>
      <w:color w:val="0f4761" w:themeColor="accent1" w:themeShade="BF"/>
    </w:rPr>
  </w:style>
  <w:style w:type="paragraph" w:styleId="984">
    <w:name w:val="Intense Quote"/>
    <w:basedOn w:val="1010"/>
    <w:next w:val="1010"/>
    <w:link w:val="985"/>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5">
    <w:name w:val="Intense Quote Char"/>
    <w:basedOn w:val="1015"/>
    <w:link w:val="984"/>
    <w:uiPriority w:val="30"/>
    <w:pPr>
      <w:pBdr/>
      <w:spacing/>
      <w:ind/>
    </w:pPr>
    <w:rPr>
      <w:i/>
      <w:iCs/>
      <w:color w:val="0f4761" w:themeColor="accent1" w:themeShade="BF"/>
    </w:rPr>
  </w:style>
  <w:style w:type="character" w:styleId="986">
    <w:name w:val="Intense Reference"/>
    <w:basedOn w:val="1015"/>
    <w:uiPriority w:val="32"/>
    <w:qFormat/>
    <w:pPr>
      <w:pBdr/>
      <w:spacing/>
      <w:ind/>
    </w:pPr>
    <w:rPr>
      <w:b/>
      <w:bCs/>
      <w:smallCaps/>
      <w:color w:val="0f4761" w:themeColor="accent1" w:themeShade="BF"/>
      <w:spacing w:val="5"/>
    </w:rPr>
  </w:style>
  <w:style w:type="paragraph" w:styleId="987">
    <w:name w:val="No Spacing"/>
    <w:basedOn w:val="1010"/>
    <w:uiPriority w:val="1"/>
    <w:qFormat/>
    <w:pPr>
      <w:pBdr/>
      <w:spacing w:after="0" w:line="240" w:lineRule="auto"/>
      <w:ind/>
    </w:pPr>
  </w:style>
  <w:style w:type="character" w:styleId="988">
    <w:name w:val="Subtle Emphasis"/>
    <w:basedOn w:val="1015"/>
    <w:uiPriority w:val="19"/>
    <w:qFormat/>
    <w:pPr>
      <w:pBdr/>
      <w:spacing/>
      <w:ind/>
    </w:pPr>
    <w:rPr>
      <w:i/>
      <w:iCs/>
      <w:color w:val="404040" w:themeColor="text1" w:themeTint="BF"/>
    </w:rPr>
  </w:style>
  <w:style w:type="character" w:styleId="989">
    <w:name w:val="Subtle Reference"/>
    <w:basedOn w:val="1015"/>
    <w:uiPriority w:val="31"/>
    <w:qFormat/>
    <w:pPr>
      <w:pBdr/>
      <w:spacing/>
      <w:ind/>
    </w:pPr>
    <w:rPr>
      <w:smallCaps/>
      <w:color w:val="5a5a5a" w:themeColor="text1" w:themeTint="A5"/>
    </w:rPr>
  </w:style>
  <w:style w:type="character" w:styleId="990">
    <w:name w:val="Book Title"/>
    <w:basedOn w:val="1015"/>
    <w:uiPriority w:val="33"/>
    <w:qFormat/>
    <w:pPr>
      <w:pBdr/>
      <w:spacing/>
      <w:ind/>
    </w:pPr>
    <w:rPr>
      <w:b/>
      <w:bCs/>
      <w:i/>
      <w:iCs/>
      <w:spacing w:val="5"/>
    </w:rPr>
  </w:style>
  <w:style w:type="paragraph" w:styleId="991">
    <w:name w:val="Caption"/>
    <w:basedOn w:val="1010"/>
    <w:next w:val="1010"/>
    <w:uiPriority w:val="35"/>
    <w:unhideWhenUsed/>
    <w:qFormat/>
    <w:pPr>
      <w:pBdr/>
      <w:spacing w:after="200" w:line="240" w:lineRule="auto"/>
      <w:ind/>
    </w:pPr>
    <w:rPr>
      <w:i/>
      <w:iCs/>
      <w:color w:val="0e2841" w:themeColor="text2"/>
      <w:sz w:val="18"/>
      <w:szCs w:val="18"/>
    </w:rPr>
  </w:style>
  <w:style w:type="paragraph" w:styleId="992">
    <w:name w:val="footnote text"/>
    <w:basedOn w:val="1010"/>
    <w:link w:val="993"/>
    <w:uiPriority w:val="99"/>
    <w:semiHidden/>
    <w:unhideWhenUsed/>
    <w:pPr>
      <w:pBdr/>
      <w:spacing w:after="0" w:line="240" w:lineRule="auto"/>
      <w:ind/>
    </w:pPr>
    <w:rPr>
      <w:sz w:val="20"/>
      <w:szCs w:val="20"/>
    </w:rPr>
  </w:style>
  <w:style w:type="character" w:styleId="993">
    <w:name w:val="Footnote Text Char"/>
    <w:basedOn w:val="1015"/>
    <w:link w:val="992"/>
    <w:uiPriority w:val="99"/>
    <w:semiHidden/>
    <w:pPr>
      <w:pBdr/>
      <w:spacing/>
      <w:ind/>
    </w:pPr>
    <w:rPr>
      <w:sz w:val="20"/>
      <w:szCs w:val="20"/>
    </w:rPr>
  </w:style>
  <w:style w:type="character" w:styleId="994">
    <w:name w:val="footnote reference"/>
    <w:basedOn w:val="1015"/>
    <w:uiPriority w:val="99"/>
    <w:semiHidden/>
    <w:unhideWhenUsed/>
    <w:pPr>
      <w:pBdr/>
      <w:spacing/>
      <w:ind/>
    </w:pPr>
    <w:rPr>
      <w:vertAlign w:val="superscript"/>
    </w:rPr>
  </w:style>
  <w:style w:type="paragraph" w:styleId="995">
    <w:name w:val="endnote text"/>
    <w:basedOn w:val="1010"/>
    <w:link w:val="996"/>
    <w:uiPriority w:val="99"/>
    <w:semiHidden/>
    <w:unhideWhenUsed/>
    <w:pPr>
      <w:pBdr/>
      <w:spacing w:after="0" w:line="240" w:lineRule="auto"/>
      <w:ind/>
    </w:pPr>
    <w:rPr>
      <w:sz w:val="20"/>
      <w:szCs w:val="20"/>
    </w:rPr>
  </w:style>
  <w:style w:type="character" w:styleId="996">
    <w:name w:val="Endnote Text Char"/>
    <w:basedOn w:val="1015"/>
    <w:link w:val="995"/>
    <w:uiPriority w:val="99"/>
    <w:semiHidden/>
    <w:pPr>
      <w:pBdr/>
      <w:spacing/>
      <w:ind/>
    </w:pPr>
    <w:rPr>
      <w:sz w:val="20"/>
      <w:szCs w:val="20"/>
    </w:rPr>
  </w:style>
  <w:style w:type="character" w:styleId="997">
    <w:name w:val="endnote reference"/>
    <w:basedOn w:val="1015"/>
    <w:uiPriority w:val="99"/>
    <w:semiHidden/>
    <w:unhideWhenUsed/>
    <w:pPr>
      <w:pBdr/>
      <w:spacing/>
      <w:ind/>
    </w:pPr>
    <w:rPr>
      <w:vertAlign w:val="superscript"/>
    </w:rPr>
  </w:style>
  <w:style w:type="paragraph" w:styleId="998">
    <w:name w:val="toc 1"/>
    <w:basedOn w:val="1010"/>
    <w:next w:val="1010"/>
    <w:uiPriority w:val="39"/>
    <w:unhideWhenUsed/>
    <w:pPr>
      <w:pBdr/>
      <w:spacing w:after="100"/>
      <w:ind/>
    </w:pPr>
  </w:style>
  <w:style w:type="paragraph" w:styleId="999">
    <w:name w:val="toc 2"/>
    <w:basedOn w:val="1010"/>
    <w:next w:val="1010"/>
    <w:uiPriority w:val="39"/>
    <w:unhideWhenUsed/>
    <w:pPr>
      <w:pBdr/>
      <w:spacing w:after="100"/>
      <w:ind w:left="220"/>
    </w:pPr>
  </w:style>
  <w:style w:type="paragraph" w:styleId="1000">
    <w:name w:val="toc 3"/>
    <w:basedOn w:val="1010"/>
    <w:next w:val="1010"/>
    <w:uiPriority w:val="39"/>
    <w:unhideWhenUsed/>
    <w:pPr>
      <w:pBdr/>
      <w:spacing w:after="100"/>
      <w:ind w:left="440"/>
    </w:pPr>
  </w:style>
  <w:style w:type="paragraph" w:styleId="1001">
    <w:name w:val="toc 4"/>
    <w:basedOn w:val="1010"/>
    <w:next w:val="1010"/>
    <w:uiPriority w:val="39"/>
    <w:unhideWhenUsed/>
    <w:pPr>
      <w:pBdr/>
      <w:spacing w:after="100"/>
      <w:ind w:left="660"/>
    </w:pPr>
  </w:style>
  <w:style w:type="paragraph" w:styleId="1002">
    <w:name w:val="toc 5"/>
    <w:basedOn w:val="1010"/>
    <w:next w:val="1010"/>
    <w:uiPriority w:val="39"/>
    <w:unhideWhenUsed/>
    <w:pPr>
      <w:pBdr/>
      <w:spacing w:after="100"/>
      <w:ind w:left="880"/>
    </w:pPr>
  </w:style>
  <w:style w:type="paragraph" w:styleId="1003">
    <w:name w:val="toc 6"/>
    <w:basedOn w:val="1010"/>
    <w:next w:val="1010"/>
    <w:uiPriority w:val="39"/>
    <w:unhideWhenUsed/>
    <w:pPr>
      <w:pBdr/>
      <w:spacing w:after="100"/>
      <w:ind w:left="1100"/>
    </w:pPr>
  </w:style>
  <w:style w:type="paragraph" w:styleId="1004">
    <w:name w:val="toc 7"/>
    <w:basedOn w:val="1010"/>
    <w:next w:val="1010"/>
    <w:uiPriority w:val="39"/>
    <w:unhideWhenUsed/>
    <w:pPr>
      <w:pBdr/>
      <w:spacing w:after="100"/>
      <w:ind w:left="1320"/>
    </w:pPr>
  </w:style>
  <w:style w:type="paragraph" w:styleId="1005">
    <w:name w:val="toc 8"/>
    <w:basedOn w:val="1010"/>
    <w:next w:val="1010"/>
    <w:uiPriority w:val="39"/>
    <w:unhideWhenUsed/>
    <w:pPr>
      <w:pBdr/>
      <w:spacing w:after="100"/>
      <w:ind w:left="1540"/>
    </w:pPr>
  </w:style>
  <w:style w:type="paragraph" w:styleId="1006">
    <w:name w:val="toc 9"/>
    <w:basedOn w:val="1010"/>
    <w:next w:val="1010"/>
    <w:uiPriority w:val="39"/>
    <w:unhideWhenUsed/>
    <w:pPr>
      <w:pBdr/>
      <w:spacing w:after="100"/>
      <w:ind w:left="1760"/>
    </w:pPr>
  </w:style>
  <w:style w:type="character" w:styleId="1007">
    <w:name w:val="Placeholder Text"/>
    <w:basedOn w:val="1015"/>
    <w:uiPriority w:val="99"/>
    <w:semiHidden/>
    <w:pPr>
      <w:pBdr/>
      <w:spacing/>
      <w:ind/>
    </w:pPr>
    <w:rPr>
      <w:color w:val="666666"/>
    </w:rPr>
  </w:style>
  <w:style w:type="paragraph" w:styleId="1008">
    <w:name w:val="TOC Heading"/>
    <w:uiPriority w:val="39"/>
    <w:unhideWhenUsed/>
    <w:pPr>
      <w:pBdr/>
      <w:spacing/>
      <w:ind/>
    </w:pPr>
  </w:style>
  <w:style w:type="paragraph" w:styleId="1009">
    <w:name w:val="table of figures"/>
    <w:basedOn w:val="1010"/>
    <w:next w:val="1010"/>
    <w:uiPriority w:val="99"/>
    <w:unhideWhenUsed/>
    <w:pPr>
      <w:pBdr/>
      <w:spacing w:after="0" w:afterAutospacing="0"/>
      <w:ind/>
    </w:pPr>
  </w:style>
  <w:style w:type="paragraph" w:styleId="1010" w:default="1">
    <w:name w:val="Normal"/>
    <w:qFormat/>
    <w:pPr>
      <w:pBdr/>
      <w:spacing w:after="0" w:line="240" w:lineRule="auto"/>
      <w:ind/>
    </w:pPr>
    <w:rPr>
      <w:rFonts w:ascii="Times New Roman" w:hAnsi="Times New Roman" w:eastAsia="Times New Roman" w:cs="Times New Roman"/>
      <w:sz w:val="24"/>
      <w:szCs w:val="24"/>
    </w:rPr>
  </w:style>
  <w:style w:type="paragraph" w:styleId="1011">
    <w:name w:val="Heading 1"/>
    <w:basedOn w:val="1010"/>
    <w:next w:val="1010"/>
    <w:link w:val="1018"/>
    <w:qFormat/>
    <w:pPr>
      <w:keepNext w:val="true"/>
      <w:pBdr/>
      <w:spacing w:after="120" w:before="120"/>
      <w:ind/>
      <w:jc w:val="center"/>
      <w:outlineLvl w:val="0"/>
    </w:pPr>
    <w:rPr>
      <w:b/>
      <w:bCs/>
      <w:sz w:val="27"/>
      <w:szCs w:val="27"/>
    </w:rPr>
  </w:style>
  <w:style w:type="paragraph" w:styleId="1012">
    <w:name w:val="Heading 2"/>
    <w:basedOn w:val="1010"/>
    <w:next w:val="1010"/>
    <w:link w:val="1019"/>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3">
    <w:name w:val="Heading 3"/>
    <w:basedOn w:val="1010"/>
    <w:next w:val="1010"/>
    <w:link w:val="1020"/>
    <w:qFormat/>
    <w:pPr>
      <w:keepNext w:val="true"/>
      <w:pBdr/>
      <w:spacing w:before="60"/>
      <w:ind/>
      <w:outlineLvl w:val="2"/>
    </w:pPr>
    <w:rPr>
      <w:sz w:val="28"/>
      <w:szCs w:val="28"/>
    </w:rPr>
  </w:style>
  <w:style w:type="paragraph" w:styleId="1014">
    <w:name w:val="Heading 4"/>
    <w:basedOn w:val="1010"/>
    <w:next w:val="1010"/>
    <w:link w:val="1021"/>
    <w:qFormat/>
    <w:pPr>
      <w:keepNext w:val="true"/>
      <w:pBdr/>
      <w:spacing/>
      <w:ind/>
      <w:jc w:val="center"/>
      <w:outlineLvl w:val="3"/>
    </w:pPr>
    <w:rPr>
      <w:b/>
      <w:bCs/>
    </w:rPr>
  </w:style>
  <w:style w:type="character" w:styleId="1015" w:default="1">
    <w:name w:val="Default Paragraph Font"/>
    <w:uiPriority w:val="1"/>
    <w:semiHidden/>
    <w:unhideWhenUsed/>
    <w:pPr>
      <w:pBdr/>
      <w:spacing/>
      <w:ind/>
    </w:pPr>
  </w:style>
  <w:style w:type="table" w:styleId="1016"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7" w:default="1">
    <w:name w:val="No List"/>
    <w:uiPriority w:val="99"/>
    <w:semiHidden/>
    <w:unhideWhenUsed/>
    <w:pPr>
      <w:pBdr/>
      <w:spacing/>
      <w:ind/>
    </w:pPr>
  </w:style>
  <w:style w:type="character" w:styleId="1018" w:customStyle="1">
    <w:name w:val="Heading 1 Char"/>
    <w:basedOn w:val="1015"/>
    <w:link w:val="1011"/>
    <w:pPr>
      <w:pBdr/>
      <w:spacing/>
      <w:ind/>
    </w:pPr>
    <w:rPr>
      <w:rFonts w:ascii="Times New Roman" w:hAnsi="Times New Roman" w:eastAsia="Times New Roman" w:cs="Times New Roman"/>
      <w:b/>
      <w:bCs/>
      <w:sz w:val="27"/>
      <w:szCs w:val="27"/>
    </w:rPr>
  </w:style>
  <w:style w:type="character" w:styleId="1019" w:customStyle="1">
    <w:name w:val="Heading 2 Char"/>
    <w:basedOn w:val="1015"/>
    <w:link w:val="1012"/>
    <w:uiPriority w:val="9"/>
    <w:pPr>
      <w:pBdr/>
      <w:spacing/>
      <w:ind/>
    </w:pPr>
    <w:rPr>
      <w:rFonts w:asciiTheme="majorHAnsi" w:hAnsiTheme="majorHAnsi" w:eastAsiaTheme="majorEastAsia" w:cstheme="majorBidi"/>
      <w:color w:val="365f91" w:themeColor="accent1" w:themeShade="BF"/>
      <w:sz w:val="26"/>
      <w:szCs w:val="26"/>
    </w:rPr>
  </w:style>
  <w:style w:type="character" w:styleId="1020" w:customStyle="1">
    <w:name w:val="Heading 3 Char"/>
    <w:basedOn w:val="1015"/>
    <w:link w:val="1013"/>
    <w:pPr>
      <w:pBdr/>
      <w:spacing/>
      <w:ind/>
    </w:pPr>
    <w:rPr>
      <w:rFonts w:ascii="Times New Roman" w:hAnsi="Times New Roman" w:eastAsia="Times New Roman" w:cs="Times New Roman"/>
      <w:sz w:val="28"/>
      <w:szCs w:val="28"/>
    </w:rPr>
  </w:style>
  <w:style w:type="character" w:styleId="1021" w:customStyle="1">
    <w:name w:val="Heading 4 Char"/>
    <w:basedOn w:val="1015"/>
    <w:link w:val="1014"/>
    <w:pPr>
      <w:pBdr/>
      <w:spacing/>
      <w:ind/>
    </w:pPr>
    <w:rPr>
      <w:rFonts w:ascii="Times New Roman" w:hAnsi="Times New Roman" w:eastAsia="Times New Roman" w:cs="Times New Roman"/>
      <w:b/>
      <w:bCs/>
      <w:sz w:val="24"/>
      <w:szCs w:val="24"/>
    </w:rPr>
  </w:style>
  <w:style w:type="character" w:styleId="1022">
    <w:name w:val="Hyperlink"/>
    <w:uiPriority w:val="99"/>
    <w:pPr>
      <w:pBdr/>
      <w:spacing/>
      <w:ind/>
    </w:pPr>
    <w:rPr>
      <w:color w:val="000000"/>
      <w:u w:val="single"/>
    </w:rPr>
  </w:style>
  <w:style w:type="character" w:styleId="1023">
    <w:name w:val="Strong"/>
    <w:uiPriority w:val="22"/>
    <w:qFormat/>
    <w:pPr>
      <w:pBdr/>
      <w:spacing/>
      <w:ind/>
    </w:pPr>
    <w:rPr>
      <w:b/>
      <w:bCs/>
    </w:rPr>
  </w:style>
  <w:style w:type="paragraph" w:styleId="1024">
    <w:name w:val="Balloon Text"/>
    <w:basedOn w:val="1010"/>
    <w:link w:val="1025"/>
    <w:uiPriority w:val="99"/>
    <w:semiHidden/>
    <w:unhideWhenUsed/>
    <w:pPr>
      <w:pBdr/>
      <w:spacing/>
      <w:ind/>
    </w:pPr>
    <w:rPr>
      <w:rFonts w:ascii="Tahoma" w:hAnsi="Tahoma" w:cs="Tahoma"/>
      <w:sz w:val="16"/>
      <w:szCs w:val="16"/>
    </w:rPr>
  </w:style>
  <w:style w:type="character" w:styleId="1025" w:customStyle="1">
    <w:name w:val="Balloon Text Char"/>
    <w:basedOn w:val="1015"/>
    <w:link w:val="1024"/>
    <w:uiPriority w:val="99"/>
    <w:semiHidden/>
    <w:pPr>
      <w:pBdr/>
      <w:spacing/>
      <w:ind/>
    </w:pPr>
    <w:rPr>
      <w:rFonts w:ascii="Tahoma" w:hAnsi="Tahoma" w:eastAsia="Times New Roman" w:cs="Tahoma"/>
      <w:sz w:val="16"/>
      <w:szCs w:val="16"/>
    </w:rPr>
  </w:style>
  <w:style w:type="paragraph" w:styleId="1026">
    <w:name w:val="Header"/>
    <w:basedOn w:val="1010"/>
    <w:link w:val="1027"/>
    <w:unhideWhenUsed/>
    <w:pPr>
      <w:pBdr/>
      <w:tabs>
        <w:tab w:val="center" w:leader="none" w:pos="4680"/>
        <w:tab w:val="right" w:leader="none" w:pos="9360"/>
      </w:tabs>
      <w:spacing/>
      <w:ind/>
    </w:pPr>
  </w:style>
  <w:style w:type="character" w:styleId="1027" w:customStyle="1">
    <w:name w:val="Header Char"/>
    <w:basedOn w:val="1015"/>
    <w:link w:val="1026"/>
    <w:pPr>
      <w:pBdr/>
      <w:spacing/>
      <w:ind/>
    </w:pPr>
    <w:rPr>
      <w:rFonts w:ascii="Times New Roman" w:hAnsi="Times New Roman" w:eastAsia="Times New Roman" w:cs="Times New Roman"/>
      <w:sz w:val="24"/>
      <w:szCs w:val="24"/>
    </w:rPr>
  </w:style>
  <w:style w:type="paragraph" w:styleId="1028">
    <w:name w:val="Footer"/>
    <w:basedOn w:val="1010"/>
    <w:link w:val="1029"/>
    <w:uiPriority w:val="99"/>
    <w:unhideWhenUsed/>
    <w:pPr>
      <w:pBdr/>
      <w:tabs>
        <w:tab w:val="center" w:leader="none" w:pos="4680"/>
        <w:tab w:val="right" w:leader="none" w:pos="9360"/>
      </w:tabs>
      <w:spacing/>
      <w:ind/>
    </w:pPr>
  </w:style>
  <w:style w:type="character" w:styleId="1029" w:customStyle="1">
    <w:name w:val="Footer Char"/>
    <w:basedOn w:val="1015"/>
    <w:link w:val="1028"/>
    <w:uiPriority w:val="99"/>
    <w:pPr>
      <w:pBdr/>
      <w:spacing/>
      <w:ind/>
    </w:pPr>
    <w:rPr>
      <w:rFonts w:ascii="Times New Roman" w:hAnsi="Times New Roman" w:eastAsia="Times New Roman" w:cs="Times New Roman"/>
      <w:sz w:val="24"/>
      <w:szCs w:val="24"/>
    </w:rPr>
  </w:style>
  <w:style w:type="character" w:styleId="1030" w:customStyle="1">
    <w:name w:val="normal-h1"/>
    <w:pPr>
      <w:pBdr/>
      <w:spacing/>
      <w:ind/>
    </w:pPr>
    <w:rPr>
      <w:rFonts w:hint="default" w:ascii=".VnTime" w:hAnsi=".VnTime"/>
      <w:color w:val="0000ff"/>
      <w:sz w:val="24"/>
      <w:szCs w:val="24"/>
    </w:rPr>
  </w:style>
  <w:style w:type="paragraph" w:styleId="1031" w:customStyle="1">
    <w:name w:val="normal-p"/>
    <w:basedOn w:val="1010"/>
    <w:pPr>
      <w:pBdr/>
      <w:spacing/>
      <w:ind/>
      <w:jc w:val="both"/>
    </w:pPr>
    <w:rPr>
      <w:sz w:val="20"/>
      <w:szCs w:val="20"/>
    </w:rPr>
  </w:style>
  <w:style w:type="paragraph" w:styleId="1032">
    <w:name w:val="List Paragraph"/>
    <w:basedOn w:val="1010"/>
    <w:link w:val="1119"/>
    <w:uiPriority w:val="34"/>
    <w:qFormat/>
    <w:pPr>
      <w:pBdr/>
      <w:spacing/>
      <w:ind w:left="720"/>
    </w:pPr>
  </w:style>
  <w:style w:type="paragraph" w:styleId="1033">
    <w:name w:val="Normal (Web)"/>
    <w:basedOn w:val="1010"/>
    <w:uiPriority w:val="99"/>
    <w:pPr>
      <w:pBdr/>
      <w:spacing w:after="100" w:afterAutospacing="1" w:before="100" w:beforeAutospacing="1"/>
      <w:ind/>
    </w:pPr>
  </w:style>
  <w:style w:type="paragraph" w:styleId="1034">
    <w:name w:val="Body Text"/>
    <w:basedOn w:val="1010"/>
    <w:link w:val="1035"/>
    <w:pPr>
      <w:pBdr/>
      <w:spacing w:after="120"/>
      <w:ind/>
      <w:jc w:val="both"/>
    </w:pPr>
  </w:style>
  <w:style w:type="character" w:styleId="1035" w:customStyle="1">
    <w:name w:val="Body Text Char"/>
    <w:basedOn w:val="1015"/>
    <w:link w:val="1034"/>
    <w:pPr>
      <w:pBdr/>
      <w:spacing/>
      <w:ind/>
    </w:pPr>
    <w:rPr>
      <w:rFonts w:ascii="Times New Roman" w:hAnsi="Times New Roman" w:eastAsia="Times New Roman" w:cs="Times New Roman"/>
      <w:sz w:val="24"/>
      <w:szCs w:val="24"/>
    </w:rPr>
  </w:style>
  <w:style w:type="table" w:styleId="1036">
    <w:name w:val="Table Grid"/>
    <w:basedOn w:val="1016"/>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7"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8">
    <w:name w:val="annotation reference"/>
    <w:basedOn w:val="1015"/>
    <w:uiPriority w:val="99"/>
    <w:semiHidden/>
    <w:unhideWhenUsed/>
    <w:pPr>
      <w:pBdr/>
      <w:spacing/>
      <w:ind/>
    </w:pPr>
    <w:rPr>
      <w:sz w:val="16"/>
      <w:szCs w:val="16"/>
    </w:rPr>
  </w:style>
  <w:style w:type="paragraph" w:styleId="1039">
    <w:name w:val="annotation text"/>
    <w:basedOn w:val="1010"/>
    <w:link w:val="1040"/>
    <w:uiPriority w:val="99"/>
    <w:unhideWhenUsed/>
    <w:pPr>
      <w:pBdr/>
      <w:spacing/>
      <w:ind/>
    </w:pPr>
    <w:rPr>
      <w:sz w:val="20"/>
      <w:szCs w:val="20"/>
    </w:rPr>
  </w:style>
  <w:style w:type="character" w:styleId="1040" w:customStyle="1">
    <w:name w:val="Comment Text Char"/>
    <w:basedOn w:val="1015"/>
    <w:link w:val="1039"/>
    <w:uiPriority w:val="99"/>
    <w:pPr>
      <w:pBdr/>
      <w:spacing/>
      <w:ind/>
    </w:pPr>
    <w:rPr>
      <w:rFonts w:ascii="Times New Roman" w:hAnsi="Times New Roman" w:eastAsia="Times New Roman" w:cs="Times New Roman"/>
      <w:sz w:val="20"/>
      <w:szCs w:val="20"/>
    </w:rPr>
  </w:style>
  <w:style w:type="paragraph" w:styleId="1041">
    <w:name w:val="annotation subject"/>
    <w:basedOn w:val="1039"/>
    <w:next w:val="1039"/>
    <w:link w:val="1042"/>
    <w:uiPriority w:val="99"/>
    <w:semiHidden/>
    <w:unhideWhenUsed/>
    <w:pPr>
      <w:pBdr/>
      <w:spacing/>
      <w:ind/>
    </w:pPr>
    <w:rPr>
      <w:b/>
      <w:bCs/>
    </w:rPr>
  </w:style>
  <w:style w:type="character" w:styleId="1042" w:customStyle="1">
    <w:name w:val="Comment Subject Char"/>
    <w:basedOn w:val="1040"/>
    <w:link w:val="1041"/>
    <w:uiPriority w:val="99"/>
    <w:semiHidden/>
    <w:pPr>
      <w:pBdr/>
      <w:spacing/>
      <w:ind/>
    </w:pPr>
    <w:rPr>
      <w:rFonts w:ascii="Times New Roman" w:hAnsi="Times New Roman" w:eastAsia="Times New Roman" w:cs="Times New Roman"/>
      <w:b/>
      <w:bCs/>
      <w:sz w:val="20"/>
      <w:szCs w:val="20"/>
    </w:rPr>
  </w:style>
  <w:style w:type="paragraph" w:styleId="1043" w:customStyle="1">
    <w:name w:val="font5"/>
    <w:basedOn w:val="1010"/>
    <w:pPr>
      <w:pBdr/>
      <w:spacing w:after="100" w:afterAutospacing="1" w:before="100" w:beforeAutospacing="1"/>
      <w:ind/>
    </w:pPr>
    <w:rPr>
      <w:rFonts w:ascii="Tahoma" w:hAnsi="Tahoma" w:cs="Tahoma"/>
      <w:color w:val="000000"/>
      <w:sz w:val="18"/>
      <w:szCs w:val="18"/>
    </w:rPr>
  </w:style>
  <w:style w:type="paragraph" w:styleId="1044" w:customStyle="1">
    <w:name w:val="font6"/>
    <w:basedOn w:val="1010"/>
    <w:pPr>
      <w:pBdr/>
      <w:spacing w:after="100" w:afterAutospacing="1" w:before="100" w:beforeAutospacing="1"/>
      <w:ind/>
    </w:pPr>
    <w:rPr>
      <w:rFonts w:ascii="Tahoma" w:hAnsi="Tahoma" w:cs="Tahoma"/>
      <w:b/>
      <w:bCs/>
      <w:color w:val="000000"/>
      <w:sz w:val="18"/>
      <w:szCs w:val="18"/>
    </w:rPr>
  </w:style>
  <w:style w:type="paragraph" w:styleId="1045" w:customStyle="1">
    <w:name w:val="xl233"/>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6" w:customStyle="1">
    <w:name w:val="xl234"/>
    <w:basedOn w:val="1010"/>
    <w:pPr>
      <w:pBdr/>
      <w:spacing w:after="100" w:afterAutospacing="1" w:before="100" w:beforeAutospacing="1"/>
      <w:ind/>
      <w:jc w:val="center"/>
    </w:pPr>
  </w:style>
  <w:style w:type="paragraph" w:styleId="1047" w:customStyle="1">
    <w:name w:val="xl235"/>
    <w:basedOn w:val="1010"/>
    <w:pPr>
      <w:pBdr/>
      <w:spacing w:after="100" w:afterAutospacing="1" w:before="100" w:beforeAutospacing="1"/>
      <w:ind/>
      <w:jc w:val="center"/>
    </w:pPr>
    <w:rPr>
      <w:b/>
      <w:bCs/>
    </w:rPr>
  </w:style>
  <w:style w:type="paragraph" w:styleId="1048" w:customStyle="1">
    <w:name w:val="xl236"/>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9" w:customStyle="1">
    <w:name w:val="xl237"/>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0" w:customStyle="1">
    <w:name w:val="xl238"/>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1" w:customStyle="1">
    <w:name w:val="xl239"/>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2" w:customStyle="1">
    <w:name w:val="xl240"/>
    <w:basedOn w:val="1010"/>
    <w:pPr>
      <w:pBdr/>
      <w:spacing w:after="100" w:afterAutospacing="1" w:before="100" w:beforeAutospacing="1"/>
      <w:ind/>
    </w:pPr>
  </w:style>
  <w:style w:type="paragraph" w:styleId="1053" w:customStyle="1">
    <w:name w:val="xl241"/>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4" w:customStyle="1">
    <w:name w:val="xl242"/>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3"/>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6" w:customStyle="1">
    <w:name w:val="xl244"/>
    <w:basedOn w:val="1010"/>
    <w:pPr>
      <w:pBdr/>
      <w:spacing w:after="100" w:afterAutospacing="1" w:before="100" w:beforeAutospacing="1"/>
      <w:ind/>
    </w:pPr>
    <w:rPr>
      <w:b/>
      <w:bCs/>
    </w:rPr>
  </w:style>
  <w:style w:type="paragraph" w:styleId="1057" w:customStyle="1">
    <w:name w:val="xl245"/>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6"/>
    <w:basedOn w:val="1010"/>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9" w:customStyle="1">
    <w:name w:val="xl247"/>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0" w:customStyle="1">
    <w:name w:val="xl248"/>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1" w:customStyle="1">
    <w:name w:val="xl249"/>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2" w:customStyle="1">
    <w:name w:val="xl250"/>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3" w:customStyle="1">
    <w:name w:val="xl251"/>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2"/>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3"/>
    <w:basedOn w:val="1010"/>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4"/>
    <w:basedOn w:val="1010"/>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5"/>
    <w:basedOn w:val="1010"/>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6"/>
    <w:basedOn w:val="1010"/>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9" w:customStyle="1">
    <w:name w:val="xl257"/>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8"/>
    <w:basedOn w:val="1010"/>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9"/>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0"/>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3" w:customStyle="1">
    <w:name w:val="xl261"/>
    <w:basedOn w:val="1010"/>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2"/>
    <w:basedOn w:val="1010"/>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63"/>
    <w:basedOn w:val="1010"/>
    <w:pPr>
      <w:pBdr/>
      <w:shd w:val="clear" w:color="000000" w:fill="ffffff"/>
      <w:spacing w:after="100" w:afterAutospacing="1" w:before="100" w:beforeAutospacing="1"/>
      <w:ind/>
    </w:pPr>
  </w:style>
  <w:style w:type="paragraph" w:styleId="1076" w:customStyle="1">
    <w:name w:val="xl264"/>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5"/>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8" w:customStyle="1">
    <w:name w:val="xl266"/>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9" w:customStyle="1">
    <w:name w:val="xl267"/>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0" w:customStyle="1">
    <w:name w:val="xl268"/>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69"/>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70"/>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3" w:customStyle="1">
    <w:name w:val="xl271"/>
    <w:basedOn w:val="1010"/>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4" w:customStyle="1">
    <w:name w:val="xl272"/>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73"/>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6" w:customStyle="1">
    <w:name w:val="xl274"/>
    <w:basedOn w:val="1010"/>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75"/>
    <w:basedOn w:val="1010"/>
    <w:pPr>
      <w:pBdr/>
      <w:spacing w:after="100" w:afterAutospacing="1" w:before="100" w:beforeAutospacing="1"/>
      <w:ind/>
    </w:pPr>
  </w:style>
  <w:style w:type="paragraph" w:styleId="1088" w:customStyle="1">
    <w:name w:val="xl276"/>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9" w:customStyle="1">
    <w:name w:val="xl277"/>
    <w:basedOn w:val="1010"/>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0" w:customStyle="1">
    <w:name w:val="xl278"/>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79"/>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0"/>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3" w:customStyle="1">
    <w:name w:val="xl281"/>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4" w:customStyle="1">
    <w:name w:val="xl282"/>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3"/>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4"/>
    <w:basedOn w:val="1010"/>
    <w:pPr>
      <w:pBdr>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5"/>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6"/>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customStyle="1">
    <w:name w:val="xl287"/>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8"/>
    <w:basedOn w:val="1010"/>
    <w:pPr>
      <w:pBdr>
        <w:top w:val="single" w:color="000000" w:sz="4" w:space="0"/>
        <w:left w:val="single" w:color="000000" w:sz="4" w:space="0"/>
        <w:right w:val="single" w:color="000000" w:sz="4" w:space="0"/>
      </w:pBdr>
      <w:spacing w:after="100" w:afterAutospacing="1" w:before="100" w:beforeAutospacing="1"/>
      <w:ind/>
    </w:pPr>
  </w:style>
  <w:style w:type="paragraph" w:styleId="1101" w:customStyle="1">
    <w:name w:val="xl289"/>
    <w:basedOn w:val="1010"/>
    <w:pPr>
      <w:pBdr>
        <w:left w:val="single" w:color="000000" w:sz="4" w:space="0"/>
        <w:right w:val="single" w:color="000000" w:sz="4" w:space="0"/>
      </w:pBdr>
      <w:spacing w:after="100" w:afterAutospacing="1" w:before="100" w:beforeAutospacing="1"/>
      <w:ind/>
    </w:pPr>
    <w:rPr>
      <w:b/>
      <w:bCs/>
    </w:rPr>
  </w:style>
  <w:style w:type="paragraph" w:styleId="1102" w:customStyle="1">
    <w:name w:val="xl290"/>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3" w:customStyle="1">
    <w:name w:val="xl291"/>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4" w:customStyle="1">
    <w:name w:val="xl292"/>
    <w:basedOn w:val="1010"/>
    <w:pPr>
      <w:pBdr>
        <w:top w:val="single" w:color="000000" w:sz="4" w:space="0"/>
        <w:left w:val="single" w:color="000000" w:sz="4" w:space="0"/>
        <w:right w:val="single" w:color="000000" w:sz="4" w:space="0"/>
      </w:pBdr>
      <w:spacing w:after="100" w:afterAutospacing="1" w:before="100" w:beforeAutospacing="1"/>
      <w:ind/>
    </w:pPr>
  </w:style>
  <w:style w:type="paragraph" w:styleId="1105" w:customStyle="1">
    <w:name w:val="xl293"/>
    <w:basedOn w:val="1010"/>
    <w:pPr>
      <w:pBdr>
        <w:left w:val="single" w:color="000000" w:sz="4" w:space="0"/>
        <w:bottom w:val="single" w:color="000000" w:sz="4" w:space="0"/>
        <w:right w:val="single" w:color="000000" w:sz="4" w:space="0"/>
      </w:pBdr>
      <w:spacing w:after="100" w:afterAutospacing="1" w:before="100" w:beforeAutospacing="1"/>
      <w:ind/>
    </w:pPr>
  </w:style>
  <w:style w:type="paragraph" w:styleId="1106" w:customStyle="1">
    <w:name w:val="xl294"/>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7">
    <w:name w:val="Title"/>
    <w:basedOn w:val="1010"/>
    <w:link w:val="1108"/>
    <w:qFormat/>
    <w:pPr>
      <w:pBdr/>
      <w:spacing/>
      <w:ind/>
      <w:jc w:val="center"/>
    </w:pPr>
    <w:rPr>
      <w:b/>
      <w:bCs/>
      <w:sz w:val="32"/>
      <w:szCs w:val="26"/>
    </w:rPr>
  </w:style>
  <w:style w:type="character" w:styleId="1108" w:customStyle="1">
    <w:name w:val="Title Char"/>
    <w:basedOn w:val="1015"/>
    <w:link w:val="1107"/>
    <w:pPr>
      <w:pBdr/>
      <w:spacing/>
      <w:ind/>
    </w:pPr>
    <w:rPr>
      <w:rFonts w:ascii="Times New Roman" w:hAnsi="Times New Roman" w:eastAsia="Times New Roman" w:cs="Times New Roman"/>
      <w:b/>
      <w:bCs/>
      <w:sz w:val="32"/>
      <w:szCs w:val="26"/>
    </w:rPr>
  </w:style>
  <w:style w:type="character" w:styleId="1109" w:customStyle="1">
    <w:name w:val="Unresolved Mention1"/>
    <w:basedOn w:val="1015"/>
    <w:uiPriority w:val="99"/>
    <w:semiHidden/>
    <w:unhideWhenUsed/>
    <w:pPr>
      <w:pBdr/>
      <w:spacing/>
      <w:ind/>
    </w:pPr>
    <w:rPr>
      <w:color w:val="605e5c"/>
      <w:shd w:val="clear" w:color="auto" w:fill="e1dfdd"/>
    </w:rPr>
  </w:style>
  <w:style w:type="character" w:styleId="1110" w:customStyle="1">
    <w:name w:val="Body text (3)_"/>
    <w:link w:val="1111"/>
    <w:pPr>
      <w:pBdr/>
      <w:spacing/>
      <w:ind/>
    </w:pPr>
    <w:rPr>
      <w:rFonts w:ascii="Times New Roman" w:hAnsi="Times New Roman" w:cs="Times New Roman"/>
      <w:i/>
      <w:iCs/>
      <w:spacing w:val="4"/>
      <w:shd w:val="clear" w:color="auto" w:fill="ffffff"/>
    </w:rPr>
  </w:style>
  <w:style w:type="paragraph" w:styleId="1111" w:customStyle="1">
    <w:name w:val="Body text (3)1"/>
    <w:basedOn w:val="1010"/>
    <w:link w:val="1110"/>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2" w:customStyle="1">
    <w:name w:val="t-j"/>
    <w:basedOn w:val="1010"/>
    <w:pPr>
      <w:pBdr/>
      <w:spacing w:after="100" w:afterAutospacing="1" w:before="100" w:beforeAutospacing="1"/>
      <w:ind/>
    </w:pPr>
  </w:style>
  <w:style w:type="character" w:styleId="1113" w:customStyle="1">
    <w:name w:val="Unresolved Mention2"/>
    <w:basedOn w:val="1015"/>
    <w:uiPriority w:val="99"/>
    <w:semiHidden/>
    <w:unhideWhenUsed/>
    <w:pPr>
      <w:pBdr/>
      <w:spacing/>
      <w:ind/>
    </w:pPr>
    <w:rPr>
      <w:color w:val="605e5c"/>
      <w:shd w:val="clear" w:color="auto" w:fill="e1dfdd"/>
    </w:rPr>
  </w:style>
  <w:style w:type="character" w:styleId="1114">
    <w:name w:val="FollowedHyperlink"/>
    <w:basedOn w:val="1015"/>
    <w:uiPriority w:val="99"/>
    <w:semiHidden/>
    <w:unhideWhenUsed/>
    <w:pPr>
      <w:pBdr/>
      <w:spacing/>
      <w:ind/>
    </w:pPr>
    <w:rPr>
      <w:color w:val="800080" w:themeColor="followedHyperlink"/>
      <w:u w:val="single"/>
    </w:rPr>
  </w:style>
  <w:style w:type="character" w:styleId="1115" w:customStyle="1">
    <w:name w:val="text"/>
    <w:basedOn w:val="1015"/>
    <w:pPr>
      <w:pBdr/>
      <w:spacing/>
      <w:ind/>
    </w:pPr>
  </w:style>
  <w:style w:type="character" w:styleId="1116" w:customStyle="1">
    <w:name w:val="card-send-time__sendtime"/>
    <w:basedOn w:val="1015"/>
    <w:pPr>
      <w:pBdr/>
      <w:spacing/>
      <w:ind/>
    </w:pPr>
  </w:style>
  <w:style w:type="character" w:styleId="1117" w:customStyle="1">
    <w:name w:val="Đề cập Chưa giải quyết1"/>
    <w:basedOn w:val="1015"/>
    <w:uiPriority w:val="99"/>
    <w:semiHidden/>
    <w:unhideWhenUsed/>
    <w:pPr>
      <w:pBdr/>
      <w:spacing/>
      <w:ind/>
    </w:pPr>
    <w:rPr>
      <w:color w:val="605e5c"/>
      <w:shd w:val="clear" w:color="auto" w:fill="e1dfdd"/>
    </w:rPr>
  </w:style>
  <w:style w:type="paragraph" w:styleId="1118" w:customStyle="1">
    <w:name w:val="nqtitle"/>
    <w:basedOn w:val="1010"/>
    <w:pPr>
      <w:pBdr/>
      <w:spacing w:after="100" w:afterAutospacing="1" w:before="100" w:beforeAutospacing="1"/>
      <w:ind/>
    </w:pPr>
    <w:rPr>
      <w:lang w:val="vi-VN" w:eastAsia="vi-VN"/>
    </w:rPr>
  </w:style>
  <w:style w:type="character" w:styleId="1119" w:customStyle="1">
    <w:name w:val="List Paragraph Char"/>
    <w:link w:val="1032"/>
    <w:uiPriority w:val="34"/>
    <w:qFormat/>
    <w:pPr>
      <w:pBdr/>
      <w:spacing/>
      <w:ind/>
    </w:pPr>
    <w:rPr>
      <w:rFonts w:ascii="Times New Roman" w:hAnsi="Times New Roman" w:eastAsia="Times New Roman" w:cs="Times New Roman"/>
      <w:sz w:val="24"/>
      <w:szCs w:val="24"/>
    </w:rPr>
  </w:style>
  <w:style w:type="character" w:styleId="1120" w:customStyle="1">
    <w:name w:val="Đề cập Chưa giải quyết2"/>
    <w:basedOn w:val="1015"/>
    <w:uiPriority w:val="99"/>
    <w:semiHidden/>
    <w:unhideWhenUsed/>
    <w:pPr>
      <w:pBdr/>
      <w:spacing/>
      <w:ind/>
    </w:pPr>
    <w:rPr>
      <w:color w:val="605e5c"/>
      <w:shd w:val="clear" w:color="auto" w:fill="e1dfdd"/>
    </w:rPr>
  </w:style>
  <w:style w:type="character" w:styleId="1121" w:customStyle="1">
    <w:name w:val="Unresolved Mention3"/>
    <w:basedOn w:val="1015"/>
    <w:uiPriority w:val="99"/>
    <w:semiHidden/>
    <w:unhideWhenUsed/>
    <w:pPr>
      <w:pBdr/>
      <w:spacing/>
      <w:ind/>
    </w:pPr>
    <w:rPr>
      <w:color w:val="605e5c"/>
      <w:shd w:val="clear" w:color="auto" w:fill="e1dfdd"/>
    </w:rPr>
  </w:style>
  <w:style w:type="character" w:styleId="1122" w:customStyle="1">
    <w:name w:val="copy"/>
    <w:basedOn w:val="1015"/>
    <w:pPr>
      <w:pBdr/>
      <w:spacing/>
      <w:ind/>
    </w:pPr>
  </w:style>
  <w:style w:type="paragraph" w:styleId="1123" w:customStyle="1">
    <w:name w:val="align-justify"/>
    <w:basedOn w:val="1010"/>
    <w:pPr>
      <w:pBdr/>
      <w:spacing w:after="100" w:afterAutospacing="1" w:before="100" w:beforeAutospacing="1"/>
      <w:ind/>
    </w:pPr>
  </w:style>
  <w:style w:type="character" w:styleId="1124" w:customStyle="1">
    <w:name w:val="btn"/>
    <w:basedOn w:val="1015"/>
    <w:pPr>
      <w:pBdr/>
      <w:spacing/>
      <w:ind/>
    </w:pPr>
  </w:style>
  <w:style w:type="character" w:styleId="1125" w:customStyle="1">
    <w:name w:val="hide_mobile"/>
    <w:basedOn w:val="1015"/>
    <w:pPr>
      <w:pBdr/>
      <w:spacing/>
      <w:ind/>
    </w:pPr>
  </w:style>
  <w:style w:type="character" w:styleId="1126">
    <w:name w:val="Emphasis"/>
    <w:basedOn w:val="1015"/>
    <w:uiPriority w:val="20"/>
    <w:qFormat/>
    <w:pPr>
      <w:pBdr/>
      <w:spacing/>
      <w:ind/>
    </w:pPr>
    <w:rPr>
      <w:i/>
      <w:iCs/>
    </w:rPr>
  </w:style>
  <w:style w:type="character" w:styleId="1127" w:customStyle="1">
    <w:name w:val="t1"/>
    <w:basedOn w:val="1015"/>
    <w:pPr>
      <w:pBdr/>
      <w:spacing/>
      <w:ind/>
    </w:pPr>
  </w:style>
  <w:style w:type="character" w:styleId="1128" w:customStyle="1">
    <w:name w:val="Unresolved Mention4"/>
    <w:basedOn w:val="1015"/>
    <w:uiPriority w:val="99"/>
    <w:semiHidden/>
    <w:unhideWhenUsed/>
    <w:pPr>
      <w:pBdr/>
      <w:spacing/>
      <w:ind/>
    </w:pPr>
    <w:rPr>
      <w:color w:val="605e5c"/>
      <w:shd w:val="clear" w:color="auto" w:fill="e1dfdd"/>
    </w:rPr>
  </w:style>
  <w:style w:type="character" w:styleId="1129" w:customStyle="1">
    <w:name w:val="Unresolved Mention5"/>
    <w:basedOn w:val="1015"/>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image" Target="media/image25.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F0319-5BF7-4165-870F-69618ED4E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Chu Thế Hiển</cp:lastModifiedBy>
  <cp:revision>819</cp:revision>
  <dcterms:created xsi:type="dcterms:W3CDTF">2025-05-28T23:19:00Z</dcterms:created>
  <dcterms:modified xsi:type="dcterms:W3CDTF">2026-04-04T07:26:21Z</dcterms:modified>
</cp:coreProperties>
</file>