
<file path=[Content_Types].xml><?xml version="1.0" encoding="utf-8"?>
<Types xmlns="http://schemas.openxmlformats.org/package/2006/content-types">
  <Default Extension="gif" ContentType="image/gif"/>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color w:val="000000" w:themeColor="text1"/>
          <w:spacing w:val="16"/>
          <w:sz w:val="21"/>
          <w:szCs w:val="21"/>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pPr>
        <w:pBdr/>
        <w:spacing w:line="276" w:lineRule="auto"/>
        <w:ind w:right="-1"/>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eastAsia="Times New Roman" w:cs="Times New Roman"/>
          <w:color w:val="000000" w:themeColor="text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78785</wp:posOffset>
                </wp:positionH>
                <wp:positionV relativeFrom="paragraph">
                  <wp:posOffset>175205</wp:posOffset>
                </wp:positionV>
                <wp:extent cx="5718810" cy="2585481"/>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718809" cy="2585481"/>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000000" w:themeColor="text1"/>
                                <w:sz w:val="30"/>
                                <w:szCs w:val="30"/>
                              </w:rPr>
                            </w:pPr>
                            <w:r>
                              <w:rPr>
                                <w:b/>
                                <w:color w:val="000000" w:themeColor="text1"/>
                                <w:sz w:val="30"/>
                                <w:szCs w:val="30"/>
                              </w:rPr>
                              <w:t xml:space="preserve">CHỨNG THƯ</w:t>
                            </w:r>
                            <w:r>
                              <w:rPr>
                                <w:b/>
                                <w:color w:val="000000" w:themeColor="text1"/>
                                <w:sz w:val="30"/>
                                <w:szCs w:val="30"/>
                              </w:rPr>
                              <w:t xml:space="preserve">,</w:t>
                            </w:r>
                            <w:r>
                              <w:rPr>
                                <w:b/>
                                <w:color w:val="000000" w:themeColor="text1"/>
                                <w:sz w:val="30"/>
                                <w:szCs w:val="30"/>
                              </w:rPr>
                              <w:t xml:space="preserve"> BÁO CÁO THẨM ĐỊNH GIÁ</w:t>
                            </w:r>
                            <w:r>
                              <w:rPr>
                                <w:b/>
                                <w:color w:val="000000" w:themeColor="text1"/>
                                <w:sz w:val="30"/>
                                <w:szCs w:val="30"/>
                              </w:rPr>
                            </w:r>
                            <w:r>
                              <w:rPr>
                                <w:b/>
                                <w:color w:val="000000" w:themeColor="text1"/>
                                <w:sz w:val="30"/>
                                <w:szCs w:val="30"/>
                              </w:rPr>
                            </w:r>
                          </w:p>
                          <w:p>
                            <w:pPr>
                              <w:pBdr/>
                              <w:spacing w:after="120" w:before="120" w:line="276" w:lineRule="auto"/>
                              <w:ind/>
                              <w:jc w:val="center"/>
                              <w:rPr>
                                <w:b/>
                                <w:color w:val="000000" w:themeColor="text1"/>
                              </w:rPr>
                            </w:pPr>
                            <w:r>
                              <w:rPr>
                                <w:b/>
                                <w:color w:val="000000" w:themeColor="text1"/>
                              </w:rPr>
                              <w:t xml:space="preserve">Số: </w:t>
                            </w:r>
                            <w:r>
                              <w:rPr>
                                <w:rFonts w:ascii="Times New Roman" w:hAnsi="Times New Roman" w:eastAsia="Times New Roman" w:cs="Times New Roman"/>
                                <w:b/>
                                <w:bCs/>
                                <w:color w:val="000000" w:themeColor="text1"/>
                                <w:sz w:val="24"/>
                                <w:szCs w:val="24"/>
                              </w:rPr>
                              <w:t xml:space="preserve">275/2026/0281/VFI-CT.27.A</w:t>
                            </w:r>
                            <w:r>
                              <w:rPr>
                                <w:b/>
                                <w:color w:val="000000" w:themeColor="text1"/>
                              </w:rPr>
                              <w:t xml:space="preserve"> </w:t>
                            </w:r>
                            <w:r>
                              <w:rPr>
                                <w:b/>
                                <w:color w:val="000000" w:themeColor="text1"/>
                              </w:rPr>
                            </w:r>
                            <w:r>
                              <w:rPr>
                                <w:b/>
                                <w:color w:val="000000" w:themeColor="text1"/>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color w:val="000000" w:themeColor="text1"/>
                                <w:lang w:val="pt-BR"/>
                              </w:rPr>
                              <w:t xml:space="preserve">Khách hàng yêu cầu: </w:t>
                            </w:r>
                            <w:r>
                              <w:rPr>
                                <w:rFonts w:ascii="Times New Roman" w:hAnsi="Times New Roman" w:eastAsia="Times New Roman" w:cs="Times New Roman"/>
                                <w:b/>
                                <w:color w:val="000000" w:themeColor="text1"/>
                                <w:sz w:val="24"/>
                              </w:rPr>
                              <w:t xml:space="preserve">CÔNG TY TNHH TÙNG PHƯƠ</w:t>
                            </w:r>
                            <w:r>
                              <w:rPr>
                                <w:rFonts w:ascii="Times New Roman" w:hAnsi="Times New Roman" w:eastAsia="Times New Roman" w:cs="Times New Roman"/>
                                <w:b/>
                                <w:color w:val="auto"/>
                                <w:sz w:val="24"/>
                              </w:rPr>
                              <w:t xml:space="preserve">NG</w:t>
                            </w:r>
                            <w:r>
                              <w:rPr>
                                <w:rFonts w:ascii="Times New Roman Bold" w:hAnsi="Times New Roman Bold"/>
                                <w:b/>
                                <w:lang w:val="pt-BR"/>
                              </w:rPr>
                            </w:r>
                            <w:r>
                              <w:rPr>
                                <w:rFonts w:ascii="Times New Roman Bold" w:hAnsi="Times New Roman Bold"/>
                                <w:b/>
                                <w:lang w:val="pt-BR"/>
                              </w:rPr>
                            </w:r>
                          </w:p>
                          <w:p>
                            <w:pPr>
                              <w:pBdr/>
                              <w:spacing w:after="120" w:before="120" w:line="276" w:lineRule="auto"/>
                              <w:ind/>
                              <w:jc w:val="both"/>
                              <w:rPr>
                                <w:b/>
                              </w:rPr>
                            </w:pPr>
                            <w:r>
                              <w:rPr>
                                <w:b/>
                              </w:rPr>
                              <w:t xml:space="preserve">Tài sản thẩm </w:t>
                            </w:r>
                            <w:r>
                              <w:rPr>
                                <w:b/>
                              </w:rPr>
                              <w:t xml:space="preserve">định: </w:t>
                            </w:r>
                            <w:r>
                              <w:rPr>
                                <w:rFonts w:ascii="Times New Roman" w:hAnsi="Times New Roman" w:eastAsia="Times New Roman" w:cs="Times New Roman"/>
                                <w:color w:val="auto"/>
                                <w:sz w:val="24"/>
                              </w:rPr>
                              <w:t xml:space="preserve">Quyền sử dụng đất tại thửa đất số: 2</w:t>
                            </w:r>
                            <w:r>
                              <w:rPr>
                                <w:rFonts w:ascii="Times New Roman" w:hAnsi="Times New Roman" w:eastAsia="Times New Roman" w:cs="Times New Roman"/>
                                <w:color w:val="auto"/>
                                <w:sz w:val="20"/>
                                <w:vertAlign w:val="superscript"/>
                              </w:rPr>
                              <w:t xml:space="preserve">b</w:t>
                            </w:r>
                            <w:r>
                              <w:rPr>
                                <w:rFonts w:ascii="Times New Roman" w:hAnsi="Times New Roman" w:eastAsia="Times New Roman" w:cs="Times New Roman"/>
                                <w:color w:val="auto"/>
                                <w:sz w:val="24"/>
                              </w:rPr>
                              <w:t xml:space="preserve"> + 4</w:t>
                            </w:r>
                            <w:r>
                              <w:rPr>
                                <w:rFonts w:ascii="Times New Roman" w:hAnsi="Times New Roman" w:eastAsia="Times New Roman" w:cs="Times New Roman"/>
                                <w:color w:val="auto"/>
                                <w:sz w:val="20"/>
                                <w:vertAlign w:val="superscript"/>
                              </w:rPr>
                              <w:t xml:space="preserve">a</w:t>
                            </w:r>
                            <w:r>
                              <w:rPr>
                                <w:rFonts w:ascii="Times New Roman" w:hAnsi="Times New Roman" w:eastAsia="Times New Roman" w:cs="Times New Roman"/>
                                <w:color w:val="auto"/>
                                <w:sz w:val="24"/>
                              </w:rPr>
                              <w:t xml:space="preserve"> + 162</w:t>
                            </w:r>
                            <w:r>
                              <w:rPr>
                                <w:rFonts w:ascii="Times New Roman" w:hAnsi="Times New Roman" w:eastAsia="Times New Roman" w:cs="Times New Roman"/>
                                <w:color w:val="auto"/>
                                <w:sz w:val="20"/>
                                <w:vertAlign w:val="superscript"/>
                              </w:rPr>
                              <w:t xml:space="preserve">a</w:t>
                            </w:r>
                            <w:r>
                              <w:rPr>
                                <w:rFonts w:ascii="Times New Roman" w:hAnsi="Times New Roman" w:eastAsia="Times New Roman" w:cs="Times New Roman"/>
                                <w:color w:val="auto"/>
                                <w:sz w:val="24"/>
                              </w:rPr>
                              <w:t xml:space="preserve">, tờ bản đồ số: 26 có địa chỉ: K9 Thường Lệ, Đại Thịnh, huyện Mê Linh, tỉnh Vĩnh Phúc (nay là xã Quang Minh, thành phố Hà Nội)  theo Giấy chứng nhận quyền sử dụng đất số: G 443584, số vào sổ cấp GCN: 1108QSDĐ do UBND huyện Mê Linh cấp ngày 02/7/1996 cho ôn</w:t>
                            </w:r>
                            <w:r>
                              <w:rPr>
                                <w:rFonts w:ascii="Times New Roman" w:hAnsi="Times New Roman" w:eastAsia="Times New Roman" w:cs="Times New Roman"/>
                                <w:color w:val="auto"/>
                                <w:sz w:val="24"/>
                              </w:rPr>
                              <w:t xml:space="preserve">g Trịn</w:t>
                            </w:r>
                            <w:r>
                              <w:rPr>
                                <w:rFonts w:ascii="Times New Roman" w:hAnsi="Times New Roman" w:eastAsia="Times New Roman" w:cs="Times New Roman"/>
                                <w:color w:val="auto"/>
                                <w:sz w:val="24"/>
                              </w:rPr>
                              <w:t xml:space="preserve">h Minh T</w:t>
                            </w:r>
                            <w:r>
                              <w:rPr>
                                <w:rFonts w:ascii="Times New Roman" w:hAnsi="Times New Roman" w:eastAsia="Times New Roman" w:cs="Times New Roman"/>
                                <w:color w:val="auto"/>
                                <w:sz w:val="24"/>
                              </w:rPr>
                              <w:t xml:space="preserve">ỉnh</w:t>
                            </w:r>
                            <w:r>
                              <w:rPr>
                                <w:b w:val="0"/>
                                <w:bCs w:val="0"/>
                              </w:rPr>
                              <w:t xml:space="preserve">.</w:t>
                            </w:r>
                            <w:r>
                              <w:rPr>
                                <w:b/>
                              </w:rPr>
                            </w:r>
                            <w:r>
                              <w:rPr>
                                <w:b/>
                              </w:rPr>
                            </w:r>
                          </w:p>
                          <w:p>
                            <w:pPr>
                              <w:pBdr/>
                              <w:spacing w:after="120" w:before="120" w:line="276" w:lineRule="auto"/>
                              <w:ind/>
                              <w:jc w:val="center"/>
                              <w:rPr>
                                <w:lang w:val="pt-BR"/>
                              </w:rPr>
                            </w:pPr>
                            <w:r>
                              <w:rPr>
                                <w:b/>
                                <w:bCs/>
                                <w:lang w:val="pt-BR"/>
                              </w:rPr>
                              <w:t xml:space="preserve">Thời điểm thẩm định: </w:t>
                            </w:r>
                            <w:r>
                              <w:rPr>
                                <w:color w:val="000000" w:themeColor="text1"/>
                                <w:lang w:val="pt-BR"/>
                              </w:rPr>
                              <w:t xml:space="preserve">Tháng 02/2026</w:t>
                            </w:r>
                            <w:r>
                              <w:rPr>
                                <w:lang w:val="pt-BR"/>
                              </w:rPr>
                              <w:t xml:space="preserve">.</w:t>
                            </w:r>
                            <w:r>
                              <w:rPr>
                                <w:lang w:val="pt-BR"/>
                              </w:rPr>
                            </w:r>
                            <w:r>
                              <w:rPr>
                                <w:lang w:val="pt-BR"/>
                              </w:rPr>
                            </w:r>
                          </w:p>
                          <w:p>
                            <w:pPr>
                              <w:pBdr/>
                              <w:spacing w:after="120" w:before="120" w:line="360" w:lineRule="auto"/>
                              <w:ind/>
                              <w:jc w:val="center"/>
                              <w:rPr>
                                <w:bCs/>
                                <w:i/>
                                <w:iCs/>
                              </w:rPr>
                            </w:pPr>
                            <w:r>
                              <w:rPr>
                                <w:bCs/>
                                <w:i/>
                                <w:iCs/>
                              </w:rPr>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20pt;mso-position-horizontal:absolute;mso-position-vertical-relative:text;margin-top:13.80pt;mso-position-vertical:absolute;width:450.30pt;height:203.58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000000" w:themeColor="text1"/>
                          <w:sz w:val="30"/>
                          <w:szCs w:val="30"/>
                        </w:rPr>
                      </w:pPr>
                      <w:r>
                        <w:rPr>
                          <w:b/>
                          <w:color w:val="000000" w:themeColor="text1"/>
                          <w:sz w:val="30"/>
                          <w:szCs w:val="30"/>
                        </w:rPr>
                        <w:t xml:space="preserve">CHỨNG THƯ</w:t>
                      </w:r>
                      <w:r>
                        <w:rPr>
                          <w:b/>
                          <w:color w:val="000000" w:themeColor="text1"/>
                          <w:sz w:val="30"/>
                          <w:szCs w:val="30"/>
                        </w:rPr>
                        <w:t xml:space="preserve">,</w:t>
                      </w:r>
                      <w:r>
                        <w:rPr>
                          <w:b/>
                          <w:color w:val="000000" w:themeColor="text1"/>
                          <w:sz w:val="30"/>
                          <w:szCs w:val="30"/>
                        </w:rPr>
                        <w:t xml:space="preserve"> BÁO CÁO THẨM ĐỊNH GIÁ</w:t>
                      </w:r>
                      <w:r>
                        <w:rPr>
                          <w:b/>
                          <w:color w:val="000000" w:themeColor="text1"/>
                          <w:sz w:val="30"/>
                          <w:szCs w:val="30"/>
                        </w:rPr>
                      </w:r>
                      <w:r>
                        <w:rPr>
                          <w:b/>
                          <w:color w:val="000000" w:themeColor="text1"/>
                          <w:sz w:val="30"/>
                          <w:szCs w:val="30"/>
                        </w:rPr>
                      </w:r>
                    </w:p>
                    <w:p>
                      <w:pPr>
                        <w:pBdr/>
                        <w:spacing w:after="120" w:before="120" w:line="276" w:lineRule="auto"/>
                        <w:ind/>
                        <w:jc w:val="center"/>
                        <w:rPr>
                          <w:b/>
                          <w:color w:val="000000" w:themeColor="text1"/>
                        </w:rPr>
                      </w:pPr>
                      <w:r>
                        <w:rPr>
                          <w:b/>
                          <w:color w:val="000000" w:themeColor="text1"/>
                        </w:rPr>
                        <w:t xml:space="preserve">Số: </w:t>
                      </w:r>
                      <w:r>
                        <w:rPr>
                          <w:rFonts w:ascii="Times New Roman" w:hAnsi="Times New Roman" w:eastAsia="Times New Roman" w:cs="Times New Roman"/>
                          <w:b/>
                          <w:bCs/>
                          <w:color w:val="000000" w:themeColor="text1"/>
                          <w:sz w:val="24"/>
                          <w:szCs w:val="24"/>
                        </w:rPr>
                        <w:t xml:space="preserve">275/2026/0281/VFI-CT.27.A</w:t>
                      </w:r>
                      <w:r>
                        <w:rPr>
                          <w:b/>
                          <w:color w:val="000000" w:themeColor="text1"/>
                        </w:rPr>
                        <w:t xml:space="preserve"> </w:t>
                      </w:r>
                      <w:r>
                        <w:rPr>
                          <w:b/>
                          <w:color w:val="000000" w:themeColor="text1"/>
                        </w:rPr>
                      </w:r>
                      <w:r>
                        <w:rPr>
                          <w:b/>
                          <w:color w:val="000000" w:themeColor="text1"/>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color w:val="000000" w:themeColor="text1"/>
                          <w:lang w:val="pt-BR"/>
                        </w:rPr>
                        <w:t xml:space="preserve">Khách hàng yêu cầu: </w:t>
                      </w:r>
                      <w:r>
                        <w:rPr>
                          <w:rFonts w:ascii="Times New Roman" w:hAnsi="Times New Roman" w:eastAsia="Times New Roman" w:cs="Times New Roman"/>
                          <w:b/>
                          <w:color w:val="000000" w:themeColor="text1"/>
                          <w:sz w:val="24"/>
                        </w:rPr>
                        <w:t xml:space="preserve">CÔNG TY TNHH TÙNG PHƯƠ</w:t>
                      </w:r>
                      <w:r>
                        <w:rPr>
                          <w:rFonts w:ascii="Times New Roman" w:hAnsi="Times New Roman" w:eastAsia="Times New Roman" w:cs="Times New Roman"/>
                          <w:b/>
                          <w:color w:val="auto"/>
                          <w:sz w:val="24"/>
                        </w:rPr>
                        <w:t xml:space="preserve">NG</w:t>
                      </w:r>
                      <w:r>
                        <w:rPr>
                          <w:rFonts w:ascii="Times New Roman Bold" w:hAnsi="Times New Roman Bold"/>
                          <w:b/>
                          <w:lang w:val="pt-BR"/>
                        </w:rPr>
                      </w:r>
                      <w:r>
                        <w:rPr>
                          <w:rFonts w:ascii="Times New Roman Bold" w:hAnsi="Times New Roman Bold"/>
                          <w:b/>
                          <w:lang w:val="pt-BR"/>
                        </w:rPr>
                      </w:r>
                    </w:p>
                    <w:p>
                      <w:pPr>
                        <w:pBdr/>
                        <w:spacing w:after="120" w:before="120" w:line="276" w:lineRule="auto"/>
                        <w:ind/>
                        <w:jc w:val="both"/>
                        <w:rPr>
                          <w:b/>
                        </w:rPr>
                      </w:pPr>
                      <w:r>
                        <w:rPr>
                          <w:b/>
                        </w:rPr>
                        <w:t xml:space="preserve">Tài sản thẩm </w:t>
                      </w:r>
                      <w:r>
                        <w:rPr>
                          <w:b/>
                        </w:rPr>
                        <w:t xml:space="preserve">định: </w:t>
                      </w:r>
                      <w:r>
                        <w:rPr>
                          <w:rFonts w:ascii="Times New Roman" w:hAnsi="Times New Roman" w:eastAsia="Times New Roman" w:cs="Times New Roman"/>
                          <w:color w:val="auto"/>
                          <w:sz w:val="24"/>
                        </w:rPr>
                        <w:t xml:space="preserve">Quyền sử dụng đất tại thửa đất số: 2</w:t>
                      </w:r>
                      <w:r>
                        <w:rPr>
                          <w:rFonts w:ascii="Times New Roman" w:hAnsi="Times New Roman" w:eastAsia="Times New Roman" w:cs="Times New Roman"/>
                          <w:color w:val="auto"/>
                          <w:sz w:val="20"/>
                          <w:vertAlign w:val="superscript"/>
                        </w:rPr>
                        <w:t xml:space="preserve">b</w:t>
                      </w:r>
                      <w:r>
                        <w:rPr>
                          <w:rFonts w:ascii="Times New Roman" w:hAnsi="Times New Roman" w:eastAsia="Times New Roman" w:cs="Times New Roman"/>
                          <w:color w:val="auto"/>
                          <w:sz w:val="24"/>
                        </w:rPr>
                        <w:t xml:space="preserve"> + 4</w:t>
                      </w:r>
                      <w:r>
                        <w:rPr>
                          <w:rFonts w:ascii="Times New Roman" w:hAnsi="Times New Roman" w:eastAsia="Times New Roman" w:cs="Times New Roman"/>
                          <w:color w:val="auto"/>
                          <w:sz w:val="20"/>
                          <w:vertAlign w:val="superscript"/>
                        </w:rPr>
                        <w:t xml:space="preserve">a</w:t>
                      </w:r>
                      <w:r>
                        <w:rPr>
                          <w:rFonts w:ascii="Times New Roman" w:hAnsi="Times New Roman" w:eastAsia="Times New Roman" w:cs="Times New Roman"/>
                          <w:color w:val="auto"/>
                          <w:sz w:val="24"/>
                        </w:rPr>
                        <w:t xml:space="preserve"> + 162</w:t>
                      </w:r>
                      <w:r>
                        <w:rPr>
                          <w:rFonts w:ascii="Times New Roman" w:hAnsi="Times New Roman" w:eastAsia="Times New Roman" w:cs="Times New Roman"/>
                          <w:color w:val="auto"/>
                          <w:sz w:val="20"/>
                          <w:vertAlign w:val="superscript"/>
                        </w:rPr>
                        <w:t xml:space="preserve">a</w:t>
                      </w:r>
                      <w:r>
                        <w:rPr>
                          <w:rFonts w:ascii="Times New Roman" w:hAnsi="Times New Roman" w:eastAsia="Times New Roman" w:cs="Times New Roman"/>
                          <w:color w:val="auto"/>
                          <w:sz w:val="24"/>
                        </w:rPr>
                        <w:t xml:space="preserve">, tờ bản đồ số: 26 có địa chỉ: K9 Thường Lệ, Đại Thịnh, huyện Mê Linh, tỉnh Vĩnh Phúc (nay là xã Quang Minh, thành phố Hà Nội)  theo Giấy chứng nhận quyền sử dụng đất số: G 443584, số vào sổ cấp GCN: 1108QSDĐ do UBND huyện Mê Linh cấp ngày 02/7/1996 cho ôn</w:t>
                      </w:r>
                      <w:r>
                        <w:rPr>
                          <w:rFonts w:ascii="Times New Roman" w:hAnsi="Times New Roman" w:eastAsia="Times New Roman" w:cs="Times New Roman"/>
                          <w:color w:val="auto"/>
                          <w:sz w:val="24"/>
                        </w:rPr>
                        <w:t xml:space="preserve">g Trịn</w:t>
                      </w:r>
                      <w:r>
                        <w:rPr>
                          <w:rFonts w:ascii="Times New Roman" w:hAnsi="Times New Roman" w:eastAsia="Times New Roman" w:cs="Times New Roman"/>
                          <w:color w:val="auto"/>
                          <w:sz w:val="24"/>
                        </w:rPr>
                        <w:t xml:space="preserve">h Minh T</w:t>
                      </w:r>
                      <w:r>
                        <w:rPr>
                          <w:rFonts w:ascii="Times New Roman" w:hAnsi="Times New Roman" w:eastAsia="Times New Roman" w:cs="Times New Roman"/>
                          <w:color w:val="auto"/>
                          <w:sz w:val="24"/>
                        </w:rPr>
                        <w:t xml:space="preserve">ỉnh</w:t>
                      </w:r>
                      <w:r>
                        <w:rPr>
                          <w:b w:val="0"/>
                          <w:bCs w:val="0"/>
                        </w:rPr>
                        <w:t xml:space="preserve">.</w:t>
                      </w:r>
                      <w:r>
                        <w:rPr>
                          <w:b/>
                        </w:rPr>
                      </w:r>
                      <w:r>
                        <w:rPr>
                          <w:b/>
                        </w:rPr>
                      </w:r>
                    </w:p>
                    <w:p>
                      <w:pPr>
                        <w:pBdr/>
                        <w:spacing w:after="120" w:before="120" w:line="276" w:lineRule="auto"/>
                        <w:ind/>
                        <w:jc w:val="center"/>
                        <w:rPr>
                          <w:lang w:val="pt-BR"/>
                        </w:rPr>
                      </w:pPr>
                      <w:r>
                        <w:rPr>
                          <w:b/>
                          <w:bCs/>
                          <w:lang w:val="pt-BR"/>
                        </w:rPr>
                        <w:t xml:space="preserve">Thời điểm thẩm định: </w:t>
                      </w:r>
                      <w:r>
                        <w:rPr>
                          <w:color w:val="000000" w:themeColor="text1"/>
                          <w:lang w:val="pt-BR"/>
                        </w:rPr>
                        <w:t xml:space="preserve">Tháng 02/2026</w:t>
                      </w:r>
                      <w:r>
                        <w:rPr>
                          <w:lang w:val="pt-BR"/>
                        </w:rPr>
                        <w:t xml:space="preserve">.</w:t>
                      </w:r>
                      <w:r>
                        <w:rPr>
                          <w:lang w:val="pt-BR"/>
                        </w:rPr>
                      </w:r>
                      <w:r>
                        <w:rPr>
                          <w:lang w:val="pt-BR"/>
                        </w:rPr>
                      </w:r>
                    </w:p>
                    <w:p>
                      <w:pPr>
                        <w:pBdr/>
                        <w:spacing w:after="120" w:before="120" w:line="360" w:lineRule="auto"/>
                        <w:ind/>
                        <w:jc w:val="center"/>
                        <w:rPr>
                          <w:bCs/>
                          <w:i/>
                          <w:iCs/>
                        </w:rPr>
                      </w:pPr>
                      <w:r>
                        <w:rPr>
                          <w:bCs/>
                          <w:i/>
                          <w:iCs/>
                        </w:rPr>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pPr>
        <w:pBdr/>
        <w:spacing w:line="276" w:lineRule="auto"/>
        <w:ind w:right="-1"/>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pPr>
        <w:pBdr/>
        <w:spacing w:line="276" w:lineRule="auto"/>
        <w:ind w:right="-1"/>
        <w:jc w:val="center"/>
        <w:rPr>
          <w:rFonts w:ascii="Times New Roman" w:hAnsi="Times New Roman" w:cs="Times New Roman"/>
          <w:b/>
          <w:color w:val="000000" w:themeColor="text1"/>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pPr>
        <w:pBdr/>
        <w:spacing w:line="276" w:lineRule="auto"/>
        <w:ind w:right="-1"/>
        <w:jc w:val="center"/>
        <w:rPr>
          <w:rFonts w:ascii="Times New Roman" w:hAnsi="Times New Roman" w:cs="Times New Roman"/>
          <w:color w:val="000000" w:themeColor="text1"/>
          <w:sz w:val="28"/>
        </w:rPr>
      </w:pPr>
      <w:r>
        <w:rPr>
          <w:rFonts w:ascii="Times New Roman" w:hAnsi="Times New Roman" w:eastAsia="Times New Roman" w:cs="Times New Roman"/>
          <w:b/>
          <w:color w:val="000000" w:themeColor="text1"/>
          <w:sz w:val="28"/>
        </w:rPr>
        <w:t xml:space="preserve">MỤC LỤC</w:t>
      </w:r>
      <w:r>
        <w:rPr>
          <w:rFonts w:ascii="Times New Roman" w:hAnsi="Times New Roman" w:cs="Times New Roman"/>
          <w:color w:val="000000" w:themeColor="text1"/>
          <w:sz w:val="28"/>
        </w:rPr>
      </w:r>
      <w:r>
        <w:rPr>
          <w:rFonts w:ascii="Times New Roman" w:hAnsi="Times New Roman" w:cs="Times New Roman"/>
          <w:color w:val="000000" w:themeColor="text1"/>
          <w:sz w:val="28"/>
        </w:rPr>
      </w:r>
    </w:p>
    <w:p>
      <w:pPr>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shd w:val="clear" w:color="auto" w:fill="auto"/>
            <w:tcBorders/>
            <w:tcMar>
              <w:left w:w="108" w:type="dxa"/>
              <w:right w:w="108" w:type="dxa"/>
            </w:tcMar>
            <w:tcW w:w="7280" w:type="dxa"/>
            <w:vAlign w:val="center"/>
            <w:textDirection w:val="lrTb"/>
            <w:noWrap w:val="false"/>
          </w:tcPr>
          <w:p>
            <w:pPr>
              <w:pBdr/>
              <w:spacing w:after="120" w:before="100" w:beforeAutospacing="1" w:line="276" w:lineRule="auto"/>
              <w:ind/>
              <w:rPr>
                <w:rFonts w:ascii="Times New Roman" w:hAnsi="Times New Roman" w:cs="Times New Roman"/>
                <w:b/>
                <w:color w:val="000000" w:themeColor="text1"/>
                <w:u w:val="single"/>
              </w:rPr>
            </w:pPr>
            <w:r>
              <w:rPr>
                <w:rFonts w:ascii="Times New Roman" w:hAnsi="Times New Roman" w:eastAsia="Times New Roman" w:cs="Times New Roman"/>
                <w:b/>
                <w:color w:val="000000" w:themeColor="text1"/>
                <w:u w:val="single"/>
              </w:rPr>
              <w:t xml:space="preserve">NỘI DUNG</w:t>
            </w:r>
            <w:r>
              <w:rPr>
                <w:rFonts w:ascii="Times New Roman" w:hAnsi="Times New Roman" w:cs="Times New Roman"/>
                <w:b/>
                <w:color w:val="000000" w:themeColor="text1"/>
                <w:u w:val="single"/>
              </w:rPr>
            </w:r>
            <w:r>
              <w:rPr>
                <w:rFonts w:ascii="Times New Roman" w:hAnsi="Times New Roman" w:cs="Times New Roman"/>
                <w:b/>
                <w:color w:val="000000" w:themeColor="text1"/>
                <w:u w:val="single"/>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line="276" w:lineRule="auto"/>
              <w:ind/>
              <w:jc w:val="right"/>
              <w:rPr>
                <w:rFonts w:ascii="Times New Roman" w:hAnsi="Times New Roman" w:cs="Times New Roman"/>
                <w:b/>
                <w:color w:val="000000" w:themeColor="text1"/>
                <w:u w:val="single"/>
              </w:rPr>
            </w:pPr>
            <w:r>
              <w:rPr>
                <w:rFonts w:ascii="Times New Roman" w:hAnsi="Times New Roman" w:eastAsia="Times New Roman" w:cs="Times New Roman"/>
                <w:b/>
                <w:color w:val="000000" w:themeColor="text1"/>
                <w:u w:val="single"/>
              </w:rPr>
              <w:t xml:space="preserve">TRANG</w:t>
            </w:r>
            <w:r>
              <w:rPr>
                <w:rFonts w:ascii="Times New Roman" w:hAnsi="Times New Roman" w:cs="Times New Roman"/>
                <w:b/>
                <w:color w:val="000000" w:themeColor="text1"/>
                <w:u w:val="single"/>
              </w:rPr>
            </w:r>
            <w:r>
              <w:rPr>
                <w:rFonts w:ascii="Times New Roman" w:hAnsi="Times New Roman" w:cs="Times New Roman"/>
                <w:b/>
                <w:color w:val="000000" w:themeColor="text1"/>
                <w:u w:val="single"/>
              </w:rPr>
            </w:r>
          </w:p>
        </w:tc>
      </w:tr>
      <w:tr>
        <w:trPr/>
        <w:tc>
          <w:tcPr>
            <w:shd w:val="clear" w:color="auto" w:fill="auto"/>
            <w:tcBorders/>
            <w:tcMar>
              <w:left w:w="108" w:type="dxa"/>
              <w:right w:w="108" w:type="dxa"/>
            </w:tcMar>
            <w:tcW w:w="7280" w:type="dxa"/>
            <w:vAlign w:val="center"/>
            <w:textDirection w:val="lrTb"/>
            <w:noWrap w:val="false"/>
          </w:tcPr>
          <w:p>
            <w:pPr>
              <w:pBdr/>
              <w:spacing w:after="120" w:before="100" w:beforeAutospacing="1" w:line="276" w:lineRule="auto"/>
              <w:ind/>
              <w:rPr>
                <w:rFonts w:ascii="Times New Roman" w:hAnsi="Times New Roman" w:cs="Times New Roman"/>
                <w:b/>
                <w:color w:val="000000" w:themeColor="text1"/>
              </w:rPr>
            </w:pPr>
            <w:r>
              <w:rPr>
                <w:rFonts w:ascii="Times New Roman" w:hAnsi="Times New Roman" w:eastAsia="Times New Roman" w:cs="Times New Roman"/>
                <w:b/>
                <w:color w:val="000000" w:themeColor="text1"/>
              </w:rPr>
            </w:r>
            <w:r>
              <w:rPr>
                <w:rFonts w:ascii="Times New Roman" w:hAnsi="Times New Roman" w:cs="Times New Roman"/>
                <w:b/>
                <w:color w:val="000000" w:themeColor="text1"/>
              </w:rPr>
            </w:r>
            <w:r>
              <w:rPr>
                <w:rFonts w:ascii="Times New Roman" w:hAnsi="Times New Roman" w:cs="Times New Roman"/>
                <w:b/>
                <w:color w:val="000000" w:themeColor="text1"/>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line="276" w:lineRule="auto"/>
              <w:ind/>
              <w:jc w:val="right"/>
              <w:rPr>
                <w:rFonts w:ascii="Times New Roman" w:hAnsi="Times New Roman" w:cs="Times New Roman"/>
                <w:b/>
                <w:color w:val="000000" w:themeColor="text1"/>
              </w:rPr>
            </w:pPr>
            <w:r>
              <w:rPr>
                <w:rFonts w:ascii="Times New Roman" w:hAnsi="Times New Roman" w:eastAsia="Times New Roman" w:cs="Times New Roman"/>
                <w:b/>
                <w:color w:val="000000" w:themeColor="text1"/>
              </w:rPr>
            </w:r>
            <w:r>
              <w:rPr>
                <w:rFonts w:ascii="Times New Roman" w:hAnsi="Times New Roman" w:cs="Times New Roman"/>
                <w:b/>
                <w:color w:val="000000" w:themeColor="text1"/>
              </w:rPr>
            </w:r>
            <w:r>
              <w:rPr>
                <w:rFonts w:ascii="Times New Roman" w:hAnsi="Times New Roman" w:cs="Times New Roman"/>
                <w:b/>
                <w:color w:val="000000" w:themeColor="text1"/>
              </w:rPr>
            </w:r>
          </w:p>
        </w:tc>
      </w:tr>
      <w:tr>
        <w:trPr/>
        <w:tc>
          <w:tcPr>
            <w:shd w:val="clear" w:color="auto" w:fill="auto"/>
            <w:tcBorders/>
            <w:tcMar>
              <w:left w:w="108" w:type="dxa"/>
              <w:right w:w="108" w:type="dxa"/>
            </w:tcMar>
            <w:tcW w:w="7280" w:type="dxa"/>
            <w:vAlign w:val="center"/>
            <w:textDirection w:val="lrTb"/>
            <w:noWrap w:val="false"/>
          </w:tcPr>
          <w:p>
            <w:pPr>
              <w:pBdr/>
              <w:spacing w:after="120" w:before="100" w:beforeAutospacing="1" w:line="276" w:lineRule="auto"/>
              <w:ind/>
              <w:rPr>
                <w:rFonts w:ascii="Times New Roman" w:hAnsi="Times New Roman" w:cs="Times New Roman"/>
                <w:b/>
                <w:color w:val="000000" w:themeColor="text1"/>
              </w:rPr>
            </w:pPr>
            <w:r>
              <w:rPr>
                <w:rFonts w:ascii="Times New Roman" w:hAnsi="Times New Roman" w:eastAsia="Times New Roman" w:cs="Times New Roman"/>
                <w:b/>
                <w:color w:val="000000" w:themeColor="text1"/>
              </w:rPr>
              <w:t xml:space="preserve">Chứng thư thẩm định giá</w:t>
            </w:r>
            <w:r>
              <w:rPr>
                <w:rFonts w:ascii="Times New Roman" w:hAnsi="Times New Roman" w:cs="Times New Roman"/>
                <w:b/>
                <w:color w:val="000000" w:themeColor="text1"/>
              </w:rPr>
            </w:r>
            <w:r>
              <w:rPr>
                <w:rFonts w:ascii="Times New Roman" w:hAnsi="Times New Roman" w:cs="Times New Roman"/>
                <w:b/>
                <w:color w:val="000000" w:themeColor="text1"/>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line="276" w:lineRule="auto"/>
              <w:ind/>
              <w:jc w:val="right"/>
              <w:rPr>
                <w:rFonts w:ascii="Times New Roman" w:hAnsi="Times New Roman" w:cs="Times New Roman"/>
                <w:b/>
                <w:color w:val="000000" w:themeColor="text1"/>
              </w:rPr>
            </w:pPr>
            <w:r>
              <w:rPr>
                <w:rFonts w:ascii="Times New Roman" w:hAnsi="Times New Roman" w:eastAsia="Times New Roman" w:cs="Times New Roman"/>
                <w:b/>
                <w:color w:val="000000" w:themeColor="text1"/>
              </w:rPr>
              <w:t xml:space="preserve">1-3</w:t>
            </w:r>
            <w:r>
              <w:rPr>
                <w:rFonts w:ascii="Times New Roman" w:hAnsi="Times New Roman" w:cs="Times New Roman"/>
                <w:b/>
                <w:color w:val="000000" w:themeColor="text1"/>
              </w:rPr>
            </w:r>
            <w:r>
              <w:rPr>
                <w:rFonts w:ascii="Times New Roman" w:hAnsi="Times New Roman" w:cs="Times New Roman"/>
                <w:b/>
                <w:color w:val="000000" w:themeColor="text1"/>
              </w:rPr>
            </w:r>
          </w:p>
        </w:tc>
      </w:tr>
      <w:tr>
        <w:trPr/>
        <w:tc>
          <w:tcPr>
            <w:shd w:val="clear" w:color="auto" w:fill="auto"/>
            <w:tcBorders/>
            <w:tcMar>
              <w:left w:w="108" w:type="dxa"/>
              <w:right w:w="108" w:type="dxa"/>
            </w:tcMar>
            <w:tcW w:w="7280" w:type="dxa"/>
            <w:vAlign w:val="center"/>
            <w:textDirection w:val="lrTb"/>
            <w:noWrap w:val="false"/>
          </w:tcPr>
          <w:p>
            <w:pPr>
              <w:pBdr/>
              <w:spacing w:after="120" w:before="100" w:beforeAutospacing="1" w:line="276" w:lineRule="auto"/>
              <w:ind/>
              <w:rPr>
                <w:rFonts w:ascii="Times New Roman" w:hAnsi="Times New Roman" w:cs="Times New Roman"/>
                <w:b/>
                <w:color w:val="000000" w:themeColor="text1"/>
              </w:rPr>
            </w:pPr>
            <w:r>
              <w:rPr>
                <w:rFonts w:ascii="Times New Roman" w:hAnsi="Times New Roman" w:eastAsia="Times New Roman" w:cs="Times New Roman"/>
                <w:b/>
                <w:color w:val="000000" w:themeColor="text1"/>
              </w:rPr>
              <w:t xml:space="preserve">Báo cáo thẩm định giá</w:t>
            </w:r>
            <w:r>
              <w:rPr>
                <w:rFonts w:ascii="Times New Roman" w:hAnsi="Times New Roman" w:cs="Times New Roman"/>
                <w:b/>
                <w:color w:val="000000" w:themeColor="text1"/>
              </w:rPr>
            </w:r>
            <w:r>
              <w:rPr>
                <w:rFonts w:ascii="Times New Roman" w:hAnsi="Times New Roman" w:cs="Times New Roman"/>
                <w:b/>
                <w:color w:val="000000" w:themeColor="text1"/>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line="276" w:lineRule="auto"/>
              <w:ind/>
              <w:jc w:val="right"/>
              <w:rPr>
                <w:rFonts w:ascii="Times New Roman" w:hAnsi="Times New Roman" w:cs="Times New Roman"/>
                <w:b/>
                <w:color w:val="000000" w:themeColor="text1"/>
              </w:rPr>
            </w:pPr>
            <w:r>
              <w:rPr>
                <w:rFonts w:ascii="Times New Roman" w:hAnsi="Times New Roman" w:eastAsia="Times New Roman" w:cs="Times New Roman"/>
                <w:b/>
                <w:color w:val="000000" w:themeColor="text1"/>
              </w:rPr>
              <w:t xml:space="preserve">4-17</w:t>
            </w:r>
            <w:r>
              <w:rPr>
                <w:rFonts w:ascii="Times New Roman" w:hAnsi="Times New Roman" w:cs="Times New Roman"/>
                <w:b/>
                <w:color w:val="000000" w:themeColor="text1"/>
              </w:rPr>
            </w:r>
            <w:r>
              <w:rPr>
                <w:rFonts w:ascii="Times New Roman" w:hAnsi="Times New Roman" w:cs="Times New Roman"/>
                <w:b/>
                <w:color w:val="000000" w:themeColor="text1"/>
              </w:rPr>
            </w:r>
          </w:p>
        </w:tc>
      </w:tr>
      <w:tr>
        <w:trPr/>
        <w:tc>
          <w:tcPr>
            <w:shd w:val="clear" w:color="auto" w:fill="auto"/>
            <w:tcBorders/>
            <w:tcMar>
              <w:left w:w="108" w:type="dxa"/>
              <w:right w:w="108" w:type="dxa"/>
            </w:tcMar>
            <w:tcW w:w="7280" w:type="dxa"/>
            <w:vAlign w:val="center"/>
            <w:textDirection w:val="lrTb"/>
            <w:noWrap w:val="false"/>
          </w:tcPr>
          <w:p>
            <w:pPr>
              <w:pBdr/>
              <w:spacing w:after="120" w:before="100" w:beforeAutospacing="1" w:line="276" w:lineRule="auto"/>
              <w:ind/>
              <w:rPr>
                <w:rFonts w:ascii="Times New Roman" w:hAnsi="Times New Roman" w:cs="Times New Roman"/>
                <w:b/>
                <w:color w:val="000000" w:themeColor="text1"/>
              </w:rPr>
            </w:pPr>
            <w:r>
              <w:rPr>
                <w:rFonts w:ascii="Times New Roman" w:hAnsi="Times New Roman" w:eastAsia="Times New Roman" w:cs="Times New Roman"/>
                <w:b/>
                <w:color w:val="000000" w:themeColor="text1"/>
              </w:rPr>
              <w:t xml:space="preserve">Các phụ lục chi tiết kèm theo</w:t>
            </w:r>
            <w:r>
              <w:rPr>
                <w:rFonts w:ascii="Times New Roman" w:hAnsi="Times New Roman" w:cs="Times New Roman"/>
                <w:b/>
                <w:color w:val="000000" w:themeColor="text1"/>
              </w:rPr>
            </w:r>
            <w:r>
              <w:rPr>
                <w:rFonts w:ascii="Times New Roman" w:hAnsi="Times New Roman" w:cs="Times New Roman"/>
                <w:b/>
                <w:color w:val="000000" w:themeColor="text1"/>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line="276" w:lineRule="auto"/>
              <w:ind/>
              <w:jc w:val="right"/>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r>
            <w:r>
              <w:rPr>
                <w:rFonts w:ascii="Times New Roman" w:hAnsi="Times New Roman" w:cs="Times New Roman"/>
                <w:b/>
                <w:bCs/>
                <w:color w:val="000000" w:themeColor="text1"/>
              </w:rPr>
            </w:r>
            <w:r>
              <w:rPr>
                <w:rFonts w:ascii="Times New Roman" w:hAnsi="Times New Roman" w:cs="Times New Roman"/>
                <w:b/>
                <w:bCs/>
                <w:color w:val="000000" w:themeColor="text1"/>
              </w:rPr>
            </w:r>
          </w:p>
        </w:tc>
      </w:tr>
      <w:tr>
        <w:trPr/>
        <w:tc>
          <w:tcPr>
            <w:shd w:val="clear" w:color="auto" w:fill="auto"/>
            <w:tcBorders/>
            <w:tcMar>
              <w:left w:w="108" w:type="dxa"/>
              <w:right w:w="108" w:type="dxa"/>
            </w:tcMar>
            <w:tcW w:w="7280" w:type="dxa"/>
            <w:vAlign w:val="center"/>
            <w:textDirection w:val="lrTb"/>
            <w:noWrap w:val="false"/>
          </w:tcPr>
          <w:p>
            <w:pPr>
              <w:pStyle w:val="1055"/>
              <w:pBdr/>
              <w:tabs>
                <w:tab w:val="left" w:leader="none" w:pos="993"/>
              </w:tabs>
              <w:spacing w:after="120" w:before="120" w:line="276" w:lineRule="auto"/>
              <w:ind w:left="0"/>
              <w:jc w:val="both"/>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Phụ lục 1: Thông tin hiện trạng</w:t>
            </w:r>
            <w:r>
              <w:rPr>
                <w:rFonts w:ascii="Times New Roman" w:hAnsi="Times New Roman" w:cs="Times New Roman"/>
                <w:bCs/>
                <w:color w:val="000000" w:themeColor="text1"/>
              </w:rPr>
            </w:r>
            <w:r>
              <w:rPr>
                <w:rFonts w:ascii="Times New Roman" w:hAnsi="Times New Roman" w:cs="Times New Roman"/>
                <w:bCs/>
                <w:color w:val="000000" w:themeColor="text1"/>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line="276" w:lineRule="auto"/>
              <w:ind/>
              <w:jc w:val="right"/>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t xml:space="preserve">18</w:t>
            </w:r>
            <w:r>
              <w:rPr>
                <w:rFonts w:ascii="Times New Roman" w:hAnsi="Times New Roman" w:cs="Times New Roman"/>
                <w:b/>
                <w:bCs/>
                <w:color w:val="000000" w:themeColor="text1"/>
              </w:rPr>
            </w:r>
            <w:r>
              <w:rPr>
                <w:rFonts w:ascii="Times New Roman" w:hAnsi="Times New Roman" w:cs="Times New Roman"/>
                <w:b/>
                <w:bCs/>
                <w:color w:val="000000" w:themeColor="text1"/>
              </w:rPr>
            </w:r>
          </w:p>
        </w:tc>
      </w:tr>
      <w:tr>
        <w:trPr/>
        <w:tc>
          <w:tcPr>
            <w:shd w:val="clear" w:color="auto" w:fill="auto"/>
            <w:tcBorders/>
            <w:tcMar>
              <w:left w:w="108" w:type="dxa"/>
              <w:right w:w="108" w:type="dxa"/>
            </w:tcMar>
            <w:tcW w:w="7280" w:type="dxa"/>
            <w:vAlign w:val="center"/>
            <w:textDirection w:val="lrTb"/>
            <w:noWrap w:val="false"/>
          </w:tcPr>
          <w:p>
            <w:pPr>
              <w:pStyle w:val="1055"/>
              <w:pBdr/>
              <w:tabs>
                <w:tab w:val="left" w:leader="none" w:pos="993"/>
              </w:tabs>
              <w:spacing w:after="120" w:before="120" w:line="276" w:lineRule="auto"/>
              <w:ind w:left="0"/>
              <w:jc w:val="both"/>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Phụ lục 2: Thông tin thu thập thị trường</w:t>
            </w:r>
            <w:r>
              <w:rPr>
                <w:rFonts w:ascii="Times New Roman" w:hAnsi="Times New Roman" w:cs="Times New Roman"/>
                <w:bCs/>
                <w:color w:val="000000" w:themeColor="text1"/>
              </w:rPr>
            </w:r>
            <w:r>
              <w:rPr>
                <w:rFonts w:ascii="Times New Roman" w:hAnsi="Times New Roman" w:cs="Times New Roman"/>
                <w:bCs/>
                <w:color w:val="000000" w:themeColor="text1"/>
              </w:rPr>
            </w:r>
          </w:p>
        </w:tc>
        <w:tc>
          <w:tcPr>
            <w:shd w:val="clear" w:color="auto" w:fill="auto"/>
            <w:tcBorders/>
            <w:tcMar>
              <w:left w:w="108" w:type="dxa"/>
              <w:right w:w="108" w:type="dxa"/>
            </w:tcMar>
            <w:tcW w:w="1520" w:type="dxa"/>
            <w:vAlign w:val="center"/>
            <w:textDirection w:val="lrTb"/>
            <w:noWrap w:val="false"/>
          </w:tcPr>
          <w:p>
            <w:pPr>
              <w:pBdr/>
              <w:spacing w:after="120" w:before="100" w:beforeAutospacing="1" w:line="276" w:lineRule="auto"/>
              <w:ind/>
              <w:jc w:val="right"/>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t xml:space="preserve">19-22</w:t>
            </w:r>
            <w:r>
              <w:rPr>
                <w:rFonts w:ascii="Times New Roman" w:hAnsi="Times New Roman" w:cs="Times New Roman"/>
                <w:b/>
                <w:bCs/>
                <w:color w:val="000000" w:themeColor="text1"/>
              </w:rPr>
            </w:r>
            <w:r>
              <w:rPr>
                <w:rFonts w:ascii="Times New Roman" w:hAnsi="Times New Roman" w:cs="Times New Roman"/>
                <w:b/>
                <w:bCs/>
                <w:color w:val="000000" w:themeColor="text1"/>
              </w:rPr>
            </w:r>
          </w:p>
        </w:tc>
      </w:tr>
    </w:tbl>
    <w:p>
      <w:pPr>
        <w:pStyle w:val="1054"/>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pPr>
        <w:pStyle w:val="1054"/>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pPr>
        <w:pStyle w:val="1054"/>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pPr>
        <w:pStyle w:val="1054"/>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pPr>
        <w:pStyle w:val="1054"/>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pPr>
        <w:pStyle w:val="1054"/>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pPr>
        <w:pStyle w:val="1054"/>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pPr>
        <w:pStyle w:val="1054"/>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pPr>
        <w:pStyle w:val="1054"/>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pPr>
        <w:pStyle w:val="1054"/>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pPr>
        <w:pStyle w:val="1054"/>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pPr>
        <w:pStyle w:val="1054"/>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pPr>
        <w:pStyle w:val="1054"/>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pPr>
        <w:pStyle w:val="1054"/>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pPr>
        <w:pStyle w:val="1054"/>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pPr>
        <w:pStyle w:val="1054"/>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pPr>
        <w:pStyle w:val="1054"/>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pPr>
        <w:pStyle w:val="1054"/>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pPr>
        <w:pStyle w:val="1054"/>
        <w:pBdr/>
        <w:tabs>
          <w:tab w:val="left" w:leader="none" w:pos="5103"/>
        </w:tabs>
        <w:spacing w:line="276" w:lineRule="auto"/>
        <w:ind/>
        <w:rPr>
          <w:rFonts w:ascii="Times New Roman" w:hAnsi="Times New Roman" w:cs="Times New Roman"/>
          <w:b/>
          <w:color w:val="000000" w:themeColor="text1"/>
          <w:sz w:val="22"/>
          <w:szCs w:val="22"/>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rFonts w:ascii="Times New Roman" w:hAnsi="Times New Roman" w:eastAsia="Times New Roman" w:cs="Times New Roman"/>
          <w:b/>
          <w:color w:val="000000" w:themeColor="text1"/>
          <w:sz w:val="22"/>
          <w:szCs w:val="22"/>
          <w:lang w:val="vi-VN"/>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tbl>
      <w:tblPr>
        <w:tblStyle w:val="1059"/>
        <w:tblInd w:w="135"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834"/>
        <w:gridCol w:w="2405"/>
        <w:gridCol w:w="5498"/>
      </w:tblGrid>
      <w:tr>
        <w:trPr>
          <w:trHeight w:val="20"/>
        </w:trPr>
        <w:tc>
          <w:tcPr>
            <w:tcBorders/>
            <w:tcMar>
              <w:left w:w="108" w:type="dxa"/>
              <w:top w:w="0" w:type="dxa"/>
              <w:right w:w="108" w:type="dxa"/>
              <w:bottom w:w="0" w:type="dxa"/>
            </w:tcMar>
            <w:tcW w:w="1834"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hanging="108" w:left="0"/>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1095375" cy="1038225"/>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580899" name=""/>
                              <pic:cNvPicPr>
                                <a:picLocks noChangeAspect="1"/>
                              </pic:cNvPicPr>
                              <pic:nvPr/>
                            </pic:nvPicPr>
                            <pic:blipFill rotWithShape="1">
                              <a:blip r:embed="rId14"/>
                              <a:stretch/>
                            </pic:blipFill>
                            <pic:spPr bwMode="auto">
                              <a:xfrm>
                                <a:off x="0" y="0"/>
                                <a:ext cx="1095374" cy="1038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6.25pt;height:81.75pt;mso-wrap-distance-left:0.00pt;mso-wrap-distance-top:0.00pt;mso-wrap-distance-right:0.00pt;mso-wrap-distance-bottom:0.00pt;z-index:1;" stroked="false">
                      <v:imagedata r:id="rId14"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2"/>
            <w:tcBorders/>
            <w:tcMar>
              <w:left w:w="108" w:type="dxa"/>
              <w:top w:w="0" w:type="dxa"/>
              <w:right w:w="108" w:type="dxa"/>
              <w:bottom w:w="0" w:type="dxa"/>
            </w:tcMar>
            <w:tcW w:w="790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360"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CÔNG TY CỔ PHẦN THẨM ĐỊNH VÀ ĐẦU TƯ TÀI CHÍNH HOA SEN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p>
            <w:pPr>
              <w:pBdr>
                <w:top w:val="none" w:color="000000" w:sz="4" w:space="0"/>
                <w:left w:val="none" w:color="000000" w:sz="4" w:space="0"/>
                <w:bottom w:val="none" w:color="000000" w:sz="4" w:space="0"/>
                <w:right w:val="none" w:color="000000" w:sz="4" w:space="0"/>
              </w:pBdr>
              <w:spacing w:after="0" w:before="0" w:line="360"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Trụ sở: BT5-23 khu đô thị mới Văn Phú, P. Kiến Hưng, TP. Hà Nội</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p>
            <w:pPr>
              <w:pBdr>
                <w:top w:val="none" w:color="000000" w:sz="4" w:space="0"/>
                <w:left w:val="none" w:color="000000" w:sz="4" w:space="0"/>
                <w:bottom w:val="none" w:color="000000" w:sz="4" w:space="0"/>
                <w:right w:val="none" w:color="000000" w:sz="4" w:space="0"/>
              </w:pBdr>
              <w:spacing w:after="0" w:before="0" w:line="360"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Điện thoại: 085 329 3333/ 024 2264 4333</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p>
            <w:pPr>
              <w:pBdr>
                <w:top w:val="none" w:color="000000" w:sz="4" w:space="0"/>
                <w:left w:val="none" w:color="000000" w:sz="4" w:space="0"/>
                <w:bottom w:val="none" w:color="000000" w:sz="4" w:space="0"/>
                <w:right w:val="none" w:color="000000" w:sz="4" w:space="0"/>
              </w:pBdr>
              <w:spacing w:after="0" w:before="0" w:line="360"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Email: </w:t>
            </w:r>
            <w:hyperlink r:id="rId15" w:tooltip="mailto:ilotus.contact@gmail.com" w:history="1">
              <w:r>
                <w:rPr>
                  <w:rStyle w:val="1045"/>
                  <w:rFonts w:ascii="Times New Roman" w:hAnsi="Times New Roman" w:eastAsia="Times New Roman" w:cs="Times New Roman"/>
                  <w:color w:val="000000" w:themeColor="text1"/>
                  <w:sz w:val="24"/>
                  <w:szCs w:val="24"/>
                  <w:u w:val="none"/>
                </w:rPr>
                <w:t xml:space="preserve">ilotus.contact@gmail.com</w:t>
              </w:r>
            </w:hyperlink>
            <w:r>
              <w:rPr>
                <w:rFonts w:ascii="Times New Roman" w:hAnsi="Times New Roman" w:eastAsia="Times New Roman" w:cs="Times New Roman"/>
                <w:color w:val="000000" w:themeColor="text1"/>
                <w:sz w:val="24"/>
                <w:szCs w:val="24"/>
              </w:rPr>
              <w:t xml:space="preserve"> Website: ilotus.com.vn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308"/>
        </w:trPr>
        <w:tc>
          <w:tcPr>
            <w:gridSpan w:val="2"/>
            <w:tcBorders/>
            <w:tcMar>
              <w:left w:w="108" w:type="dxa"/>
              <w:top w:w="0" w:type="dxa"/>
              <w:right w:w="108" w:type="dxa"/>
              <w:bottom w:w="0" w:type="dxa"/>
            </w:tcMar>
            <w:tcW w:w="423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hanging="108"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Số: 275/2026/0281/VFI-CT.27.A</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Mar>
              <w:left w:w="108" w:type="dxa"/>
              <w:top w:w="0" w:type="dxa"/>
              <w:right w:w="108" w:type="dxa"/>
              <w:bottom w:w="0" w:type="dxa"/>
            </w:tcMar>
            <w:tcW w:w="549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firstLine="0" w:left="0"/>
              <w:jc w:val="right"/>
              <w:rPr>
                <w:rFonts w:ascii="Times New Roman" w:hAnsi="Times New Roman" w:cs="Times New Roman"/>
                <w:color w:val="000000" w:themeColor="text1"/>
                <w:sz w:val="24"/>
                <w:szCs w:val="24"/>
              </w:rPr>
            </w:pPr>
            <w:r>
              <w:rPr>
                <w:rFonts w:ascii="Times New Roman" w:hAnsi="Times New Roman" w:eastAsia="Times New Roman" w:cs="Times New Roman"/>
                <w:i/>
                <w:color w:val="000000" w:themeColor="text1"/>
                <w:sz w:val="24"/>
                <w:szCs w:val="24"/>
              </w:rPr>
              <w:t xml:space="preserve">TP. Hà Nội, ngày 05 tháng 02 năm 2026</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c>
          <w:tcPr>
            <w:tcBorders/>
            <w:tcMar>
              <w:left w:w="0" w:type="dxa"/>
              <w:top w:w="0" w:type="dxa"/>
              <w:right w:w="0" w:type="dxa"/>
              <w:bottom w:w="0" w:type="dxa"/>
            </w:tcMar>
            <w:tcW w:w="1834"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0" w:type="dxa"/>
              <w:top w:w="0" w:type="dxa"/>
              <w:right w:w="0" w:type="dxa"/>
              <w:bottom w:w="0" w:type="dxa"/>
            </w:tcMar>
            <w:tcW w:w="2405"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0" w:type="dxa"/>
              <w:top w:w="0" w:type="dxa"/>
              <w:right w:w="0" w:type="dxa"/>
              <w:bottom w:w="0" w:type="dxa"/>
            </w:tcMar>
            <w:tcW w:w="5498"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bl>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30"/>
        </w:rPr>
        <w:t xml:space="preserve">CHỨNG THƯ THẨM ĐỊNH GIÁ</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24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u w:val="single"/>
        </w:rPr>
        <w:t xml:space="preserve">Kính gửi</w:t>
      </w:r>
      <w:r>
        <w:rPr>
          <w:rFonts w:ascii="Times New Roman" w:hAnsi="Times New Roman" w:eastAsia="Times New Roman" w:cs="Times New Roman"/>
          <w:b/>
          <w:color w:val="000000" w:themeColor="text1"/>
          <w:sz w:val="24"/>
        </w:rPr>
        <w:t xml:space="preserve">: CÔNG TY TNHH TÙNG PHƯƠNG</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line="276" w:lineRule="auto"/>
        <w:ind w:right="0" w:firstLine="426"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Căn cứ Hợp đồng thẩm định giá số 275/2026/0281/VFI-HĐTĐ.27.A ký ngày 28/01/2026 giữa Công ty TNHH Tùng Phương với Công ty Cổ phần Thẩm định và Đầu tư Tài chính Hoa Sen; </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426"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Căn cứ Báo cáo thẩm định giá số 275/2026/0281/VFI-BC.27.A ngày 05/02/2026 của Công ty Cổ phần Thẩm định và Đầu tư Tài chính Hoa Sen,</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426"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Công ty Cổ phần Thẩm định và Đầu tư Tài chính Hoa Sen cung cấp Chứng thư thẩm định giá tài sản với nội dung sau:</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 Khách hàng yêu cầu thẩm định giá:</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5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951"/>
        <w:gridCol w:w="283"/>
        <w:gridCol w:w="7372"/>
      </w:tblGrid>
      <w:tr>
        <w:trPr>
          <w:trHeight w:val="284"/>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Tên khách hàng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7372"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CÔNG TY TNHH TÙNG PHƯƠNG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Địa chỉ</w:t>
            </w:r>
            <w:r>
              <w:rPr>
                <w:rFonts w:ascii="Times New Roman" w:hAnsi="Times New Roman" w:eastAsia="Times New Roman" w:cs="Times New Roman"/>
                <w:color w:val="000000" w:themeColor="text1"/>
                <w:sz w:val="24"/>
              </w:rPr>
              <w:t xml:space="preserve"> trụ sở</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7372"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Phố</w:t>
            </w:r>
            <w:r>
              <w:rPr>
                <w:rFonts w:ascii="Times New Roman" w:hAnsi="Times New Roman" w:eastAsia="Times New Roman" w:cs="Times New Roman"/>
                <w:color w:val="000000" w:themeColor="text1"/>
                <w:sz w:val="24"/>
              </w:rPr>
              <w:t xml:space="preserve"> Tiền Phong, huyện Bình Xuyên, tỉnh Vĩnh Phúc</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Mã số</w:t>
            </w:r>
            <w:r>
              <w:rPr>
                <w:rFonts w:ascii="Times New Roman" w:hAnsi="Times New Roman" w:eastAsia="Times New Roman" w:cs="Times New Roman"/>
                <w:color w:val="000000" w:themeColor="text1"/>
                <w:sz w:val="24"/>
              </w:rPr>
              <w:t xml:space="preserve"> thuế</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7372"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2500206820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pacing w:val="-6"/>
                <w:sz w:val="24"/>
              </w:rPr>
              <w:t xml:space="preserve">Đại diện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7372"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Bà Nguyễn Thị Phương                   Chức vụ: Giám đốc</w:t>
            </w:r>
            <w:r>
              <w:rPr>
                <w:rFonts w:ascii="Times New Roman" w:hAnsi="Times New Roman" w:cs="Times New Roman"/>
                <w:color w:val="000000" w:themeColor="text1"/>
              </w:rPr>
            </w:r>
            <w:r>
              <w:rPr>
                <w:rFonts w:ascii="Times New Roman" w:hAnsi="Times New Roman" w:cs="Times New Roman"/>
                <w:color w:val="000000" w:themeColor="text1"/>
              </w:rP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 Thông tin về doanh nghiệp thẩm định giá:</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5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809"/>
        <w:gridCol w:w="307"/>
        <w:gridCol w:w="7490"/>
      </w:tblGrid>
      <w:tr>
        <w:trPr/>
        <w:tc>
          <w:tcPr>
            <w:tcBorders/>
            <w:tcMar>
              <w:left w:w="108" w:type="dxa"/>
              <w:top w:w="0" w:type="dxa"/>
              <w:right w:w="108" w:type="dxa"/>
              <w:bottom w:w="0" w:type="dxa"/>
            </w:tcMar>
            <w:tcW w:w="1809"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Đơn vị thẩm định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30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7490"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pacing w:val="-12"/>
                <w:sz w:val="24"/>
              </w:rPr>
              <w:t xml:space="preserve">CÔNG TY CỔ PHẦN THẨM ĐỊNH VÀ ĐẦU TƯ TÀI CHÍNH HOA SEN</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1809"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Địa chỉ trụ sở</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30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7490"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BT5-23 khu đô thị mới Văn Phú, P. Kiến Hưng, TP. Hà Nội</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1809"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Điện thoại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30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7490"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024.22644333</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1809"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Mã số thuế</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30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7490"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0102708994</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GCN đủ điều kiện hành nghề</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30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749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275/TĐG</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Thông báo</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30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749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Số 1294/TB-BTC ngày 25/12/2025 </w:t>
            </w:r>
            <w:r>
              <w:rPr>
                <w:rFonts w:ascii="Times New Roman" w:hAnsi="Times New Roman" w:eastAsia="Times New Roman" w:cs="Times New Roman"/>
                <w:color w:val="000000" w:themeColor="text1"/>
                <w:sz w:val="24"/>
              </w:rPr>
              <w:t xml:space="preserve">về việc doanh nghiệp đủ điều kiện kinh doanh Dịch vụ thẩm định giá.</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1809"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khoản số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30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7490"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1505112366666 tại Ngân hàng Agribank - Chi nhánh Hà Nội II</w:t>
            </w:r>
            <w:r>
              <w:rPr>
                <w:rFonts w:ascii="Times New Roman" w:hAnsi="Times New Roman" w:eastAsia="Times New Roman" w:cs="Times New Roman"/>
                <w:color w:val="000000" w:themeColor="text1"/>
                <w:spacing w:val="-4"/>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1809"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Đại diện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30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7490"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Ông Vũ Văn Quân             Chức vụ: Chủ tịch HĐQT kiêm Tổng Giám đốc</w:t>
            </w:r>
            <w:r>
              <w:rPr>
                <w:rFonts w:ascii="Times New Roman" w:hAnsi="Times New Roman" w:cs="Times New Roman"/>
                <w:color w:val="000000" w:themeColor="text1"/>
              </w:rPr>
            </w:r>
            <w:r>
              <w:rPr>
                <w:rFonts w:ascii="Times New Roman" w:hAnsi="Times New Roman" w:cs="Times New Roman"/>
                <w:color w:val="000000" w:themeColor="text1"/>
              </w:rP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3. Tài sản thẩm định: </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Quyền sử dụng đất tại thửa đất số: 2</w:t>
      </w:r>
      <w:r>
        <w:rPr>
          <w:rFonts w:ascii="Times New Roman" w:hAnsi="Times New Roman" w:eastAsia="Times New Roman" w:cs="Times New Roman"/>
          <w:color w:val="000000" w:themeColor="text1"/>
          <w:sz w:val="20"/>
          <w:vertAlign w:val="superscript"/>
        </w:rPr>
        <w:t xml:space="preserve">b</w:t>
      </w:r>
      <w:r>
        <w:rPr>
          <w:rFonts w:ascii="Times New Roman" w:hAnsi="Times New Roman" w:eastAsia="Times New Roman" w:cs="Times New Roman"/>
          <w:color w:val="000000" w:themeColor="text1"/>
          <w:sz w:val="24"/>
        </w:rPr>
        <w:t xml:space="preserve"> + 4</w:t>
      </w:r>
      <w:r>
        <w:rPr>
          <w:rFonts w:ascii="Times New Roman" w:hAnsi="Times New Roman" w:eastAsia="Times New Roman" w:cs="Times New Roman"/>
          <w:color w:val="000000" w:themeColor="text1"/>
          <w:sz w:val="20"/>
          <w:vertAlign w:val="superscript"/>
        </w:rPr>
        <w:t xml:space="preserve">a</w:t>
      </w:r>
      <w:r>
        <w:rPr>
          <w:rFonts w:ascii="Times New Roman" w:hAnsi="Times New Roman" w:eastAsia="Times New Roman" w:cs="Times New Roman"/>
          <w:color w:val="000000" w:themeColor="text1"/>
          <w:sz w:val="24"/>
        </w:rPr>
        <w:t xml:space="preserve"> + 162</w:t>
      </w:r>
      <w:r>
        <w:rPr>
          <w:rFonts w:ascii="Times New Roman" w:hAnsi="Times New Roman" w:eastAsia="Times New Roman" w:cs="Times New Roman"/>
          <w:color w:val="000000" w:themeColor="text1"/>
          <w:sz w:val="20"/>
          <w:vertAlign w:val="superscript"/>
        </w:rPr>
        <w:t xml:space="preserve">a</w:t>
      </w:r>
      <w:r>
        <w:rPr>
          <w:rFonts w:ascii="Times New Roman" w:hAnsi="Times New Roman" w:eastAsia="Times New Roman" w:cs="Times New Roman"/>
          <w:color w:val="000000" w:themeColor="text1"/>
          <w:sz w:val="24"/>
        </w:rPr>
        <w:t xml:space="preserve">, tờ bản đồ số: 26 có địa chỉ: K9 Thường Lệ, Đại Thịnh, huyện Mê Linh, tỉnh Vĩnh Phúc (nay là xã Quang Minh, thành phố Hà Nội)  theo Giấy chứng nhận quyền sử dụng đất số: G 443584, số vào sổ cấp GCN: 1108QSDĐ do UBND huyện Mê Linh cấp ngày 02/7/1996 cho ôn</w:t>
      </w:r>
      <w:r>
        <w:rPr>
          <w:rFonts w:ascii="Times New Roman" w:hAnsi="Times New Roman" w:eastAsia="Times New Roman" w:cs="Times New Roman"/>
          <w:color w:val="000000" w:themeColor="text1"/>
          <w:sz w:val="24"/>
        </w:rPr>
        <w:t xml:space="preserve">g Trịnh Minh Tỉnh.</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4. Thời điểm thẩm định giá:</w:t>
      </w:r>
      <w:r>
        <w:rPr>
          <w:rFonts w:ascii="Times New Roman" w:hAnsi="Times New Roman" w:eastAsia="Times New Roman" w:cs="Times New Roman"/>
          <w:color w:val="000000" w:themeColor="text1"/>
          <w:sz w:val="24"/>
        </w:rPr>
        <w:t xml:space="preserve"> tháng 02/2026.</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5. Mục đích thẩm định giá</w:t>
      </w:r>
      <w:r>
        <w:rPr>
          <w:rFonts w:ascii="Times New Roman" w:hAnsi="Times New Roman" w:eastAsia="Times New Roman" w:cs="Times New Roman"/>
          <w:color w:val="000000" w:themeColor="text1"/>
          <w:sz w:val="24"/>
        </w:rPr>
        <w:t xml:space="preserve">: Kết quả thẩm định giá để khách hàng tham khảo giá trị tài sản phục vụ công tác vay vốn tại tổ chức tín dụng.</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6. Cơ sở giá trị của tài sản thẩm định giá:</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426" w:left="0"/>
        <w:jc w:val="both"/>
        <w:rPr>
          <w:rFonts w:ascii="Times New Roman" w:hAnsi="Times New Roman" w:cs="Times New Roman"/>
          <w:color w:val="000000" w:themeColor="text1"/>
        </w:rPr>
      </w:pPr>
      <w:r>
        <w:rPr>
          <w:rFonts w:ascii="Times New Roman" w:hAnsi="Times New Roman" w:eastAsia="Times New Roman" w:cs="Times New Roman"/>
          <w:i/>
          <w:color w:val="000000" w:themeColor="text1"/>
          <w:sz w:val="24"/>
        </w:rPr>
        <w:t xml:space="preserve">Chi tiết như Báo cáo kèm theo.</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7. Giả thiết và giả thiết đặc biệt:</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426" w:left="0"/>
        <w:jc w:val="both"/>
        <w:rPr>
          <w:rFonts w:ascii="Times New Roman" w:hAnsi="Times New Roman" w:cs="Times New Roman"/>
          <w:color w:val="000000" w:themeColor="text1"/>
        </w:rPr>
      </w:pPr>
      <w:r>
        <w:rPr>
          <w:rFonts w:ascii="Times New Roman" w:hAnsi="Times New Roman" w:eastAsia="Times New Roman" w:cs="Times New Roman"/>
          <w:i/>
          <w:color w:val="000000" w:themeColor="text1"/>
          <w:sz w:val="24"/>
        </w:rPr>
        <w:t xml:space="preserve">Chi tiết như Báo cáo kèm theo</w:t>
      </w: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8. Cách tiếp cận, phương pháp thẩm định giá:</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426" w:left="0"/>
        <w:jc w:val="both"/>
        <w:rPr>
          <w:rFonts w:ascii="Times New Roman" w:hAnsi="Times New Roman" w:cs="Times New Roman"/>
          <w:color w:val="000000" w:themeColor="text1"/>
        </w:rPr>
      </w:pPr>
      <w:r>
        <w:rPr>
          <w:rFonts w:ascii="Times New Roman" w:hAnsi="Times New Roman" w:eastAsia="Times New Roman" w:cs="Times New Roman"/>
          <w:i/>
          <w:color w:val="000000" w:themeColor="text1"/>
          <w:sz w:val="24"/>
        </w:rPr>
        <w:t xml:space="preserve">Chi tiết như Báo cáo kèm theo.</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9. Kết quả thẩm định giá:</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24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Trên cơ sở các hồ sơ, tài liệu do Khách hàng cung cấp, qua điều tra thông tin thực tế trên thị trường với cách tiếp cận và phương pháp thẩm định được áp dụng trong tính toán, Công ty Cổ phần Thẩm định và Đầu tư Tài chính Hoa Sen thông báo giá trị tài sản c</w:t>
      </w:r>
      <w:r>
        <w:rPr>
          <w:rFonts w:ascii="Times New Roman" w:hAnsi="Times New Roman" w:eastAsia="Times New Roman" w:cs="Times New Roman"/>
          <w:color w:val="000000" w:themeColor="text1"/>
          <w:sz w:val="24"/>
        </w:rPr>
        <w:t xml:space="preserve">hưa bao gồm các loại thuế, phí và lệ phí liên quan đến việc chuyển nhượng tài sản của Quý khách hàng tại thời điểm tháng 02/2026 được ước tính như sau: </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59"/>
        <w:tblInd w:w="113"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97"/>
        <w:gridCol w:w="3793"/>
        <w:gridCol w:w="1312"/>
        <w:gridCol w:w="1664"/>
        <w:gridCol w:w="2126"/>
      </w:tblGrid>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7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Tài sản</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Diện tích (m²)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Đơn giá (đồng/m²)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Thành tiền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Quyền sử dụng đất tại thửa đất số: 2</w:t>
            </w:r>
            <w:r>
              <w:rPr>
                <w:rFonts w:ascii="Times New Roman" w:hAnsi="Times New Roman" w:eastAsia="Times New Roman" w:cs="Times New Roman"/>
                <w:b/>
                <w:color w:val="000000" w:themeColor="text1"/>
                <w:sz w:val="20"/>
                <w:vertAlign w:val="superscript"/>
              </w:rPr>
              <w:t xml:space="preserve">b</w:t>
            </w:r>
            <w:r>
              <w:rPr>
                <w:rFonts w:ascii="Times New Roman" w:hAnsi="Times New Roman" w:eastAsia="Times New Roman" w:cs="Times New Roman"/>
                <w:b/>
                <w:color w:val="000000" w:themeColor="text1"/>
                <w:sz w:val="24"/>
              </w:rPr>
              <w:t xml:space="preserve"> + 4</w:t>
            </w:r>
            <w:r>
              <w:rPr>
                <w:rFonts w:ascii="Times New Roman" w:hAnsi="Times New Roman" w:eastAsia="Times New Roman" w:cs="Times New Roman"/>
                <w:b/>
                <w:color w:val="000000" w:themeColor="text1"/>
                <w:sz w:val="20"/>
                <w:vertAlign w:val="superscript"/>
              </w:rPr>
              <w:t xml:space="preserve">a</w:t>
            </w:r>
            <w:r>
              <w:rPr>
                <w:rFonts w:ascii="Times New Roman" w:hAnsi="Times New Roman" w:eastAsia="Times New Roman" w:cs="Times New Roman"/>
                <w:b/>
                <w:color w:val="000000" w:themeColor="text1"/>
                <w:sz w:val="24"/>
              </w:rPr>
              <w:t xml:space="preserve"> + 162</w:t>
            </w:r>
            <w:r>
              <w:rPr>
                <w:rFonts w:ascii="Times New Roman" w:hAnsi="Times New Roman" w:eastAsia="Times New Roman" w:cs="Times New Roman"/>
                <w:b/>
                <w:color w:val="000000" w:themeColor="text1"/>
                <w:sz w:val="20"/>
                <w:vertAlign w:val="superscript"/>
              </w:rPr>
              <w:t xml:space="preserve">a</w:t>
            </w:r>
            <w:r>
              <w:rPr>
                <w:rFonts w:ascii="Times New Roman" w:hAnsi="Times New Roman" w:eastAsia="Times New Roman" w:cs="Times New Roman"/>
                <w:b/>
                <w:color w:val="000000" w:themeColor="text1"/>
                <w:sz w:val="24"/>
              </w:rPr>
              <w:t xml:space="preserve">, tờ bản đồ số: 26 có địa chỉ: K9 Thường Lệ, Đại Thịnh, huyện Mê Linh, tỉnh Vĩnh Phúc (nay là xã Quang Minh, thành phố Hà Nội)  theo Giấy chứng nhận quyền sử dụng đất số: G 443584, số vào sổ cấp GCN: 1108QSDĐ do UBND huyện Mê Linh cấp ngày 02/7/1996 cho ôn</w:t>
            </w:r>
            <w:r>
              <w:rPr>
                <w:rFonts w:ascii="Times New Roman" w:hAnsi="Times New Roman" w:eastAsia="Times New Roman" w:cs="Times New Roman"/>
                <w:b/>
                <w:color w:val="000000" w:themeColor="text1"/>
                <w:sz w:val="24"/>
              </w:rPr>
              <w:t xml:space="preserve">g Trịnh Minh Tỉnh.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79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Thửa đất số 2</w:t>
            </w:r>
            <w:r>
              <w:rPr>
                <w:rFonts w:ascii="Times New Roman" w:hAnsi="Times New Roman" w:eastAsia="Times New Roman" w:cs="Times New Roman"/>
                <w:b/>
                <w:color w:val="000000" w:themeColor="text1"/>
                <w:sz w:val="20"/>
                <w:vertAlign w:val="superscript"/>
              </w:rPr>
              <w:t xml:space="preserve">b</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9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79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nằm ngoài QHGT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12"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168,25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82.000.000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13.796.500.000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9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79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nằm trong QHGT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12"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41,75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22.500.000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939.375.000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9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79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Thửa đất số 4</w:t>
            </w:r>
            <w:r>
              <w:rPr>
                <w:rFonts w:ascii="Times New Roman" w:hAnsi="Times New Roman" w:eastAsia="Times New Roman" w:cs="Times New Roman"/>
                <w:b/>
                <w:color w:val="000000" w:themeColor="text1"/>
                <w:sz w:val="20"/>
                <w:vertAlign w:val="superscript"/>
              </w:rPr>
              <w:t xml:space="preserve">a</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12"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9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79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nằm ngoài QHGT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12"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146,48</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99.000.000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14.501.520.000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9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79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nằm trong QHGT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12"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33,52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22.500.000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754.200.000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9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79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Thửa đất số 162</w:t>
            </w:r>
            <w:r>
              <w:rPr>
                <w:rFonts w:ascii="Times New Roman" w:hAnsi="Times New Roman" w:eastAsia="Times New Roman" w:cs="Times New Roman"/>
                <w:b/>
                <w:color w:val="000000" w:themeColor="text1"/>
                <w:sz w:val="20"/>
                <w:vertAlign w:val="superscript"/>
              </w:rPr>
              <w:t xml:space="preserve">a</w:t>
            </w:r>
            <w:r>
              <w:rPr>
                <w:rFonts w:ascii="Times New Roman" w:hAnsi="Times New Roman" w:eastAsia="Times New Roman" w:cs="Times New Roman"/>
                <w:b/>
                <w:color w:val="000000" w:themeColor="text1"/>
                <w:sz w:val="24"/>
              </w:rPr>
              <w:t xml:space="preserve">: </w:t>
            </w:r>
            <w:r>
              <w:rPr>
                <w:rFonts w:ascii="Times New Roman" w:hAnsi="Times New Roman" w:eastAsia="Times New Roman" w:cs="Times New Roman"/>
                <w:color w:val="000000" w:themeColor="text1"/>
                <w:sz w:val="24"/>
              </w:rPr>
              <w:t xml:space="preserve">Đất ở nằm ngoài QHGT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12"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1.200,00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68.000.000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81.600.000.000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467"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Tổng cộng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111.591.595.000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467"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Làm tròn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111.592.000.000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gridSpan w:val="5"/>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59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i/>
                <w:color w:val="000000" w:themeColor="text1"/>
                <w:sz w:val="24"/>
              </w:rPr>
              <w:t xml:space="preserve">(Bằng chữ: Một trăm mười một tỷ năm trăm chín mươi hai triệu đồng chẵn ./.)</w:t>
            </w:r>
            <w:r>
              <w:rPr>
                <w:rFonts w:ascii="Times New Roman" w:hAnsi="Times New Roman" w:cs="Times New Roman"/>
                <w:color w:val="000000" w:themeColor="text1"/>
              </w:rPr>
            </w:r>
            <w:r>
              <w:rPr>
                <w:rFonts w:ascii="Times New Roman" w:hAnsi="Times New Roman" w:cs="Times New Roman"/>
                <w:color w:val="000000" w:themeColor="text1"/>
              </w:rPr>
            </w:r>
          </w:p>
        </w:tc>
      </w:tr>
    </w:tbl>
    <w:p>
      <w:pPr>
        <w:pBdr>
          <w:top w:val="none" w:color="000000" w:sz="4" w:space="0"/>
          <w:left w:val="none" w:color="000000" w:sz="4" w:space="0"/>
          <w:bottom w:val="none" w:color="000000" w:sz="4" w:space="0"/>
          <w:right w:val="none" w:color="000000" w:sz="4" w:space="0"/>
        </w:pBdr>
        <w:spacing w:after="24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eastAsia="Times New Roman" w:cs="Times New Roman"/>
          <w:b/>
          <w:color w:val="000000" w:themeColor="text1"/>
          <w:sz w:val="24"/>
        </w:rPr>
        <w:t xml:space="preserve">10. Thời hạn hiệu lực của kết quả thẩm định giá:</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426"/>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Tối đa 06 (sáu) tháng tính từ ngày ký đối với tài sản là Bất động sản.</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11. Những điều khoản loại trừ và hạn chế của kết quả thẩm định giá:</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426"/>
        <w:jc w:val="both"/>
        <w:rPr>
          <w:rFonts w:ascii="Times New Roman" w:hAnsi="Times New Roman" w:cs="Times New Roman"/>
          <w:color w:val="000000" w:themeColor="text1"/>
        </w:rPr>
      </w:pPr>
      <w:r>
        <w:rPr>
          <w:rFonts w:ascii="Times New Roman" w:hAnsi="Times New Roman" w:eastAsia="Times New Roman" w:cs="Times New Roman"/>
          <w:i/>
          <w:color w:val="000000" w:themeColor="text1"/>
          <w:sz w:val="24"/>
        </w:rPr>
        <w:t xml:space="preserve">Chi tiết như Báo cáo kèm theo.</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12. Các tài liệu kèm theo:</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284" w:left="142"/>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Báo cáo kết quả thẩm định giá.</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284" w:left="142"/>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Các phụ lục chi tiết kèm theo.</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284" w:left="142"/>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Chứng thư và báo cáo thẩm định giá được phát hành 03 (ba) bản chính bằng tiếng Việt, cấp cho quý khách hàng 02 (hai) bản, lưu lại Công ty Cổ phần Thẩm định và Đầu tư Tài chính Hoa Sen 01 (một) bản có giá trị pháp lý như nhau.</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284" w:left="142"/>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Mọi hình thức sao chép báo cáo và chứng thư thẩm định giá không có sự đồng ý bằng văn bản của Công ty Cổ phần Thẩm định và Đầu tư Tài chính Hoa Sen đều là hành vi vi phạm pháp luật.</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59"/>
        <w:tblInd w:w="-176"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4927"/>
        <w:gridCol w:w="4819"/>
      </w:tblGrid>
      <w:tr>
        <w:trPr/>
        <w:tc>
          <w:tcPr>
            <w:tcBorders/>
            <w:tcMar>
              <w:left w:w="108" w:type="dxa"/>
              <w:top w:w="0" w:type="dxa"/>
              <w:right w:w="108" w:type="dxa"/>
              <w:bottom w:w="0" w:type="dxa"/>
            </w:tcMar>
            <w:tcW w:w="4927" w:type="dxa"/>
            <w:vAlign w:val="bottom"/>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pacing w:val="3"/>
                <w:sz w:val="24"/>
              </w:rPr>
              <w:t xml:space="preserve">THẨM ĐỊNH VIÊN VỀ GIÁ</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819"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pacing w:val="3"/>
                <w:sz w:val="24"/>
              </w:rPr>
              <w:t xml:space="preserve">CÔNG TY CỔ PHẦN THẨM ĐỊNH VÀ ĐẦU TƯ TÀI CHÍNH HOA SEN</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hd w:val="clear" w:color="ffffff" w:fill="ffffff"/>
              <w:spacing w:after="0" w:before="0" w:line="276" w:lineRule="auto"/>
              <w:ind w:right="0" w:firstLine="338" w:left="-338"/>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Chủ tịch HĐQT kiêm Tổng Giám đốc</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92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pacing w:val="3"/>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pacing w:val="3"/>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pacing w:val="3"/>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pacing w:val="3"/>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819"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pacing w:val="3"/>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92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Nguyễn Thị Thùy Dương</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pacing w:val="3"/>
                <w:sz w:val="24"/>
                <w:highlight w:val="white"/>
              </w:rPr>
              <w:t xml:space="preserve">Số thẻ thẩm định viên về giá: </w:t>
            </w:r>
            <w:r>
              <w:rPr>
                <w:rFonts w:ascii="Times New Roman" w:hAnsi="Times New Roman" w:eastAsia="Times New Roman" w:cs="Times New Roman"/>
                <w:color w:val="000000" w:themeColor="text1"/>
                <w:sz w:val="24"/>
              </w:rPr>
              <w:t xml:space="preserve">XVI25TS.2576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819"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Vũ Văn Quân</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pacing w:val="3"/>
                <w:sz w:val="24"/>
              </w:rPr>
              <w:t xml:space="preserve">Số thẻ thẩm định viên về giá: </w:t>
            </w:r>
            <w:r>
              <w:rPr>
                <w:rFonts w:ascii="Times New Roman" w:hAnsi="Times New Roman" w:eastAsia="Times New Roman" w:cs="Times New Roman"/>
                <w:color w:val="000000" w:themeColor="text1"/>
                <w:sz w:val="24"/>
              </w:rPr>
              <w:t xml:space="preserve"> XII17.1825 </w:t>
            </w:r>
            <w:r>
              <w:rPr>
                <w:rFonts w:ascii="Times New Roman" w:hAnsi="Times New Roman" w:cs="Times New Roman"/>
                <w:color w:val="000000" w:themeColor="text1"/>
              </w:rPr>
            </w:r>
            <w:r>
              <w:rPr>
                <w:rFonts w:ascii="Times New Roman" w:hAnsi="Times New Roman" w:cs="Times New Roman"/>
                <w:color w:val="000000" w:themeColor="text1"/>
              </w:rP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rPr>
        <w:br w:type="page" w:clear="all"/>
      </w:r>
      <w:r>
        <w:rPr>
          <w:rFonts w:ascii="Times New Roman" w:hAnsi="Times New Roman" w:cs="Times New Roman"/>
          <w:color w:val="000000" w:themeColor="text1"/>
        </w:rPr>
      </w:r>
      <w:r>
        <w:rPr>
          <w:rFonts w:ascii="Times New Roman" w:hAnsi="Times New Roman" w:cs="Times New Roman"/>
          <w:color w:val="000000" w:themeColor="text1"/>
        </w:rPr>
      </w:r>
    </w:p>
    <w:tbl>
      <w:tblPr>
        <w:tblStyle w:val="1059"/>
        <w:tblInd w:w="135"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833"/>
        <w:gridCol w:w="2671"/>
        <w:gridCol w:w="5090"/>
      </w:tblGrid>
      <w:tr>
        <w:trPr>
          <w:trHeight w:val="20"/>
        </w:trPr>
        <w:tc>
          <w:tcPr>
            <w:tcBorders/>
            <w:tcMar>
              <w:left w:w="108" w:type="dxa"/>
              <w:top w:w="0" w:type="dxa"/>
              <w:right w:w="108" w:type="dxa"/>
              <w:bottom w:w="0" w:type="dxa"/>
            </w:tcMar>
            <w:tcW w:w="183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360" w:lineRule="auto"/>
              <w:ind w:right="0" w:hanging="108"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rPr>
              <w:t xml:space="preserve"> </w:t>
            </w:r>
            <w:r>
              <w:rPr>
                <w:rFonts w:ascii="Times New Roman" w:hAnsi="Times New Roman" w:eastAsia="Times New Roman" w:cs="Times New Roman"/>
                <w:color w:val="000000" w:themeColor="text1"/>
                <w:sz w:val="24"/>
                <w:szCs w:val="24"/>
              </w:rPr>
              <mc:AlternateContent>
                <mc:Choice Requires="wpg">
                  <w:drawing>
                    <wp:inline xmlns:wp="http://schemas.openxmlformats.org/drawingml/2006/wordprocessingDrawing" distT="0" distB="0" distL="0" distR="0">
                      <wp:extent cx="1095375" cy="1038225"/>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588213" name=""/>
                              <pic:cNvPicPr>
                                <a:picLocks noChangeAspect="1"/>
                              </pic:cNvPicPr>
                              <pic:nvPr/>
                            </pic:nvPicPr>
                            <pic:blipFill rotWithShape="1">
                              <a:blip r:embed="rId14"/>
                              <a:stretch/>
                            </pic:blipFill>
                            <pic:spPr bwMode="auto">
                              <a:xfrm>
                                <a:off x="0" y="0"/>
                                <a:ext cx="1095374" cy="1038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6.25pt;height:81.75pt;mso-wrap-distance-left:0.00pt;mso-wrap-distance-top:0.00pt;mso-wrap-distance-right:0.00pt;mso-wrap-distance-bottom:0.00pt;z-index:1;" stroked="false">
                      <v:imagedata r:id="rId14" o:title=""/>
                      <o:lock v:ext="edit" rotation="t"/>
                    </v:shape>
                  </w:pict>
                </mc:Fallback>
              </mc:AlternateConten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gridSpan w:val="2"/>
            <w:tcBorders/>
            <w:tcMar>
              <w:left w:w="108" w:type="dxa"/>
              <w:top w:w="0" w:type="dxa"/>
              <w:right w:w="108" w:type="dxa"/>
              <w:bottom w:w="0" w:type="dxa"/>
            </w:tcMar>
            <w:tcW w:w="7762"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360"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CÔNG TY CỔ PHẦN THẨM ĐỊNH VÀ ĐẦU TƯ TÀI CHÍNH HOA SEN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p>
            <w:pPr>
              <w:pBdr>
                <w:top w:val="none" w:color="000000" w:sz="4" w:space="0"/>
                <w:left w:val="none" w:color="000000" w:sz="4" w:space="0"/>
                <w:bottom w:val="none" w:color="000000" w:sz="4" w:space="0"/>
                <w:right w:val="none" w:color="000000" w:sz="4" w:space="0"/>
              </w:pBdr>
              <w:spacing w:after="0" w:before="0" w:line="360"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Trụ sở: BT5-23 khu đô thị mới Văn Phú, P. Kiến Hưng, TP. Hà Nội</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p>
            <w:pPr>
              <w:pBdr>
                <w:top w:val="none" w:color="000000" w:sz="4" w:space="0"/>
                <w:left w:val="none" w:color="000000" w:sz="4" w:space="0"/>
                <w:bottom w:val="none" w:color="000000" w:sz="4" w:space="0"/>
                <w:right w:val="none" w:color="000000" w:sz="4" w:space="0"/>
              </w:pBdr>
              <w:spacing w:after="0" w:before="0" w:line="360"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Điện thoại: 085 329 3333/ 024 2264 4333</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p>
            <w:pPr>
              <w:pBdr>
                <w:top w:val="none" w:color="000000" w:sz="4" w:space="0"/>
                <w:left w:val="none" w:color="000000" w:sz="4" w:space="0"/>
                <w:bottom w:val="none" w:color="000000" w:sz="4" w:space="0"/>
                <w:right w:val="none" w:color="000000" w:sz="4" w:space="0"/>
              </w:pBdr>
              <w:spacing w:after="0" w:before="0" w:line="360"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Email: </w:t>
            </w:r>
            <w:hyperlink r:id="rId16" w:tooltip="mailto:ilotus.contact@gmail.com" w:history="1">
              <w:r>
                <w:rPr>
                  <w:rStyle w:val="1045"/>
                  <w:rFonts w:ascii="Times New Roman" w:hAnsi="Times New Roman" w:eastAsia="Times New Roman" w:cs="Times New Roman"/>
                  <w:color w:val="000000" w:themeColor="text1"/>
                  <w:sz w:val="24"/>
                  <w:szCs w:val="24"/>
                  <w:u w:val="none"/>
                </w:rPr>
                <w:t xml:space="preserve">ilotus.contact@gmail.com</w:t>
              </w:r>
            </w:hyperlink>
            <w:r>
              <w:rPr>
                <w:rFonts w:ascii="Times New Roman" w:hAnsi="Times New Roman" w:eastAsia="Times New Roman" w:cs="Times New Roman"/>
                <w:color w:val="000000" w:themeColor="text1"/>
                <w:sz w:val="24"/>
                <w:szCs w:val="24"/>
              </w:rPr>
              <w:t xml:space="preserve"> Website: ilotus.com.vn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gridSpan w:val="2"/>
            <w:tcBorders/>
            <w:tcMar>
              <w:left w:w="108" w:type="dxa"/>
              <w:top w:w="0" w:type="dxa"/>
              <w:right w:w="108" w:type="dxa"/>
              <w:bottom w:w="0" w:type="dxa"/>
            </w:tcMar>
            <w:tcW w:w="45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hanging="108" w:left="0"/>
              <w:rPr>
                <w:rFonts w:ascii="Times New Roman" w:hAnsi="Times New Roman" w:cs="Times New Roman"/>
                <w:color w:val="000000" w:themeColor="text1"/>
              </w:rPr>
            </w:pPr>
            <w:r>
              <w:rPr>
                <w:rFonts w:ascii="Times New Roman" w:hAnsi="Times New Roman" w:eastAsia="Times New Roman" w:cs="Times New Roman"/>
                <w:color w:val="000000" w:themeColor="text1"/>
                <w:spacing w:val="3"/>
                <w:sz w:val="24"/>
                <w:highlight w:val="white"/>
              </w:rPr>
              <w:t xml:space="preserve">Số: </w:t>
            </w:r>
            <w:r>
              <w:rPr>
                <w:rFonts w:ascii="Times New Roman" w:hAnsi="Times New Roman" w:eastAsia="Times New Roman" w:cs="Times New Roman"/>
                <w:color w:val="000000" w:themeColor="text1"/>
                <w:sz w:val="24"/>
              </w:rPr>
              <w:t xml:space="preserve">275/2026/0281/V</w:t>
            </w:r>
            <w:r>
              <w:rPr>
                <w:rFonts w:ascii="Times New Roman" w:hAnsi="Times New Roman" w:eastAsia="Times New Roman" w:cs="Times New Roman"/>
                <w:b w:val="0"/>
                <w:bCs w:val="0"/>
                <w:color w:val="000000" w:themeColor="text1"/>
                <w:sz w:val="24"/>
                <w:szCs w:val="24"/>
              </w:rPr>
              <w:t xml:space="preserve">FI-BC</w:t>
            </w:r>
            <w:r>
              <w:rPr>
                <w:rFonts w:ascii="Times New Roman" w:hAnsi="Times New Roman" w:eastAsia="Times New Roman" w:cs="Times New Roman"/>
                <w:b w:val="0"/>
                <w:bCs w:val="0"/>
                <w:color w:val="000000" w:themeColor="text1"/>
                <w:sz w:val="24"/>
              </w:rPr>
              <w:t xml:space="preserve">.</w:t>
            </w:r>
            <w:r>
              <w:rPr>
                <w:rFonts w:ascii="Times New Roman" w:hAnsi="Times New Roman" w:eastAsia="Times New Roman" w:cs="Times New Roman"/>
                <w:b w:val="0"/>
                <w:bCs w:val="0"/>
                <w:color w:val="000000" w:themeColor="text1"/>
                <w:sz w:val="24"/>
              </w:rPr>
              <w:t xml:space="preserve">27.A</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509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i/>
                <w:color w:val="000000" w:themeColor="text1"/>
                <w:sz w:val="24"/>
              </w:rPr>
              <w:t xml:space="preserve">TP. Hà Nội, ngày 05 tháng 02 năm 2026</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0" w:type="dxa"/>
              <w:top w:w="0" w:type="dxa"/>
              <w:right w:w="0" w:type="dxa"/>
              <w:bottom w:w="0" w:type="dxa"/>
            </w:tcMar>
            <w:tcW w:w="1833"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0" w:type="dxa"/>
              <w:top w:w="0" w:type="dxa"/>
              <w:right w:w="0" w:type="dxa"/>
              <w:bottom w:w="0" w:type="dxa"/>
            </w:tcMar>
            <w:tcW w:w="2671"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0" w:type="dxa"/>
              <w:top w:w="0" w:type="dxa"/>
              <w:right w:w="0" w:type="dxa"/>
              <w:bottom w:w="0" w:type="dxa"/>
            </w:tcMar>
            <w:tcW w:w="5090"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bl>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30"/>
        </w:rPr>
        <w:t xml:space="preserve">BÁO CÁO KẾT QUẢ THẨM ĐỊNH GIÁ</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250" w:firstLine="0" w:left="0"/>
        <w:jc w:val="both"/>
        <w:rPr>
          <w:rFonts w:ascii="Times New Roman" w:hAnsi="Times New Roman" w:cs="Times New Roman"/>
          <w:color w:val="000000" w:themeColor="text1"/>
        </w:rPr>
      </w:pPr>
      <w:r>
        <w:rPr>
          <w:rFonts w:ascii="Times New Roman" w:hAnsi="Times New Roman" w:eastAsia="Times New Roman" w:cs="Times New Roman"/>
          <w:i/>
          <w:color w:val="000000" w:themeColor="text1"/>
          <w:sz w:val="24"/>
        </w:rPr>
        <w:t xml:space="preserve">(Kèm theo Chứng thư thẩm định giá số: 275/2026/0281/VFI-CT.27.A ngày 05 tháng 02 năm 2026)</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I. THÔNG TIN VỀ DOANH NGHIỆP THẨM ĐỊNH GIÁ </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5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051"/>
        <w:gridCol w:w="305"/>
        <w:gridCol w:w="7620"/>
      </w:tblGrid>
      <w:tr>
        <w:trPr/>
        <w:tc>
          <w:tcPr>
            <w:tcBorders/>
            <w:tcMar>
              <w:left w:w="108" w:type="dxa"/>
              <w:top w:w="0" w:type="dxa"/>
              <w:right w:w="108" w:type="dxa"/>
              <w:bottom w:w="0" w:type="dxa"/>
            </w:tcMar>
            <w:tcW w:w="205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Đơn vị thẩm định</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Mar>
              <w:left w:w="108" w:type="dxa"/>
              <w:top w:w="0" w:type="dxa"/>
              <w:right w:w="108" w:type="dxa"/>
              <w:bottom w:w="0" w:type="dxa"/>
            </w:tcMar>
            <w:tcW w:w="30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Mar>
              <w:left w:w="108" w:type="dxa"/>
              <w:top w:w="0" w:type="dxa"/>
              <w:right w:w="108" w:type="dxa"/>
              <w:bottom w:w="0" w:type="dxa"/>
            </w:tcMar>
            <w:tcW w:w="762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pacing w:val="-6"/>
                <w:sz w:val="24"/>
                <w:szCs w:val="24"/>
              </w:rPr>
              <w:t xml:space="preserve">CÔNG TY CỔ PHẦN THẨM ĐỊNH VÀ ĐẦU TƯ TÀI CHÍNH HOA SEN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c>
          <w:tcPr>
            <w:tcBorders/>
            <w:tcMar>
              <w:left w:w="108" w:type="dxa"/>
              <w:top w:w="0" w:type="dxa"/>
              <w:right w:w="108" w:type="dxa"/>
              <w:bottom w:w="0" w:type="dxa"/>
            </w:tcMar>
            <w:tcW w:w="205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Địa chỉ trụ sở</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Mar>
              <w:left w:w="108" w:type="dxa"/>
              <w:top w:w="0" w:type="dxa"/>
              <w:right w:w="108" w:type="dxa"/>
              <w:bottom w:w="0" w:type="dxa"/>
            </w:tcMar>
            <w:tcW w:w="30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Mar>
              <w:left w:w="108" w:type="dxa"/>
              <w:top w:w="0" w:type="dxa"/>
              <w:right w:w="108" w:type="dxa"/>
              <w:bottom w:w="0" w:type="dxa"/>
            </w:tcMar>
            <w:tcW w:w="7620"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6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BT5-23 khu đô thị mới Văn Phú, P. Kiến Hưng, TP. Hà Nội</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c>
          <w:tcPr>
            <w:tcBorders/>
            <w:tcMar>
              <w:left w:w="108" w:type="dxa"/>
              <w:top w:w="0" w:type="dxa"/>
              <w:right w:w="108" w:type="dxa"/>
              <w:bottom w:w="0" w:type="dxa"/>
            </w:tcMar>
            <w:tcW w:w="205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Điện thoại</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Mar>
              <w:left w:w="108" w:type="dxa"/>
              <w:top w:w="0" w:type="dxa"/>
              <w:right w:w="108" w:type="dxa"/>
              <w:bottom w:w="0" w:type="dxa"/>
            </w:tcMar>
            <w:tcW w:w="30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Mar>
              <w:left w:w="108" w:type="dxa"/>
              <w:top w:w="0" w:type="dxa"/>
              <w:right w:w="108" w:type="dxa"/>
              <w:bottom w:w="0" w:type="dxa"/>
            </w:tcMar>
            <w:tcW w:w="762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024.22644333</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c>
          <w:tcPr>
            <w:tcBorders/>
            <w:tcMar>
              <w:left w:w="108" w:type="dxa"/>
              <w:top w:w="0" w:type="dxa"/>
              <w:right w:w="108" w:type="dxa"/>
              <w:bottom w:w="0" w:type="dxa"/>
            </w:tcMar>
            <w:tcW w:w="205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Mã số thuế</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Mar>
              <w:left w:w="108" w:type="dxa"/>
              <w:top w:w="0" w:type="dxa"/>
              <w:right w:w="108" w:type="dxa"/>
              <w:bottom w:w="0" w:type="dxa"/>
            </w:tcMar>
            <w:tcW w:w="30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Mar>
              <w:left w:w="108" w:type="dxa"/>
              <w:top w:w="0" w:type="dxa"/>
              <w:right w:w="108" w:type="dxa"/>
              <w:bottom w:w="0" w:type="dxa"/>
            </w:tcMar>
            <w:tcW w:w="762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0102708994</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505"/>
        </w:trPr>
        <w:tc>
          <w:tcPr>
            <w:tcBorders/>
            <w:tcMar>
              <w:left w:w="108" w:type="dxa"/>
              <w:top w:w="0" w:type="dxa"/>
              <w:right w:w="108" w:type="dxa"/>
              <w:bottom w:w="0" w:type="dxa"/>
            </w:tcMar>
            <w:tcW w:w="20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GCN đủ điều kiện hành nghề</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Mar>
              <w:left w:w="108" w:type="dxa"/>
              <w:top w:w="0" w:type="dxa"/>
              <w:right w:w="108" w:type="dxa"/>
              <w:bottom w:w="0" w:type="dxa"/>
            </w:tcMar>
            <w:tcW w:w="3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Mar>
              <w:left w:w="108" w:type="dxa"/>
              <w:top w:w="0" w:type="dxa"/>
              <w:right w:w="108" w:type="dxa"/>
              <w:bottom w:w="0" w:type="dxa"/>
            </w:tcMar>
            <w:tcW w:w="76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275/TĐG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c>
          <w:tcPr>
            <w:tcBorders/>
            <w:tcMar>
              <w:left w:w="108" w:type="dxa"/>
              <w:top w:w="0" w:type="dxa"/>
              <w:right w:w="108" w:type="dxa"/>
              <w:bottom w:w="0" w:type="dxa"/>
            </w:tcMar>
            <w:tcW w:w="205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Thông báo</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Mar>
              <w:left w:w="108" w:type="dxa"/>
              <w:top w:w="0" w:type="dxa"/>
              <w:right w:w="108" w:type="dxa"/>
              <w:bottom w:w="0" w:type="dxa"/>
            </w:tcMar>
            <w:tcW w:w="3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Mar>
              <w:left w:w="108" w:type="dxa"/>
              <w:top w:w="0" w:type="dxa"/>
              <w:right w:w="108" w:type="dxa"/>
              <w:bottom w:w="0" w:type="dxa"/>
            </w:tcMar>
            <w:tcW w:w="76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Số 1294/TB-BTC ngày 25/12/2025</w:t>
            </w:r>
            <w:r>
              <w:rPr>
                <w:rFonts w:ascii="Times New Roman" w:hAnsi="Times New Roman" w:eastAsia="Times New Roman" w:cs="Times New Roman"/>
                <w:color w:val="000000" w:themeColor="text1"/>
                <w:sz w:val="24"/>
                <w:szCs w:val="24"/>
              </w:rPr>
              <w:t xml:space="preserve"> </w:t>
            </w:r>
            <w:r>
              <w:rPr>
                <w:rFonts w:ascii="Times New Roman" w:hAnsi="Times New Roman" w:eastAsia="Times New Roman" w:cs="Times New Roman"/>
                <w:color w:val="000000" w:themeColor="text1"/>
                <w:sz w:val="24"/>
                <w:szCs w:val="24"/>
              </w:rPr>
              <w:t xml:space="preserve">về việc doanh nghiệp đủ điều kiện kinh doanh Dịch vụ thẩm định giá.</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c>
          <w:tcPr>
            <w:tcBorders/>
            <w:tcMar>
              <w:left w:w="108" w:type="dxa"/>
              <w:top w:w="0" w:type="dxa"/>
              <w:right w:w="108" w:type="dxa"/>
              <w:bottom w:w="0" w:type="dxa"/>
            </w:tcMar>
            <w:tcW w:w="205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Tài khoản số</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Mar>
              <w:left w:w="108" w:type="dxa"/>
              <w:top w:w="0" w:type="dxa"/>
              <w:right w:w="108" w:type="dxa"/>
              <w:bottom w:w="0" w:type="dxa"/>
            </w:tcMar>
            <w:tcW w:w="30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Mar>
              <w:left w:w="108" w:type="dxa"/>
              <w:top w:w="0" w:type="dxa"/>
              <w:right w:w="108" w:type="dxa"/>
              <w:bottom w:w="0" w:type="dxa"/>
            </w:tcMar>
            <w:tcW w:w="762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1505112366666 tại Ngân hàng Agribank - Chi nhánh Hà Nội II</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c>
          <w:tcPr>
            <w:tcBorders/>
            <w:tcMar>
              <w:left w:w="108" w:type="dxa"/>
              <w:top w:w="0" w:type="dxa"/>
              <w:right w:w="108" w:type="dxa"/>
              <w:bottom w:w="0" w:type="dxa"/>
            </w:tcMar>
            <w:tcW w:w="205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Đại diện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Mar>
              <w:left w:w="108" w:type="dxa"/>
              <w:top w:w="0" w:type="dxa"/>
              <w:right w:w="108" w:type="dxa"/>
              <w:bottom w:w="0" w:type="dxa"/>
            </w:tcMar>
            <w:tcW w:w="305"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Mar>
              <w:left w:w="108" w:type="dxa"/>
              <w:top w:w="0" w:type="dxa"/>
              <w:right w:w="108" w:type="dxa"/>
              <w:bottom w:w="0" w:type="dxa"/>
            </w:tcMar>
            <w:tcW w:w="762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rPr>
                <w:rFonts w:ascii="Times New Roman" w:hAnsi="Times New Roman" w:cs="Times New Roman"/>
                <w:b w:val="0"/>
                <w:bCs w:val="0"/>
                <w:color w:val="000000" w:themeColor="text1"/>
                <w:sz w:val="24"/>
                <w:szCs w:val="24"/>
              </w:rPr>
            </w:pPr>
            <w:r>
              <w:rPr>
                <w:rFonts w:ascii="Times New Roman" w:hAnsi="Times New Roman" w:eastAsia="Times New Roman" w:cs="Times New Roman"/>
                <w:b w:val="0"/>
                <w:bCs w:val="0"/>
                <w:color w:val="000000" w:themeColor="text1"/>
                <w:sz w:val="24"/>
                <w:szCs w:val="24"/>
              </w:rPr>
              <w:t xml:space="preserve">Ông Vũ Văn Quân               Chức vụ:</w:t>
            </w:r>
            <w:r>
              <w:rPr>
                <w:rFonts w:ascii="Times New Roman" w:hAnsi="Times New Roman" w:eastAsia="Times New Roman" w:cs="Times New Roman"/>
                <w:b w:val="0"/>
                <w:bCs w:val="0"/>
                <w:color w:val="000000" w:themeColor="text1"/>
                <w:sz w:val="24"/>
                <w:szCs w:val="24"/>
              </w:rPr>
              <w:t xml:space="preserve"> </w:t>
            </w:r>
            <w:r>
              <w:rPr>
                <w:rFonts w:ascii="Times New Roman" w:hAnsi="Times New Roman" w:eastAsia="Times New Roman" w:cs="Times New Roman"/>
                <w:b w:val="0"/>
                <w:bCs w:val="0"/>
                <w:color w:val="000000" w:themeColor="text1"/>
                <w:sz w:val="24"/>
                <w:szCs w:val="24"/>
              </w:rPr>
              <w:t xml:space="preserve">Chủ tịch HĐQT kiêm Tổng Giám đốc</w:t>
            </w:r>
            <w:r>
              <w:rPr>
                <w:rFonts w:ascii="Times New Roman" w:hAnsi="Times New Roman" w:cs="Times New Roman"/>
                <w:b w:val="0"/>
                <w:bCs w:val="0"/>
                <w:color w:val="000000" w:themeColor="text1"/>
                <w:sz w:val="24"/>
                <w:szCs w:val="24"/>
              </w:rPr>
            </w:r>
            <w:r>
              <w:rPr>
                <w:rFonts w:ascii="Times New Roman" w:hAnsi="Times New Roman" w:cs="Times New Roman"/>
                <w:b w:val="0"/>
                <w:bCs w:val="0"/>
                <w:color w:val="000000" w:themeColor="text1"/>
                <w:sz w:val="24"/>
                <w:szCs w:val="24"/>
              </w:rPr>
            </w:r>
          </w:p>
        </w:tc>
      </w:tr>
    </w:tbl>
    <w:p>
      <w:pPr>
        <w:pBdr>
          <w:top w:val="none" w:color="000000" w:sz="4" w:space="0"/>
          <w:left w:val="none" w:color="000000" w:sz="4" w:space="0"/>
          <w:bottom w:val="none" w:color="000000" w:sz="4" w:space="0"/>
          <w:right w:val="none" w:color="000000" w:sz="4" w:space="0"/>
        </w:pBdr>
        <w:tabs>
          <w:tab w:val="left" w:leader="none" w:pos="426"/>
        </w:tabs>
        <w:spacing w:after="0" w:before="24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II. THÔNG TIN CƠ BẢN VỀ CUỘC THẨM ĐỊNH GIÁ</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eastAsia="Times New Roman" w:cs="Times New Roman"/>
          <w:b/>
          <w:color w:val="000000" w:themeColor="text1"/>
          <w:sz w:val="24"/>
          <w:szCs w:val="24"/>
        </w:rPr>
        <w:t xml:space="preserve">1. Thông tin cơ bản về cuộc thẩm định giá:</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bl>
      <w:tblPr>
        <w:tblStyle w:val="105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660"/>
        <w:gridCol w:w="283"/>
        <w:gridCol w:w="6803"/>
      </w:tblGrid>
      <w:tr>
        <w:trPr>
          <w:trHeight w:val="625"/>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Tên khách hàng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Mar>
              <w:left w:w="108" w:type="dxa"/>
              <w:top w:w="0" w:type="dxa"/>
              <w:right w:w="108" w:type="dxa"/>
              <w:bottom w:w="0" w:type="dxa"/>
            </w:tcMar>
            <w:tcW w:w="680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CÔNG TY TNHH TÙNG PHƯƠNG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Địa chỉ</w:t>
            </w:r>
            <w:r>
              <w:rPr>
                <w:rFonts w:ascii="Times New Roman" w:hAnsi="Times New Roman" w:eastAsia="Times New Roman" w:cs="Times New Roman"/>
                <w:color w:val="000000" w:themeColor="text1"/>
                <w:sz w:val="24"/>
                <w:szCs w:val="24"/>
              </w:rPr>
              <w:t xml:space="preserve"> trụ sở</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Mar>
              <w:left w:w="108" w:type="dxa"/>
              <w:top w:w="0" w:type="dxa"/>
              <w:right w:w="108" w:type="dxa"/>
              <w:bottom w:w="0" w:type="dxa"/>
            </w:tcMar>
            <w:tcW w:w="680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Phố</w:t>
            </w:r>
            <w:r>
              <w:rPr>
                <w:rFonts w:ascii="Times New Roman" w:hAnsi="Times New Roman" w:eastAsia="Times New Roman" w:cs="Times New Roman"/>
                <w:color w:val="000000" w:themeColor="text1"/>
                <w:sz w:val="24"/>
                <w:szCs w:val="24"/>
              </w:rPr>
              <w:t xml:space="preserve"> Tiền Phong, huyện Bình Xuyên, tỉnh Vĩnh Phúc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Mã số</w:t>
            </w:r>
            <w:r>
              <w:rPr>
                <w:rFonts w:ascii="Times New Roman" w:hAnsi="Times New Roman" w:eastAsia="Times New Roman" w:cs="Times New Roman"/>
                <w:color w:val="000000" w:themeColor="text1"/>
                <w:sz w:val="24"/>
              </w:rPr>
              <w:t xml:space="preserve"> thuế</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680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2500206820</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Đại diện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680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Bà Nguyễn Thị Phương                   Chức vụ: Giám đốc</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Hợp đồng số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680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275/2026/0281/VFI-HĐTĐ.27.A</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thẩm định giá</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680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Quyền sử dụng đất tại thửa đất số: 2</w:t>
            </w:r>
            <w:r>
              <w:rPr>
                <w:rFonts w:ascii="Times New Roman" w:hAnsi="Times New Roman" w:eastAsia="Times New Roman" w:cs="Times New Roman"/>
                <w:color w:val="000000" w:themeColor="text1"/>
                <w:sz w:val="20"/>
                <w:vertAlign w:val="superscript"/>
              </w:rPr>
              <w:t xml:space="preserve">b</w:t>
            </w:r>
            <w:r>
              <w:rPr>
                <w:rFonts w:ascii="Times New Roman" w:hAnsi="Times New Roman" w:eastAsia="Times New Roman" w:cs="Times New Roman"/>
                <w:color w:val="000000" w:themeColor="text1"/>
                <w:sz w:val="24"/>
              </w:rPr>
              <w:t xml:space="preserve"> + 4</w:t>
            </w:r>
            <w:r>
              <w:rPr>
                <w:rFonts w:ascii="Times New Roman" w:hAnsi="Times New Roman" w:eastAsia="Times New Roman" w:cs="Times New Roman"/>
                <w:color w:val="000000" w:themeColor="text1"/>
                <w:sz w:val="20"/>
                <w:vertAlign w:val="superscript"/>
              </w:rPr>
              <w:t xml:space="preserve">a</w:t>
            </w:r>
            <w:r>
              <w:rPr>
                <w:rFonts w:ascii="Times New Roman" w:hAnsi="Times New Roman" w:eastAsia="Times New Roman" w:cs="Times New Roman"/>
                <w:color w:val="000000" w:themeColor="text1"/>
                <w:sz w:val="24"/>
              </w:rPr>
              <w:t xml:space="preserve"> + 162</w:t>
            </w:r>
            <w:r>
              <w:rPr>
                <w:rFonts w:ascii="Times New Roman" w:hAnsi="Times New Roman" w:eastAsia="Times New Roman" w:cs="Times New Roman"/>
                <w:color w:val="000000" w:themeColor="text1"/>
                <w:sz w:val="20"/>
                <w:vertAlign w:val="superscript"/>
              </w:rPr>
              <w:t xml:space="preserve">a</w:t>
            </w:r>
            <w:r>
              <w:rPr>
                <w:rFonts w:ascii="Times New Roman" w:hAnsi="Times New Roman" w:eastAsia="Times New Roman" w:cs="Times New Roman"/>
                <w:color w:val="000000" w:themeColor="text1"/>
                <w:sz w:val="24"/>
              </w:rPr>
              <w:t xml:space="preserve">, tờ bản đồ số: 26 có địa chỉ: K9 Thường Lệ, Đại Thịnh, huyện Mê Linh, tỉnh Vĩnh Phúc (nay là xã Quang Minh, thành phố Hà Nội)  theo Giấy chứng nhận quyền sử dụng đất số: G 443584, số vào sổ cấp GCN: 1108QSDĐ do UBND huyện Mê Linh cấp ngày 02/7/1996 cho ôn</w:t>
            </w:r>
            <w:r>
              <w:rPr>
                <w:rFonts w:ascii="Times New Roman" w:hAnsi="Times New Roman" w:eastAsia="Times New Roman" w:cs="Times New Roman"/>
                <w:color w:val="000000" w:themeColor="text1"/>
                <w:sz w:val="24"/>
              </w:rPr>
              <w:t xml:space="preserve">g Trịnh Minh Tỉnh.</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Mục đích thẩm định giá</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6803"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Kết quả thẩm định giá để khách hàng tham khảo giá trị tài sản phục vụ công tác vay vốn tại tổ chức tín dụng.</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2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pacing w:val="-12"/>
                <w:sz w:val="24"/>
              </w:rPr>
              <w:t xml:space="preserve">Cơ sở giá trị thẩm định giá</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680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pacing w:val="-4"/>
                <w:sz w:val="24"/>
              </w:rPr>
              <w:t xml:space="preserve">Giá trị thị trường</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2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Thời điểm thẩm định giá</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680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Tháng 02/2026.</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2660"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Địa điểm thẩm định giá</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28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6803"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Thành phố Hà Nội</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2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Vị trí tài sản thẩm định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680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Thửa số 2b: 21.175065, 105.731542</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Thửa số 4a: 21.174918, 105.731914</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Thửa số 162a: 21.175677, 105.730508</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266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pacing w:val="-6"/>
                <w:sz w:val="24"/>
              </w:rPr>
              <w:t xml:space="preserve">Thời điểm khảo sát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680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Tháng 01/2026</w:t>
            </w:r>
            <w:r>
              <w:rPr>
                <w:rFonts w:ascii="Times New Roman" w:hAnsi="Times New Roman" w:cs="Times New Roman"/>
                <w:color w:val="000000" w:themeColor="text1"/>
              </w:rPr>
            </w:r>
            <w:r>
              <w:rPr>
                <w:rFonts w:ascii="Times New Roman" w:hAnsi="Times New Roman" w:cs="Times New Roman"/>
                <w:color w:val="000000" w:themeColor="text1"/>
              </w:rP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 Các nguồn thông tin được sử dụng trong quá trình thẩm định giá</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51"/>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Tham khảo nguồn thông tin từ các trang giao bán bất động sản qua mạng Internet, gọi điện trực tiếp.</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51"/>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Tham khảo nguồn thông tin trực tiếp từ người dân sống xung quanh trên địa bàn.</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51"/>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Đánh giá nguồn thông tin thu thập: Nguồn thông tin thu thập khách quan và phổ biến trên thị trường.</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3. Căn cứ pháp lý</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3.1. Văn bản pháp quy về thẩm định giá:</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50"/>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Luật Giá số 16/2023/QH15 ngày 19/6/2023;</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50"/>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Luật Đất đai số 31/2024/QH15 đã được Quốc hội nước Cộng hòa xã hội chủ nghĩa Việt Nam khóa XV, kỳ họp bất thường lần thứ 5 thông qua ngày 18 tháng 01 năm 2024;</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50"/>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Luật Xây dựng số 50/2014/QH13 đã được Quốc hội nước Cộng hòa xã hội chủ nghĩa Việt Nam khóa XIII, kỳ họp thứ 7 thông qua ngày 18 tháng 6 năm 2014;</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50"/>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Luật số 62/2020/QH14 đã được Quốc hội nước Cộng hòa xã hội chủ nghĩa Việt Nam khóa XIV, kỳ họp thứ 9 thông qua ngày 17 tháng 6 năm 2020 về việc Sửa đổi, bổ sung một số điều của Luật Xây dựng;</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50"/>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Luật Nhà ở số 27/2023/QH15 đã được Quốc hội nước Cộng hòa xã hội chủ nghĩa Việt Nam khóa XV, kỳ họp thứ 6 thông qua ngày 27 tháng 11 năm 2023;</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50"/>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Nghị định số 71/2024/NĐ-CP ngày 27/6/2024 của Chính phủ Quy định về giá đất;</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50"/>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Nghị định số 103/2024/NĐ-CP ngày 30/7/2024 của Chính phủ quy định về thu tiền sử dụng đất, tiền thuê đất;</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50"/>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Thông tư số 28/2024/TT-BTC ngày 16/5/2024 của Bộ Tài chính Quy định về trình tự, thủ tục kiểm tra việc chấp hành pháp luật về giá, thẩm định giá do Bộ trưởng Bộ Tài chính ban hành;</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50"/>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Thông tư số 30/2024/TT-BTC ngày 16/5/2024 của Bộ Tài chính ban hành các chuẩn mực thẩm định giá Việt Nam về quy tắc đạo đức nghề nghiệp thẩm định giá, phạm vi công việc thẩm định giá, cơ sở giá trị thẩm định giá, hồ sơ thẩm định giá;</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50"/>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Thông tư số 31/2024/TT-BTC ngày 16/5/2024 của Bộ Tài chính ban hành chuẩn mực thẩm định giá Việt Nam về thu thập và phân tích thông tin về tài sản thẩm định giá;</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50"/>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Thông tư số 32/2024/TT-BTC ngày 16/5/2024 của Bộ Tài chính ban hành các chuẩn mực thẩm định giá Việt Nam về cách tiếp cận từ thị trường, cách tiếp cận từ chi phí, cách tiếp cận từ thu nhập;</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50"/>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Thông tư số 36/2024/TT-BTC ngày 16/5/2024 của Bộ Tài chính ban hành chuẩn mực thẩm định giá Việt Nam về thẩm định giá doanh nghiệp;</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50"/>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Thông tư số 37/2024/TT-BTC ngày 16/5/2024 của Bộ Tài chính ban hành chuẩn mực thẩm định giá Việt Nam về thẩm định giá tài sản vô hình;</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50"/>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Thông tư số 42/2024/TT-BTC ngày 20/6/2024 của Bộ Tài chính ban hành chuẩn mực thẩm định giá Việt Nam về thẩm định giá bất động sản;</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50"/>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Thông tư số 45/2013/TT-BTC ngày 24/5/2013 của Bộ Tài chính về việc hướng dẫn chế độ quản lý, sử dụng và trích khấu hao tài sản cố định;</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50"/>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50"/>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Thông tư số 28/2017/TT-BTC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w:t>
      </w:r>
      <w:r>
        <w:rPr>
          <w:rFonts w:ascii="Times New Roman" w:hAnsi="Times New Roman" w:eastAsia="Times New Roman" w:cs="Times New Roman"/>
          <w:color w:val="000000" w:themeColor="text1"/>
          <w:sz w:val="24"/>
        </w:rPr>
        <w:t xml:space="preserve">ài sản cố định;</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50"/>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Và các văn bản pháp luật có liên quan khác.</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3.2. Các văn bản liên quan khác:</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a. Hồ sơ pháp lý của tài sản: </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53"/>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Giấy chứng nhận quyền sử dụng đất số: G 443584, số vào sổ cấp GCN: 1108QSDĐ do UBND huyện Mê Linh cấp ngày 02/7/1996 cho ông Trịnh Minh Tỉnh kèm sơ đồ trích lục bản đồ thửa đất số </w:t>
      </w:r>
      <w:r>
        <w:rPr>
          <w:rFonts w:ascii="Times New Roman" w:hAnsi="Times New Roman" w:eastAsia="Times New Roman" w:cs="Times New Roman"/>
          <w:color w:val="000000" w:themeColor="text1"/>
          <w:sz w:val="24"/>
        </w:rPr>
        <w:t xml:space="preserve">2</w:t>
      </w:r>
      <w:r>
        <w:rPr>
          <w:rFonts w:ascii="Times New Roman" w:hAnsi="Times New Roman" w:eastAsia="Times New Roman" w:cs="Times New Roman"/>
          <w:color w:val="000000" w:themeColor="text1"/>
          <w:sz w:val="20"/>
          <w:vertAlign w:val="superscript"/>
        </w:rPr>
        <w:t xml:space="preserve">b</w:t>
      </w:r>
      <w:r>
        <w:rPr>
          <w:rFonts w:ascii="Times New Roman" w:hAnsi="Times New Roman" w:eastAsia="Times New Roman" w:cs="Times New Roman"/>
          <w:color w:val="000000" w:themeColor="text1"/>
          <w:sz w:val="20"/>
          <w:vertAlign w:val="baseline"/>
        </w:rPr>
        <w:t xml:space="preserve">,</w:t>
      </w:r>
      <w:r>
        <w:rPr>
          <w:rFonts w:ascii="Times New Roman" w:hAnsi="Times New Roman" w:eastAsia="Times New Roman" w:cs="Times New Roman"/>
          <w:color w:val="000000" w:themeColor="text1"/>
          <w:sz w:val="24"/>
        </w:rPr>
        <w:t xml:space="preserve"> 4</w:t>
      </w:r>
      <w:r>
        <w:rPr>
          <w:rFonts w:ascii="Times New Roman" w:hAnsi="Times New Roman" w:eastAsia="Times New Roman" w:cs="Times New Roman"/>
          <w:color w:val="000000" w:themeColor="text1"/>
          <w:sz w:val="20"/>
          <w:vertAlign w:val="superscript"/>
        </w:rPr>
        <w:t xml:space="preserve">a</w:t>
      </w:r>
      <w:r>
        <w:rPr>
          <w:rFonts w:ascii="Times New Roman" w:hAnsi="Times New Roman" w:eastAsia="Times New Roman" w:cs="Times New Roman"/>
          <w:color w:val="000000" w:themeColor="text1"/>
          <w:sz w:val="24"/>
        </w:rPr>
        <w:t xml:space="preserve"> và 162</w:t>
      </w:r>
      <w:r>
        <w:rPr>
          <w:rFonts w:ascii="Times New Roman" w:hAnsi="Times New Roman" w:eastAsia="Times New Roman" w:cs="Times New Roman"/>
          <w:color w:val="000000" w:themeColor="text1"/>
          <w:sz w:val="20"/>
          <w:vertAlign w:val="superscript"/>
        </w:rPr>
        <w:t xml:space="preserve">a</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b. Hồ sơ khác:</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52"/>
        </w:numPr>
        <w:pBdr>
          <w:top w:val="none" w:color="000000" w:sz="4" w:space="0"/>
          <w:left w:val="none" w:color="000000" w:sz="4" w:space="0"/>
          <w:bottom w:val="none" w:color="000000" w:sz="4" w:space="0"/>
          <w:right w:val="none" w:color="000000" w:sz="4" w:space="0"/>
        </w:pBdr>
        <w:tabs>
          <w:tab w:val="left" w:leader="none" w:pos="425"/>
        </w:tabs>
        <w:spacing w:after="0" w:before="120" w:line="276" w:lineRule="auto"/>
        <w:ind w:right="0" w:hanging="425"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Hợp đồng dịch vụ thẩm định giá số 275/2026/0281/VFI-HĐTĐ.27.A ký ngày 28/01/2026 giữa Công ty TNHH Tùng Phương và Công ty Cổ phần Thẩm định và Đầu tư Tài chính Hoa Sen;</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52"/>
        </w:numPr>
        <w:pBdr>
          <w:top w:val="none" w:color="000000" w:sz="4" w:space="0"/>
          <w:left w:val="none" w:color="000000" w:sz="4" w:space="0"/>
          <w:bottom w:val="none" w:color="000000" w:sz="4" w:space="0"/>
          <w:right w:val="none" w:color="000000" w:sz="4" w:space="0"/>
        </w:pBdr>
        <w:tabs>
          <w:tab w:val="left" w:leader="none" w:pos="425"/>
        </w:tabs>
        <w:spacing w:after="0" w:before="120" w:line="276" w:lineRule="auto"/>
        <w:ind w:right="0" w:hanging="425"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Hồ sơ, tài liệu, chứng từ liên quan đến tài sản thẩm định giá.</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III. TỔNG QUAN VỀ THỊ TRƯỜNG CỦA TÀI SẢN THẨM ĐỊNH GIÁ</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Bước sang năm 2026, thị trường bất động sản Hà Nội được kỳ vọng bước vào chu kỳ tăng trưởng mới với nền tảng hạ tầng, pháp lý và chính sách ngày càng rõ nét. Thay vì những cơn “sốt nóng”, thị trường vận động theo hướng chọn lọc, phân hóa mạnh, lấy nhu cầu </w:t>
      </w:r>
      <w:r>
        <w:rPr>
          <w:rFonts w:ascii="Times New Roman" w:hAnsi="Times New Roman" w:eastAsia="Times New Roman" w:cs="Times New Roman"/>
          <w:color w:val="000000" w:themeColor="text1"/>
          <w:sz w:val="24"/>
        </w:rPr>
        <w:t xml:space="preserve">ở thực, chất lượng dự án và năng lực doanh nghiệp làm trụ cột phát triển bền vững.</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Trong bối cảnh kinh tế vĩ mô dần ổn định, khuôn khổ pháp lý được hoàn thiện và đầu tư công tiếp tục giữ vai trò "đầu kéo", bất động sản Thủ đô bước vào một chu kỳ phát triển mới – thận trọng hơn, thực chất hơn và lấy hạ tầng làm động lực trung tâm. Thay vì</w:t>
      </w:r>
      <w:r>
        <w:rPr>
          <w:rFonts w:ascii="Times New Roman" w:hAnsi="Times New Roman" w:eastAsia="Times New Roman" w:cs="Times New Roman"/>
          <w:color w:val="000000" w:themeColor="text1"/>
          <w:sz w:val="24"/>
        </w:rPr>
        <w:t xml:space="preserve"> những cơn "sốt nóng" ngắn hạn, thị trường năm 2026 được kỳ vọng tăng trưởng trên nền tảng bền vững, gắn chặt với quy hoạch đô thị, nhu cầu ở thực và năng lực triển khai của doanh nghiệp.</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Hạ tầng – "xương sống" mở không gian phát triển mới</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Trong nhiều năm qua, hạ tầng giao thông luôn là yếu tố then chốt định hình không gian phát triển đô thị Hà Nội. Đến năm 2026, vai trò này càng trở nên rõ rệt khi hàng loạt dự án trọng điểm được triển khai đồng bộ, tạo lực đẩy dài hạn cho thị trường bất độn</w:t>
      </w:r>
      <w:r>
        <w:rPr>
          <w:rFonts w:ascii="Times New Roman" w:hAnsi="Times New Roman" w:eastAsia="Times New Roman" w:cs="Times New Roman"/>
          <w:color w:val="000000" w:themeColor="text1"/>
          <w:sz w:val="24"/>
        </w:rPr>
        <w:t xml:space="preserve">g sản.</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Dự án đường Vành đai 4 – Vùng Thủ đô, với quy mô hơn 85.000 tỷ đồng, được coi là "đòn bẩy chiến lược" mở rộng không gian phát triển về các hướng Bắc, Tây và Nam. Khi tuyến đường này từng bước thành hình, các khu vực vốn nằm ngoài trung tâm truyền thống sẽ </w:t>
      </w:r>
      <w:r>
        <w:rPr>
          <w:rFonts w:ascii="Times New Roman" w:hAnsi="Times New Roman" w:eastAsia="Times New Roman" w:cs="Times New Roman"/>
          <w:color w:val="000000" w:themeColor="text1"/>
          <w:sz w:val="24"/>
        </w:rPr>
        <w:t xml:space="preserve">có điều kiện kết nối thuận lợi hơn, qua đó gia tăng sức hấp dẫn với các dự án đô thị, khu nhà ở và dịch vụ.</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Cùng với đó, hệ thống các tuyến vành đai, trục hướng tâm, các cây cầu vượt sông Hồng và mạng lưới đường sắt đô thị đang dần hoàn thiện, tạo nên cấu trúc giao thông đa lớp cho Thủ đô. PGS.TS Trần Đình Thiên, nguyên Viện trưởng Viện Kinh tế Việt Nam cho rằng</w:t>
      </w:r>
      <w:r>
        <w:rPr>
          <w:rFonts w:ascii="Times New Roman" w:hAnsi="Times New Roman" w:eastAsia="Times New Roman" w:cs="Times New Roman"/>
          <w:color w:val="000000" w:themeColor="text1"/>
          <w:sz w:val="24"/>
        </w:rPr>
        <w:t xml:space="preserve">, hạ tầng giao thông không chỉ đóng vai trò hỗ trợ mà còn mang tính quyết định đối với việc Hà Nội chuyển sang mô hình đô thị đa trung tâm. Khi giao thông đi trước, dòng vốn đầu tư, dân cư và các hoạt động kinh tế sẽ dịch chuyển theo, tạo nền tảng cho tăng</w:t>
      </w:r>
      <w:r>
        <w:rPr>
          <w:rFonts w:ascii="Times New Roman" w:hAnsi="Times New Roman" w:eastAsia="Times New Roman" w:cs="Times New Roman"/>
          <w:color w:val="000000" w:themeColor="text1"/>
          <w:sz w:val="24"/>
        </w:rPr>
        <w:t xml:space="preserve"> trưởng bất động sản dài hạn.</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Thực tế thị trường cho thấy, các khu vực hưởng lợi trực tiếp từ hạ tầng đều ghi nhận sự cải thiện rõ rệt về giá trị và thanh khoản. Tây Hà Nội, với trục Đại lộ Thăng Long, các tuyến Vành đai 3, 3,5 và định hướng tuyến metro số 5 (Văn Cao – Hòa Lạc), đang n</w:t>
      </w:r>
      <w:r>
        <w:rPr>
          <w:rFonts w:ascii="Times New Roman" w:hAnsi="Times New Roman" w:eastAsia="Times New Roman" w:cs="Times New Roman"/>
          <w:color w:val="000000" w:themeColor="text1"/>
          <w:sz w:val="24"/>
        </w:rPr>
        <w:t xml:space="preserve">ổi lên như một cực phát triển mới. Ở phía Đông, hệ thống cầu vượt sông Hồng, cùng quy hoạch chỉnh trang đô thị ven sông, tiếp tục mở ra dư địa cho các dự án nhà ở và đô thị sinh thái.</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Thị trường chuyển từ "tăng nóng" sang tăng trưởng chọn lọc</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Nếu như giai đoạn trước, thị trường bất động sản Hà Nội từng chứng kiến những đợt tăng giá nhanh ở một số phân khúc, thì bước sang năm 2026, xu hướng chủ đạo là tăng trưởng có chọn lọc. Dòng tiền không còn chạy theo "sóng ngắn" mà ưu tiên những khu vực có </w:t>
      </w:r>
      <w:r>
        <w:rPr>
          <w:rFonts w:ascii="Times New Roman" w:hAnsi="Times New Roman" w:eastAsia="Times New Roman" w:cs="Times New Roman"/>
          <w:color w:val="000000" w:themeColor="text1"/>
          <w:sz w:val="24"/>
        </w:rPr>
        <w:t xml:space="preserve">quy hoạch rõ ràng, hạ tầng đồng bộ và nhu cầu ở thực ổn định.</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Theo ông Nguyễn Văn Đính, Chủ tịch Hội Môi giới Bất động sản Việt Nam (VARS), thị trường bất động sản Hà Nội sẽ không tăng trưởng theo kiểu nóng mà dựa trên nền tảng hạ tầng và nhu cầu thật. Những dự án gắn với các tuyến giao thông lớn, pháp lý minh bạch v</w:t>
      </w:r>
      <w:r>
        <w:rPr>
          <w:rFonts w:ascii="Times New Roman" w:hAnsi="Times New Roman" w:eastAsia="Times New Roman" w:cs="Times New Roman"/>
          <w:color w:val="000000" w:themeColor="text1"/>
          <w:sz w:val="24"/>
        </w:rPr>
        <w:t xml:space="preserve">à được triển khai bài bản sẽ trở thành động lực chính của thị trường trong năm 2026.</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Số liệu từ các đơn vị nghiên cứu cho thấy, trong giai đoạn gần đây, giá bất động sản tại những khu vực bám trục hạ tầng lớn của Hà Nội vẫn duy trì mức tăng ổn định, trong khi thanh khoản dần cải thiện. Điều này phản ánh sự dịch chuyển của dòng tiền sang cá</w:t>
      </w:r>
      <w:r>
        <w:rPr>
          <w:rFonts w:ascii="Times New Roman" w:hAnsi="Times New Roman" w:eastAsia="Times New Roman" w:cs="Times New Roman"/>
          <w:color w:val="000000" w:themeColor="text1"/>
          <w:sz w:val="24"/>
        </w:rPr>
        <w:t xml:space="preserve">c phân khúc an toàn hơn, hạn chế rủi ro và có tiềm năng tăng trưởng dài hạn.</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Nguồn cung lớn, thị trường phân hóa rõ nét</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Một đặc điểm nổi bật của thị trường năm 2026 là sự gia tăng mạnh mẽ của nguồn cung, đặc biệt ở phân khúc căn hộ. Dự báo cho thấy, Hà Nội sẽ đón nhận lượng lớn sản phẩm mới từ hàng chục dự án được tháo gỡ vướng mắc pháp lý và tái khởi động. Điều này vừa tạo</w:t>
      </w:r>
      <w:r>
        <w:rPr>
          <w:rFonts w:ascii="Times New Roman" w:hAnsi="Times New Roman" w:eastAsia="Times New Roman" w:cs="Times New Roman"/>
          <w:color w:val="000000" w:themeColor="text1"/>
          <w:sz w:val="24"/>
        </w:rPr>
        <w:t xml:space="preserve"> cơ hội cho người mua, vừa đặt ra thách thức cho doanh nghiệp phát triển dự án.</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Ông David Jackson, Tổng Giám đốc Avison Young Việt Nam nhận định, thị trường căn hộ đang bước vào giai đoạn bản lề. Phân khúc này tiếp tục giữ vai trò chủ đạo trong giai đoạn 2025–2026, song sự phát triển sẽ không đồng đều. Các dự án có vị trí thuận lợi, k</w:t>
      </w:r>
      <w:r>
        <w:rPr>
          <w:rFonts w:ascii="Times New Roman" w:hAnsi="Times New Roman" w:eastAsia="Times New Roman" w:cs="Times New Roman"/>
          <w:color w:val="000000" w:themeColor="text1"/>
          <w:sz w:val="24"/>
        </w:rPr>
        <w:t xml:space="preserve">ết nối hạ tầng tốt, pháp lý hoàn chỉnh và chủ đầu tư uy tín sẽ duy trì thanh khoản, trong khi những dự án xa trung tâm, thiếu tiện ích hoặc định giá vượt khả năng chi trả của số đông sẽ gặp khó.</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Cùng quan điểm, bà Đỗ Thị Thu Hằng, Giám đốc Cấp cao, Bộ phận Nghiên cứu và Tư vấn, Savills Hà Nội cho rằng, những dòng sản phẩm diện tích vừa và nhỏ, đặc biệt là căn hộ một đến hai phòng ngủ, vẫn có sức hút lớn nhờ phù hợp với nhu cầu ở thực. Trong khi đó</w:t>
      </w:r>
      <w:r>
        <w:rPr>
          <w:rFonts w:ascii="Times New Roman" w:hAnsi="Times New Roman" w:eastAsia="Times New Roman" w:cs="Times New Roman"/>
          <w:color w:val="000000" w:themeColor="text1"/>
          <w:sz w:val="24"/>
        </w:rPr>
        <w:t xml:space="preserve">, phân khúc nhà ở vừa túi tiền và nhà ở xã hội được kỳ vọng sẽ dần cải thiện nguồn cung khi các chính sách mới được triển khai đồng bộ.</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Chính sách và pháp lý – điểm tựa cho chu kỳ mới</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Năm 2026 được xem là thời điểm các chính sách pháp luật về đất đai, nhà ở và kinh doanh bất động sản phát huy hiệu quả rõ nét hơn. Việc tháo gỡ vướng mắc cho hàng nghìn dự án tồn đọng không chỉ giúp giải phóng nguồn lực lớn cho nền kinh tế mà còn bổ sung n</w:t>
      </w:r>
      <w:r>
        <w:rPr>
          <w:rFonts w:ascii="Times New Roman" w:hAnsi="Times New Roman" w:eastAsia="Times New Roman" w:cs="Times New Roman"/>
          <w:color w:val="000000" w:themeColor="text1"/>
          <w:sz w:val="24"/>
        </w:rPr>
        <w:t xml:space="preserve">guồn cung đáng kể cho thị trường.</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Các cơ chế mới liên quan đến định giá đất, thu hồi đất và mở rộng khả năng tiếp cận quỹ đất được kỳ vọng sẽ rút ngắn thời gian chuẩn bị dự án, giảm chi phí và tăng tính minh bạch. Điều này giúp thị trường vận hành lành mạnh hơn, hạn chế tình trạng "treo" d</w:t>
      </w:r>
      <w:r>
        <w:rPr>
          <w:rFonts w:ascii="Times New Roman" w:hAnsi="Times New Roman" w:eastAsia="Times New Roman" w:cs="Times New Roman"/>
          <w:color w:val="000000" w:themeColor="text1"/>
          <w:sz w:val="24"/>
        </w:rPr>
        <w:t xml:space="preserve">ự án kéo dài, đồng thời tạo niềm tin cho nhà đầu tư và người mua nhà.</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Bước vào năm 2026, mặt bằng lãi suất được dự báo duy trì ở mức tương đối ổn định, dù có thể xuất hiện những điều chỉnh kỹ thuật. Ông Nguyễn Quốc Anh, Phó Tổng Giám đốc Batdongsan.com.vn cho rằng, mức lãi suất cho vay phổ biến quanh 6–7%/năm vẫn nằm trong v</w:t>
      </w:r>
      <w:r>
        <w:rPr>
          <w:rFonts w:ascii="Times New Roman" w:hAnsi="Times New Roman" w:eastAsia="Times New Roman" w:cs="Times New Roman"/>
          <w:color w:val="000000" w:themeColor="text1"/>
          <w:sz w:val="24"/>
        </w:rPr>
        <w:t xml:space="preserve">ùng hỗ trợ giao dịch, khác xa giai đoạn "cú sốc kép" năm 2022.</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Ở góc nhìn vĩ mô, TS. Cấn Văn Lực, Chuyên gia Kinh tế trưởng Ngân hàng BIDV, Thành viên Hội đồng Tư vấn chính sách tài chính – tiền tệ quốc gia – nhận định, lãi suất thấp trong giai đoạn tới sẽ không còn kích hoạt đầu cơ mạnh như trước, mà thúc đẩy thị trư</w:t>
      </w:r>
      <w:r>
        <w:rPr>
          <w:rFonts w:ascii="Times New Roman" w:hAnsi="Times New Roman" w:eastAsia="Times New Roman" w:cs="Times New Roman"/>
          <w:color w:val="000000" w:themeColor="text1"/>
          <w:sz w:val="24"/>
        </w:rPr>
        <w:t xml:space="preserve">ờng phát triển ổn định hơn. Người mua ngày càng thận trọng, ưu tiên pháp lý rõ ràng, chất lượng sản phẩm và uy tín chủ đầu tư – những yếu tố then chốt để hình thành chu kỳ tăng trưởng bền vững.</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Triển vọng 2026: tăng trưởng bền vững trên nền tảng mới</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Với nguồn cung tăng mạnh và người mua ngày càng kỹ tính, năm 2026 được xem là giai đoạn sàng lọc rõ nét đối với các doanh nghiệp bất động sản. Những chủ đầu tư có quỹ đất sạch, năng lực tài chính lành mạnh và chiến lược phát triển sản phẩm phù hợp sẽ có cơ</w:t>
      </w:r>
      <w:r>
        <w:rPr>
          <w:rFonts w:ascii="Times New Roman" w:hAnsi="Times New Roman" w:eastAsia="Times New Roman" w:cs="Times New Roman"/>
          <w:color w:val="000000" w:themeColor="text1"/>
          <w:sz w:val="24"/>
        </w:rPr>
        <w:t xml:space="preserve"> hội bứt phá. Ngược lại, các doanh nghiệp yếu về pháp lý, phụ thuộc nhiều vào đòn bẩy tài chính hoặc chạy theo đầu cơ ngắn hạn có thể tiếp tục bị đào thải.</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Cuộc cạnh tranh không chỉ dừng ở giá bán mà còn mở rộng sang tiến độ thi công, chất lượng xây dựng, dịch vụ hậu mãi và cam kết vận hành. Trong bối cảnh đó, niềm tin của người mua trở thành tài sản quan trọng nhất mà doanh nghiệp phải gìn giữ.</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Nhìn tổng thể, bức tranh thị trường bất động sản Hà Nội năm 2026 mang gam màu tích cực nhưng không kém phần thận trọng. Hạ tầng tiếp tục đóng vai trò "dẫn lối", chính sách và pháp lý tạo điểm tựa, trong khi nhu cầu ở thực giữ vai trò chủ đạo. Thị trường kh</w:t>
      </w:r>
      <w:r>
        <w:rPr>
          <w:rFonts w:ascii="Times New Roman" w:hAnsi="Times New Roman" w:eastAsia="Times New Roman" w:cs="Times New Roman"/>
          <w:color w:val="000000" w:themeColor="text1"/>
          <w:sz w:val="24"/>
        </w:rPr>
        <w:t xml:space="preserve">ông còn chỗ cho những cơn sốt ảo, mà hướng tới tăng trưởng ổn định, gắn với chất lượng đô thị và chất lượng sống.</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Với những nền tảng đó, bất động sản Hà Nội trong năm 2026 được kỳ vọng sẽ bước vào chu kỳ phát triển mới – bền vững hơn, minh bạch hơn và đóng góp hiệu quả hơn cho tăng trưởng kinh tế – xã hội của Thủ đô.</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(Nguồn: https://thanglong.chinhphu.vn/buc-tranh-thi-truong-bat-dong-san-ha-noi-nam-2026-ha-tang-dan-dat-thi-truong-buoc-vao-chu-ky-tang-truong-moi-103260101181315972.htm)</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cs="Times New Roman"/>
          <w:color w:val="000000" w:themeColor="text1"/>
          <w:highlight w:val="none"/>
        </w:rPr>
      </w:pPr>
      <w:r>
        <w:rPr>
          <w:rFonts w:ascii="Times New Roman" w:hAnsi="Times New Roman" w:eastAsia="Times New Roman" w:cs="Times New Roman"/>
          <w:b/>
          <w:color w:val="000000" w:themeColor="text1"/>
          <w:sz w:val="24"/>
        </w:rPr>
        <w:t xml:space="preserve">IV. THÔNG TIN VỀ TÀI SẢN THẨM ĐỊNH GIÁ</w:t>
      </w:r>
      <w:r>
        <w:rPr>
          <w:rFonts w:ascii="Times New Roman" w:hAnsi="Times New Roman" w:cs="Times New Roman"/>
          <w:color w:val="000000" w:themeColor="text1"/>
        </w:rPr>
      </w:r>
      <w:r>
        <w:rPr>
          <w:rFonts w:ascii="Times New Roman" w:hAnsi="Times New Roman" w:cs="Times New Roman"/>
          <w:color w:val="000000" w:themeColor="text1"/>
          <w:highlight w:val="none"/>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cs="Times New Roman"/>
          <w:color w:val="000000" w:themeColor="text1"/>
        </w:rPr>
      </w:pPr>
      <w:r>
        <w:rPr>
          <w:rFonts w:ascii="Times New Roman" w:hAnsi="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cs="Times New Roman"/>
          <w:color w:val="000000" w:themeColor="text1"/>
        </w:rPr>
      </w:pP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r>
        <w:rPr>
          <w:rFonts w:ascii="Times New Roman" w:hAnsi="Times New Roman" w:cs="Times New Roman"/>
          <w:color w:val="000000" w:themeColor="text1"/>
        </w:rPr>
      </w:r>
    </w:p>
    <w:p>
      <w:pPr>
        <w:numPr>
          <w:ilvl w:val="0"/>
          <w:numId w:val="43"/>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Thửa đất 2</w:t>
      </w:r>
      <w:r>
        <w:rPr>
          <w:rFonts w:ascii="Times New Roman" w:hAnsi="Times New Roman" w:eastAsia="Times New Roman" w:cs="Times New Roman"/>
          <w:b/>
          <w:color w:val="000000" w:themeColor="text1"/>
          <w:sz w:val="20"/>
          <w:vertAlign w:val="superscript"/>
        </w:rPr>
        <w:t xml:space="preserve">b</w:t>
      </w:r>
      <w:r>
        <w:rPr>
          <w:rFonts w:ascii="Times New Roman" w:hAnsi="Times New Roman" w:eastAsia="Times New Roman" w:cs="Times New Roman"/>
          <w:b/>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5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2252"/>
        <w:gridCol w:w="2186"/>
        <w:gridCol w:w="2313"/>
        <w:gridCol w:w="2184"/>
      </w:tblGrid>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Tên tài sản</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Quyền sử dụng đất tại thửa đất số: 2</w:t>
            </w:r>
            <w:r>
              <w:rPr>
                <w:rFonts w:ascii="Times New Roman" w:hAnsi="Times New Roman" w:eastAsia="Times New Roman" w:cs="Times New Roman"/>
                <w:b/>
                <w:color w:val="000000" w:themeColor="text1"/>
                <w:sz w:val="20"/>
                <w:vertAlign w:val="superscript"/>
              </w:rPr>
              <w:t xml:space="preserve">b</w:t>
            </w:r>
            <w:r>
              <w:rPr>
                <w:rFonts w:ascii="Times New Roman" w:hAnsi="Times New Roman" w:eastAsia="Times New Roman" w:cs="Times New Roman"/>
                <w:b/>
                <w:color w:val="000000" w:themeColor="text1"/>
                <w:sz w:val="24"/>
              </w:rPr>
              <w:t xml:space="preserve">, tờ bản đồ số: 26 có địa chỉ: K9 Thường Lệ, Đại Thịnh, huyện Mê Linh, tỉnh Vĩnh Phúc (nay là xã Quang Minh, thành phố Hà Nội)  theo Giấy chứng nhận quyền sử dụng đất số: G 443584, số vào sổ cấp GCN: 1108QSDĐ do UBND huyện Mê Linh cấp ngày 02/7/1996 cho ôn</w:t>
            </w:r>
            <w:r>
              <w:rPr>
                <w:rFonts w:ascii="Times New Roman" w:hAnsi="Times New Roman" w:eastAsia="Times New Roman" w:cs="Times New Roman"/>
                <w:b/>
                <w:color w:val="000000" w:themeColor="text1"/>
                <w:sz w:val="24"/>
              </w:rPr>
              <w:t xml:space="preserve">g Trịnh Minh Tỉnh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Nội dung Thửa đất theo Hồ sơ pháp lý</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Thửa đất 2</w:t>
            </w:r>
            <w:r>
              <w:rPr>
                <w:rFonts w:ascii="Times New Roman" w:hAnsi="Times New Roman" w:eastAsia="Times New Roman" w:cs="Times New Roman"/>
                <w:b/>
                <w:color w:val="000000" w:themeColor="text1"/>
                <w:sz w:val="20"/>
                <w:vertAlign w:val="superscript"/>
              </w:rPr>
              <w:t xml:space="preserve">b</w:t>
            </w:r>
            <w:r>
              <w:rPr>
                <w:rFonts w:ascii="Times New Roman" w:hAnsi="Times New Roman" w:eastAsia="Times New Roman" w:cs="Times New Roman"/>
                <w:b/>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Thửa đất số: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8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w:t>
            </w:r>
            <w:r>
              <w:rPr>
                <w:rFonts w:ascii="Times New Roman" w:hAnsi="Times New Roman" w:eastAsia="Times New Roman" w:cs="Times New Roman"/>
                <w:color w:val="000000" w:themeColor="text1"/>
                <w:sz w:val="20"/>
                <w:vertAlign w:val="superscript"/>
              </w:rPr>
              <w:t xml:space="preserve">b</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Tờ bản đồ số: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26</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Địa chỉ:</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K9 Thường Lệ, Đại Thịnh, huyện Mê Linh, tỉnh Vĩnh Phúc (nay là xã Quang Minh, thành phố Hà Nội)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8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thức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8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Thời hạn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Lâu dài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Thông tin quy hoạch:</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Thông qua nguồn tin kiểm tra quy hoạch từ website Meeymap.com, tổ thẩm định nhận thấy thửa đất có 168,25 m2 thuộc quy hoạch đất ở, phần diện tích còn lại thuộc quy hoạch hành lang giao thông, tỷ lệ 1/2000 theo đồ án Quy hoạch phân khu N1, quyết định Quyết </w:t>
            </w:r>
            <w:r>
              <w:rPr>
                <w:rFonts w:ascii="Times New Roman" w:hAnsi="Times New Roman" w:eastAsia="Times New Roman" w:cs="Times New Roman"/>
                <w:color w:val="000000" w:themeColor="text1"/>
                <w:sz w:val="24"/>
              </w:rPr>
              <w:t xml:space="preserve">định số 1911/QĐ-UBND. Cụ thể như sau:</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5743575" cy="290512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32344" name=""/>
                              <pic:cNvPicPr>
                                <a:picLocks noChangeAspect="1"/>
                              </pic:cNvPicPr>
                              <pic:nvPr/>
                            </pic:nvPicPr>
                            <pic:blipFill rotWithShape="1">
                              <a:blip r:embed="rId17"/>
                              <a:stretch/>
                            </pic:blipFill>
                            <pic:spPr bwMode="auto">
                              <a:xfrm>
                                <a:off x="0" y="0"/>
                                <a:ext cx="5743574" cy="29051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52.25pt;height:228.75pt;mso-wrap-distance-left:0.00pt;mso-wrap-distance-top:0.00pt;mso-wrap-distance-right:0.00pt;mso-wrap-distance-bottom:0.00pt;z-index:1;" stroked="false">
                      <v:imagedata r:id="rId17" o:title=""/>
                      <o:lock v:ext="edit" rotation="t"/>
                    </v:shape>
                  </w:pict>
                </mc:Fallback>
              </mc:AlternateContent>
            </w: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Về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2.1</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Vị trí; Giao thông;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Địa chỉ thực tế: </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K9 Thường Lệ, Đại Thịnh, huyện Mê Linh, tỉnh Vĩnh Phúc (nay là xã Quang Minh, thành phố Hà Nội)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Đường tiếp giáp chính: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8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Đường nhựa asphalt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Số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 mặt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Mặt cắt đường/ngõ nhỏ nhất từ đường chính dẫn đến tài sản thẩm định giá:</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8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Lòng đường rộng khoảng 10m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Mặt cắt đường/ngõ trước mặt tài sản thẩm định giá:</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Lòng đường rộng khoảng 10m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Khoảng cách đến trục đường chính:</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tiếp giáp đường QL23, cách UBND xã Quang Minh khoảng 1,8km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Vị trí trên bản đồ vệ tinh: (</w:t>
            </w:r>
            <w:r>
              <w:rPr>
                <w:rFonts w:ascii="Times New Roman" w:hAnsi="Times New Roman" w:eastAsia="Times New Roman" w:cs="Times New Roman"/>
                <w:color w:val="000000" w:themeColor="text1"/>
                <w:sz w:val="24"/>
              </w:rPr>
              <w:t xml:space="preserve">21.175065, 105.731542)</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mc:AlternateContent>
                <mc:Choice Requires="wpg">
                  <w:drawing>
                    <wp:inline xmlns:wp="http://schemas.openxmlformats.org/drawingml/2006/wordprocessingDrawing" distT="0" distB="0" distL="0" distR="0">
                      <wp:extent cx="5591175" cy="3286125"/>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862139" name=""/>
                              <pic:cNvPicPr>
                                <a:picLocks noChangeAspect="1"/>
                              </pic:cNvPicPr>
                              <pic:nvPr/>
                            </pic:nvPicPr>
                            <pic:blipFill rotWithShape="1">
                              <a:blip r:embed="rId18"/>
                              <a:stretch/>
                            </pic:blipFill>
                            <pic:spPr bwMode="auto">
                              <a:xfrm>
                                <a:off x="0" y="0"/>
                                <a:ext cx="5591174" cy="32861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40.25pt;height:258.75pt;mso-wrap-distance-left:0.00pt;mso-wrap-distance-top:0.00pt;mso-wrap-distance-right:0.00pt;mso-wrap-distance-bottom:0.00pt;z-index:1;" stroked="false">
                      <v:imagedata r:id="rId18"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2.2.</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Diện tích; Kích thước; Hình dáng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sử dụng riêng thực tế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8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sử dụng chung thực tế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KT mặt tiền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8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Chiều sâu (m):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27</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dáng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8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Thóp hậu</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Hướng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Hướng Bắc</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2.3.</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Điều kiện kinh doanh; Hạ tầng nội bộ; Hạ tầng xung quanh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nội bộ:</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cấp nước: Nước máy, Hạ tầng thoát nước: Tự nhiên, Hạ tầng cấp điện: Điện lưới, Hạ tầng thông tin liên lạc: Điện thoại, Mạng internet, Truyền hình cáp</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xung quanh:</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Môi trường trong lành, an ninh đảm bảo, dân trí tốt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Mật độ dân cư:</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8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Đông đúc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Đời sống dân cư:</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Ổn định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8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Tốt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1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Khả năng chuyển nhượng: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Tốt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Tài sản gắn liền với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eastAsia="Times New Roman" w:cs="Times New Roman"/>
                <w:color w:val="000000" w:themeColor="text1"/>
                <w:sz w:val="24"/>
              </w:rPr>
              <w:t xml:space="preserve">01 Nhà 3 tầng, kết cấu tường gạch, khung, sàn bê tông cốt thép, mái đổ bê tông và lợp tôn. Hiện đang sử dụng bình thường. Ngoại quan đã cũ. Hiện công trình xây dựng trên chưa được chứng nhận trên Giấy chứng nhận quyền sử dụng đất số G 443584.</w:t>
            </w:r>
            <w:r>
              <w:rPr>
                <w:rFonts w:ascii="Times New Roman" w:hAnsi="Times New Roman" w:cs="Times New Roman"/>
                <w:color w:val="000000" w:themeColor="text1"/>
              </w:rPr>
            </w:r>
            <w:r>
              <w:rPr>
                <w:rFonts w:ascii="Times New Roman" w:hAnsi="Times New Roman" w:cs="Times New Roman"/>
                <w:color w:val="000000" w:themeColor="text1"/>
              </w:rPr>
            </w:r>
          </w:p>
        </w:tc>
      </w:tr>
    </w:tbl>
    <w:p>
      <w:pPr>
        <w:pBdr/>
        <w:spacing w:line="276" w:lineRule="auto"/>
        <w:ind w:right="0" w:firstLine="0" w:left="0"/>
        <w:jc w:val="both"/>
        <w:rPr>
          <w:rFonts w:ascii="Times New Roman" w:hAnsi="Times New Roman" w:cs="Times New Roman"/>
          <w:b/>
          <w:bCs/>
          <w:color w:val="000000" w:themeColor="text1"/>
          <w:u w:val="single"/>
        </w:rPr>
      </w:pPr>
      <w:r>
        <w:rPr>
          <w:rFonts w:ascii="Times New Roman" w:hAnsi="Times New Roman" w:eastAsia="Times New Roman" w:cs="Times New Roman"/>
          <w:b/>
          <w:bCs/>
          <w:color w:val="000000" w:themeColor="text1"/>
          <w:u w:val="single"/>
        </w:rPr>
        <w:t xml:space="preserve">Các</w:t>
      </w:r>
      <w:r>
        <w:rPr>
          <w:rFonts w:ascii="Times New Roman" w:hAnsi="Times New Roman" w:eastAsia="Times New Roman" w:cs="Times New Roman"/>
          <w:b/>
          <w:bCs/>
          <w:color w:val="000000" w:themeColor="text1"/>
          <w:u w:val="single"/>
        </w:rPr>
        <w:t xml:space="preserve"> lợi thế thương mại </w:t>
      </w:r>
      <w:r>
        <w:rPr>
          <w:rFonts w:ascii="Times New Roman" w:hAnsi="Times New Roman" w:eastAsia="Times New Roman" w:cs="Times New Roman"/>
          <w:b/>
          <w:bCs/>
          <w:color w:val="000000" w:themeColor="text1"/>
          <w:u w:val="single"/>
        </w:rPr>
        <w:t xml:space="preserve">của thửa đất:</w:t>
      </w:r>
      <w:r>
        <w:rPr>
          <w:rFonts w:ascii="Times New Roman" w:hAnsi="Times New Roman" w:cs="Times New Roman"/>
          <w:b/>
          <w:bCs/>
          <w:color w:val="000000" w:themeColor="text1"/>
          <w:u w:val="single"/>
        </w:rPr>
      </w:r>
      <w:r>
        <w:rPr>
          <w:rFonts w:ascii="Times New Roman" w:hAnsi="Times New Roman" w:cs="Times New Roman"/>
          <w:b/>
          <w:bCs/>
          <w:color w:val="000000" w:themeColor="text1"/>
          <w:u w:val="single"/>
        </w:rPr>
      </w:r>
    </w:p>
    <w:p>
      <w:pPr>
        <w:pBdr/>
        <w:spacing w:line="276" w:lineRule="auto"/>
        <w:ind w:left="284"/>
        <w:jc w:val="both"/>
        <w:rPr>
          <w:rFonts w:ascii="Times New Roman" w:hAnsi="Times New Roman" w:cs="Times New Roman"/>
          <w:b/>
          <w:bCs/>
          <w:color w:val="000000" w:themeColor="text1"/>
          <w:u w:val="single"/>
        </w:rPr>
      </w:pPr>
      <w:r>
        <w:rPr>
          <w:rFonts w:ascii="Times New Roman" w:hAnsi="Times New Roman" w:eastAsia="Times New Roman" w:cs="Times New Roman"/>
          <w:b/>
          <w:bCs/>
          <w:color w:val="000000" w:themeColor="text1"/>
          <w:u w:val="single"/>
        </w:rPr>
      </w:r>
      <w:r>
        <w:rPr>
          <w:rFonts w:ascii="Times New Roman" w:hAnsi="Times New Roman" w:cs="Times New Roman"/>
          <w:b/>
          <w:bCs/>
          <w:color w:val="000000" w:themeColor="text1"/>
          <w:u w:val="single"/>
        </w:rPr>
      </w:r>
      <w:r>
        <w:rPr>
          <w:rFonts w:ascii="Times New Roman" w:hAnsi="Times New Roman" w:cs="Times New Roman"/>
          <w:b/>
          <w:bCs/>
          <w:color w:val="000000" w:themeColor="text1"/>
          <w:u w:val="single"/>
        </w:rPr>
      </w:r>
    </w:p>
    <w:tbl>
      <w:tblPr>
        <w:tblW w:w="5024" w:type="pct"/>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Spacing w:w="0" w:type="dxa"/>
        <w:tblLook w:val="04A0" w:firstRow="1" w:lastRow="0" w:firstColumn="1" w:lastColumn="0" w:noHBand="0" w:noVBand="1"/>
      </w:tblPr>
      <w:tblGrid>
        <w:gridCol w:w="612"/>
        <w:gridCol w:w="3828"/>
        <w:gridCol w:w="1560"/>
        <w:gridCol w:w="3571"/>
      </w:tblGrid>
      <w:tr>
        <w:trPr>
          <w:cantSplit/>
          <w:tblCellSpacing w:w="0" w:type="dxa"/>
          <w:trHeight w:val="300"/>
          <w:tblHeader/>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t xml:space="preserve">STT</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t xml:space="preserve">Nội dung</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819" w:type="pct"/>
            <w:vAlign w:val="center"/>
            <w:textDirection w:val="lrTb"/>
            <w:noWrap w:val="false"/>
          </w:tcPr>
          <w:p>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1874" w:type="pct"/>
            <w:vAlign w:val="center"/>
            <w:textDirection w:val="lrTb"/>
            <w:noWrap w:val="false"/>
          </w:tcPr>
          <w:p>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t xml:space="preserve">Ghi chú</w:t>
            </w:r>
            <w:r>
              <w:rPr>
                <w:rFonts w:ascii="Times New Roman" w:hAnsi="Times New Roman" w:cs="Times New Roman"/>
                <w:b/>
                <w:bCs/>
                <w:color w:val="000000" w:themeColor="text1"/>
              </w:rPr>
            </w:r>
            <w:r>
              <w:rPr>
                <w:rFonts w:ascii="Times New Roman" w:hAnsi="Times New Roman" w:cs="Times New Roman"/>
                <w:b/>
                <w:bCs/>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Đất/Tài sản bám biển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bám hồ (Diện tích &gt;=5ha thì được coi là hồ)</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Bám đầm, ao lớn thuộc sở hữu nhà nước (ao lớn - S=0.5ha)&lt;5ha</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Thế đất tọa sơn hướng thủy 'hậu tựa núi, trước view sông, hồ, đầm', view thoáng, không bị che khuất, loại đất rất được ưa chuộng nghỉ dưỡng, nhà nghỉ cao cấp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View hồ sông, sông, suối, đầm, ao lớn (S=0.5ha), ruộng lúa, đồi núi xa, ngắm hoàng hôn, bình minh xa soi mặt nước, thơ mộng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Đường vào thoáng không đâm thẳng cửa chính 'Thế tránh tiễn khí'</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Có yếu tố 'Linh' gắn với tiếng lành, tài lộc, đại danh, văn hóa, truyền thuyết được xem là khu địa linh nhân kiệt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Đất/tài sản liền kề, đối diện vườn hoa, khu thể thao, bể bơi (không đối diện nhà ở) để được xe hơi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view công viên, vườn hoa, khu thể thao, bể bơi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bl>
    <w:p>
      <w:pPr>
        <w:pBdr/>
        <w:spacing w:after="120" w:before="120" w:line="276" w:lineRule="auto"/>
        <w:ind w:right="0" w:firstLine="0" w:left="0"/>
        <w:jc w:val="both"/>
        <w:rPr>
          <w:rFonts w:ascii="Times New Roman" w:hAnsi="Times New Roman" w:cs="Times New Roman"/>
          <w:b/>
          <w:bCs/>
          <w:color w:val="000000" w:themeColor="text1"/>
          <w:u w:val="single"/>
        </w:rPr>
      </w:pPr>
      <w:r>
        <w:rPr>
          <w:rFonts w:ascii="Times New Roman" w:hAnsi="Times New Roman" w:eastAsia="Times New Roman" w:cs="Times New Roman"/>
          <w:b/>
          <w:bCs/>
          <w:color w:val="000000" w:themeColor="text1"/>
          <w:u w:val="single"/>
        </w:rPr>
        <w:t xml:space="preserve">Các </w:t>
      </w:r>
      <w:r>
        <w:rPr>
          <w:rFonts w:ascii="Times New Roman" w:hAnsi="Times New Roman" w:eastAsia="Times New Roman" w:cs="Times New Roman"/>
          <w:b/>
          <w:bCs/>
          <w:color w:val="000000" w:themeColor="text1"/>
          <w:u w:val="single"/>
        </w:rPr>
        <w:t xml:space="preserve">bất lợi thương mại</w:t>
      </w:r>
      <w:r>
        <w:rPr>
          <w:rFonts w:ascii="Times New Roman" w:hAnsi="Times New Roman" w:eastAsia="Times New Roman" w:cs="Times New Roman"/>
          <w:b/>
          <w:bCs/>
          <w:color w:val="000000" w:themeColor="text1"/>
          <w:u w:val="single"/>
        </w:rPr>
        <w:t xml:space="preserve"> của thửa đất:</w:t>
      </w:r>
      <w:r>
        <w:rPr>
          <w:rFonts w:ascii="Times New Roman" w:hAnsi="Times New Roman" w:cs="Times New Roman"/>
          <w:b/>
          <w:bCs/>
          <w:color w:val="000000" w:themeColor="text1"/>
          <w:u w:val="single"/>
        </w:rPr>
      </w:r>
      <w:r>
        <w:rPr>
          <w:rFonts w:ascii="Times New Roman" w:hAnsi="Times New Roman" w:cs="Times New Roman"/>
          <w:b/>
          <w:bCs/>
          <w:color w:val="000000" w:themeColor="text1"/>
          <w:u w:val="single"/>
        </w:rPr>
      </w:r>
    </w:p>
    <w:tbl>
      <w:tblPr>
        <w:tblW w:w="5008" w:type="pct"/>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Spacing w:w="0" w:type="dxa"/>
        <w:tblLook w:val="04A0" w:firstRow="1" w:lastRow="0" w:firstColumn="1" w:lastColumn="0" w:noHBand="0" w:noVBand="1"/>
      </w:tblPr>
      <w:tblGrid>
        <w:gridCol w:w="754"/>
        <w:gridCol w:w="3828"/>
        <w:gridCol w:w="1560"/>
        <w:gridCol w:w="3399"/>
      </w:tblGrid>
      <w:tr>
        <w:trPr>
          <w:cantSplit/>
          <w:tblCellSpacing w:w="0" w:type="dxa"/>
          <w:trHeight w:val="300"/>
          <w:tblHeader/>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t xml:space="preserve">STT</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t xml:space="preserve">Nội dung</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819" w:type="pct"/>
            <w:vAlign w:val="center"/>
            <w:textDirection w:val="lrTb"/>
            <w:noWrap w:val="false"/>
          </w:tcPr>
          <w:p>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3399" w:type="dxa"/>
            <w:vAlign w:val="center"/>
            <w:textDirection w:val="lrTb"/>
            <w:noWrap w:val="false"/>
          </w:tcPr>
          <w:p>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t xml:space="preserve">Ghi chú</w:t>
            </w:r>
            <w:r>
              <w:rPr>
                <w:rFonts w:ascii="Times New Roman" w:hAnsi="Times New Roman" w:cs="Times New Roman"/>
                <w:b/>
                <w:bCs/>
                <w:color w:val="000000" w:themeColor="text1"/>
              </w:rPr>
            </w:r>
            <w:r>
              <w:rPr>
                <w:rFonts w:ascii="Times New Roman" w:hAnsi="Times New Roman" w:cs="Times New Roman"/>
                <w:b/>
                <w:bCs/>
                <w:color w:val="000000" w:themeColor="text1"/>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khu vực tâm linh, có âm, sát khí (Nhà tang lễ, nghĩa trang, nhà xác…)</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50m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399"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khu vực tâm linh, có âm, sát khí (Nhà tang lễ, nghĩa trang, nhà xác…)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50m</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150m</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399"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khu vực tâm linh, có âm, sát khí (Nhà tang lễ, nghĩa trang, nhà xác…)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150m</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300m</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399"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khu vực tâm linh, có âm, sát khí (Nhà tang lễ, nghĩa trang, nhà xác…)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300m</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500m</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399"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khu vực tâm linh (Miếu thờ cúng tâm linh, đình, đền, chùa…)</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30m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399"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khu vực tâm linh (Miếu thờ cúng tâm linh, đình, đền, chùa…)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30m</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100m</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399"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w:t>
            </w:r>
            <w:r>
              <w:rPr>
                <w:rFonts w:ascii="Times New Roman" w:hAnsi="Times New Roman" w:eastAsia="Times New Roman" w:cs="Times New Roman"/>
                <w:color w:val="000000" w:themeColor="text1"/>
                <w:lang w:eastAsia="ko-KR"/>
              </w:rPr>
              <w:t xml:space="preserve">từng</w:t>
            </w:r>
            <w:r>
              <w:rPr>
                <w:rFonts w:ascii="Times New Roman" w:hAnsi="Times New Roman" w:eastAsia="Times New Roman" w:cs="Times New Roman"/>
                <w:color w:val="000000" w:themeColor="text1"/>
                <w:lang w:eastAsia="ko-KR"/>
              </w:rPr>
              <w:t xml:space="preserve"> là nghĩa trang, khu tâm linh cũ (đền, đình, chùa, miếu mạo…) đã được san lấp làm khu dân cư</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399"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Trên đất/Công trình có mộ không thể hoặc rất khó có khả năng di chuyển (Mộ tổ chi, tộc, mộ cổ, mộ tâm linh gắn với miếu mạo được nhân dân thờ cúng</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399"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Trên đất/ Công trình có mộ gia đình hoặc vô chủ có thể di chuyển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399"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sát khu mộ phần hoặc liền kề mộ phần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399"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Trên đất/ Công trình có điện thờ, nhà thợ họ dòng tộc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399"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sát hoặc liền kề nhà thờ họ</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399"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gia tộc anh em, họ hàng sống xung quanh chung ngõ đi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399"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Công trình có người tự sát/ án mạng/ tại nạn... bị ảnh hưởng truyền thông Nhẹ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Một vụ tự sát cá biệt không ồn ào, không truyền thông, trong nhà riêng, người Mua/Bán đông ít quan tâm: thị trường ít phản ứng, nếu có phản ứng chỉ là tâm lý tạm thời.</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399"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w:t>
            </w:r>
            <w:r>
              <w:rPr>
                <w:rFonts w:ascii="Times New Roman" w:hAnsi="Times New Roman" w:eastAsia="Times New Roman" w:cs="Times New Roman"/>
                <w:color w:val="000000" w:themeColor="text1"/>
                <w:lang w:eastAsia="ko-KR"/>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Công trình có người tự sát/án mạng/ tai nạn... bị ảnh hưởng truyền thông Trung bình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399"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Công trình có người tự sát/án mạng/ tai nạn... bị ảnh hưởng truyền thông Mạnh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399"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Công trình có người tự sát/án mạng/ tai nạn... bị ảnh hưởng truyền thông Rất Mạnh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Vụ nổi tiếng, nhiều truyề</w:t>
            </w:r>
            <w:r>
              <w:rPr>
                <w:rFonts w:ascii="Times New Roman" w:hAnsi="Times New Roman" w:eastAsia="Times New Roman" w:cs="Times New Roman"/>
                <w:color w:val="000000" w:themeColor="text1"/>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399"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hoặc liên kế cây xăng</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50m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399"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hoặc liên kế trạm thu phát </w:t>
            </w:r>
            <w:r>
              <w:rPr>
                <w:rFonts w:ascii="Times New Roman" w:hAnsi="Times New Roman" w:eastAsia="Times New Roman" w:cs="Times New Roman"/>
                <w:color w:val="000000" w:themeColor="text1"/>
                <w:lang w:eastAsia="ko-KR"/>
              </w:rPr>
              <w:t xml:space="preserve">sóng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50m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399"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hoặc liên kế đường dây truyền tải điện cao thế 500 KV</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50m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399"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hoặc liên kế đường dây truyền tải điện 220 KV</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30m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399"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Mặt tiền bị che chắn (có cột điện, trạm biến áp…)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399"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đường sắt&lt;=50m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399"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Đường vào thẳng tắp như mũi tên đâm thẳng cửa chính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Thế tiễn khí</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399"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nằm dưới chân cầu, đường dốc cao (Thế bị xung</w:t>
            </w:r>
            <w:r>
              <w:rPr>
                <w:rFonts w:ascii="Times New Roman" w:hAnsi="Times New Roman" w:eastAsia="Times New Roman" w:cs="Times New Roman"/>
                <w:color w:val="000000" w:themeColor="text1"/>
                <w:lang w:eastAsia="ko-KR"/>
              </w:rPr>
              <w:t xml:space="preserve"> : </w:t>
            </w:r>
            <w:r>
              <w:rPr>
                <w:rFonts w:ascii="Times New Roman" w:hAnsi="Times New Roman" w:eastAsia="Times New Roman" w:cs="Times New Roman"/>
                <w:color w:val="000000" w:themeColor="text1"/>
                <w:lang w:eastAsia="ko-KR"/>
              </w:rPr>
              <w:t xml:space="preserve">Hổ phục, Long phục) xe lao xuống, gió tạt thẳng sát khí, không tụ</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399"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Giao lộ Chữ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T</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 bị đường đâm thẳng vào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Thế tiền đao sát</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399"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bl>
    <w:p>
      <w:pPr>
        <w:numPr>
          <w:ilvl w:val="0"/>
          <w:numId w:val="43"/>
        </w:numPr>
        <w:pBdr>
          <w:top w:val="none" w:color="000000" w:sz="4" w:space="0"/>
          <w:left w:val="none" w:color="000000" w:sz="4" w:space="0"/>
          <w:bottom w:val="none" w:color="000000" w:sz="4" w:space="0"/>
          <w:right w:val="none" w:color="000000" w:sz="4" w:space="0"/>
        </w:pBdr>
        <w:spacing w:after="0" w:before="120" w:line="276" w:lineRule="auto"/>
        <w:ind w:right="0" w:hanging="283" w:left="283"/>
        <w:jc w:val="both"/>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Thửa đất 4</w:t>
      </w:r>
      <w:r>
        <w:rPr>
          <w:rFonts w:ascii="Times New Roman" w:hAnsi="Times New Roman" w:eastAsia="Times New Roman" w:cs="Times New Roman"/>
          <w:b/>
          <w:color w:val="000000" w:themeColor="text1"/>
          <w:sz w:val="24"/>
          <w:szCs w:val="24"/>
          <w:vertAlign w:val="superscript"/>
        </w:rPr>
        <w:t xml:space="preserve">a</w:t>
      </w:r>
      <w:r>
        <w:rPr>
          <w:rFonts w:ascii="Times New Roman" w:hAnsi="Times New Roman" w:eastAsia="Times New Roman" w:cs="Times New Roman"/>
          <w:b/>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bl>
      <w:tblPr>
        <w:tblStyle w:val="105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75"/>
        <w:gridCol w:w="2250"/>
        <w:gridCol w:w="2184"/>
        <w:gridCol w:w="2312"/>
        <w:gridCol w:w="2234"/>
      </w:tblGrid>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Tên tài sản</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Quyền sử dụng đất tại thửa đất số: 4</w:t>
            </w:r>
            <w:r>
              <w:rPr>
                <w:rFonts w:ascii="Times New Roman" w:hAnsi="Times New Roman" w:eastAsia="Times New Roman" w:cs="Times New Roman"/>
                <w:b/>
                <w:color w:val="000000" w:themeColor="text1"/>
                <w:sz w:val="20"/>
                <w:vertAlign w:val="superscript"/>
              </w:rPr>
              <w:t xml:space="preserve">a</w:t>
            </w:r>
            <w:r>
              <w:rPr>
                <w:rFonts w:ascii="Times New Roman" w:hAnsi="Times New Roman" w:eastAsia="Times New Roman" w:cs="Times New Roman"/>
                <w:b/>
                <w:color w:val="000000" w:themeColor="text1"/>
                <w:sz w:val="24"/>
              </w:rPr>
              <w:t xml:space="preserve">, tờ bản đồ số: 26 có địa chỉ: K9 Thường Lệ, Đại Thịnh, huyện Mê Linh, tỉnh Vĩnh Phúc (nay là xã Quang Minh, thành phố Hà Nội)  theo Giấy chứng nhận quyền sử dụng đất số: G 443584, số vào sổ cấp GCN: 1108QSDĐ do UBND huyện Mê Linh cấp ngày 02/7/1996 cho ôn</w:t>
            </w:r>
            <w:r>
              <w:rPr>
                <w:rFonts w:ascii="Times New Roman" w:hAnsi="Times New Roman" w:eastAsia="Times New Roman" w:cs="Times New Roman"/>
                <w:b/>
                <w:color w:val="000000" w:themeColor="text1"/>
                <w:sz w:val="24"/>
              </w:rPr>
              <w:t xml:space="preserve">g Trịnh Minh Tỉnh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Nội dung Thửa đất theo Hồ sơ pháp lý</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Thửa đất số: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w:t>
            </w:r>
            <w:r>
              <w:rPr>
                <w:rFonts w:ascii="Times New Roman" w:hAnsi="Times New Roman" w:eastAsia="Times New Roman" w:cs="Times New Roman"/>
                <w:color w:val="000000" w:themeColor="text1"/>
                <w:sz w:val="20"/>
                <w:vertAlign w:val="superscript"/>
              </w:rPr>
              <w:t xml:space="preserve">a</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Tờ bản đồ số: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26</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Địa chỉ:</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K9 Thường Lệ, Đại Thịnh, huyện Mê Linh, tỉnh Vĩnh Phúc (nay là xã Quang Minh, thành phố Hà Nội)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180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thức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Thời hạn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Lâu dài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Thông tin quy hoạch:</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Thông qua nguồn tin kiểm tra quy hoạch từ website Meeymap.com, tổ thẩm định nhận thấy thửa đất có 146,48 m2 thuộc quy hoạch đất ở, phần diện tích còn lại thuộc quy hoạch hành lang giao thông, tỷ lệ 1/2000 theo đồ án Quy hoạch phân khu N1, quyết định Quyết </w:t>
            </w:r>
            <w:r>
              <w:rPr>
                <w:rFonts w:ascii="Times New Roman" w:hAnsi="Times New Roman" w:eastAsia="Times New Roman" w:cs="Times New Roman"/>
                <w:color w:val="000000" w:themeColor="text1"/>
                <w:sz w:val="24"/>
              </w:rPr>
              <w:t xml:space="preserve">định số 1911/QĐ-UBND. Cụ thể như sau:</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5686425" cy="284797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636945" name=""/>
                              <pic:cNvPicPr>
                                <a:picLocks noChangeAspect="1"/>
                              </pic:cNvPicPr>
                              <pic:nvPr/>
                            </pic:nvPicPr>
                            <pic:blipFill rotWithShape="1">
                              <a:blip r:embed="rId19"/>
                              <a:stretch/>
                            </pic:blipFill>
                            <pic:spPr bwMode="auto">
                              <a:xfrm>
                                <a:off x="0" y="0"/>
                                <a:ext cx="5686425" cy="28479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447.75pt;height:224.25pt;mso-wrap-distance-left:0.00pt;mso-wrap-distance-top:0.00pt;mso-wrap-distance-right:0.00pt;mso-wrap-distance-bottom:0.00pt;z-index:1;" stroked="false">
                      <v:imagedata r:id="rId19" o:title=""/>
                      <o:lock v:ext="edit" rotation="t"/>
                    </v:shape>
                  </w:pict>
                </mc:Fallback>
              </mc:AlternateContent>
            </w: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Về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2.1</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Vị trí; Giao thông;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Địa chỉ thực tế: </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K9 Thường Lệ, Đại Thịnh, huyện Mê Linh, tỉnh Vĩnh Phúc (nay là xã Quang Minh, thành phố Hà Nội)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Đường tiếp giáp chính: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Đường nhựa asphalt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Số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 mặt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Mặt cắt đường/ngõ nhỏ nhất từ đường chính dẫn đến tài sản thẩm định giá:</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Lòng đường rộng khoảng 10m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Mặt cắt đường/ngõ trước mặt tài sản thẩm định giá:</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Lòng đường rộng khoảng 13m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Khoảng cách đến trục đường chính:</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tiếp giáp QL23, cách UBND xã Quang Minh khoảng 1,85km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Các hướng tiếp giáp:</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Hướng Bắc: Tiếp giáp đường giao thông </w:t>
              <w:br/>
              <w:t xml:space="preserve"> Các hường còn lại: Tiếp giáp các thửa đất khác</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Vị trí trên bản đồ vệ tinh: (21.174918, 105.731914)</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mc:AlternateContent>
                <mc:Choice Requires="wpg">
                  <w:drawing>
                    <wp:inline xmlns:wp="http://schemas.openxmlformats.org/drawingml/2006/wordprocessingDrawing" distT="0" distB="0" distL="0" distR="0">
                      <wp:extent cx="5591175" cy="3381375"/>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39314" name=""/>
                              <pic:cNvPicPr>
                                <a:picLocks noChangeAspect="1"/>
                              </pic:cNvPicPr>
                              <pic:nvPr/>
                            </pic:nvPicPr>
                            <pic:blipFill rotWithShape="1">
                              <a:blip r:embed="rId20"/>
                              <a:stretch/>
                            </pic:blipFill>
                            <pic:spPr bwMode="auto">
                              <a:xfrm>
                                <a:off x="0" y="0"/>
                                <a:ext cx="5591174" cy="33813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440.25pt;height:266.25pt;mso-wrap-distance-left:0.00pt;mso-wrap-distance-top:0.00pt;mso-wrap-distance-right:0.00pt;mso-wrap-distance-bottom:0.00pt;z-index:1;" stroked="false">
                      <v:imagedata r:id="rId20"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2.2.</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Diện tích; Kích thước; Hình dáng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sử dụng riêng thực tế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180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sử dụng chung thực tế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KT mặt tiền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11,50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Chiều sâu (m):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dáng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Vuông vức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Hướng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Hướng Đông Bắc</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2.3.</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Điều kiện kinh doanh; Hạ tầng nội bộ; Hạ tầng xung quanh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nội bộ:</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cấp nước: Nước máy, Hạ tầng thoát nước: Tự nhiên, Hạ tầng cấp điện: Điện lưới, Hạ tầng thông tin liên lạc: Điện thoại, Mạng internet, Truyền hình cáp</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xung quanh:</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Môi trường trong lành, an ninh đảm bảo, dân trí tốt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Mật độ dân cư:</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Đông đúc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Đời sống dân cư:</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Ổn định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Tốt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Khả năng chuyển nhượng: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Tốt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Tài sản gắn liền với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9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eastAsia="Times New Roman" w:cs="Times New Roman"/>
                <w:b/>
                <w:color w:val="000000" w:themeColor="text1"/>
                <w:sz w:val="24"/>
              </w:rPr>
              <w:t xml:space="preserve"> </w:t>
            </w:r>
            <w:r>
              <w:rPr>
                <w:rFonts w:ascii="Times New Roman" w:hAnsi="Times New Roman" w:eastAsia="Times New Roman" w:cs="Times New Roman"/>
                <w:color w:val="000000" w:themeColor="text1"/>
                <w:sz w:val="24"/>
              </w:rPr>
              <w:t xml:space="preserve">01 Nhà 5 tầng + 1 tum + 1 hầm, kết cấu tường gạch, khung, sàn bê tông cốt thép, mái đổ bê tông. Hiện đang sử dụng bình thường. Ngoại quan khá, xây hết đất năm 2022. Hiện công trình xây dựng trên chưa được chứng nhận trên Giấy chứng nhận quyền sử dụng đất s</w:t>
            </w:r>
            <w:r>
              <w:rPr>
                <w:rFonts w:ascii="Times New Roman" w:hAnsi="Times New Roman" w:eastAsia="Times New Roman" w:cs="Times New Roman"/>
                <w:color w:val="000000" w:themeColor="text1"/>
                <w:sz w:val="24"/>
              </w:rPr>
              <w:t xml:space="preserve">ố G 443584.</w:t>
            </w:r>
            <w:r>
              <w:rPr>
                <w:rFonts w:ascii="Times New Roman" w:hAnsi="Times New Roman" w:cs="Times New Roman"/>
                <w:color w:val="000000" w:themeColor="text1"/>
              </w:rPr>
            </w:r>
            <w:r>
              <w:rPr>
                <w:rFonts w:ascii="Times New Roman" w:hAnsi="Times New Roman" w:cs="Times New Roman"/>
                <w:color w:val="000000" w:themeColor="text1"/>
              </w:rPr>
            </w:r>
          </w:p>
        </w:tc>
      </w:tr>
    </w:tbl>
    <w:p>
      <w:pPr>
        <w:pBdr/>
        <w:spacing w:line="276" w:lineRule="auto"/>
        <w:ind w:left="284"/>
        <w:jc w:val="both"/>
        <w:rPr>
          <w:rFonts w:ascii="Times New Roman" w:hAnsi="Times New Roman" w:cs="Times New Roman"/>
          <w:b/>
          <w:bCs/>
          <w:color w:val="000000" w:themeColor="text1"/>
          <w:u w:val="single"/>
        </w:rPr>
      </w:pPr>
      <w:r>
        <w:rPr>
          <w:rFonts w:ascii="Times New Roman" w:hAnsi="Times New Roman" w:eastAsia="Times New Roman" w:cs="Times New Roman"/>
          <w:b/>
          <w:color w:val="000000" w:themeColor="text1"/>
          <w:sz w:val="24"/>
        </w:rPr>
        <w:t xml:space="preserve"> </w:t>
      </w:r>
      <w:r>
        <w:rPr>
          <w:rFonts w:ascii="Times New Roman" w:hAnsi="Times New Roman" w:eastAsia="Times New Roman" w:cs="Times New Roman"/>
          <w:b/>
          <w:bCs/>
          <w:color w:val="000000" w:themeColor="text1"/>
          <w:u w:val="single"/>
        </w:rPr>
        <w:t xml:space="preserve">Các</w:t>
      </w:r>
      <w:r>
        <w:rPr>
          <w:rFonts w:ascii="Times New Roman" w:hAnsi="Times New Roman" w:eastAsia="Times New Roman" w:cs="Times New Roman"/>
          <w:b/>
          <w:bCs/>
          <w:color w:val="000000" w:themeColor="text1"/>
          <w:u w:val="single"/>
        </w:rPr>
        <w:t xml:space="preserve"> lợi thế thương mại </w:t>
      </w:r>
      <w:r>
        <w:rPr>
          <w:rFonts w:ascii="Times New Roman" w:hAnsi="Times New Roman" w:eastAsia="Times New Roman" w:cs="Times New Roman"/>
          <w:b/>
          <w:bCs/>
          <w:color w:val="000000" w:themeColor="text1"/>
          <w:u w:val="single"/>
        </w:rPr>
        <w:t xml:space="preserve">của thửa đất:</w:t>
      </w:r>
      <w:r>
        <w:rPr>
          <w:rFonts w:ascii="Times New Roman" w:hAnsi="Times New Roman" w:cs="Times New Roman"/>
          <w:b/>
          <w:bCs/>
          <w:color w:val="000000" w:themeColor="text1"/>
          <w:u w:val="single"/>
        </w:rPr>
      </w:r>
      <w:r>
        <w:rPr>
          <w:rFonts w:ascii="Times New Roman" w:hAnsi="Times New Roman" w:cs="Times New Roman"/>
          <w:b/>
          <w:bCs/>
          <w:color w:val="000000" w:themeColor="text1"/>
          <w:u w:val="single"/>
        </w:rPr>
      </w:r>
    </w:p>
    <w:p>
      <w:pPr>
        <w:pBdr/>
        <w:spacing w:line="276" w:lineRule="auto"/>
        <w:ind w:left="284"/>
        <w:jc w:val="both"/>
        <w:rPr>
          <w:rFonts w:ascii="Times New Roman" w:hAnsi="Times New Roman" w:cs="Times New Roman"/>
          <w:b/>
          <w:bCs/>
          <w:color w:val="000000" w:themeColor="text1"/>
          <w:u w:val="single"/>
        </w:rPr>
      </w:pPr>
      <w:r>
        <w:rPr>
          <w:rFonts w:ascii="Times New Roman" w:hAnsi="Times New Roman" w:eastAsia="Times New Roman" w:cs="Times New Roman"/>
          <w:b/>
          <w:bCs/>
          <w:color w:val="000000" w:themeColor="text1"/>
          <w:u w:val="single"/>
        </w:rPr>
      </w:r>
      <w:r>
        <w:rPr>
          <w:rFonts w:ascii="Times New Roman" w:hAnsi="Times New Roman" w:cs="Times New Roman"/>
          <w:b/>
          <w:bCs/>
          <w:color w:val="000000" w:themeColor="text1"/>
          <w:u w:val="single"/>
        </w:rPr>
      </w:r>
      <w:r>
        <w:rPr>
          <w:rFonts w:ascii="Times New Roman" w:hAnsi="Times New Roman" w:cs="Times New Roman"/>
          <w:b/>
          <w:bCs/>
          <w:color w:val="000000" w:themeColor="text1"/>
          <w:u w:val="single"/>
        </w:rPr>
      </w:r>
    </w:p>
    <w:tbl>
      <w:tblPr>
        <w:tblW w:w="5010" w:type="pct"/>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Spacing w:w="0" w:type="dxa"/>
        <w:tblLook w:val="04A0" w:firstRow="1" w:lastRow="0" w:firstColumn="1" w:lastColumn="0" w:noHBand="0" w:noVBand="1"/>
      </w:tblPr>
      <w:tblGrid>
        <w:gridCol w:w="754"/>
        <w:gridCol w:w="3828"/>
        <w:gridCol w:w="1560"/>
        <w:gridCol w:w="3402"/>
      </w:tblGrid>
      <w:tr>
        <w:trPr>
          <w:cantSplit/>
          <w:tblCellSpacing w:w="0" w:type="dxa"/>
          <w:trHeight w:val="300"/>
          <w:tblHeader/>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t xml:space="preserve">STT</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t xml:space="preserve">Nội dung</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819" w:type="pct"/>
            <w:vAlign w:val="center"/>
            <w:textDirection w:val="lrTb"/>
            <w:noWrap w:val="false"/>
          </w:tcPr>
          <w:p>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3402" w:type="dxa"/>
            <w:vAlign w:val="center"/>
            <w:textDirection w:val="lrTb"/>
            <w:noWrap w:val="false"/>
          </w:tcPr>
          <w:p>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t xml:space="preserve">Ghi chú</w:t>
            </w:r>
            <w:r>
              <w:rPr>
                <w:rFonts w:ascii="Times New Roman" w:hAnsi="Times New Roman" w:cs="Times New Roman"/>
                <w:b/>
                <w:bCs/>
                <w:color w:val="000000" w:themeColor="text1"/>
              </w:rPr>
            </w:r>
            <w:r>
              <w:rPr>
                <w:rFonts w:ascii="Times New Roman" w:hAnsi="Times New Roman" w:cs="Times New Roman"/>
                <w:b/>
                <w:bCs/>
                <w:color w:val="000000" w:themeColor="text1"/>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Đất/Tài sản bám biển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402"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bám hồ (Diện tích &gt;=5ha thì được coi là hồ)</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402"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Bám đầm, ao lớn thuộc sở hữu nhà nước (ao lớn - S=0.5ha)&lt;5ha</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402"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Thế đất tọa sơn hướng thủy 'hậu tựa núi, trước view sông, hồ, đầm', view thoáng, không bị che khuất, loại đất rất được ưa chuộng nghỉ dưỡng, nhà nghỉ cao cấp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402"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View hồ sông, sông, suối, đầm, ao lớn (S=0.5ha), ruộng lúa, đồi núi xa, ngắm hoàng hôn, bình minh xa soi mặt nước, thơ mộng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402"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Đường vào thoáng không đâm thẳng cửa chính 'Thế tránh tiễn khí'</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402"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Có yếu tố 'Linh' gắn với tiếng lành, tài lộc, đại danh, văn hóa, truyền thuyết được xem là khu địa linh nhân kiệt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402"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Đất/tài sản liền kề, đối diện vườn hoa, khu thể thao, bể bơi (không đối diện nhà ở) để được xe hơi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402"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view công viên, vườn hoa, khu thể thao, bể bơi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402"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bl>
    <w:p>
      <w:pPr>
        <w:pStyle w:val="1055"/>
        <w:pBdr/>
        <w:tabs>
          <w:tab w:val="left" w:leader="none" w:pos="993"/>
        </w:tabs>
        <w:spacing w:after="120" w:before="120" w:line="276" w:lineRule="auto"/>
        <w:ind w:left="0"/>
        <w:jc w:val="both"/>
        <w:rPr>
          <w:rFonts w:ascii="Times New Roman" w:hAnsi="Times New Roman" w:cs="Times New Roman"/>
          <w:b/>
          <w:bCs/>
          <w:i/>
          <w:iCs/>
          <w:color w:val="000000" w:themeColor="text1"/>
        </w:rPr>
      </w:pPr>
      <w:r>
        <w:rPr>
          <w:rFonts w:ascii="Times New Roman" w:hAnsi="Times New Roman" w:eastAsia="Times New Roman" w:cs="Times New Roman"/>
          <w:b/>
          <w:bCs/>
          <w:i/>
          <w:iCs/>
          <w:color w:val="000000" w:themeColor="text1"/>
          <w:lang w:val="pt-BR"/>
        </w:rPr>
      </w:r>
      <w:r>
        <w:rPr>
          <w:rFonts w:ascii="Times New Roman" w:hAnsi="Times New Roman" w:cs="Times New Roman"/>
          <w:b/>
          <w:bCs/>
          <w:i/>
          <w:iCs/>
          <w:color w:val="000000" w:themeColor="text1"/>
        </w:rPr>
      </w:r>
      <w:r>
        <w:rPr>
          <w:rFonts w:ascii="Times New Roman" w:hAnsi="Times New Roman" w:cs="Times New Roman"/>
          <w:b/>
          <w:bCs/>
          <w:i/>
          <w:iCs/>
          <w:color w:val="000000" w:themeColor="text1"/>
        </w:rPr>
      </w:r>
    </w:p>
    <w:p>
      <w:pPr>
        <w:pBdr/>
        <w:spacing w:after="120" w:before="120" w:line="276" w:lineRule="auto"/>
        <w:ind w:left="284"/>
        <w:jc w:val="both"/>
        <w:rPr>
          <w:rFonts w:ascii="Times New Roman" w:hAnsi="Times New Roman" w:cs="Times New Roman"/>
          <w:b/>
          <w:bCs/>
          <w:color w:val="000000" w:themeColor="text1"/>
          <w:u w:val="single"/>
        </w:rPr>
      </w:pPr>
      <w:r>
        <w:rPr>
          <w:rFonts w:ascii="Times New Roman" w:hAnsi="Times New Roman" w:eastAsia="Times New Roman" w:cs="Times New Roman"/>
          <w:b/>
          <w:bCs/>
          <w:color w:val="000000" w:themeColor="text1"/>
          <w:u w:val="single"/>
        </w:rPr>
        <w:t xml:space="preserve">Các </w:t>
      </w:r>
      <w:r>
        <w:rPr>
          <w:rFonts w:ascii="Times New Roman" w:hAnsi="Times New Roman" w:eastAsia="Times New Roman" w:cs="Times New Roman"/>
          <w:b/>
          <w:bCs/>
          <w:color w:val="000000" w:themeColor="text1"/>
          <w:u w:val="single"/>
        </w:rPr>
        <w:t xml:space="preserve">bất lợi thương mại</w:t>
      </w:r>
      <w:r>
        <w:rPr>
          <w:rFonts w:ascii="Times New Roman" w:hAnsi="Times New Roman" w:eastAsia="Times New Roman" w:cs="Times New Roman"/>
          <w:b/>
          <w:bCs/>
          <w:color w:val="000000" w:themeColor="text1"/>
          <w:u w:val="single"/>
        </w:rPr>
        <w:t xml:space="preserve"> của thửa đất:</w:t>
      </w:r>
      <w:r>
        <w:rPr>
          <w:rFonts w:ascii="Times New Roman" w:hAnsi="Times New Roman" w:cs="Times New Roman"/>
          <w:b/>
          <w:bCs/>
          <w:color w:val="000000" w:themeColor="text1"/>
          <w:u w:val="single"/>
        </w:rPr>
      </w:r>
      <w:r>
        <w:rPr>
          <w:rFonts w:ascii="Times New Roman" w:hAnsi="Times New Roman" w:cs="Times New Roman"/>
          <w:b/>
          <w:bCs/>
          <w:color w:val="000000" w:themeColor="text1"/>
          <w:u w:val="single"/>
        </w:rPr>
      </w:r>
    </w:p>
    <w:tbl>
      <w:tblPr>
        <w:tblW w:w="5008" w:type="pct"/>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Spacing w:w="0" w:type="dxa"/>
        <w:tblLook w:val="04A0" w:firstRow="1" w:lastRow="0" w:firstColumn="1" w:lastColumn="0" w:noHBand="0" w:noVBand="1"/>
      </w:tblPr>
      <w:tblGrid>
        <w:gridCol w:w="612"/>
        <w:gridCol w:w="3828"/>
        <w:gridCol w:w="1560"/>
        <w:gridCol w:w="3541"/>
      </w:tblGrid>
      <w:tr>
        <w:trPr>
          <w:cantSplit/>
          <w:tblCellSpacing w:w="0" w:type="dxa"/>
          <w:trHeight w:val="300"/>
          <w:tblHeader/>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t xml:space="preserve">STT</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t xml:space="preserve">Nội dung</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819" w:type="pct"/>
            <w:vAlign w:val="center"/>
            <w:textDirection w:val="lrTb"/>
            <w:noWrap w:val="false"/>
          </w:tcPr>
          <w:p>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3541" w:type="dxa"/>
            <w:vAlign w:val="center"/>
            <w:textDirection w:val="lrTb"/>
            <w:noWrap w:val="false"/>
          </w:tcPr>
          <w:p>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t xml:space="preserve">Ghi chú</w:t>
            </w:r>
            <w:r>
              <w:rPr>
                <w:rFonts w:ascii="Times New Roman" w:hAnsi="Times New Roman" w:cs="Times New Roman"/>
                <w:b/>
                <w:bCs/>
                <w:color w:val="000000" w:themeColor="text1"/>
              </w:rPr>
            </w:r>
            <w:r>
              <w:rPr>
                <w:rFonts w:ascii="Times New Roman" w:hAnsi="Times New Roman" w:cs="Times New Roman"/>
                <w:b/>
                <w:bCs/>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khu vực tâm linh, có âm, sát khí (Nhà tang lễ, nghĩa trang, nhà xác…)</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50m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541"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khu vực tâm linh, có âm, sát khí (Nhà tang lễ, nghĩa trang, nhà xác…)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50m</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150m</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541"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khu vực tâm linh, có âm, sát khí (Nhà tang lễ, nghĩa trang, nhà xác…)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150m</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300m</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541"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khu vực tâm linh, có âm, sát khí (Nhà tang lễ, nghĩa trang, nhà xác…)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300m</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500m</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541"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khu vực tâm linh (Miếu thờ cúng tâm linh, đình, đền, chùa…)</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30m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541"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khu vực tâm linh (Miếu thờ cúng tâm linh, đình, đền, chùa…)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30m</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100m</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541"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w:t>
            </w:r>
            <w:r>
              <w:rPr>
                <w:rFonts w:ascii="Times New Roman" w:hAnsi="Times New Roman" w:eastAsia="Times New Roman" w:cs="Times New Roman"/>
                <w:color w:val="000000" w:themeColor="text1"/>
                <w:lang w:eastAsia="ko-KR"/>
              </w:rPr>
              <w:t xml:space="preserve">từng</w:t>
            </w:r>
            <w:r>
              <w:rPr>
                <w:rFonts w:ascii="Times New Roman" w:hAnsi="Times New Roman" w:eastAsia="Times New Roman" w:cs="Times New Roman"/>
                <w:color w:val="000000" w:themeColor="text1"/>
                <w:lang w:eastAsia="ko-KR"/>
              </w:rPr>
              <w:t xml:space="preserve"> là nghĩa trang, khu tâm linh cũ (đền, đình, chùa, miếu mạo…) đã được san lấp làm khu dân cư</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541"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Trên đất/Công trình có mộ không thể hoặc rất khó có khả năng di chuyển (Mộ tổ chi, tộc, mộ cổ, mộ tâm linh gắn với miếu mạo được nhân dân thờ cúng</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541"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Trên đất/ Công trình có mộ gia đình hoặc vô chủ có thể di chuyển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541"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sát khu mộ phần hoặc liền kề mộ phần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541"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Trên đất/ Công trình có điện thờ, nhà thợ họ dòng tộc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541"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sát hoặc liền kề nhà thờ họ</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541"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gia tộc anh em, họ hàng sống xung quanh chung ngõ đi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541"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Công trình có người tự sát/ án mạng/ tại nạn... bị ảnh hưởng truyền thông Nhẹ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Một vụ tự sát cá biệt không ồn ào, không truyền thông, trong nhà riêng, người Mua/Bán đông ít quan tâm: thị trường ít phản ứng, nếu có phản ứng chỉ là tâm lý tạm thời.</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541"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w:t>
            </w:r>
            <w:r>
              <w:rPr>
                <w:rFonts w:ascii="Times New Roman" w:hAnsi="Times New Roman" w:eastAsia="Times New Roman" w:cs="Times New Roman"/>
                <w:color w:val="000000" w:themeColor="text1"/>
                <w:lang w:eastAsia="ko-KR"/>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Công trình có người tự sát/án mạng/ tai nạn... bị ảnh hưởng truyền thông Trung bình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541"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Công trình có người tự sát/án mạng/ tai nạn... bị ảnh hưởng truyền thông Mạnh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541"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Công trình có người tự sát/án mạng/ tai nạn... bị ảnh hưởng truyền thông Rất Mạnh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Vụ nổi tiếng, nhiều truyề</w:t>
            </w:r>
            <w:r>
              <w:rPr>
                <w:rFonts w:ascii="Times New Roman" w:hAnsi="Times New Roman" w:eastAsia="Times New Roman" w:cs="Times New Roman"/>
                <w:color w:val="000000" w:themeColor="text1"/>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541"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hoặc liên kế cây xăng</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50m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541"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hoặc liên kế trạm thu phát </w:t>
            </w:r>
            <w:r>
              <w:rPr>
                <w:rFonts w:ascii="Times New Roman" w:hAnsi="Times New Roman" w:eastAsia="Times New Roman" w:cs="Times New Roman"/>
                <w:color w:val="000000" w:themeColor="text1"/>
                <w:lang w:eastAsia="ko-KR"/>
              </w:rPr>
              <w:t xml:space="preserve">sóng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50m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541"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hoặc liên kế đường dây truyền tải điện cao thế 500 KV</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50m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541"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hoặc liên kế đường dây truyền tải điện 220 KV</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30m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541"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Mặt tiền bị che chắn (có cột điện, trạm biến áp…)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541"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đường sắt&lt;=50m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541"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Đường vào thẳng tắp như mũi tên đâm thẳng cửa chính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Thế tiễn khí</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541"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nằm dưới chân cầu, đường dốc cao (Thế bị xung</w:t>
            </w:r>
            <w:r>
              <w:rPr>
                <w:rFonts w:ascii="Times New Roman" w:hAnsi="Times New Roman" w:eastAsia="Times New Roman" w:cs="Times New Roman"/>
                <w:color w:val="000000" w:themeColor="text1"/>
                <w:lang w:eastAsia="ko-KR"/>
              </w:rPr>
              <w:t xml:space="preserve"> : </w:t>
            </w:r>
            <w:r>
              <w:rPr>
                <w:rFonts w:ascii="Times New Roman" w:hAnsi="Times New Roman" w:eastAsia="Times New Roman" w:cs="Times New Roman"/>
                <w:color w:val="000000" w:themeColor="text1"/>
                <w:lang w:eastAsia="ko-KR"/>
              </w:rPr>
              <w:t xml:space="preserve">Hổ phục, Long phục) xe lao xuống, gió tạt thẳng sát khí, không tụ</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541"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Giao lộ Chữ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T</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 bị đường đâm thẳng vào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Thế tiền đao sát</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541" w:type="dxa"/>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284"/>
        <w:jc w:val="both"/>
        <w:rPr>
          <w:rFonts w:ascii="Times New Roman" w:hAnsi="Times New Roman" w:cs="Times New Roman"/>
          <w:color w:val="000000" w:themeColor="text1"/>
          <w:sz w:val="22"/>
          <w:szCs w:val="22"/>
        </w:rPr>
      </w:pPr>
      <w:r>
        <w:rPr>
          <w:rFonts w:ascii="Times New Roman" w:hAnsi="Times New Roman" w:eastAsia="Times New Roman" w:cs="Times New Roman"/>
          <w:b/>
          <w:color w:val="000000" w:themeColor="text1"/>
          <w:sz w:val="24"/>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p>
      <w:pPr>
        <w:numPr>
          <w:ilvl w:val="0"/>
          <w:numId w:val="43"/>
        </w:numPr>
        <w:pBdr>
          <w:top w:val="none" w:color="000000" w:sz="4" w:space="0"/>
          <w:left w:val="none" w:color="000000" w:sz="4" w:space="0"/>
          <w:bottom w:val="none" w:color="000000" w:sz="4" w:space="0"/>
          <w:right w:val="none" w:color="000000" w:sz="4" w:space="0"/>
        </w:pBdr>
        <w:spacing w:after="0" w:before="120" w:line="276" w:lineRule="auto"/>
        <w:ind w:right="0" w:hanging="425" w:left="425"/>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Thửa đất số 162</w:t>
      </w:r>
      <w:r>
        <w:rPr>
          <w:rFonts w:ascii="Times New Roman" w:hAnsi="Times New Roman" w:eastAsia="Times New Roman" w:cs="Times New Roman"/>
          <w:b/>
          <w:color w:val="000000" w:themeColor="text1"/>
          <w:sz w:val="20"/>
          <w:vertAlign w:val="superscript"/>
        </w:rPr>
        <w:t xml:space="preserve">b</w:t>
      </w:r>
      <w:r>
        <w:rPr>
          <w:rFonts w:ascii="Times New Roman" w:hAnsi="Times New Roman" w:eastAsia="Times New Roman" w:cs="Times New Roman"/>
          <w:b/>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5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35"/>
        <w:gridCol w:w="2270"/>
        <w:gridCol w:w="2203"/>
        <w:gridCol w:w="2332"/>
        <w:gridCol w:w="2201"/>
      </w:tblGrid>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Tên tài sản</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00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Quyền sử dụng đất tại thửa đất số: 162</w:t>
            </w:r>
            <w:r>
              <w:rPr>
                <w:rFonts w:ascii="Times New Roman" w:hAnsi="Times New Roman" w:eastAsia="Times New Roman" w:cs="Times New Roman"/>
                <w:b/>
                <w:color w:val="000000" w:themeColor="text1"/>
                <w:sz w:val="20"/>
                <w:vertAlign w:val="superscript"/>
              </w:rPr>
              <w:t xml:space="preserve">a</w:t>
            </w:r>
            <w:r>
              <w:rPr>
                <w:rFonts w:ascii="Times New Roman" w:hAnsi="Times New Roman" w:eastAsia="Times New Roman" w:cs="Times New Roman"/>
                <w:b/>
                <w:color w:val="000000" w:themeColor="text1"/>
                <w:sz w:val="24"/>
              </w:rPr>
              <w:t xml:space="preserve">, tờ bản đồ số: 26 có địa chỉ: K9 Thường Lệ, Đại Thịnh, huyện Mê Linh, tỉnh Vĩnh Phúc (nay là xã Quang Minh, thành phố Hà Nội)  theo Giấy chứng nhận quyền sử dụng đất số: G 443584, số vào sổ cấp GCN: 1108QSDĐ do UBND huyện Mê Linh cấp ngày 02/7/1996 cho ôn</w:t>
            </w:r>
            <w:r>
              <w:rPr>
                <w:rFonts w:ascii="Times New Roman" w:hAnsi="Times New Roman" w:eastAsia="Times New Roman" w:cs="Times New Roman"/>
                <w:b/>
                <w:color w:val="000000" w:themeColor="text1"/>
                <w:sz w:val="24"/>
              </w:rPr>
              <w:t xml:space="preserve">g Trịnh Minh Tỉnh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00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Nội dung Thửa đất theo Hồ sơ pháp lý</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Thửa đất số: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0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162</w:t>
            </w:r>
            <w:r>
              <w:rPr>
                <w:rFonts w:ascii="Times New Roman" w:hAnsi="Times New Roman" w:eastAsia="Times New Roman" w:cs="Times New Roman"/>
                <w:color w:val="000000" w:themeColor="text1"/>
                <w:sz w:val="20"/>
                <w:vertAlign w:val="superscript"/>
              </w:rPr>
              <w:t xml:space="preserve">a</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3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Tờ bản đồ số: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26</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Địa chỉ:</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K9 Thường Lệ, Đại Thịnh, huyện Mê Linh, tỉnh Vĩnh Phúc (nay là xã Quang Minh, thành phố Hà Nội)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0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1200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3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thức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0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3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Thời hạn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Lâu dài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Thông tin quy hoạch:</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Tại thời điểm thẩm định giá, tổ thẩm định không thu thập được các thông tin quy hoạch liên quan đến thửa đất thẩm định giá.</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00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Về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2.1</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00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Vị trí; Giao thông;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Địa chỉ thực tế: </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K9 Thường Lệ, Đại Thịnh, huyện Mê Linh, tỉnh Vĩnh Phúc (nay là xã Quang Minh, thành phố Hà Nội)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Đường tiếp giáp chính: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0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Đường nhựa asphalt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3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Số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 mặt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2.2.2</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00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Thửa đất 162</w:t>
            </w:r>
            <w:r>
              <w:rPr>
                <w:rFonts w:ascii="Times New Roman" w:hAnsi="Times New Roman" w:eastAsia="Times New Roman" w:cs="Times New Roman"/>
                <w:b/>
                <w:color w:val="000000" w:themeColor="text1"/>
                <w:sz w:val="20"/>
                <w:vertAlign w:val="superscript"/>
              </w:rPr>
              <w:t xml:space="preserve">a</w:t>
            </w:r>
            <w:r>
              <w:rPr>
                <w:rFonts w:ascii="Times New Roman" w:hAnsi="Times New Roman" w:eastAsia="Times New Roman" w:cs="Times New Roman"/>
                <w:b/>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Mặt cắt đường/ngõ nhỏ nhất từ đường chính dẫn đến tài sản thẩm định giá:</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0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Lòng đường rộng khoảng 10m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3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Mặt cắt đường/ngõ trước mặt tài sản thẩm định giá:</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Lòng đường rộng khoảng 13m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Khoảng cách đến trục đường chính:</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Tiếp giáp đường đường QL 23, cách UBND xã Quang Minh khoảng 1,7km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Các hướng tiếp giáp:</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Hướng Đông: Tiếp giáp đường giao thông </w:t>
              <w:br/>
              <w:t xml:space="preserve"> Các hường còn lại: Tiếp giáp các thửa đất khác</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00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Vị trí trên bản đồ vệ tinh: (21.175677, 105.730508)</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00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mc:AlternateContent>
                <mc:Choice Requires="wpg">
                  <w:drawing>
                    <wp:inline xmlns:wp="http://schemas.openxmlformats.org/drawingml/2006/wordprocessingDrawing" distT="0" distB="0" distL="0" distR="0">
                      <wp:extent cx="5591175" cy="314325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64742" name=""/>
                              <pic:cNvPicPr>
                                <a:picLocks noChangeAspect="1"/>
                              </pic:cNvPicPr>
                              <pic:nvPr/>
                            </pic:nvPicPr>
                            <pic:blipFill rotWithShape="1">
                              <a:blip r:embed="rId21"/>
                              <a:stretch/>
                            </pic:blipFill>
                            <pic:spPr bwMode="auto">
                              <a:xfrm>
                                <a:off x="0" y="0"/>
                                <a:ext cx="5591174" cy="31432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440.25pt;height:247.50pt;mso-wrap-distance-left:0.00pt;mso-wrap-distance-top:0.00pt;mso-wrap-distance-right:0.00pt;mso-wrap-distance-bottom:0.00pt;z-index:1;" stroked="false">
                      <v:imagedata r:id="rId21"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2.2.</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00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Diện tích; Kích thước; Hình dáng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sử dụng riêng thực tế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0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1200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3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sử dụng chung thực tế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KT mặt tiền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0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Khoảng 28m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3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Chiều sâu (m):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dáng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0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3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Hướng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Hướng Đông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2.3.</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00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Điều kiện kinh doanh; Hạ tầng nội bộ; Hạ tầng xung quanh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nội bộ:</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cấp nước: Nước máy, Hạ tầng thoát nước: Tự nhiên, Hạ tầng cấp điện: Điện lưới, Hạ tầng thông tin liên lạc: Điện thoại, Mạng internet, Truyền hình cáp</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xung quanh:</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Môi trường trong lành, an ninh đảm bảo, dân trí tốt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Mật độ dân cư:</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0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Đông đúc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3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Đời sống dân cư:</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Ổn định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0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Tốt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3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Khả năng chuyển nhượng: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0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Tốt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00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Tài sản gắn liền với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00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eastAsia="Times New Roman" w:cs="Times New Roman"/>
                <w:color w:val="000000" w:themeColor="text1"/>
                <w:sz w:val="24"/>
              </w:rPr>
              <w:t xml:space="preserve">01 Nhà 1 tầng, kết cấu tường, khung cột gỗ, sàn bê tông cốt thép, mái ngói. Hiện đang sử dụng bình thường. Ngoại quan mới. Công trình xây dựng chưa được chứng nhận trên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r>
    </w:tbl>
    <w:p>
      <w:pPr>
        <w:pBdr/>
        <w:spacing w:line="276" w:lineRule="auto"/>
        <w:ind w:left="284"/>
        <w:jc w:val="both"/>
        <w:rPr>
          <w:rFonts w:ascii="Times New Roman" w:hAnsi="Times New Roman" w:cs="Times New Roman"/>
          <w:b/>
          <w:bCs/>
          <w:color w:val="000000" w:themeColor="text1"/>
          <w:u w:val="single"/>
        </w:rPr>
      </w:pPr>
      <w:r>
        <w:rPr>
          <w:rFonts w:ascii="Times New Roman" w:hAnsi="Times New Roman" w:eastAsia="Times New Roman" w:cs="Times New Roman"/>
          <w:b/>
          <w:color w:val="000000" w:themeColor="text1"/>
          <w:sz w:val="24"/>
        </w:rPr>
        <w:t xml:space="preserve"> </w:t>
      </w:r>
      <w:r>
        <w:rPr>
          <w:rFonts w:ascii="Times New Roman" w:hAnsi="Times New Roman" w:eastAsia="Times New Roman" w:cs="Times New Roman"/>
          <w:b/>
          <w:bCs/>
          <w:color w:val="000000" w:themeColor="text1"/>
          <w:u w:val="single"/>
        </w:rPr>
        <w:t xml:space="preserve">Các</w:t>
      </w:r>
      <w:r>
        <w:rPr>
          <w:rFonts w:ascii="Times New Roman" w:hAnsi="Times New Roman" w:eastAsia="Times New Roman" w:cs="Times New Roman"/>
          <w:b/>
          <w:bCs/>
          <w:color w:val="000000" w:themeColor="text1"/>
          <w:u w:val="single"/>
        </w:rPr>
        <w:t xml:space="preserve"> lợi thế thương mại </w:t>
      </w:r>
      <w:r>
        <w:rPr>
          <w:rFonts w:ascii="Times New Roman" w:hAnsi="Times New Roman" w:eastAsia="Times New Roman" w:cs="Times New Roman"/>
          <w:b/>
          <w:bCs/>
          <w:color w:val="000000" w:themeColor="text1"/>
          <w:u w:val="single"/>
        </w:rPr>
        <w:t xml:space="preserve">của thửa đất:</w:t>
      </w:r>
      <w:r>
        <w:rPr>
          <w:rFonts w:ascii="Times New Roman" w:hAnsi="Times New Roman" w:cs="Times New Roman"/>
          <w:b/>
          <w:bCs/>
          <w:color w:val="000000" w:themeColor="text1"/>
          <w:u w:val="single"/>
        </w:rPr>
      </w:r>
      <w:r>
        <w:rPr>
          <w:rFonts w:ascii="Times New Roman" w:hAnsi="Times New Roman" w:cs="Times New Roman"/>
          <w:b/>
          <w:bCs/>
          <w:color w:val="000000" w:themeColor="text1"/>
          <w:u w:val="single"/>
        </w:rPr>
      </w:r>
    </w:p>
    <w:p>
      <w:pPr>
        <w:pBdr/>
        <w:spacing w:line="276" w:lineRule="auto"/>
        <w:ind w:left="284"/>
        <w:jc w:val="both"/>
        <w:rPr>
          <w:rFonts w:ascii="Times New Roman" w:hAnsi="Times New Roman" w:cs="Times New Roman"/>
          <w:b/>
          <w:bCs/>
          <w:color w:val="000000" w:themeColor="text1"/>
          <w:u w:val="single"/>
        </w:rPr>
      </w:pPr>
      <w:r>
        <w:rPr>
          <w:rFonts w:ascii="Times New Roman" w:hAnsi="Times New Roman" w:eastAsia="Times New Roman" w:cs="Times New Roman"/>
          <w:b/>
          <w:bCs/>
          <w:color w:val="000000" w:themeColor="text1"/>
          <w:u w:val="single"/>
        </w:rPr>
      </w:r>
      <w:r>
        <w:rPr>
          <w:rFonts w:ascii="Times New Roman" w:hAnsi="Times New Roman" w:cs="Times New Roman"/>
          <w:b/>
          <w:bCs/>
          <w:color w:val="000000" w:themeColor="text1"/>
          <w:u w:val="single"/>
        </w:rPr>
      </w:r>
      <w:r>
        <w:rPr>
          <w:rFonts w:ascii="Times New Roman" w:hAnsi="Times New Roman" w:cs="Times New Roman"/>
          <w:b/>
          <w:bCs/>
          <w:color w:val="000000" w:themeColor="text1"/>
          <w:u w:val="single"/>
        </w:rPr>
      </w:r>
    </w:p>
    <w:tbl>
      <w:tblPr>
        <w:tblW w:w="5024" w:type="pct"/>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Spacing w:w="0" w:type="dxa"/>
        <w:tblLook w:val="04A0" w:firstRow="1" w:lastRow="0" w:firstColumn="1" w:lastColumn="0" w:noHBand="0" w:noVBand="1"/>
      </w:tblPr>
      <w:tblGrid>
        <w:gridCol w:w="612"/>
        <w:gridCol w:w="3828"/>
        <w:gridCol w:w="1560"/>
        <w:gridCol w:w="3571"/>
      </w:tblGrid>
      <w:tr>
        <w:trPr>
          <w:cantSplit/>
          <w:tblCellSpacing w:w="0" w:type="dxa"/>
          <w:trHeight w:val="300"/>
          <w:tblHeader/>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t xml:space="preserve">STT</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t xml:space="preserve">Nội dung</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819" w:type="pct"/>
            <w:vAlign w:val="center"/>
            <w:textDirection w:val="lrTb"/>
            <w:noWrap w:val="false"/>
          </w:tcPr>
          <w:p>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1874" w:type="pct"/>
            <w:vAlign w:val="center"/>
            <w:textDirection w:val="lrTb"/>
            <w:noWrap w:val="false"/>
          </w:tcPr>
          <w:p>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t xml:space="preserve">Ghi chú</w:t>
            </w:r>
            <w:r>
              <w:rPr>
                <w:rFonts w:ascii="Times New Roman" w:hAnsi="Times New Roman" w:cs="Times New Roman"/>
                <w:b/>
                <w:bCs/>
                <w:color w:val="000000" w:themeColor="text1"/>
              </w:rPr>
            </w:r>
            <w:r>
              <w:rPr>
                <w:rFonts w:ascii="Times New Roman" w:hAnsi="Times New Roman" w:cs="Times New Roman"/>
                <w:b/>
                <w:bCs/>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Đất/Tài sản bám biển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bám hồ (Diện tích &gt;=5ha thì được coi là hồ)</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Bám đầm, ao lớn thuộc sở hữu nhà nước (ao lớn - S=0.5ha)&lt;5ha</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Thế đất tọa sơn hướng thủy 'hậu tựa núi, trước view sông, hồ, đầm', view thoáng, không bị che khuất, loại đất rất được ưa chuộng nghỉ dưỡng, nhà nghỉ cao cấp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View hồ sông, sông, suối, đầm, ao lớn (S=0.5ha), ruộng lúa, đồi núi xa, ngắm hoàng hôn, bình minh xa soi mặt nước, thơ mộng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Đường vào thoáng không đâm thẳng cửa chính 'Thế tránh tiễn khí'</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Có yếu tố 'Linh' gắn với tiếng lành, tài lộc, đại danh, văn hóa, truyền thuyết được xem là khu địa linh nhân kiệt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Đất/tài sản liền kề, đối diện vườn hoa, khu thể thao, bể bơi (không đối diện nhà ở) để được xe hơi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view công viên, vườn hoa, khu thể thao, bể bơi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bl>
    <w:p>
      <w:pPr>
        <w:pBdr/>
        <w:spacing w:after="120" w:before="120" w:line="276" w:lineRule="auto"/>
        <w:ind w:left="284"/>
        <w:jc w:val="both"/>
        <w:rPr>
          <w:rFonts w:ascii="Times New Roman" w:hAnsi="Times New Roman" w:cs="Times New Roman"/>
          <w:b/>
          <w:bCs/>
          <w:color w:val="000000" w:themeColor="text1"/>
          <w:u w:val="single"/>
        </w:rPr>
      </w:pPr>
      <w:r>
        <w:rPr>
          <w:rFonts w:ascii="Times New Roman" w:hAnsi="Times New Roman" w:eastAsia="Times New Roman" w:cs="Times New Roman"/>
          <w:b/>
          <w:bCs/>
          <w:color w:val="000000" w:themeColor="text1"/>
          <w:u w:val="single"/>
        </w:rPr>
        <w:t xml:space="preserve">Các </w:t>
      </w:r>
      <w:r>
        <w:rPr>
          <w:rFonts w:ascii="Times New Roman" w:hAnsi="Times New Roman" w:eastAsia="Times New Roman" w:cs="Times New Roman"/>
          <w:b/>
          <w:bCs/>
          <w:color w:val="000000" w:themeColor="text1"/>
          <w:u w:val="single"/>
        </w:rPr>
        <w:t xml:space="preserve">bất lợi thương mại</w:t>
      </w:r>
      <w:r>
        <w:rPr>
          <w:rFonts w:ascii="Times New Roman" w:hAnsi="Times New Roman" w:eastAsia="Times New Roman" w:cs="Times New Roman"/>
          <w:b/>
          <w:bCs/>
          <w:color w:val="000000" w:themeColor="text1"/>
          <w:u w:val="single"/>
        </w:rPr>
        <w:t xml:space="preserve"> của thửa đất:</w:t>
      </w:r>
      <w:r>
        <w:rPr>
          <w:rFonts w:ascii="Times New Roman" w:hAnsi="Times New Roman" w:cs="Times New Roman"/>
          <w:b/>
          <w:bCs/>
          <w:color w:val="000000" w:themeColor="text1"/>
          <w:u w:val="single"/>
        </w:rPr>
      </w:r>
      <w:r>
        <w:rPr>
          <w:rFonts w:ascii="Times New Roman" w:hAnsi="Times New Roman" w:cs="Times New Roman"/>
          <w:b/>
          <w:bCs/>
          <w:color w:val="000000" w:themeColor="text1"/>
          <w:u w:val="single"/>
        </w:rPr>
      </w:r>
    </w:p>
    <w:tbl>
      <w:tblPr>
        <w:tblW w:w="5024" w:type="pct"/>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Spacing w:w="0" w:type="dxa"/>
        <w:tblLook w:val="04A0" w:firstRow="1" w:lastRow="0" w:firstColumn="1" w:lastColumn="0" w:noHBand="0" w:noVBand="1"/>
      </w:tblPr>
      <w:tblGrid>
        <w:gridCol w:w="612"/>
        <w:gridCol w:w="3828"/>
        <w:gridCol w:w="1560"/>
        <w:gridCol w:w="3571"/>
      </w:tblGrid>
      <w:tr>
        <w:trPr>
          <w:cantSplit/>
          <w:tblCellSpacing w:w="0" w:type="dxa"/>
          <w:trHeight w:val="300"/>
          <w:tblHeader/>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t xml:space="preserve">STT</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t xml:space="preserve">Nội dung</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819" w:type="pct"/>
            <w:vAlign w:val="center"/>
            <w:textDirection w:val="lrTb"/>
            <w:noWrap w:val="false"/>
          </w:tcPr>
          <w:p>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1874" w:type="pct"/>
            <w:vAlign w:val="center"/>
            <w:textDirection w:val="lrTb"/>
            <w:noWrap w:val="false"/>
          </w:tcPr>
          <w:p>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t xml:space="preserve">Ghi chú</w:t>
            </w:r>
            <w:r>
              <w:rPr>
                <w:rFonts w:ascii="Times New Roman" w:hAnsi="Times New Roman" w:cs="Times New Roman"/>
                <w:b/>
                <w:bCs/>
                <w:color w:val="000000" w:themeColor="text1"/>
              </w:rPr>
            </w:r>
            <w:r>
              <w:rPr>
                <w:rFonts w:ascii="Times New Roman" w:hAnsi="Times New Roman" w:cs="Times New Roman"/>
                <w:b/>
                <w:bCs/>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khu vực tâm linh, có âm, sát khí (Nhà tang lễ, nghĩa trang, nhà xác…)</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50m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khu vực tâm linh, có âm, sát khí (Nhà tang lễ, nghĩa trang, nhà xác…)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50m</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150m</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khu vực tâm linh, có âm, sát khí (Nhà tang lễ, nghĩa trang, nhà xác…)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150m</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300m</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khu vực tâm linh, có âm, sát khí (Nhà tang lễ, nghĩa trang, nhà xác…)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300m</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500m</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khu vực tâm linh (Miếu thờ cúng tâm linh, đình, đền, chùa…)</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30m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khu vực tâm linh (Miếu thờ cúng tâm linh, đình, đền, chùa…)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30m</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100m</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w:t>
            </w:r>
            <w:r>
              <w:rPr>
                <w:rFonts w:ascii="Times New Roman" w:hAnsi="Times New Roman" w:eastAsia="Times New Roman" w:cs="Times New Roman"/>
                <w:color w:val="000000" w:themeColor="text1"/>
                <w:lang w:eastAsia="ko-KR"/>
              </w:rPr>
              <w:t xml:space="preserve">từng</w:t>
            </w:r>
            <w:r>
              <w:rPr>
                <w:rFonts w:ascii="Times New Roman" w:hAnsi="Times New Roman" w:eastAsia="Times New Roman" w:cs="Times New Roman"/>
                <w:color w:val="000000" w:themeColor="text1"/>
                <w:lang w:eastAsia="ko-KR"/>
              </w:rPr>
              <w:t xml:space="preserve"> là nghĩa trang, khu tâm linh cũ (đền, đình, chùa, miếu mạo…) đã được san lấp làm khu dân cư</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Trên đất/Công trình có mộ không thể hoặc rất khó có khả năng di chuyển (Mộ tổ chi, tộc, mộ cổ, mộ tâm linh gắn với miếu mạo được nhân dân thờ cúng</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Trên đất/ Công trình có mộ gia đình hoặc vô chủ có thể di chuyển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sát khu mộ phần hoặc liền kề mộ phần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Trên đất/ Công trình có điện thờ, nhà thợ họ dòng tộc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sát hoặc liền kề nhà thờ họ</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gia tộc anh em, họ hàng sống xung quanh chung ngõ đi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Công trình có người tự sát/ án mạng/ tại nạn... bị ảnh hưởng truyền thông Nhẹ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Một vụ tự sát cá biệt không ồn ào, không truyền thông, trong nhà riêng, người Mua/Bán đông ít quan tâm: thị trường ít phản ứng, nếu có phản ứng chỉ là tâm lý tạm thời.</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w:t>
            </w:r>
            <w:r>
              <w:rPr>
                <w:rFonts w:ascii="Times New Roman" w:hAnsi="Times New Roman" w:eastAsia="Times New Roman" w:cs="Times New Roman"/>
                <w:color w:val="000000" w:themeColor="text1"/>
                <w:lang w:eastAsia="ko-KR"/>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Công trình có người tự sát/án mạng/ tai nạn... bị ảnh hưởng truyền thông Trung bình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Công trình có người tự sát/án mạng/ tai nạn... bị ảnh hưởng truyền thông Mạnh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Công trình có người tự sát/án mạng/ tai nạn... bị ảnh hưởng truyền thông Rất Mạnh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Vụ nổi tiếng, nhiều truyề</w:t>
            </w:r>
            <w:r>
              <w:rPr>
                <w:rFonts w:ascii="Times New Roman" w:hAnsi="Times New Roman" w:eastAsia="Times New Roman" w:cs="Times New Roman"/>
                <w:color w:val="000000" w:themeColor="text1"/>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hoặc liên kế cây xăng</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50m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hoặc liên kế trạm thu phát </w:t>
            </w:r>
            <w:r>
              <w:rPr>
                <w:rFonts w:ascii="Times New Roman" w:hAnsi="Times New Roman" w:eastAsia="Times New Roman" w:cs="Times New Roman"/>
                <w:color w:val="000000" w:themeColor="text1"/>
                <w:lang w:eastAsia="ko-KR"/>
              </w:rPr>
              <w:t xml:space="preserve">sóng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50m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hoặc liên kế đường dây truyền tải điện cao thế 500 KV</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50m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hoặc liên kế đường dây truyền tải điện 220 KV</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30m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Mặt tiền bị che chắn (có cột điện, trạm biến áp…)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đường sắt&lt;=50m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Đường vào thẳng tắp như mũi tên đâm thẳng cửa chính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Thế tiễn khí</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nằm dưới chân cầu, đường dốc cao (Thế bị xung</w:t>
            </w:r>
            <w:r>
              <w:rPr>
                <w:rFonts w:ascii="Times New Roman" w:hAnsi="Times New Roman" w:eastAsia="Times New Roman" w:cs="Times New Roman"/>
                <w:color w:val="000000" w:themeColor="text1"/>
                <w:lang w:eastAsia="ko-KR"/>
              </w:rPr>
              <w:t xml:space="preserve"> : </w:t>
            </w:r>
            <w:r>
              <w:rPr>
                <w:rFonts w:ascii="Times New Roman" w:hAnsi="Times New Roman" w:eastAsia="Times New Roman" w:cs="Times New Roman"/>
                <w:color w:val="000000" w:themeColor="text1"/>
                <w:lang w:eastAsia="ko-KR"/>
              </w:rPr>
              <w:t xml:space="preserve">Hổ phục, Long phục) xe lao xuống, gió tạt thẳng sát khí, không tụ</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Giao lộ Chữ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T</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 bị đường đâm thẳng vào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Thế tiền đao sát</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bl>
    <w:p>
      <w:pPr>
        <w:pBdr/>
        <w:spacing w:after="120" w:before="120" w:line="276" w:lineRule="auto"/>
        <w:ind w:left="284"/>
        <w:jc w:val="both"/>
        <w:rPr>
          <w:rFonts w:ascii="Times New Roman" w:hAnsi="Times New Roman" w:cs="Times New Roman"/>
          <w:b/>
          <w:bCs/>
          <w:color w:val="000000" w:themeColor="text1"/>
          <w:u w:val="single"/>
        </w:rPr>
      </w:pPr>
      <w:r>
        <w:rPr>
          <w:rFonts w:ascii="Times New Roman" w:hAnsi="Times New Roman" w:eastAsia="Times New Roman" w:cs="Times New Roman"/>
          <w:b/>
          <w:bCs/>
          <w:color w:val="000000" w:themeColor="text1"/>
          <w:u w:val="single"/>
        </w:rPr>
      </w:r>
      <w:r>
        <w:rPr>
          <w:rFonts w:ascii="Times New Roman" w:hAnsi="Times New Roman" w:cs="Times New Roman"/>
          <w:b/>
          <w:bCs/>
          <w:color w:val="000000" w:themeColor="text1"/>
          <w:u w:val="single"/>
        </w:rPr>
      </w:r>
      <w:r>
        <w:rPr>
          <w:rFonts w:ascii="Times New Roman" w:hAnsi="Times New Roman" w:cs="Times New Roman"/>
          <w:b/>
          <w:bCs/>
          <w:color w:val="000000" w:themeColor="text1"/>
          <w:u w:val="single"/>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V. CÁC GIẢ THIẾT VÀ GIẢ THIẾT ĐẶC BIỆT</w:t>
      </w:r>
      <w:r>
        <w:rPr>
          <w:rFonts w:ascii="Times New Roman" w:hAnsi="Times New Roman" w:cs="Times New Roman"/>
          <w:color w:val="000000" w:themeColor="text1"/>
        </w:rPr>
      </w:r>
      <w:r>
        <w:rPr>
          <w:rFonts w:ascii="Times New Roman" w:hAnsi="Times New Roman" w:cs="Times New Roman"/>
          <w:color w:val="000000" w:themeColor="text1"/>
        </w:rPr>
      </w:r>
    </w:p>
    <w:p>
      <w:pPr>
        <w:numPr>
          <w:ilvl w:val="0"/>
          <w:numId w:val="44"/>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rFonts w:ascii="Times New Roman" w:hAnsi="Times New Roman" w:cs="Times New Roman"/>
          <w:color w:val="000000" w:themeColor="text1"/>
        </w:rPr>
      </w:pPr>
      <w:r>
        <w:rPr>
          <w:rFonts w:ascii="Times New Roman" w:hAnsi="Times New Roman" w:eastAsia="Times New Roman" w:cs="Times New Roman"/>
          <w:color w:val="000000" w:themeColor="text1"/>
          <w:spacing w:val="-2"/>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themeColor="text1"/>
          <w:spacing w:val="-2"/>
          <w:sz w:val="24"/>
        </w:rPr>
        <w:t xml:space="preserve"> trừ mọi trách nhiệm phát sinh, liên đới (nếu có) trong trường hợp này.</w:t>
      </w:r>
      <w:r>
        <w:rPr>
          <w:rFonts w:ascii="Times New Roman" w:hAnsi="Times New Roman" w:cs="Times New Roman"/>
          <w:color w:val="000000" w:themeColor="text1"/>
        </w:rPr>
      </w:r>
      <w:r>
        <w:rPr>
          <w:rFonts w:ascii="Times New Roman" w:hAnsi="Times New Roman" w:cs="Times New Roman"/>
          <w:color w:val="000000" w:themeColor="text1"/>
        </w:rPr>
      </w:r>
    </w:p>
    <w:p>
      <w:pPr>
        <w:numPr>
          <w:ilvl w:val="0"/>
          <w:numId w:val="44"/>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rFonts w:ascii="Times New Roman" w:hAnsi="Times New Roman" w:cs="Times New Roman"/>
          <w:color w:val="000000" w:themeColor="text1"/>
        </w:rPr>
      </w:pPr>
      <w:r>
        <w:rPr>
          <w:rFonts w:ascii="Times New Roman" w:hAnsi="Times New Roman" w:eastAsia="Times New Roman" w:cs="Times New Roman"/>
          <w:color w:val="000000" w:themeColor="text1"/>
          <w:spacing w:val="-2"/>
          <w:sz w:val="24"/>
        </w:rPr>
        <w:t xml:space="preserve">Tại thời điểm khảo sát, trên thửa đất số 2b có 01 Nhà 3 tầng, kết cấu tường gạch, khung, sàn bê tông cốt thép, mái đổ bê tông và lợp tôn. Hiện đang sử dụng bình thường. Ngoại quan đã cũ; Thửa đất số 4a có 01 Nhà 5 tầng + 1 tum + 1 hầm, kết cấu tường gạch, </w:t>
      </w:r>
      <w:r>
        <w:rPr>
          <w:rFonts w:ascii="Times New Roman" w:hAnsi="Times New Roman" w:eastAsia="Times New Roman" w:cs="Times New Roman"/>
          <w:color w:val="000000" w:themeColor="text1"/>
          <w:spacing w:val="-2"/>
          <w:sz w:val="24"/>
        </w:rPr>
        <w:t xml:space="preserve">khung, sàn bê tông cốt thép, mái đổ bê tông. Hiện đang sử dụng bình thường. Ngoại quan khá, xây hết đất năm 2022; Thửa đất số 162a có 01 Nhà 1 tầng, kết cấu tường, khung cột gỗ, sàn bê tông cốt thép, mái ngói. Hiện đang sử dụng bình thường. Ngoại quan mới.</w:t>
      </w:r>
      <w:r>
        <w:rPr>
          <w:rFonts w:ascii="Times New Roman" w:hAnsi="Times New Roman" w:eastAsia="Times New Roman" w:cs="Times New Roman"/>
          <w:color w:val="000000" w:themeColor="text1"/>
          <w:spacing w:val="-2"/>
          <w:sz w:val="24"/>
        </w:rPr>
        <w:t xml:space="preserve"> Các công trình xây dựng chưa được chứng nhận trên Giấy chứng nhận quyền sử dụng đất. Tổ thẩm định cũng không nhận được bất kỳ hồ sơ pháp lý nào liên quan tới công trình xây dựng trên. Do vậy, theo đề nghị của Ngân hàng/Khách hàng, tổ thẩm định không xác đ</w:t>
      </w:r>
      <w:r>
        <w:rPr>
          <w:rFonts w:ascii="Times New Roman" w:hAnsi="Times New Roman" w:eastAsia="Times New Roman" w:cs="Times New Roman"/>
          <w:color w:val="000000" w:themeColor="text1"/>
          <w:spacing w:val="-2"/>
          <w:sz w:val="24"/>
        </w:rPr>
        <w:t xml:space="preserve">ịnh giá trị của công trình xây dựng vào tổng giá trị nhưng vẫn coi đó là phần không thể tách rời của tài sản thẩm định. Kính đề nghị đơn vị sử dụng kết quả lưu ý. </w:t>
      </w:r>
      <w:r>
        <w:rPr>
          <w:rFonts w:ascii="Times New Roman" w:hAnsi="Times New Roman" w:cs="Times New Roman"/>
          <w:color w:val="000000" w:themeColor="text1"/>
        </w:rPr>
      </w:r>
      <w:r>
        <w:rPr>
          <w:rFonts w:ascii="Times New Roman" w:hAnsi="Times New Roman" w:cs="Times New Roman"/>
          <w:color w:val="000000" w:themeColor="text1"/>
        </w:rPr>
      </w:r>
    </w:p>
    <w:p>
      <w:pPr>
        <w:numPr>
          <w:ilvl w:val="0"/>
          <w:numId w:val="44"/>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rFonts w:ascii="Times New Roman" w:hAnsi="Times New Roman" w:cs="Times New Roman"/>
          <w:color w:val="000000" w:themeColor="text1"/>
        </w:rPr>
      </w:pPr>
      <w:r>
        <w:rPr>
          <w:rFonts w:ascii="Times New Roman" w:hAnsi="Times New Roman" w:eastAsia="Times New Roman" w:cs="Times New Roman"/>
          <w:color w:val="000000" w:themeColor="text1"/>
          <w:spacing w:val="-2"/>
          <w:sz w:val="24"/>
        </w:rPr>
        <w:t xml:space="preserve">Thông qua nguồn tin kiểm tra quy hoạch từ website Meeymap.com, tổ thẩm định nhận thấy thửa đất số 2b có 168,25 m2 thuộc quy hoạch đất ở, thửa đất số 4a có khoảng 146,48m2 thuộc quy hoạch đất ở, phần diện tích còn lại thuộc quy hoạch hành lang giao thông, t</w:t>
      </w:r>
      <w:r>
        <w:rPr>
          <w:rFonts w:ascii="Times New Roman" w:hAnsi="Times New Roman" w:eastAsia="Times New Roman" w:cs="Times New Roman"/>
          <w:color w:val="000000" w:themeColor="text1"/>
          <w:spacing w:val="-2"/>
          <w:sz w:val="24"/>
        </w:rPr>
        <w:t xml:space="preserve">ỷ lệ 1/2000 theo đồ án </w:t>
      </w:r>
      <w:hyperlink r:id="rId22" w:tooltip="https://beta.meeymap.com/tra-cuu-quy-hoach/ql23?search=eyJsYXQiOjIxLjE3NTA0NjI5NzUxNzQ0LCJsbmciOjEwNS43MzE1NDk0ODcxOTYwNSwidGFiIjowLCJzYXRlbGxpdGVWaXNpYmxlIjp0cnVlLCJpbWFnZSI6Ii9pbWFnZXMvc2VvLWRlZmF1bHQtMi5wbmcifQ" w:history="1">
        <w:r>
          <w:rPr>
            <w:rStyle w:val="1045"/>
            <w:rFonts w:ascii="Times New Roman" w:hAnsi="Times New Roman" w:eastAsia="Times New Roman" w:cs="Times New Roman"/>
            <w:color w:val="000000" w:themeColor="text1"/>
            <w:spacing w:val="-2"/>
            <w:sz w:val="24"/>
            <w:u w:val="none"/>
          </w:rPr>
          <w:t xml:space="preserve">Quy hoạch phân khu N1</w:t>
        </w:r>
      </w:hyperlink>
      <w:r>
        <w:rPr>
          <w:rFonts w:ascii="Times New Roman" w:hAnsi="Times New Roman" w:eastAsia="Times New Roman" w:cs="Times New Roman"/>
          <w:color w:val="000000" w:themeColor="text1"/>
          <w:spacing w:val="-2"/>
          <w:sz w:val="24"/>
        </w:rPr>
        <w:t xml:space="preserve">, quyết định </w:t>
      </w:r>
      <w:hyperlink r:id="rId23" w:tooltip="https://beta.meeymap.com/tra-cuu-quy-hoach/ql23?search=eyJsYXQiOjIxLjE3NTA0NjI5NzUxNzQ0LCJsbmciOjEwNS43MzE1NDk0ODcxOTYwNSwidGFiIjowLCJzYXRlbGxpdGVWaXNpYmxlIjp0cnVlLCJpbWFnZSI6Ii9pbWFnZXMvc2VvLWRlZmF1bHQtMi5wbmcifQ" w:history="1">
        <w:r>
          <w:rPr>
            <w:rStyle w:val="1045"/>
            <w:rFonts w:ascii="Times New Roman" w:hAnsi="Times New Roman" w:eastAsia="Times New Roman" w:cs="Times New Roman"/>
            <w:color w:val="000000" w:themeColor="text1"/>
            <w:spacing w:val="-2"/>
            <w:sz w:val="24"/>
            <w:u w:val="none"/>
          </w:rPr>
          <w:t xml:space="preserve">Quyết định số 1911/QĐ-UBND</w:t>
        </w:r>
      </w:hyperlink>
      <w:r>
        <w:rPr>
          <w:rFonts w:ascii="Times New Roman" w:hAnsi="Times New Roman" w:eastAsia="Times New Roman" w:cs="Times New Roman"/>
          <w:color w:val="000000" w:themeColor="text1"/>
          <w:spacing w:val="-2"/>
          <w:sz w:val="24"/>
        </w:rPr>
        <w:t xml:space="preserve">, hiện nay chưa có thông báo thu hồi đất/quyết định thu hồi đất/phương án giải tỏa bồi thường. Theo đề nghị của Khách hàng, tổ thẩm định xác định giá trị tài sản theo thông tin quy hoạch nêu trên. Đối với diện tích nằm ngoài quy hoạch tổ thẩm định đánh giá</w:t>
      </w:r>
      <w:r>
        <w:rPr>
          <w:rFonts w:ascii="Times New Roman" w:hAnsi="Times New Roman" w:eastAsia="Times New Roman" w:cs="Times New Roman"/>
          <w:color w:val="000000" w:themeColor="text1"/>
          <w:spacing w:val="-2"/>
          <w:sz w:val="24"/>
        </w:rPr>
        <w:t xml:space="preserve"> theo giá trị thị trường, đối với phần nằm trong quy hoạch tổ thẩm định đánh giá theo giá khung UBND từng thời kỳ, giá trị đền bù thực tế còn phụ thuộc vào thỏa thuận các bên tại thời điểm Nhà nước giải phóng mặt bằng thực hiện quy hoạch. Đề nghị đơn vị sử</w:t>
      </w:r>
      <w:r>
        <w:rPr>
          <w:rFonts w:ascii="Times New Roman" w:hAnsi="Times New Roman" w:eastAsia="Times New Roman" w:cs="Times New Roman"/>
          <w:color w:val="000000" w:themeColor="text1"/>
          <w:spacing w:val="-2"/>
          <w:sz w:val="24"/>
        </w:rPr>
        <w:t xml:space="preserve"> dụng kết quả lưu ý kiểm tra xác minh thêm thông tin quy hoạch nếu thấy cần thiết. Trong trường hợp Khách hàng/Ngân hàng cung cấp được Văn bản xác nhận rõ phần diện tích thuộc quy hoạch mà có sự sai khác so với số liệu nêu trên thì kết quả thẩm định giá cầ</w:t>
      </w:r>
      <w:r>
        <w:rPr>
          <w:rFonts w:ascii="Times New Roman" w:hAnsi="Times New Roman" w:eastAsia="Times New Roman" w:cs="Times New Roman"/>
          <w:color w:val="000000" w:themeColor="text1"/>
          <w:spacing w:val="-2"/>
          <w:sz w:val="24"/>
        </w:rPr>
        <w:t xml:space="preserve">n được xem xét, điều chỉnh phù hợp, chúng tôi bảo lưu quyền xem xét lại kết quả thẩm định giá</w:t>
      </w:r>
      <w:r>
        <w:rPr>
          <w:rFonts w:ascii="Times New Roman" w:hAnsi="Times New Roman" w:cs="Times New Roman"/>
          <w:color w:val="000000" w:themeColor="text1"/>
        </w:rPr>
      </w:r>
      <w:r>
        <w:rPr>
          <w:rFonts w:ascii="Times New Roman" w:hAnsi="Times New Roman" w:cs="Times New Roman"/>
          <w:color w:val="000000" w:themeColor="text1"/>
        </w:rPr>
      </w:r>
    </w:p>
    <w:p>
      <w:pPr>
        <w:numPr>
          <w:ilvl w:val="0"/>
          <w:numId w:val="44"/>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rFonts w:ascii="Times New Roman" w:hAnsi="Times New Roman" w:cs="Times New Roman"/>
          <w:color w:val="000000" w:themeColor="text1"/>
        </w:rPr>
      </w:pPr>
      <w:r>
        <w:rPr>
          <w:rFonts w:ascii="Times New Roman" w:hAnsi="Times New Roman" w:eastAsia="Times New Roman" w:cs="Times New Roman"/>
          <w:color w:val="000000" w:themeColor="text1"/>
          <w:spacing w:val="-2"/>
          <w:sz w:val="24"/>
        </w:rPr>
        <w:t xml:space="preserve">Theo GCN số G 443584 và trích lục khách hàng cung cấp, sơ đồ thửa đất chưa thể hiện kích thước các cạnh của thửa đất. Kết quả thẩm định được Tổ thẩm định đưa ra trên cơ sở đo đạc kích thước thửa đất thực tế dưới sự hướng dẫn của Khách hàng với giả định kíc</w:t>
      </w:r>
      <w:r>
        <w:rPr>
          <w:rFonts w:ascii="Times New Roman" w:hAnsi="Times New Roman" w:eastAsia="Times New Roman" w:cs="Times New Roman"/>
          <w:color w:val="000000" w:themeColor="text1"/>
          <w:spacing w:val="-2"/>
          <w:sz w:val="24"/>
        </w:rPr>
        <w:t xml:space="preserve">h thước thửa đất trên thực tế hoàn toàn trùng khớp với hồ sơ pháp lý. Kết quả thẩm định giá chỉ có giá trị giới hạn trong trường hợp giả định nêu trên là đúng. Đề nghị Đơn vị sử dụng kết quả lưu ý.</w:t>
      </w:r>
      <w:r>
        <w:rPr>
          <w:rFonts w:ascii="Times New Roman" w:hAnsi="Times New Roman" w:cs="Times New Roman"/>
          <w:color w:val="000000" w:themeColor="text1"/>
        </w:rPr>
      </w:r>
      <w:r>
        <w:rPr>
          <w:rFonts w:ascii="Times New Roman" w:hAnsi="Times New Roman" w:cs="Times New Roman"/>
          <w:color w:val="000000" w:themeColor="text1"/>
        </w:rPr>
      </w:r>
    </w:p>
    <w:p>
      <w:pPr>
        <w:numPr>
          <w:ilvl w:val="0"/>
          <w:numId w:val="44"/>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rFonts w:ascii="Times New Roman" w:hAnsi="Times New Roman" w:cs="Times New Roman"/>
          <w:color w:val="000000" w:themeColor="text1"/>
        </w:rPr>
      </w:pPr>
      <w:r>
        <w:rPr>
          <w:rFonts w:ascii="Times New Roman" w:hAnsi="Times New Roman" w:eastAsia="Times New Roman" w:cs="Times New Roman"/>
          <w:color w:val="000000" w:themeColor="text1"/>
          <w:spacing w:val="-2"/>
          <w:sz w:val="24"/>
        </w:rPr>
        <w:t xml:space="preserve">Mục đích sử dụng đất của thửa đất 162a được công nhận tại trang 2 GCN là đất ao và thổ cư. Tuy nhiên theo tờ trích lục bản đồ mà khách hàng cung cấp và kết quả khảo sát thực tế, mục đích sử dụng đất là đất ở. Do đó, tổ thẩm định đánh giá giá trị thửa đất 1</w:t>
      </w:r>
      <w:r>
        <w:rPr>
          <w:rFonts w:ascii="Times New Roman" w:hAnsi="Times New Roman" w:eastAsia="Times New Roman" w:cs="Times New Roman"/>
          <w:color w:val="000000" w:themeColor="text1"/>
          <w:spacing w:val="-2"/>
          <w:sz w:val="24"/>
        </w:rPr>
        <w:t xml:space="preserve">62ª theo tờ trích lục bản đồ. Đề nghị Đơn vị sử dụng kết quả lưu ý.</w:t>
      </w:r>
      <w:r>
        <w:rPr>
          <w:rFonts w:ascii="Times New Roman" w:hAnsi="Times New Roman" w:cs="Times New Roman"/>
          <w:color w:val="000000" w:themeColor="text1"/>
        </w:rPr>
      </w:r>
      <w:r>
        <w:rPr>
          <w:rFonts w:ascii="Times New Roman" w:hAnsi="Times New Roman" w:cs="Times New Roman"/>
          <w:color w:val="000000" w:themeColor="text1"/>
        </w:rPr>
      </w:r>
    </w:p>
    <w:p>
      <w:pPr>
        <w:numPr>
          <w:ilvl w:val="0"/>
          <w:numId w:val="44"/>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rFonts w:ascii="Times New Roman" w:hAnsi="Times New Roman" w:cs="Times New Roman"/>
          <w:color w:val="000000" w:themeColor="text1"/>
        </w:rPr>
      </w:pPr>
      <w:r>
        <w:rPr>
          <w:rFonts w:ascii="Times New Roman" w:hAnsi="Times New Roman" w:eastAsia="Times New Roman" w:cs="Times New Roman"/>
          <w:color w:val="000000" w:themeColor="text1"/>
          <w:spacing w:val="-2"/>
          <w:sz w:val="24"/>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rFonts w:ascii="Times New Roman" w:hAnsi="Times New Roman" w:cs="Times New Roman"/>
          <w:color w:val="000000" w:themeColor="text1"/>
        </w:rPr>
      </w:r>
      <w:r>
        <w:rPr>
          <w:rFonts w:ascii="Times New Roman" w:hAnsi="Times New Roman" w:cs="Times New Roman"/>
          <w:color w:val="000000" w:themeColor="text1"/>
        </w:rPr>
      </w:r>
    </w:p>
    <w:p>
      <w:pPr>
        <w:numPr>
          <w:ilvl w:val="0"/>
          <w:numId w:val="44"/>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rFonts w:ascii="Times New Roman" w:hAnsi="Times New Roman" w:cs="Times New Roman"/>
          <w:color w:val="000000" w:themeColor="text1"/>
        </w:rPr>
      </w:pPr>
      <w:r>
        <w:rPr>
          <w:rFonts w:ascii="Times New Roman" w:hAnsi="Times New Roman" w:eastAsia="Times New Roman" w:cs="Times New Roman"/>
          <w:color w:val="000000" w:themeColor="text1"/>
          <w:spacing w:val="-2"/>
          <w:sz w:val="24"/>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120" w:before="24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VI. CƠ SỞ GIÁ TRỊ THẨM ĐỊNH GIÁ </w:t>
      </w:r>
      <w:r>
        <w:rPr>
          <w:rFonts w:ascii="Times New Roman" w:hAnsi="Times New Roman" w:cs="Times New Roman"/>
          <w:color w:val="000000" w:themeColor="text1"/>
        </w:rPr>
      </w:r>
      <w:r>
        <w:rPr>
          <w:rFonts w:ascii="Times New Roman" w:hAnsi="Times New Roman" w:cs="Times New Roman"/>
          <w:color w:val="000000" w:themeColor="text1"/>
        </w:rPr>
      </w:r>
    </w:p>
    <w:p>
      <w:pPr>
        <w:numPr>
          <w:ilvl w:val="0"/>
          <w:numId w:val="44"/>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Giá trị thị trường:</w:t>
      </w:r>
      <w:r>
        <w:rPr>
          <w:rFonts w:ascii="Times New Roman" w:hAnsi="Times New Roman" w:eastAsia="Times New Roman" w:cs="Times New Roman"/>
          <w:color w:val="000000" w:themeColor="text1"/>
          <w:sz w:val="24"/>
        </w:rPr>
        <w:t xml:space="preserve"> Kết quả thẩm định giá trị tài sản được xác định dựa trên cơ sở giá trị thị trường tại thời điểm thẩm định theo Chuẩn mực thẩm định giá Việt Nam về Cơ sở giá trị thẩm định giá: </w:t>
      </w:r>
      <w:r>
        <w:rPr>
          <w:rFonts w:ascii="Times New Roman" w:hAnsi="Times New Roman" w:eastAsia="Times New Roman" w:cs="Times New Roman"/>
          <w:i/>
          <w:color w:val="000000" w:themeColor="text1"/>
          <w:sz w:val="24"/>
        </w:rPr>
        <w:t xml:space="preserve">“Giá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w:t>
      </w:r>
      <w:r>
        <w:rPr>
          <w:rFonts w:ascii="Times New Roman" w:hAnsi="Times New Roman" w:eastAsia="Times New Roman" w:cs="Times New Roman"/>
          <w:i/>
          <w:color w:val="000000" w:themeColor="text1"/>
          <w:sz w:val="24"/>
        </w:rPr>
        <w:t xml:space="preserve">u biết, thận trọng và không bị ép buộc”</w:t>
      </w: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VII. CÁCH TIẾP CẬN, PHƯƠNG PHÁP THẨM ĐỊNH GIÁ</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 Cách tiếp cận và phương pháp thẩm định:</w:t>
      </w:r>
      <w:r>
        <w:rPr>
          <w:rFonts w:ascii="Times New Roman" w:hAnsi="Times New Roman" w:cs="Times New Roman"/>
          <w:color w:val="000000" w:themeColor="text1"/>
        </w:rPr>
      </w:r>
      <w:r>
        <w:rPr>
          <w:rFonts w:ascii="Times New Roman" w:hAnsi="Times New Roman" w:cs="Times New Roman"/>
          <w:color w:val="000000" w:themeColor="text1"/>
        </w:rPr>
      </w:r>
    </w:p>
    <w:p>
      <w:pPr>
        <w:numPr>
          <w:ilvl w:val="0"/>
          <w:numId w:val="44"/>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rFonts w:ascii="Times New Roman" w:hAnsi="Times New Roman" w:cs="Times New Roman"/>
          <w:color w:val="000000" w:themeColor="text1"/>
        </w:rPr>
      </w:pPr>
      <w:r>
        <w:rPr>
          <w:rFonts w:ascii="Times New Roman" w:hAnsi="Times New Roman" w:eastAsia="Times New Roman" w:cs="Times New Roman"/>
          <w:i/>
          <w:color w:val="000000" w:themeColor="text1"/>
          <w:sz w:val="24"/>
        </w:rPr>
        <w:t xml:space="preserve">Cách tiếp cận từ thị trường:</w:t>
      </w:r>
      <w:r>
        <w:rPr>
          <w:rFonts w:ascii="Times New Roman" w:hAnsi="Times New Roman" w:eastAsia="Times New Roman" w:cs="Times New Roman"/>
          <w:color w:val="000000" w:themeColor="text1"/>
          <w:sz w:val="24"/>
        </w:rPr>
        <w:t xml:space="preserve"> Xác định giá trị của tài sản thẩm định giá thông qua việc so sánh tài sản thẩm định giá với các tài sản so sánh đã có các thông tin về giá trên thị trường.</w:t>
      </w:r>
      <w:r>
        <w:rPr>
          <w:rFonts w:ascii="Times New Roman" w:hAnsi="Times New Roman" w:cs="Times New Roman"/>
          <w:color w:val="000000" w:themeColor="text1"/>
        </w:rPr>
      </w:r>
      <w:r>
        <w:rPr>
          <w:rFonts w:ascii="Times New Roman" w:hAnsi="Times New Roman" w:cs="Times New Roman"/>
          <w:color w:val="000000" w:themeColor="text1"/>
        </w:rPr>
      </w:r>
    </w:p>
    <w:p>
      <w:pPr>
        <w:numPr>
          <w:ilvl w:val="0"/>
          <w:numId w:val="44"/>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rFonts w:ascii="Times New Roman" w:hAnsi="Times New Roman" w:cs="Times New Roman"/>
          <w:color w:val="000000" w:themeColor="text1"/>
        </w:rPr>
      </w:pPr>
      <w:r>
        <w:rPr>
          <w:rFonts w:ascii="Times New Roman" w:hAnsi="Times New Roman" w:eastAsia="Times New Roman" w:cs="Times New Roman"/>
          <w:i/>
          <w:color w:val="000000" w:themeColor="text1"/>
          <w:sz w:val="24"/>
        </w:rPr>
        <w:t xml:space="preserve">Phương pháp so sánh:</w:t>
      </w:r>
      <w:r>
        <w:rPr>
          <w:rFonts w:ascii="Times New Roman" w:hAnsi="Times New Roman" w:eastAsia="Times New Roman" w:cs="Times New Roman"/>
          <w:color w:val="000000" w:themeColor="text1"/>
          <w:sz w:val="24"/>
        </w:rPr>
        <w:t xml:space="preserve"> Xác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w:t>
      </w:r>
      <w:r>
        <w:rPr>
          <w:rFonts w:ascii="Times New Roman" w:hAnsi="Times New Roman" w:eastAsia="Times New Roman" w:cs="Times New Roman"/>
          <w:color w:val="000000" w:themeColor="text1"/>
          <w:sz w:val="24"/>
        </w:rPr>
        <w:t xml:space="preserve">nh giá.</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 Xác định cách tiếp cận và phương pháp đối với tài sản thẩm định giá:</w:t>
      </w:r>
      <w:r>
        <w:rPr>
          <w:rFonts w:ascii="Times New Roman" w:hAnsi="Times New Roman" w:cs="Times New Roman"/>
          <w:color w:val="000000" w:themeColor="text1"/>
        </w:rPr>
      </w:r>
      <w:r>
        <w:rPr>
          <w:rFonts w:ascii="Times New Roman" w:hAnsi="Times New Roman" w:cs="Times New Roman"/>
          <w:color w:val="000000" w:themeColor="text1"/>
        </w:rPr>
      </w:r>
    </w:p>
    <w:p>
      <w:pPr>
        <w:numPr>
          <w:ilvl w:val="0"/>
          <w:numId w:val="44"/>
        </w:numPr>
        <w:pBdr>
          <w:top w:val="none" w:color="000000" w:sz="4" w:space="0"/>
          <w:left w:val="none" w:color="000000" w:sz="4" w:space="0"/>
          <w:bottom w:val="none" w:color="000000" w:sz="4" w:space="0"/>
          <w:right w:val="none" w:color="000000" w:sz="4" w:space="0"/>
        </w:pBdr>
        <w:spacing w:after="120" w:before="120" w:line="276" w:lineRule="auto"/>
        <w:ind w:right="0" w:hanging="283" w:left="283"/>
        <w:jc w:val="both"/>
        <w:rPr>
          <w:rFonts w:ascii="Times New Roman" w:hAnsi="Times New Roman" w:cs="Times New Roman"/>
          <w:color w:val="000000" w:themeColor="text1"/>
        </w:rPr>
      </w:pPr>
      <w:r>
        <w:rPr>
          <w:rFonts w:ascii="Times New Roman" w:hAnsi="Times New Roman" w:eastAsia="Times New Roman" w:cs="Times New Roman"/>
          <w:color w:val="000000" w:themeColor="text1"/>
          <w:spacing w:val="-2"/>
          <w:sz w:val="24"/>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làm trọng yếu để xác định giá trị</w:t>
      </w:r>
      <w:r>
        <w:rPr>
          <w:rFonts w:ascii="Times New Roman" w:hAnsi="Times New Roman" w:eastAsia="Times New Roman" w:cs="Times New Roman"/>
          <w:color w:val="000000" w:themeColor="text1"/>
          <w:spacing w:val="-2"/>
          <w:sz w:val="24"/>
        </w:rPr>
        <w:t xml:space="preserve"> quyền sử dụng đất của tài sản thẩm định giá</w:t>
      </w: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VIII. XÁC ĐỊNH GIÁ TRỊ CỦA TÀI SẢN CẦN THẨM ĐỊNH GIÁ:</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45"/>
        </w:numPr>
        <w:pBdr>
          <w:top w:val="none" w:color="000000" w:sz="4" w:space="0"/>
          <w:left w:val="none" w:color="000000" w:sz="4" w:space="0"/>
          <w:bottom w:val="none" w:color="000000" w:sz="4" w:space="0"/>
          <w:right w:val="none" w:color="000000" w:sz="4" w:space="0"/>
        </w:pBdr>
        <w:spacing w:after="0" w:before="120" w:line="276" w:lineRule="auto"/>
        <w:ind w:right="0" w:hanging="283" w:left="283"/>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Xác định đơn giá quyền sử dụng đất tại thửa đất 2</w:t>
      </w:r>
      <w:r>
        <w:rPr>
          <w:rFonts w:ascii="Times New Roman" w:hAnsi="Times New Roman" w:eastAsia="Times New Roman" w:cs="Times New Roman"/>
          <w:b/>
          <w:color w:val="000000" w:themeColor="text1"/>
          <w:sz w:val="20"/>
          <w:vertAlign w:val="superscript"/>
        </w:rPr>
        <w:t xml:space="preserve">b</w:t>
      </w:r>
      <w:r>
        <w:rPr>
          <w:rFonts w:ascii="Times New Roman" w:hAnsi="Times New Roman" w:eastAsia="Times New Roman" w:cs="Times New Roman"/>
          <w:b/>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1.1 Đất nằm ngoài quy hoạch hành lang giao thông.</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284"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rPr>
          <w:rFonts w:ascii="Times New Roman" w:hAnsi="Times New Roman" w:cs="Times New Roman"/>
          <w:color w:val="000000" w:themeColor="text1"/>
        </w:rPr>
      </w:r>
      <w:r>
        <w:rPr>
          <w:rFonts w:ascii="Times New Roman" w:hAnsi="Times New Roman" w:cs="Times New Roman"/>
          <w:color w:val="000000" w:themeColor="text1"/>
        </w:rPr>
      </w:r>
    </w:p>
    <w:p>
      <w:pPr>
        <w:numPr>
          <w:ilvl w:val="0"/>
          <w:numId w:val="42"/>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Thông tin tài sản so sánh</w:t>
      </w: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5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18"/>
        <w:gridCol w:w="1984"/>
        <w:gridCol w:w="1765"/>
        <w:gridCol w:w="1765"/>
        <w:gridCol w:w="1765"/>
        <w:gridCol w:w="1765"/>
      </w:tblGrid>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STT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ĐẶC ĐIỂM BĐS</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TSTĐ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TSSS1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TSSS2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TSSS3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A</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Thông tin về tài sản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Địa chỉ</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Xã Quang Minh, Thành phố Hà Nội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Xã Quang Minh, Thành phố Hà Nội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Xã Quang Minh, Thành phố Hà Nội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Xã Quang Minh, Thành phố Hà Nội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Nguồn tham khảo</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https://www.facebook.com/share/p/1Bz7aQ5fPG/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https://www.facebook.com/groups/852261119046020/permalink/1618007625804695/?rdid=dHSCecvdqiKxb8na#</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Liên hệ trực tiếp</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Thông tin liên lạc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SDT: 0941893600</w:t>
              <w:br/>
              <w:t xml:space="preserve"> (Sale Chị Phạm Hiền)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SDT: 0946738656</w:t>
              <w:br/>
              <w:t xml:space="preserve"> (Sale Anh Đanh)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SDT: 0336.550.596</w:t>
              <w:br/>
              <w:t xml:space="preserve"> (Sale Anh Thái)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Tình trạng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Đang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Đang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Đang giao dịch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Thời điểm thu thập thông tin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Tháng 02/2026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Tháng 02/2026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Tháng 02/2026</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Tính chất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Giao dịch bình thường trên thị trường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Giao dịch bình thường trên thị trường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Giao dịch bình thường trên thị trường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Giao dịch bình thường trên thị trường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Pháp lý</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tại nông thôn (168,25 m</w:t>
            </w:r>
            <w:r>
              <w:rPr>
                <w:rFonts w:ascii="Times New Roman" w:hAnsi="Times New Roman" w:eastAsia="Times New Roman" w:cs="Times New Roman"/>
                <w:color w:val="000000" w:themeColor="text1"/>
                <w:sz w:val="20"/>
                <w:vertAlign w:val="superscript"/>
              </w:rPr>
              <w:t xml:space="preserve">2</w:t>
            </w: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nông thôn (86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nông thôn (113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nông thôn (75 m²)</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Thời hạn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nông thôn – Lâu dài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nông thôn – Lâu dài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nông thôn – Lâu dài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nông thôn – Lâu dài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Vị trí</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tại: Xã Quang Minh, Thành phố Hà Nội, Tài sản tiếp giáp QL23, cách UBND xã Quang Minh khoảng 1,8km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tại: Xã Quang Minh, Thành phố Hà Nội, Tài sản tiếp giáp QL23, cách UBND xã Quang Minh khoảng 2km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tại: Xã Quang Minh, Thành phố Hà Nội, Tài sản tiếp giáp QL23, cách UBND xã Quang Minh khoảng 1,42km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tại: Xã Quang Minh, Thành phố Hà Nội, Tài sản tiếp giáp QL23, cách UBND xã Quang Minh khoảng 3,2km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Giao thông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Đường nhựa có vỉa hè</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Đường nhựa có vỉa hè</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Đường nhựa có vỉa hè</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Đường nhựa có vỉa hè</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Độ rộng đường trước tài sản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Cơ sở hạ tầng kỹ thuật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khu dân cư thông thường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khu dân cư thông thường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khu dân cư thông thường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khu dân cư thông thường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đất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168,25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86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Mặt tiền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Chiều sâu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19.55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18.83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Số lượng mặt tiếp giáp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Tiếp giáp 1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Tiếp giáp 2 mặt đường trước sau</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Tiếp giáp 1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Tiếp giáp 1 mặt tiền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dáng thửa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Thóp hậu</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Nở hậu</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Tốt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Tốt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Tốt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Khá</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trên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Nhà 2 tầng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trống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Nhà xưởng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bottom"/>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Số tầng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bottom"/>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sàn sử dụng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172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Giá rao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12.500.000.000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14.250.000.000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7.000.000.000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Giá thương lượng/bán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11.250.000.000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12.825.000.000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6.300.000.000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B</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Chi tiết tính toán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Giá trị tài sản trên đất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1.171.711.128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92.182.965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Đơn giá xây dựng theo Quyết định số 409/QĐ-BXD ngày 11/4/2025 của Bộ Xây Dựng (đồng/m²)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7.830.200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1.755.866</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Tỷ lệ % CLCL</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87%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Giá trị đất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10.078.288.872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12.825.000.000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6.207.817.035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Đơn giá QSDĐ (đồng/m²)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117.189.405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113.495.575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82.770.894</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NHẬN XÉT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Tính chất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Pháp lý</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Thời hạn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Vị trí</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Kém lợi thế hơn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Giao thông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r>
            <w:r>
              <w:rPr>
                <w:rFonts w:ascii="Times New Roman" w:hAnsi="Times New Roman" w:eastAsia="Times New Roman" w:cs="Times New Roman"/>
                <w:color w:val="000000" w:themeColor="text1"/>
                <w:sz w:val="24"/>
              </w:rPr>
              <w:t xml:space="preserve">Độ rộng mặt đường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Cơ sở hạ tầng kỹ thuật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đất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hơn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Mặt tiền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Kém 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Kém 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Kém lợi thế hơn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Số lượng mặt tiếp giáp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dáng thửa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hơn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618"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51" w:type="dxa"/>
              <w:top w:w="0" w:type="dxa"/>
              <w:right w:w="51"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Kém lợi thế hơn</w:t>
            </w:r>
            <w:r>
              <w:rPr>
                <w:rFonts w:ascii="Times New Roman" w:hAnsi="Times New Roman" w:cs="Times New Roman"/>
                <w:color w:val="000000" w:themeColor="text1"/>
              </w:rPr>
            </w:r>
            <w:r>
              <w:rPr>
                <w:rFonts w:ascii="Times New Roman" w:hAnsi="Times New Roman" w:cs="Times New Roman"/>
                <w:color w:val="000000" w:themeColor="text1"/>
              </w:rP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eastAsia="Times New Roman" w:cs="Times New Roman"/>
          <w:color w:val="000000" w:themeColor="text1"/>
          <w:sz w:val="24"/>
        </w:rPr>
        <w:t xml:space="preserve">Các yếu tố như vị trí, giao thông, diện tích, hướng nhìn, hình dáng, nội thất, hạ tầng kỹ thuật và hạ tầng xã hội… làm ảnh hưởng đến giá trị của thửa đất. Mỗi yếu tố đóng góp một tỷ lệ nhất định vào giá trị của thửa đất. Vì vậy, dựa trên ba tài sản so sánh</w:t>
      </w:r>
      <w:r>
        <w:rPr>
          <w:rFonts w:ascii="Times New Roman" w:hAnsi="Times New Roman" w:eastAsia="Times New Roman" w:cs="Times New Roman"/>
          <w:color w:val="000000" w:themeColor="text1"/>
          <w:sz w:val="24"/>
        </w:rPr>
        <w:t xml:space="preserve">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themeColor="text1"/>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themeColor="text1"/>
          <w:sz w:val="24"/>
        </w:rPr>
        <w:t xml:space="preserve"> chỉnh).</w:t>
      </w:r>
      <w:r>
        <w:rPr>
          <w:rFonts w:ascii="Times New Roman" w:hAnsi="Times New Roman" w:cs="Times New Roman"/>
          <w:color w:val="000000" w:themeColor="text1"/>
        </w:rPr>
      </w:r>
      <w:r>
        <w:rPr>
          <w:rFonts w:ascii="Times New Roman" w:hAnsi="Times New Roman" w:cs="Times New Roman"/>
          <w:color w:val="000000" w:themeColor="text1"/>
        </w:rPr>
      </w:r>
    </w:p>
    <w:p>
      <w:pPr>
        <w:numPr>
          <w:ilvl w:val="0"/>
          <w:numId w:val="42"/>
        </w:numPr>
        <w:pBdr>
          <w:top w:val="none" w:color="000000" w:sz="4" w:space="0"/>
          <w:left w:val="none" w:color="000000" w:sz="4" w:space="0"/>
          <w:bottom w:val="none" w:color="000000" w:sz="4" w:space="0"/>
          <w:right w:val="none" w:color="000000" w:sz="4" w:space="0"/>
        </w:pBdr>
        <w:spacing w:after="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Bảng điều chỉnh:</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59"/>
        <w:tblInd w:w="0" w:type="dxa"/>
        <w:tblW w:w="0" w:type="auto"/>
        <w:tblCellMar>
          <w:left w:w="57" w:type="dxa"/>
          <w:top w:w="0" w:type="dxa"/>
          <w:right w:w="57"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2028"/>
        <w:gridCol w:w="1083"/>
        <w:gridCol w:w="1417"/>
        <w:gridCol w:w="1591"/>
        <w:gridCol w:w="1591"/>
        <w:gridCol w:w="1481"/>
      </w:tblGrid>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STT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Yếu tố so sánh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Đơn vị tính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thẩm định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so sánh 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so sánh 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so sánh 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A</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Giá trị QSDĐ thị trường (Ước tính sau thương lượng)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Đồng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10.078.288.872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12.825.000.000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6.207.817.035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B</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Đơn giá đất ước tính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117.189.405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113.495.575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82.770.894</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Điều chỉnh các yếu tố so sánh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Tính chất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Giao dịch bình thường trên thị trường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Giao dịch bình thường trên thị trường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Giao dịch bình thường trên thị trường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Giao dịch bình thường trên thị trường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117.189.405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113.495.575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82.770.894</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Pháp lý</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117.189.405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113.495.575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82.770.894</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tại nông thôn (168,25 m2)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nông thôn (86 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nông thôn (113 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nông thôn (75 m²)</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117.189.405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113.495.575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82.770.894</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Thời hạn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nông thôn – Lâu dài</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nông thôn – Lâu dài</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nông thôn – Lâu dài</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nông thôn – Lâu dài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117.189.405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113.495.575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82.770.894</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Vị trí</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tại: Xã Quang Minh, Thành phố Hà Nội, Tài sản tiếp giáp QL23, cách UBND xã Quang Minh khoảng 1,8km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tại: Xã Quang Minh, Thành phố Hà Nội, Tài sản tiếp giáp QL23, cách UBND xã Quang Minh khoảng 2km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tại: Xã Quang Minh, Thành phố Hà Nội, Tài sản tiếp giáp QL23, cách UBND xã Quang Minh khoảng 1,42km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tại: Xã Quang Minh, Thành phố Hà Nội, Tài sản tiếp giáp QL23, cách UBND xã Quang Minh khoảng 3,2km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4.138.545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117.189.405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113.495.575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86.909.438</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Giao thông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Đường nhựa có vỉa hè</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Đường nhựa có vỉa hè</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Đường nhựa có vỉa hè</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Đường nhựa có vỉa hè</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117.189.405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113.495.575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86.909.438</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C7</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highlight w:val="none"/>
              </w:rPr>
            </w:pPr>
            <w:r>
              <w:rPr>
                <w:rFonts w:ascii="Times New Roman" w:hAnsi="Times New Roman" w:eastAsia="Times New Roman" w:cs="Times New Roman"/>
                <w:b/>
                <w:color w:val="000000" w:themeColor="text1"/>
                <w:sz w:val="22"/>
                <w:highlight w:val="none"/>
              </w:rPr>
              <w:t xml:space="preserve">Độ rộng mặt đường (m)</w: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highlight w:val="none"/>
              </w:rPr>
            </w:pPr>
            <w:r>
              <w:rPr>
                <w:rFonts w:ascii="Times New Roman" w:hAnsi="Times New Roman" w:eastAsia="Times New Roman" w:cs="Times New Roman"/>
                <w:color w:val="000000" w:themeColor="text1"/>
                <w:sz w:val="22"/>
                <w:highlight w:val="none"/>
              </w:rPr>
              <w:t xml:space="preserve">Tỷ lệ điều chỉnh</w: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117.189.405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113.495.575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86.909.438</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C8</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Cơ sở hạ tầng kỹ thuật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Hạ tầng khu dân cư thông thường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Hạ tầng khu dân cư thông thường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Hạ tầng khu dân cư thông thường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Hạ tầng khu dân cư thông thường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117.189.405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113.495.575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86.909.438</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C9</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Diện tích đất (m²)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168,25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86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113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75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-11.718.941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-7.944.690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-9.932.507</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105.470.465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105.550.885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76.976.931</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Mặt tiền (m)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9</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4,4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7.031.364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3.404.867</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4.138.545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112.501.829</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108.955.752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81.115.476</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Số lượng mặt tiếp giáp</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Tiếp giáp 1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Tiếp giáp 2 mặt đường trước sau</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Tiếp giáp 1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Tiếp giáp 1 mặt tiền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-14.062.729</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98.439.101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108.955.752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81.115.476</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Hình dáng thửa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Thóp hậu</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Nở hậu</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-15,00%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-17,00%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-15,00%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-17.578.411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-19.294.248</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-12.415.634</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80.860.690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89.661.504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68.699.842</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Tốt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Tốt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Tốt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Khá</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5.793.963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80.860.690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89.661.504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74.493.804</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D</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Mức giá chỉ dẫn</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80.860.690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89.661.504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74.493.804</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trị trung bình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46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81.672.000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độ chênh lệch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-0,99%</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9,78%</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-8,79%</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Tổng hợp các số liệu điều chỉnh tại mục C</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Tổng giá trị điều chỉnh gộp</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50.391.444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30.643.805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36.419.193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Tổng số lần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Lần</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Biên độ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val="false"/>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spacing w:line="276"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0% - 15%</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spacing w:line="276"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0% - 17%</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spacing w:line="276"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0% - 15%</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Tổng giá trị điều chỉnh thuần</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8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17" w:type="dxa"/>
            <w:vAlign w:val="center"/>
            <w:textDirection w:val="lrTb"/>
            <w:noWrap/>
          </w:tcPr>
          <w:p>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36.328.716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9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23.834.071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8.277.089</w:t>
            </w:r>
            <w:r>
              <w:rPr>
                <w:rFonts w:ascii="Times New Roman" w:hAnsi="Times New Roman" w:cs="Times New Roman"/>
                <w:color w:val="000000" w:themeColor="text1"/>
              </w:rPr>
            </w:r>
            <w:r>
              <w:rPr>
                <w:rFonts w:ascii="Times New Roman" w:hAnsi="Times New Roman" w:cs="Times New Roman"/>
                <w:color w:val="000000" w:themeColor="text1"/>
              </w:rP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u w:val="single"/>
        </w:rPr>
        <w:t xml:space="preserve">Về nguyên tắc khống chế:</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Theo số liệu tại mục D2, chênh lệch giữa mức giá trung bình của các mức giá chỉ dẫn nằm trong khoảng từ -8,79% đến 9,78% đảm bảo không quá 15% (theo Thông tư số 32/2024/TT-BTC ngày 16/5/2024 của Bộ Tài Chính).</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u w:val="single"/>
        </w:rPr>
        <w:t xml:space="preserve">Về thống nhất mức giá chỉ dẫn:</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59"/>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78"/>
        <w:gridCol w:w="2154"/>
        <w:gridCol w:w="2030"/>
        <w:gridCol w:w="2321"/>
        <w:gridCol w:w="2256"/>
      </w:tblGrid>
      <w:tr>
        <w:trPr>
          <w:trHeight w:val="284"/>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Tài sản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Mức giá chỉ dẫn của các TSSS</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Trọng số của các TSSS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Giá trị trung bình của mức giá chỉ dẫn sau điều chỉnh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so sánh 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80.860.690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35,00%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28.301.241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so sánh 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89.661.504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35,00%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31.381.527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so sánh 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74.493.804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22.348.141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Giá trị bình quân theo trọng số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82.030.909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Làm tròn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82.000.000 </w:t>
            </w:r>
            <w:r>
              <w:rPr>
                <w:rFonts w:ascii="Times New Roman" w:hAnsi="Times New Roman" w:cs="Times New Roman"/>
                <w:color w:val="000000" w:themeColor="text1"/>
              </w:rPr>
            </w:r>
            <w:r>
              <w:rPr>
                <w:rFonts w:ascii="Times New Roman" w:hAnsi="Times New Roman" w:cs="Times New Roman"/>
                <w:color w:val="000000" w:themeColor="text1"/>
              </w:rP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Tổ thẩm định sử dụng mức giá chỉ dẫn là mức giá bình quân có trọng số của 03 tài sản so sánh làm mức giá của tài sản thẩm định giá, tương ứng là: </w:t>
      </w:r>
      <w:r>
        <w:rPr>
          <w:rFonts w:ascii="Times New Roman" w:hAnsi="Times New Roman" w:eastAsia="Times New Roman" w:cs="Times New Roman"/>
          <w:b/>
          <w:color w:val="000000" w:themeColor="text1"/>
          <w:sz w:val="24"/>
        </w:rPr>
        <w:t xml:space="preserve">82.000.000 </w:t>
      </w:r>
      <w:r>
        <w:rPr>
          <w:rFonts w:ascii="Times New Roman" w:hAnsi="Times New Roman" w:eastAsia="Times New Roman" w:cs="Times New Roman"/>
          <w:b/>
          <w:color w:val="000000" w:themeColor="text1"/>
          <w:sz w:val="24"/>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1.2</w:t>
      </w:r>
      <w:r>
        <w:rPr>
          <w:rFonts w:ascii="Times New Roman" w:hAnsi="Times New Roman" w:eastAsia="Times New Roman" w:cs="Times New Roman"/>
          <w:b/>
          <w:color w:val="000000" w:themeColor="text1"/>
          <w:sz w:val="24"/>
          <w:highlight w:val="none"/>
        </w:rPr>
        <w:t xml:space="preserve"> </w:t>
      </w:r>
      <w:r>
        <w:rPr>
          <w:rFonts w:ascii="Times New Roman" w:hAnsi="Times New Roman" w:eastAsia="Times New Roman" w:cs="Times New Roman"/>
          <w:b/>
          <w:color w:val="000000" w:themeColor="text1"/>
          <w:sz w:val="24"/>
          <w:highlight w:val="none"/>
        </w:rPr>
        <w:t xml:space="preserve">Đất nằm trong quy hoạch hành lang giao thông.</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line="276" w:lineRule="auto"/>
        <w:ind w:right="0" w:firstLine="360" w:left="-76"/>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eastAsia="Times New Roman" w:cs="Times New Roman"/>
          <w:color w:val="000000" w:themeColor="text1"/>
          <w:spacing w:val="-2"/>
          <w:sz w:val="24"/>
        </w:rPr>
        <w:t xml:space="preserve">Dưới sự thống nhất với Ngân hàng và cho mục đích định giá tại báo cáo này, tổ thẩm định xác định đơn giá quyền sử dụng đất nằm trong quy hoạch mở rộng đường theo khung giá UBND quy định. </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360" w:left="-76"/>
        <w:jc w:val="both"/>
        <w:rPr>
          <w:rFonts w:ascii="Times New Roman" w:hAnsi="Times New Roman" w:cs="Times New Roman"/>
          <w:color w:val="000000" w:themeColor="text1"/>
          <w:szCs w:val="24"/>
        </w:rPr>
      </w:pPr>
      <w:r>
        <w:rPr>
          <w:rFonts w:ascii="Times New Roman" w:hAnsi="Times New Roman" w:eastAsia="Times New Roman" w:cs="Times New Roman"/>
          <w:color w:val="000000" w:themeColor="text1"/>
          <w:sz w:val="24"/>
          <w:szCs w:val="24"/>
        </w:rPr>
        <w:t xml:space="preserve">Căn </w:t>
      </w:r>
      <w:r>
        <w:rPr>
          <w:rFonts w:ascii="Times New Roman" w:hAnsi="Times New Roman" w:eastAsia="Times New Roman" w:cs="Times New Roman"/>
          <w:b w:val="0"/>
          <w:bCs w:val="0"/>
          <w:color w:val="000000" w:themeColor="text1"/>
          <w:sz w:val="24"/>
          <w:szCs w:val="24"/>
        </w:rPr>
        <w:t xml:space="preserve">cứ </w:t>
      </w:r>
      <w:r>
        <w:rPr>
          <w:rFonts w:ascii="Times New Roman" w:hAnsi="Times New Roman" w:eastAsia="Times New Roman" w:cs="Times New Roman"/>
          <w:b w:val="0"/>
          <w:bCs w:val="0"/>
          <w:color w:val="000000" w:themeColor="text1"/>
          <w:sz w:val="24"/>
          <w:szCs w:val="24"/>
          <w:highlight w:val="white"/>
        </w:rPr>
        <w:t xml:space="preserve">Nghị quyết 52/2025/NQ-HĐND: Quy định về Bảng giá đất lần đầu để công bố và áp dụng từ ngày 01 tháng 01 năm 2026 trên địa bàn thành phố Hà Nội</w:t>
      </w:r>
      <w:r>
        <w:rPr>
          <w:rFonts w:ascii="Times New Roman" w:hAnsi="Times New Roman" w:eastAsia="Times New Roman" w:cs="Times New Roman"/>
          <w:color w:val="000000" w:themeColor="text1"/>
          <w:sz w:val="24"/>
          <w:szCs w:val="24"/>
        </w:rPr>
        <w:t xml:space="preserve">,  VT1 Quốc lộ 23 (Đoạn thuộc địa phận Quang Minh) có đơn giá đất ở là </w:t>
      </w:r>
      <w:r>
        <w:rPr>
          <w:rFonts w:ascii="Times New Roman" w:hAnsi="Times New Roman" w:eastAsia="Times New Roman" w:cs="Times New Roman"/>
          <w:b/>
          <w:i/>
          <w:color w:val="000000" w:themeColor="text1"/>
          <w:sz w:val="24"/>
          <w:szCs w:val="24"/>
        </w:rPr>
        <w:t xml:space="preserve">22.500.000 đồng/m</w:t>
      </w:r>
      <w:r>
        <w:rPr>
          <w:rFonts w:ascii="Times New Roman" w:hAnsi="Times New Roman" w:eastAsia="Times New Roman" w:cs="Times New Roman"/>
          <w:b/>
          <w:i/>
          <w:color w:val="000000" w:themeColor="text1"/>
          <w:sz w:val="24"/>
          <w:szCs w:val="24"/>
          <w:vertAlign w:val="superscript"/>
        </w:rPr>
        <w:t xml:space="preserve">2</w:t>
      </w:r>
      <w:r>
        <w:rPr>
          <w:rFonts w:ascii="Times New Roman" w:hAnsi="Times New Roman" w:eastAsia="Times New Roman" w:cs="Times New Roman"/>
          <w:color w:val="000000" w:themeColor="text1"/>
          <w:sz w:val="24"/>
          <w:szCs w:val="24"/>
        </w:rPr>
        <w:t xml:space="preserve">. </w:t>
      </w:r>
      <w:r>
        <w:rPr>
          <w:rFonts w:ascii="Times New Roman" w:hAnsi="Times New Roman" w:cs="Times New Roman"/>
          <w:color w:val="000000" w:themeColor="text1"/>
          <w:szCs w:val="24"/>
        </w:rPr>
      </w:r>
      <w:r>
        <w:rPr>
          <w:rFonts w:ascii="Times New Roman" w:hAnsi="Times New Roman" w:cs="Times New Roman"/>
          <w:color w:val="000000" w:themeColor="text1"/>
          <w:szCs w:val="24"/>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b w:val="0"/>
          <w:bCs w:val="0"/>
          <w:color w:val="000000" w:themeColor="text1"/>
          <w:sz w:val="24"/>
          <w:szCs w:val="24"/>
        </w:rPr>
      </w:pPr>
      <w:r>
        <w:rPr>
          <w:rFonts w:ascii="Times New Roman" w:hAnsi="Times New Roman" w:eastAsia="Times New Roman" w:cs="Times New Roman"/>
          <w:b w:val="0"/>
          <w:bCs w:val="0"/>
          <w:i/>
          <w:color w:val="000000" w:themeColor="text1"/>
          <w:sz w:val="24"/>
          <w:szCs w:val="24"/>
        </w:rPr>
        <w:t xml:space="preserve">Do đó, tổ thẩm định xác định đơn giá quyền sử dụng đất nằm trong quy hoạch mở rộng đường là </w:t>
      </w:r>
      <w:r>
        <w:rPr>
          <w:rFonts w:ascii="Times New Roman" w:hAnsi="Times New Roman" w:eastAsia="Times New Roman" w:cs="Times New Roman"/>
          <w:b w:val="0"/>
          <w:bCs w:val="0"/>
          <w:i/>
          <w:color w:val="000000" w:themeColor="text1"/>
          <w:sz w:val="24"/>
          <w:szCs w:val="24"/>
        </w:rPr>
        <w:t xml:space="preserve">22.500.000 </w:t>
      </w:r>
      <w:r>
        <w:rPr>
          <w:rFonts w:ascii="Times New Roman" w:hAnsi="Times New Roman" w:eastAsia="Times New Roman" w:cs="Times New Roman"/>
          <w:b w:val="0"/>
          <w:bCs w:val="0"/>
          <w:i/>
          <w:color w:val="000000" w:themeColor="text1"/>
          <w:sz w:val="24"/>
          <w:szCs w:val="24"/>
        </w:rPr>
        <w:t xml:space="preserve"> đồng/m</w:t>
      </w:r>
      <w:r>
        <w:rPr>
          <w:rFonts w:ascii="Times New Roman" w:hAnsi="Times New Roman" w:eastAsia="Times New Roman" w:cs="Times New Roman"/>
          <w:b w:val="0"/>
          <w:bCs w:val="0"/>
          <w:i/>
          <w:color w:val="000000" w:themeColor="text1"/>
          <w:sz w:val="24"/>
          <w:szCs w:val="24"/>
          <w:vertAlign w:val="superscript"/>
        </w:rPr>
        <w:t xml:space="preserve">2</w:t>
      </w:r>
      <w:r>
        <w:rPr>
          <w:rFonts w:ascii="Times New Roman" w:hAnsi="Times New Roman" w:eastAsia="Times New Roman" w:cs="Times New Roman"/>
          <w:b w:val="0"/>
          <w:bCs w:val="0"/>
          <w:i/>
          <w:color w:val="000000" w:themeColor="text1"/>
          <w:sz w:val="24"/>
          <w:szCs w:val="24"/>
        </w:rPr>
        <w:t xml:space="preserve">.</w:t>
      </w:r>
      <w:r>
        <w:rPr>
          <w:rFonts w:ascii="Times New Roman" w:hAnsi="Times New Roman" w:cs="Times New Roman"/>
          <w:b w:val="0"/>
          <w:bCs w:val="0"/>
          <w:color w:val="000000" w:themeColor="text1"/>
          <w:sz w:val="24"/>
          <w:szCs w:val="24"/>
        </w:rPr>
      </w:r>
      <w:r>
        <w:rPr>
          <w:rFonts w:ascii="Times New Roman" w:hAnsi="Times New Roman" w:cs="Times New Roman"/>
          <w:b w:val="0"/>
          <w:bCs w:val="0"/>
          <w:color w:val="000000" w:themeColor="text1"/>
          <w:sz w:val="24"/>
          <w:szCs w:val="24"/>
        </w:rPr>
      </w:r>
    </w:p>
    <w:p>
      <w:pPr>
        <w:pBdr>
          <w:top w:val="none" w:color="000000" w:sz="4" w:space="0"/>
          <w:left w:val="none" w:color="000000" w:sz="4" w:space="0"/>
          <w:bottom w:val="none" w:color="000000" w:sz="4" w:space="0"/>
          <w:right w:val="none" w:color="000000" w:sz="4" w:space="0"/>
        </w:pBdr>
        <w:spacing w:after="0" w:before="120" w:line="276" w:lineRule="auto"/>
        <w:ind w:firstLine="0" w:left="0"/>
        <w:jc w:val="both"/>
        <w:rPr>
          <w:rFonts w:ascii="Times New Roman" w:hAnsi="Times New Roman" w:cs="Times New Roman"/>
          <w:color w:val="000000" w:themeColor="text1"/>
          <w:highlight w:val="none"/>
        </w:rPr>
      </w:pPr>
      <w:r>
        <w:rPr>
          <w:rFonts w:ascii="Times New Roman" w:hAnsi="Times New Roman" w:eastAsia="Times New Roman" w:cs="Times New Roman"/>
          <w:b/>
          <w:color w:val="000000" w:themeColor="text1"/>
          <w:sz w:val="24"/>
        </w:rPr>
        <w:t xml:space="preserve">2. Xác định đơn giá quyền sử dụng đấ</w:t>
      </w:r>
      <w:r>
        <w:rPr>
          <w:rFonts w:ascii="Times New Roman" w:hAnsi="Times New Roman" w:eastAsia="Times New Roman" w:cs="Times New Roman"/>
          <w:b/>
          <w:color w:val="000000" w:themeColor="text1"/>
          <w:sz w:val="24"/>
          <w:szCs w:val="24"/>
        </w:rPr>
        <w:t xml:space="preserve">t tại thửa đất 4</w:t>
      </w:r>
      <w:r>
        <w:rPr>
          <w:rFonts w:ascii="Times New Roman" w:hAnsi="Times New Roman" w:eastAsia="Times New Roman" w:cs="Times New Roman"/>
          <w:b/>
          <w:color w:val="000000" w:themeColor="text1"/>
          <w:sz w:val="24"/>
          <w:szCs w:val="24"/>
          <w:vertAlign w:val="superscript"/>
        </w:rPr>
        <w:t xml:space="preserve">a</w:t>
      </w:r>
      <w:r>
        <w:rPr>
          <w:rFonts w:ascii="Times New Roman" w:hAnsi="Times New Roman" w:eastAsia="Times New Roman" w:cs="Times New Roman"/>
          <w:b/>
          <w:color w:val="000000" w:themeColor="text1"/>
          <w:sz w:val="24"/>
          <w:szCs w:val="24"/>
        </w:rPr>
        <w:t xml:space="preserve">:</w: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p>
      <w:pPr>
        <w:pBdr>
          <w:top w:val="none" w:color="000000" w:sz="4" w:space="0"/>
          <w:left w:val="none" w:color="000000" w:sz="4" w:space="0"/>
          <w:bottom w:val="none" w:color="000000" w:sz="4" w:space="0"/>
          <w:right w:val="none" w:color="000000" w:sz="4" w:space="0"/>
        </w:pBdr>
        <w:spacing w:after="0" w:before="120" w:line="276" w:lineRule="auto"/>
        <w:ind w:firstLine="0" w:left="0"/>
        <w:jc w:val="both"/>
        <w:rPr>
          <w:rFonts w:ascii="Times New Roman" w:hAnsi="Times New Roman" w:cs="Times New Roman"/>
          <w:b/>
          <w:bCs/>
          <w:color w:val="000000" w:themeColor="text1"/>
        </w:rPr>
      </w:pPr>
      <w:r>
        <w:rPr>
          <w:rFonts w:ascii="Times New Roman" w:hAnsi="Times New Roman" w:eastAsia="Times New Roman" w:cs="Times New Roman"/>
          <w:b/>
          <w:bCs/>
          <w:color w:val="000000" w:themeColor="text1"/>
          <w:highlight w:val="none"/>
        </w:rPr>
        <w:t xml:space="preserve">2.1 Đất nằm ngoài quy hoạch hành lang giao thông.</w:t>
      </w:r>
      <w:r>
        <w:rPr>
          <w:rFonts w:ascii="Times New Roman" w:hAnsi="Times New Roman" w:cs="Times New Roman"/>
          <w:b/>
          <w:bCs/>
          <w:color w:val="000000" w:themeColor="text1"/>
        </w:rPr>
      </w:r>
      <w:r>
        <w:rPr>
          <w:rFonts w:ascii="Times New Roman" w:hAnsi="Times New Roman" w:cs="Times New Roman"/>
          <w:b/>
          <w:bCs/>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284"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rPr>
          <w:rFonts w:ascii="Times New Roman" w:hAnsi="Times New Roman" w:cs="Times New Roman"/>
          <w:color w:val="000000" w:themeColor="text1"/>
        </w:rPr>
      </w:r>
      <w:r>
        <w:rPr>
          <w:rFonts w:ascii="Times New Roman" w:hAnsi="Times New Roman" w:cs="Times New Roman"/>
          <w:color w:val="000000" w:themeColor="text1"/>
        </w:rPr>
      </w:r>
    </w:p>
    <w:p>
      <w:pPr>
        <w:numPr>
          <w:ilvl w:val="0"/>
          <w:numId w:val="42"/>
        </w:numPr>
        <w:pBdr>
          <w:top w:val="none" w:color="000000" w:sz="4" w:space="0"/>
          <w:left w:val="none" w:color="000000" w:sz="4" w:space="0"/>
          <w:bottom w:val="none" w:color="000000" w:sz="4" w:space="0"/>
          <w:right w:val="none" w:color="000000" w:sz="4" w:space="0"/>
        </w:pBdr>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Thông tin tài sản so sánh</w:t>
      </w: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5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75"/>
        <w:gridCol w:w="1984"/>
        <w:gridCol w:w="1749"/>
        <w:gridCol w:w="1749"/>
        <w:gridCol w:w="1749"/>
        <w:gridCol w:w="1749"/>
      </w:tblGrid>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STT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ĐẶC ĐIỂM BĐS</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TSTĐ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TSSS1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TSSS2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TSSS3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A</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Thông tin về tài sản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Địa chỉ</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Xã Quang Minh, Thành phố Hà Nội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Xã Quang Minh, Thành phố Hà Nội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Xã Quang Minh, Thành phố Hà Nội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Xã Quang Minh, Thành phố Hà Nội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Nguồn tham khảo</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https://www.facebook.com/share/p/1Bz7aQ5fPG/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https://www.facebook.com/groups/852261119046020/permalink/1618007625804695/?rdid=dHSCecvdqiKxb8na#</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Liên hệ trực tiếp</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Thông tin liên lạc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SDT: 0941893600</w:t>
              <w:br/>
              <w:t xml:space="preserve"> (Sale Chị Phạm Hiền)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SDT: 0946738656</w:t>
              <w:br/>
              <w:t xml:space="preserve"> (Sale Anh Đanh)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SDT: 0336.550.596</w:t>
              <w:br/>
              <w:t xml:space="preserve"> (Sale Anh Thái)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Tình trạng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Đang giao dịch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Đang giao dịch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Đang giao dịch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Thời điểm thu thập thông tin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Tháng 02/2026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Tháng 02/2026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Tháng 02/2026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Tính chất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Giao dịch bình thường trên thị trường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Giao dịch bình thường trên thị trường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Giao dịch bình thường trên thị trường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Giao dịch bình thường trên thị trường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Pháp lý</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tại nông thôn (146,48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nông thôn (86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nông thôn (113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nông thôn (75 m²)</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Thời hạn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nông thôn – Lâu dài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nông thôn – Lâu dài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nông thôn – Lâu dài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nông thôn – Lâu dài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Vị trí</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tại: Xã Quang Minh, Thành phố Hà Nội, Tài sản tiếp giáp QL23, cách UBND xã Quang Minh khoảng 1,85km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tại: Xã Quang Minh, Thành phố Hà Nội, Tài sản tiếp giáp QL23, cách UBND xã Quang Minh khoảng 2km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tại: Xã Quang Minh, Thành phố Hà Nội, Tài sản tiếp giáp QL23, cách UBND xã Quang Minh khoảng 1,42km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tại: Xã Quang Minh, Thành phố Hà Nội, Tài sản tiếp giáp QL23, cách UBND xã Quang Minh khoảng 3,2km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Giao thông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Đường nhựa có vỉa hè</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Đường nhựa có vỉa hè</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Đường nhựa có vỉa hè</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Đường nhựa có vỉa hè</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Độ rộng mặt đường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Cơ sở hạ tầng kỹ thuật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khu dân cư thông thường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khu dân cư thông thường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khu dân cư thông thường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khu dân cư thông thường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đất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146,48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86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Mặt tiền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11,5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Số lượng mặt tiếp giáp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Tiếp giáp 1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Tiếp giáp 2 mặt đường trước sau</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Tiếp giáp 1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Tiếp giáp 1 mặt tiền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dáng thửa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Nở hậu</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Tốt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Tốt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Tốt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Khá</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trên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Nhà 2 tầng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trống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Nhà xưởng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bottom"/>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Số tầng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2,0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1,0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bottom"/>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sàn sử dụng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172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75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Giá rao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12.500.000.000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14.250.000.000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7.000.000.000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Giá thương lượng/bán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11.250.000.000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12.825.000.000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6.300.000.000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B</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Chi tiết tính toán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Giá trị tài sản trên đất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1.171.711.128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92.182.965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Đơn giá xây dựng theo Quyết định số 409/QĐ-BXD ngày 11/4/2025 của Bộ Xây Dựng (đồng/m²)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7.830.200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1.755.866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Tỷ lệ % CLCL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87%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Giá trị đất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10.078.288.872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12.825.000.000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6.207.817.035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Đơn giá QSDĐ (đồng/m²)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117.189.405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113.495.575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82.770.894</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NHẬN XÉT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Tính chất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Pháp lý</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Thời hạn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Vị trí</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Kém lợi thế hơn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highlight w:val="none"/>
              </w:rPr>
            </w:pPr>
            <w:r>
              <w:rPr>
                <w:rFonts w:ascii="Times New Roman" w:hAnsi="Times New Roman" w:eastAsia="Times New Roman" w:cs="Times New Roman"/>
                <w:color w:val="000000" w:themeColor="text1"/>
                <w:sz w:val="24"/>
                <w:highlight w:val="none"/>
              </w:rPr>
              <w:t xml:space="preserve">Giao thông</w: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highlight w:val="none"/>
              </w:rPr>
            </w:pPr>
            <w:r>
              <w:rPr>
                <w:rFonts w:ascii="Times New Roman" w:hAnsi="Times New Roman" w:eastAsia="Times New Roman" w:cs="Times New Roman"/>
                <w:color w:val="000000" w:themeColor="text1"/>
                <w:sz w:val="24"/>
                <w:highlight w:val="none"/>
              </w:rPr>
              <w:t xml:space="preserve">Độ rộng mặt đường (m)</w: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highlight w:val="none"/>
              </w:rPr>
            </w:pPr>
            <w:r>
              <w:rPr>
                <w:rFonts w:ascii="Times New Roman" w:hAnsi="Times New Roman" w:eastAsia="Times New Roman" w:cs="Times New Roman"/>
                <w:color w:val="000000" w:themeColor="text1"/>
                <w:sz w:val="24"/>
                <w:highlight w:val="none"/>
              </w:rPr>
              <w:t xml:space="preserve">Cơ sở hạ tầng kỹ thuật</w: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đất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Lợi thế hơn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Mặt tiền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Kém 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Kém 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Kém lợi thế hơn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Số lượng mặt tiếp giáp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dáng thửa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Kém lợi thế hơn</w:t>
            </w:r>
            <w:r>
              <w:rPr>
                <w:rFonts w:ascii="Times New Roman" w:hAnsi="Times New Roman" w:cs="Times New Roman"/>
                <w:color w:val="000000" w:themeColor="text1"/>
              </w:rPr>
            </w:r>
            <w:r>
              <w:rPr>
                <w:rFonts w:ascii="Times New Roman" w:hAnsi="Times New Roman" w:cs="Times New Roman"/>
                <w:color w:val="000000" w:themeColor="text1"/>
              </w:rP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Các yếu tố như vị trí, giao thông, diện tích, hướng nhìn, hình dáng, nội thất, hạ tầng kỹ thuật và hạ tầng xã hội… làm ảnh hưởng đến giá trị của thửa đất. Mỗi yếu tố đóng góp một tỷ lệ nhất định vào giá trị của thửa đất. Vì vậy, dựa trên ba tài sản so sánh</w:t>
      </w:r>
      <w:r>
        <w:rPr>
          <w:rFonts w:ascii="Times New Roman" w:hAnsi="Times New Roman" w:eastAsia="Times New Roman" w:cs="Times New Roman"/>
          <w:color w:val="000000" w:themeColor="text1"/>
          <w:sz w:val="24"/>
        </w:rPr>
        <w:t xml:space="preserve">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themeColor="text1"/>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themeColor="text1"/>
          <w:sz w:val="24"/>
        </w:rPr>
        <w:t xml:space="preserve"> chỉnh).</w:t>
      </w:r>
      <w:r>
        <w:rPr>
          <w:rFonts w:ascii="Times New Roman" w:hAnsi="Times New Roman" w:cs="Times New Roman"/>
          <w:color w:val="000000" w:themeColor="text1"/>
        </w:rPr>
      </w:r>
      <w:r>
        <w:rPr>
          <w:rFonts w:ascii="Times New Roman" w:hAnsi="Times New Roman" w:cs="Times New Roman"/>
          <w:color w:val="000000" w:themeColor="text1"/>
        </w:rPr>
      </w:r>
    </w:p>
    <w:p>
      <w:pPr>
        <w:numPr>
          <w:ilvl w:val="0"/>
          <w:numId w:val="42"/>
        </w:numPr>
        <w:pBdr>
          <w:top w:val="none" w:color="000000" w:sz="4" w:space="0"/>
          <w:left w:val="none" w:color="000000" w:sz="4" w:space="0"/>
          <w:bottom w:val="none" w:color="000000" w:sz="4" w:space="0"/>
          <w:right w:val="none" w:color="000000" w:sz="4" w:space="0"/>
        </w:pBdr>
        <w:spacing w:after="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Bảng điều chỉnh:</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5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00"/>
        <w:gridCol w:w="2009"/>
        <w:gridCol w:w="1049"/>
        <w:gridCol w:w="1332"/>
        <w:gridCol w:w="1587"/>
        <w:gridCol w:w="1587"/>
        <w:gridCol w:w="1587"/>
      </w:tblGrid>
      <w:tr>
        <w:trPr>
          <w:trHeight w:val="63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0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STT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Yếu tố so sánh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Đơn vị tính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thẩm định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so sánh 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so sánh 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so sánh 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0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A</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Giá trị QSDĐ thị trường (Ước tính sau thương lượng)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Đồng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10.078.288.872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12.825.000.000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6.207.817.035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9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0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B</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Đơn giá đất ước tính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117.189.405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113.495.575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82.770.894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25"/>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0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Điều chỉnh các yếu tố so sánh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00" w:type="dxa"/>
            <w:vAlign w:val="center"/>
            <w:vMerge w:val="restart"/>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Tính chất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Giao dịch bình thường trên thị trường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Giao dịch bình thường trên thị trường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Giao dịch bình thường trên thị trường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Giao dịch bình thường trên thị trường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117.189.405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113.495.575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82.770.894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00" w:type="dxa"/>
            <w:vAlign w:val="center"/>
            <w:vMerge w:val="restart"/>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Pháp lý</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117.189.405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113.495.575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82.770.894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00" w:type="dxa"/>
            <w:vAlign w:val="center"/>
            <w:vMerge w:val="restart"/>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tại nông thôn (146,48 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nông thôn (86 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nông thôn (113 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nông thôn (75 m²)</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117.189.405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113.495.575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82.770.894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00" w:type="dxa"/>
            <w:vAlign w:val="center"/>
            <w:vMerge w:val="restart"/>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Thời hạn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nông thôn – Lâu dài</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nông thôn – Lâu dài</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nông thôn – Lâu dài</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nông thôn – Lâu dài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117.189.405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113.495.575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82.770.894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87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00" w:type="dxa"/>
            <w:vAlign w:val="center"/>
            <w:vMerge w:val="restart"/>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Vị trí</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tại: Xã Quang Minh, Thành phố Hà Nội, Tài sản tiếp giáp QL23, cách UBND xã Quang Minh khoảng 1,85km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tại: Xã Quang Minh, Thành phố Hà Nội, Tài sản tiếp giáp QL23, cách UBND xã Quang Minh khoảng 2km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tại: Xã Quang Minh, Thành phố Hà Nội, Tài sản tiếp giáp QL23, cách UBND xã Quang Minh khoảng 1,42km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tại: Xã Quang Minh, Thành phố Hà Nội, Tài sản tiếp giáp QL23, cách UBND xã Quang Minh khoảng 3,2km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4.138.545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117.189.405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113.495.575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86.909.438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00" w:type="dxa"/>
            <w:vAlign w:val="center"/>
            <w:vMerge w:val="restart"/>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Giao thông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Đường nhựa có vỉa hè</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Đường nhựa có vỉa hè</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Đường nhựa có vỉa hè</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Đường nhựa có vỉa hè</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highlight w:val="none"/>
              </w:rPr>
            </w:pPr>
            <w:r>
              <w:rPr>
                <w:rFonts w:ascii="Times New Roman" w:hAnsi="Times New Roman" w:eastAsia="Times New Roman" w:cs="Times New Roman"/>
                <w:color w:val="000000" w:themeColor="text1"/>
                <w:sz w:val="22"/>
                <w:highlight w:val="none"/>
              </w:rPr>
              <w:t xml:space="preserve">Giá sau điều chỉnh</w: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117.189.405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113.495.575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86.909.438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00" w:type="dxa"/>
            <w:vAlign w:val="center"/>
            <w:vMerge w:val="restart"/>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C7</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highlight w:val="none"/>
              </w:rPr>
            </w:pPr>
            <w:r>
              <w:rPr>
                <w:rFonts w:ascii="Times New Roman" w:hAnsi="Times New Roman" w:eastAsia="Times New Roman" w:cs="Times New Roman"/>
                <w:b/>
                <w:color w:val="000000" w:themeColor="text1"/>
                <w:sz w:val="22"/>
                <w:highlight w:val="none"/>
              </w:rPr>
              <w:t xml:space="preserve">Độ rộng mặt đường (m)</w: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highlight w:val="none"/>
              </w:rPr>
            </w:pPr>
            <w:r>
              <w:rPr>
                <w:rFonts w:ascii="Times New Roman" w:hAnsi="Times New Roman" w:eastAsia="Times New Roman" w:cs="Times New Roman"/>
                <w:color w:val="000000" w:themeColor="text1"/>
                <w:sz w:val="22"/>
                <w:highlight w:val="none"/>
              </w:rPr>
              <w:t xml:space="preserve">Tỷ lệ điều chỉnh</w: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highlight w:val="none"/>
              </w:rPr>
            </w:pPr>
            <w:r>
              <w:rPr>
                <w:rFonts w:ascii="Times New Roman" w:hAnsi="Times New Roman" w:eastAsia="Times New Roman" w:cs="Times New Roman"/>
                <w:color w:val="000000" w:themeColor="text1"/>
                <w:sz w:val="22"/>
                <w:highlight w:val="none"/>
              </w:rPr>
              <w:t xml:space="preserve">Mức điều chỉnh</w: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highlight w:val="none"/>
              </w:rPr>
            </w:pPr>
            <w:r>
              <w:rPr>
                <w:rFonts w:ascii="Times New Roman" w:hAnsi="Times New Roman" w:eastAsia="Times New Roman" w:cs="Times New Roman"/>
                <w:color w:val="000000" w:themeColor="text1"/>
                <w:sz w:val="22"/>
                <w:highlight w:val="none"/>
              </w:rPr>
              <w:t xml:space="preserve">Giá sau điều chỉnh</w: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117.189.405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113.495.575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86.909.438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00" w:type="dxa"/>
            <w:vAlign w:val="center"/>
            <w:vMerge w:val="restart"/>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C8</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tcPr>
          <w:p>
            <w:pPr>
              <w:pBdr/>
              <w:spacing w:after="0" w:before="0" w:line="240" w:lineRule="auto"/>
              <w:ind/>
              <w:rPr>
                <w:rFonts w:ascii="Times New Roman" w:hAnsi="Times New Roman" w:cs="Times New Roman"/>
                <w:color w:val="000000" w:themeColor="text1"/>
                <w:highlight w:val="none"/>
              </w:rPr>
            </w:pPr>
            <w:r>
              <w:rPr>
                <w:rFonts w:ascii="Times New Roman" w:hAnsi="Times New Roman" w:eastAsia="Times New Roman" w:cs="Times New Roman"/>
                <w:b/>
                <w:color w:val="000000" w:themeColor="text1"/>
                <w:sz w:val="22"/>
                <w:highlight w:val="none"/>
              </w:rPr>
              <w:t xml:space="preserve">Cơ sở hạ tầng kỹ thuật</w: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Hạ tầng khu dân cư thông thường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Hạ tầng khu dân cư thông thường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Hạ tầng khu dân cư thông thường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Hạ tầng khu dân cư thông thường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117.189.405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113.495.575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86.909.438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00" w:type="dxa"/>
            <w:vAlign w:val="center"/>
            <w:vMerge w:val="restart"/>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C9</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Diện tích đất (m²)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146,48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86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113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75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-8.203.258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-5.674.779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-6.621.672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108.986.147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107.820.796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80.287.767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00" w:type="dxa"/>
            <w:vAlign w:val="center"/>
            <w:vMerge w:val="restart"/>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Mặt tiền (m)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11,5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4,4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8.203.258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3.404.867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4.138.545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117.189.405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111.225.664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84.426.312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00" w:type="dxa"/>
            <w:vAlign w:val="center"/>
            <w:vMerge w:val="restart"/>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Số lượng mặt tiếp giáp</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Tiếp giáp 1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Tiếp giáp 2 mặt đường trước sau</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Tiếp giáp 1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Tiếp giáp 1 mặt tiền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-14.062.729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103.126.677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111.225.664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84.426.312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00" w:type="dxa"/>
            <w:vAlign w:val="center"/>
            <w:vMerge w:val="restart"/>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Hình dáng thửa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Nở hậu</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-7.944.690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103.126.677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103.280.973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84.426.312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00" w:type="dxa"/>
            <w:vAlign w:val="center"/>
            <w:vMerge w:val="restart"/>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Tốt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Tốt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Tốt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Khá</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5.793.963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103.126.677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103.280.973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90.220.274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00"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D</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Mức giá chỉ dẫn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103.126.677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103.280.973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90.220.274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00"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trị trung bình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476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98.875.975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00"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độ chênh lệch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4,30%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4,46%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-8,75%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00"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Tổng hợp các số liệu điều chỉnh tại mục C</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00"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Tổng giá trị điều chỉnh gộp</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30.469.245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17.024.336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20.692.723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00"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Tổng số lần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Lần</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00"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Biên độ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line="276"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0% - 12%</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line="276"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0% - 7%</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line="276"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0% - 8%</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00"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200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Tổng giá trị điều chỉnh thuần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332"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14.062.729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10.214.602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87"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7.449.380 </w:t>
            </w:r>
            <w:r>
              <w:rPr>
                <w:rFonts w:ascii="Times New Roman" w:hAnsi="Times New Roman" w:cs="Times New Roman"/>
                <w:color w:val="000000" w:themeColor="text1"/>
              </w:rPr>
            </w:r>
            <w:r>
              <w:rPr>
                <w:rFonts w:ascii="Times New Roman" w:hAnsi="Times New Roman" w:cs="Times New Roman"/>
                <w:color w:val="000000" w:themeColor="text1"/>
              </w:rP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u w:val="none"/>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u w:val="single"/>
        </w:rPr>
        <w:t xml:space="preserve">Về nguyên tắc khống chế:</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Theo số liệu tại mục D2, chênh lệch giữa mức giá trung bình của các mức giá chỉ dẫn nằm trong khoảng từ </w:t>
      </w:r>
      <w:r>
        <w:rPr>
          <w:rFonts w:ascii="Times New Roman" w:hAnsi="Times New Roman" w:eastAsia="Times New Roman" w:cs="Times New Roman"/>
          <w:color w:val="000000" w:themeColor="text1"/>
        </w:rPr>
        <w:t xml:space="preserve">từ </w:t>
      </w:r>
      <w:r>
        <w:rPr>
          <w:rFonts w:ascii="Times New Roman" w:hAnsi="Times New Roman" w:eastAsia="Times New Roman" w:cs="Times New Roman"/>
          <w:color w:val="000000" w:themeColor="text1"/>
        </w:rPr>
        <w:t xml:space="preserve">-8,75</w:t>
      </w:r>
      <w:r>
        <w:rPr>
          <w:rFonts w:ascii="Times New Roman" w:hAnsi="Times New Roman" w:eastAsia="Times New Roman" w:cs="Times New Roman"/>
          <w:color w:val="000000" w:themeColor="text1"/>
        </w:rPr>
        <w:t xml:space="preserve">% đến </w:t>
      </w:r>
      <w:r>
        <w:rPr>
          <w:rFonts w:ascii="Times New Roman" w:hAnsi="Times New Roman" w:eastAsia="Times New Roman" w:cs="Times New Roman"/>
          <w:color w:val="000000" w:themeColor="text1"/>
        </w:rPr>
        <w:t xml:space="preserve">4,46</w:t>
      </w:r>
      <w:r>
        <w:rPr>
          <w:rFonts w:ascii="Times New Roman" w:hAnsi="Times New Roman" w:eastAsia="Times New Roman" w:cs="Times New Roman"/>
          <w:color w:val="000000" w:themeColor="text1"/>
        </w:rPr>
        <w:t xml:space="preserve">%</w:t>
      </w:r>
      <w:r>
        <w:rPr>
          <w:rFonts w:ascii="Times New Roman" w:hAnsi="Times New Roman" w:eastAsia="Times New Roman" w:cs="Times New Roman"/>
          <w:color w:val="000000" w:themeColor="text1"/>
          <w:sz w:val="24"/>
        </w:rPr>
        <w:t xml:space="preserve">, đảm bảo không quá 15% (theo Thông tư số 32/2024/TT-BTC ngày 16/5/2024 của Bộ Tài Chính).</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u w:val="single"/>
        </w:rPr>
        <w:t xml:space="preserve">Về thống nhất mức giá chỉ dẫn:</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59"/>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78"/>
        <w:gridCol w:w="2154"/>
        <w:gridCol w:w="2030"/>
        <w:gridCol w:w="2321"/>
        <w:gridCol w:w="2256"/>
      </w:tblGrid>
      <w:tr>
        <w:trPr>
          <w:trHeight w:val="284"/>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Tài sản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20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Mức giá chỉ dẫn của các TSSS</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23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Trọng số của các TSSS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Giá trị trung bình của mức giá chỉ dẫn sau điều chỉnh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tcBorders>
              <w:left w:val="single" w:color="000000" w:sz="8" w:space="0"/>
              <w:bottom w:val="single" w:color="000000" w:sz="8" w:space="0"/>
              <w:right w:val="single" w:color="000000" w:sz="8" w:space="0"/>
            </w:tcBorders>
            <w:tcMar>
              <w:left w:w="108" w:type="dxa"/>
              <w:top w:w="0" w:type="dxa"/>
              <w:right w:w="108" w:type="dxa"/>
              <w:bottom w:w="0" w:type="dxa"/>
            </w:tcMar>
            <w:tcW w:w="7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so sánh 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0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103.126.677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321"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35,00%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256"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36.094.337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tcBorders>
              <w:left w:val="single" w:color="000000" w:sz="8" w:space="0"/>
              <w:bottom w:val="single" w:color="000000" w:sz="8" w:space="0"/>
              <w:right w:val="single" w:color="000000" w:sz="8" w:space="0"/>
            </w:tcBorders>
            <w:tcMar>
              <w:left w:w="108" w:type="dxa"/>
              <w:top w:w="0" w:type="dxa"/>
              <w:right w:w="108" w:type="dxa"/>
              <w:bottom w:w="0" w:type="dxa"/>
            </w:tcMar>
            <w:tcW w:w="7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so sánh 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0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103.280.973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321"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35,00%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256"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36.148.341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56"/>
        </w:trPr>
        <w:tc>
          <w:tcPr>
            <w:tcBorders>
              <w:left w:val="single" w:color="000000" w:sz="8" w:space="0"/>
              <w:bottom w:val="single" w:color="000000" w:sz="8" w:space="0"/>
              <w:right w:val="single" w:color="000000" w:sz="8" w:space="0"/>
            </w:tcBorders>
            <w:tcMar>
              <w:left w:w="108" w:type="dxa"/>
              <w:top w:w="0" w:type="dxa"/>
              <w:right w:w="108" w:type="dxa"/>
              <w:bottom w:w="0" w:type="dxa"/>
            </w:tcMar>
            <w:tcW w:w="7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so sánh 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0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90.220.274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321"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256"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27.066.082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Giá trị bình quân theo trọng số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256" w:type="dxa"/>
            <w:vAlign w:val="center"/>
            <w:textDirection w:val="lrTb"/>
            <w:noWrap w:val="false"/>
          </w:tcPr>
          <w:p>
            <w:pPr>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t xml:space="preserve">99.308.761</w:t>
            </w:r>
            <w:r>
              <w:rPr>
                <w:rFonts w:ascii="Times New Roman" w:hAnsi="Times New Roman" w:cs="Times New Roman"/>
                <w:b/>
                <w:bCs/>
                <w:color w:val="000000" w:themeColor="text1"/>
              </w:rPr>
            </w:r>
            <w:r>
              <w:rPr>
                <w:rFonts w:ascii="Times New Roman" w:hAnsi="Times New Roman" w:cs="Times New Roman"/>
                <w:b/>
                <w:bCs/>
                <w:color w:val="000000" w:themeColor="text1"/>
              </w:rPr>
            </w:r>
          </w:p>
        </w:tc>
      </w:tr>
      <w:tr>
        <w:trPr>
          <w:trHeight w:val="284"/>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Làm tròn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256" w:type="dxa"/>
            <w:vAlign w:val="center"/>
            <w:textDirection w:val="lrTb"/>
            <w:noWrap w:val="false"/>
          </w:tcPr>
          <w:p>
            <w:pPr>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t xml:space="preserve">99.000.000</w:t>
            </w:r>
            <w:r>
              <w:rPr>
                <w:rFonts w:ascii="Times New Roman" w:hAnsi="Times New Roman" w:cs="Times New Roman"/>
                <w:b/>
                <w:bCs/>
                <w:color w:val="000000" w:themeColor="text1"/>
              </w:rPr>
            </w:r>
            <w:r>
              <w:rPr>
                <w:rFonts w:ascii="Times New Roman" w:hAnsi="Times New Roman" w:cs="Times New Roman"/>
                <w:b/>
                <w:bCs/>
                <w:color w:val="000000" w:themeColor="text1"/>
              </w:rP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highlight w:val="none"/>
        </w:rPr>
      </w:pPr>
      <w:r>
        <w:rPr>
          <w:rFonts w:ascii="Times New Roman" w:hAnsi="Times New Roman" w:eastAsia="Times New Roman" w:cs="Times New Roman"/>
          <w:color w:val="000000" w:themeColor="text1"/>
          <w:sz w:val="24"/>
        </w:rPr>
        <w:t xml:space="preserve">Tổ thẩm định sử dụng mức giá chỉ dẫn là mức </w:t>
      </w:r>
      <w:r>
        <w:rPr>
          <w:rFonts w:ascii="Times New Roman" w:hAnsi="Times New Roman" w:eastAsia="Times New Roman" w:cs="Times New Roman"/>
          <w:color w:val="000000" w:themeColor="text1"/>
          <w:sz w:val="24"/>
        </w:rPr>
        <w:t xml:space="preserve">giá bình quân có trọng số của 03 tài sản so sánh làm mức giá của tài sản thẩm định giá, tương ứng là:</w:t>
      </w:r>
      <w:r>
        <w:rPr>
          <w:rFonts w:ascii="Times New Roman" w:hAnsi="Times New Roman" w:eastAsia="Times New Roman" w:cs="Times New Roman"/>
          <w:b/>
          <w:color w:val="000000" w:themeColor="text1"/>
          <w:sz w:val="24"/>
        </w:rPr>
        <w:t xml:space="preserve"> 99.000.</w:t>
      </w:r>
      <w:r>
        <w:rPr>
          <w:rFonts w:ascii="Times New Roman" w:hAnsi="Times New Roman" w:eastAsia="Times New Roman" w:cs="Times New Roman"/>
          <w:b/>
          <w:color w:val="000000" w:themeColor="text1"/>
          <w:sz w:val="24"/>
        </w:rPr>
        <w:t xml:space="preserve">000 </w:t>
      </w:r>
      <w:r>
        <w:rPr>
          <w:rFonts w:ascii="Times New Roman" w:hAnsi="Times New Roman" w:eastAsia="Times New Roman" w:cs="Times New Roman"/>
          <w:b/>
          <w:color w:val="000000" w:themeColor="text1"/>
          <w:sz w:val="24"/>
        </w:rPr>
        <w:t xml:space="preserve">đồng/m².</w: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b/>
          <w:bCs/>
          <w:color w:val="000000" w:themeColor="text1"/>
          <w:highlight w:val="none"/>
        </w:rPr>
      </w:pPr>
      <w:r>
        <w:rPr>
          <w:rFonts w:ascii="Times New Roman" w:hAnsi="Times New Roman" w:eastAsia="Times New Roman" w:cs="Times New Roman"/>
          <w:b/>
          <w:bCs/>
          <w:color w:val="000000" w:themeColor="text1"/>
          <w:highlight w:val="none"/>
        </w:rPr>
        <w:t xml:space="preserve">2.2 Đất nằm trong quy hoạch hành lang giao thông</w:t>
      </w:r>
      <w:r>
        <w:rPr>
          <w:rFonts w:ascii="Times New Roman" w:hAnsi="Times New Roman" w:eastAsia="Times New Roman" w:cs="Times New Roman"/>
          <w:b/>
          <w:bCs/>
          <w:color w:val="000000" w:themeColor="text1"/>
          <w:highlight w:val="none"/>
        </w:rPr>
        <w:t xml:space="preserve">.</w:t>
      </w:r>
      <w:r>
        <w:rPr>
          <w:rFonts w:ascii="Times New Roman" w:hAnsi="Times New Roman" w:cs="Times New Roman"/>
          <w:b/>
          <w:bCs/>
          <w:color w:val="000000" w:themeColor="text1"/>
          <w:highlight w:val="none"/>
        </w:rPr>
      </w:r>
      <w:r>
        <w:rPr>
          <w:rFonts w:ascii="Times New Roman" w:hAnsi="Times New Roman" w:cs="Times New Roman"/>
          <w:b/>
          <w:bCs/>
          <w:color w:val="000000" w:themeColor="text1"/>
          <w:highlight w:val="none"/>
        </w:rPr>
      </w:r>
    </w:p>
    <w:p>
      <w:pPr>
        <w:pBdr>
          <w:top w:val="none" w:color="000000" w:sz="4" w:space="0"/>
          <w:left w:val="none" w:color="000000" w:sz="4" w:space="0"/>
          <w:bottom w:val="none" w:color="000000" w:sz="4" w:space="0"/>
          <w:right w:val="none" w:color="000000" w:sz="4" w:space="0"/>
        </w:pBdr>
        <w:spacing w:line="276" w:lineRule="auto"/>
        <w:ind w:right="0" w:firstLine="360" w:left="-76"/>
        <w:jc w:val="both"/>
        <w:rPr>
          <w:rFonts w:ascii="Times New Roman" w:hAnsi="Times New Roman" w:cs="Times New Roman"/>
          <w:color w:val="000000" w:themeColor="text1"/>
          <w:sz w:val="24"/>
        </w:rPr>
      </w:pPr>
      <w:r>
        <w:rPr>
          <w:rFonts w:ascii="Times New Roman" w:hAnsi="Times New Roman" w:eastAsia="Times New Roman" w:cs="Times New Roman"/>
          <w:b/>
          <w:color w:val="000000" w:themeColor="text1"/>
          <w:sz w:val="24"/>
        </w:rPr>
        <w:t xml:space="preserve"> </w:t>
      </w:r>
      <w:r>
        <w:rPr>
          <w:rFonts w:ascii="Times New Roman" w:hAnsi="Times New Roman" w:eastAsia="Times New Roman" w:cs="Times New Roman"/>
          <w:color w:val="000000" w:themeColor="text1"/>
          <w:spacing w:val="-2"/>
          <w:sz w:val="24"/>
        </w:rPr>
        <w:t xml:space="preserve">Dưới sự thống nhất với Ngân hàng và cho mục đích định giá tại báo cáo này, tổ thẩm định xác định đơn giá quyền sử dụng đất nằm trong quy hoạch mở rộng đường theo khung giá UBND quy định. </w:t>
      </w:r>
      <w:r>
        <w:rPr>
          <w:rFonts w:ascii="Times New Roman" w:hAnsi="Times New Roman" w:cs="Times New Roman"/>
          <w:color w:val="000000" w:themeColor="text1"/>
          <w:sz w:val="24"/>
        </w:rPr>
      </w:r>
      <w:r>
        <w:rPr>
          <w:rFonts w:ascii="Times New Roman" w:hAnsi="Times New Roman" w:cs="Times New Roman"/>
          <w:color w:val="000000" w:themeColor="text1"/>
          <w:sz w:val="24"/>
        </w:rPr>
      </w:r>
    </w:p>
    <w:p>
      <w:pPr>
        <w:pBdr>
          <w:top w:val="none" w:color="000000" w:sz="4" w:space="0"/>
          <w:left w:val="none" w:color="000000" w:sz="4" w:space="0"/>
          <w:bottom w:val="none" w:color="000000" w:sz="4" w:space="0"/>
          <w:right w:val="none" w:color="000000" w:sz="4" w:space="0"/>
        </w:pBdr>
        <w:spacing w:after="0" w:before="120" w:line="276" w:lineRule="auto"/>
        <w:ind w:right="0" w:firstLine="360" w:left="-76"/>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Căn </w:t>
      </w:r>
      <w:r>
        <w:rPr>
          <w:rFonts w:ascii="Times New Roman" w:hAnsi="Times New Roman" w:eastAsia="Times New Roman" w:cs="Times New Roman"/>
          <w:b w:val="0"/>
          <w:bCs w:val="0"/>
          <w:color w:val="000000" w:themeColor="text1"/>
          <w:sz w:val="24"/>
          <w:szCs w:val="24"/>
        </w:rPr>
        <w:t xml:space="preserve">cứ </w:t>
      </w:r>
      <w:r>
        <w:rPr>
          <w:rFonts w:ascii="Times New Roman" w:hAnsi="Times New Roman" w:eastAsia="Times New Roman" w:cs="Times New Roman"/>
          <w:b w:val="0"/>
          <w:bCs w:val="0"/>
          <w:color w:val="000000" w:themeColor="text1"/>
          <w:sz w:val="24"/>
          <w:szCs w:val="24"/>
          <w:highlight w:val="white"/>
        </w:rPr>
        <w:t xml:space="preserve">Nghị quyết 52/2025/NQ-HĐND: Quy định về Bảng giá đất lần đầu để công bố và áp dụng từ ngày 01 tháng 01 năm 2026 trên địa bàn thành phố Hà Nội</w:t>
      </w:r>
      <w:r>
        <w:rPr>
          <w:rFonts w:ascii="Times New Roman" w:hAnsi="Times New Roman" w:eastAsia="Times New Roman" w:cs="Times New Roman"/>
          <w:color w:val="000000" w:themeColor="text1"/>
          <w:sz w:val="24"/>
          <w:szCs w:val="24"/>
        </w:rPr>
        <w:t xml:space="preserve">, VT1 Quốc lộ 23 (Đoạn thuộc địa phận Quang Minh) có đơn giá đất ở là </w:t>
      </w:r>
      <w:r>
        <w:rPr>
          <w:rFonts w:ascii="Times New Roman" w:hAnsi="Times New Roman" w:eastAsia="Times New Roman" w:cs="Times New Roman"/>
          <w:b/>
          <w:i/>
          <w:color w:val="000000" w:themeColor="text1"/>
          <w:sz w:val="24"/>
          <w:szCs w:val="24"/>
        </w:rPr>
        <w:t xml:space="preserve">22.500.000 đồng/m</w:t>
      </w:r>
      <w:r>
        <w:rPr>
          <w:rFonts w:ascii="Times New Roman" w:hAnsi="Times New Roman" w:eastAsia="Times New Roman" w:cs="Times New Roman"/>
          <w:b/>
          <w:i/>
          <w:color w:val="000000" w:themeColor="text1"/>
          <w:sz w:val="24"/>
          <w:szCs w:val="24"/>
          <w:vertAlign w:val="superscript"/>
        </w:rPr>
        <w:t xml:space="preserve">2</w:t>
      </w:r>
      <w:r>
        <w:rPr>
          <w:rFonts w:ascii="Times New Roman" w:hAnsi="Times New Roman" w:eastAsia="Times New Roman" w:cs="Times New Roman"/>
          <w:color w:val="000000" w:themeColor="text1"/>
          <w:sz w:val="24"/>
          <w:szCs w:val="24"/>
        </w:rPr>
        <w:t xml:space="preserve">. </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b w:val="0"/>
          <w:bCs w:val="0"/>
          <w:color w:val="000000" w:themeColor="text1"/>
          <w:sz w:val="24"/>
          <w:szCs w:val="24"/>
        </w:rPr>
      </w:pPr>
      <w:r>
        <w:rPr>
          <w:rFonts w:ascii="Times New Roman" w:hAnsi="Times New Roman" w:eastAsia="Times New Roman" w:cs="Times New Roman"/>
          <w:b w:val="0"/>
          <w:bCs w:val="0"/>
          <w:i/>
          <w:color w:val="000000" w:themeColor="text1"/>
          <w:sz w:val="24"/>
          <w:szCs w:val="24"/>
        </w:rPr>
        <w:t xml:space="preserve">Do đó, tổ thẩm định xác định đơn giá quyền sử dụng đất nằm trong quy hoạch mở rộng đường là </w:t>
      </w:r>
      <w:r>
        <w:rPr>
          <w:rFonts w:ascii="Times New Roman" w:hAnsi="Times New Roman" w:eastAsia="Times New Roman" w:cs="Times New Roman"/>
          <w:b w:val="0"/>
          <w:bCs w:val="0"/>
          <w:i/>
          <w:color w:val="000000" w:themeColor="text1"/>
          <w:sz w:val="24"/>
          <w:szCs w:val="24"/>
        </w:rPr>
        <w:t xml:space="preserve">22.500.000 </w:t>
      </w:r>
      <w:r>
        <w:rPr>
          <w:rFonts w:ascii="Times New Roman" w:hAnsi="Times New Roman" w:eastAsia="Times New Roman" w:cs="Times New Roman"/>
          <w:b w:val="0"/>
          <w:bCs w:val="0"/>
          <w:i/>
          <w:color w:val="000000" w:themeColor="text1"/>
          <w:sz w:val="24"/>
          <w:szCs w:val="24"/>
        </w:rPr>
        <w:t xml:space="preserve"> đồng/m</w:t>
      </w:r>
      <w:r>
        <w:rPr>
          <w:rFonts w:ascii="Times New Roman" w:hAnsi="Times New Roman" w:eastAsia="Times New Roman" w:cs="Times New Roman"/>
          <w:b w:val="0"/>
          <w:bCs w:val="0"/>
          <w:i/>
          <w:color w:val="000000" w:themeColor="text1"/>
          <w:sz w:val="24"/>
          <w:szCs w:val="24"/>
          <w:vertAlign w:val="superscript"/>
        </w:rPr>
        <w:t xml:space="preserve">2</w:t>
      </w:r>
      <w:r>
        <w:rPr>
          <w:rFonts w:ascii="Times New Roman" w:hAnsi="Times New Roman" w:eastAsia="Times New Roman" w:cs="Times New Roman"/>
          <w:b w:val="0"/>
          <w:bCs w:val="0"/>
          <w:i/>
          <w:color w:val="000000" w:themeColor="text1"/>
          <w:sz w:val="24"/>
          <w:szCs w:val="24"/>
        </w:rPr>
        <w:t xml:space="preserve">.</w:t>
      </w:r>
      <w:r>
        <w:rPr>
          <w:rFonts w:ascii="Times New Roman" w:hAnsi="Times New Roman" w:cs="Times New Roman"/>
          <w:b w:val="0"/>
          <w:bCs w:val="0"/>
          <w:color w:val="000000" w:themeColor="text1"/>
          <w:sz w:val="24"/>
          <w:szCs w:val="24"/>
        </w:rPr>
      </w:r>
      <w:r>
        <w:rPr>
          <w:rFonts w:ascii="Times New Roman" w:hAnsi="Times New Roman" w:cs="Times New Roman"/>
          <w:b w:val="0"/>
          <w:bCs w:val="0"/>
          <w:color w:val="000000" w:themeColor="text1"/>
          <w:sz w:val="24"/>
          <w:szCs w:val="24"/>
        </w:rPr>
      </w:r>
    </w:p>
    <w:p>
      <w:pPr>
        <w:pBdr>
          <w:top w:val="none" w:color="000000" w:sz="4" w:space="0"/>
          <w:left w:val="none" w:color="000000" w:sz="4" w:space="0"/>
          <w:bottom w:val="none" w:color="000000" w:sz="4" w:space="0"/>
          <w:right w:val="none" w:color="000000" w:sz="4" w:space="0"/>
        </w:pBdr>
        <w:spacing w:after="0" w:before="120" w:line="276" w:lineRule="auto"/>
        <w:ind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3. Xác định đơn giá quyền sử dụng đất tại thửa đất 162</w:t>
      </w:r>
      <w:r>
        <w:rPr>
          <w:rFonts w:ascii="Times New Roman" w:hAnsi="Times New Roman" w:eastAsia="Times New Roman" w:cs="Times New Roman"/>
          <w:b/>
          <w:color w:val="000000" w:themeColor="text1"/>
          <w:sz w:val="24"/>
          <w:vertAlign w:val="superscript"/>
        </w:rPr>
        <w:t xml:space="preserve">b</w:t>
      </w:r>
      <w:r>
        <w:rPr>
          <w:rFonts w:ascii="Times New Roman" w:hAnsi="Times New Roman" w:eastAsia="Times New Roman" w:cs="Times New Roman"/>
          <w:b/>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284"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rPr>
          <w:rFonts w:ascii="Times New Roman" w:hAnsi="Times New Roman" w:cs="Times New Roman"/>
          <w:color w:val="000000" w:themeColor="text1"/>
        </w:rPr>
      </w:r>
      <w:r>
        <w:rPr>
          <w:rFonts w:ascii="Times New Roman" w:hAnsi="Times New Roman" w:cs="Times New Roman"/>
          <w:color w:val="000000" w:themeColor="text1"/>
        </w:rPr>
      </w:r>
    </w:p>
    <w:p>
      <w:pPr>
        <w:numPr>
          <w:ilvl w:val="0"/>
          <w:numId w:val="42"/>
        </w:numPr>
        <w:pBdr>
          <w:top w:val="none" w:color="000000" w:sz="4" w:space="0"/>
          <w:left w:val="none" w:color="000000" w:sz="4" w:space="0"/>
          <w:bottom w:val="none" w:color="000000" w:sz="4" w:space="0"/>
          <w:right w:val="none" w:color="000000" w:sz="4" w:space="0"/>
        </w:pBdr>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Thông tin tài sản so sánh</w:t>
      </w: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5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1843"/>
        <w:gridCol w:w="1772"/>
        <w:gridCol w:w="1772"/>
        <w:gridCol w:w="1772"/>
        <w:gridCol w:w="1772"/>
      </w:tblGrid>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STT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ĐẶC ĐIỂM BĐS</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TSTĐ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TSSS1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TSSS2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TSSS3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A</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Thông tin về tài sản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Địa chỉ</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Xã Quang Minh, Thành phố Hà Nội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Xã Quang Minh, Thành phố Hà Nội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Xã Quang Minh, Thành phố Hà Nội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Xã Quang Minh, Thành phố Hà Nội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Nguồn tham khảo</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hyperlink r:id="rId24" w:tooltip="https://batdongsan.com.vn/ban-dat-duong-quoc-lo-23-xa-thanh-lam-3/hang-hiem-doc-ban-dien-tich-n-full-tho-cu-goc-mat-pr44446497" w:history="1">
              <w:r>
                <w:rPr>
                  <w:rStyle w:val="1045"/>
                  <w:rFonts w:ascii="Times New Roman" w:hAnsi="Times New Roman" w:eastAsia="Times New Roman" w:cs="Times New Roman"/>
                  <w:color w:val="000000" w:themeColor="text1"/>
                  <w:sz w:val="22"/>
                  <w:u w:val="single"/>
                </w:rPr>
                <w:t xml:space="preserve">https://batdongsan.com.vn/ban-dat-duong-quoc-lo-23-xa-thanh-lam-3/hang-hiem-doc-ban-dien-tich-n-full-tho-cu-goc-mat-pr44446497</w:t>
              </w:r>
            </w:hyperlink>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https://www.facebook.com/share/p/1Bz7aQ5fPG/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https://www.facebook.com/groups/852261119046020/permalink/1618007625804695/?rdid=dHSCecvdqiKxb8na#</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Thông tin liên lạc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SDT: 0983348668</w:t>
              <w:br/>
              <w:t xml:space="preserve"> (Sale Anh Ngọc Sơn)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SDT: 0941893600</w:t>
              <w:br/>
              <w:t xml:space="preserve"> (Sale Chị Phạm Hiền)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SDT: 0946738656</w:t>
              <w:br/>
              <w:t xml:space="preserve"> (Sale Anh Đanh)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Tình trạng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Đang giao dịch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Đang giao dịch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Đang giao dịch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Thời điểm thu thập thông tin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Tháng 02/2026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Tháng 02/2026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Tháng 02/2026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Tính chất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Giao dịch bình thường trên thị trường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Giao dịch bình thường trên thị trường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Giao dịch bình thường trên thị trường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Giao dịch bình thường trên thị trường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Pháp lý</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Đất ở</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Đất ở nông thôn (743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Đất ở nông thôn (86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Đất ở nông thôn (113 m²)</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Thời hạn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Đất ở nông thôn – Lâu dài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Đất ở nông thôn – Lâu dài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Đất ở nông thôn – Lâu dài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Đất ở nông thôn – Lâu dài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Vị trí</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Tài sản tại: Xã Quang Minh, Thành phố Hà Nội, đường Đường QL 23, cách UBND xã Quang Minh khoảng 1,7km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Tài sản tại: Xã Quang Minh, Thành phố Hà Nội, Tài sản tiếp giáp QL23, cách UBND xã Quang Minh khoảng 3km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Tài sản tại: Xã Quang Minh, Thành phố Hà Nội, Tài sản tiếp giáp QL23, cách UBND xã Quang Minh khoảng 2km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Tài sản tại: Xã Quang Minh, Thành phố Hà Nội, Tài sản tiếp giáp QL23, cách UBND xã Quang Minh khoảng 1,42km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Giao thông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Đường nhựa có vỉa hè</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Đường nhựa có vỉa hè</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Đường nhựa có vỉa hè</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Đường nhựa có vỉa hè</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Độ rộng mặt đường(m)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Cơ sở hạ tầng kỹ thuật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Hạ tầng khu dân cư thông thường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Hạ tầng khu dân cư thông thường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Hạ tầng khu dân cư thông thường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Hạ tầng khu dân cư thông thường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Diện tích đất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743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Mặt tiền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Khoảng 28m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20,2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Số lượng mặt tiếp giáp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Tiếp giáp 1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Tiếp giáp góc 1 mặt đường, phố + 1 mặt ngõ</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Tiếp giáp 2 mặt đường trước sau</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Tiếp giáp 1 mặt tiền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Hình dáng thửa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đối vuông vức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Nở hậu</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Tốt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Khá</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Tốt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Tốt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Tài sản trên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Đất trống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Nhà 2 tầng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Đất trống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bottom"/>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Số tầng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2,0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bottom"/>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Diện tích sàn sử dụng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172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rao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55.725.000.000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12.500.000.000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14.250.000.000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thương lượng/bán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50.152.500.000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11.250.000.000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12.825.000.000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B</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Chi tiết tính toán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Giá trị tài sản trên đất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1.171.711.128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Đơn giá xây dựng theo Quyết định số 409/QĐ-BXD ngày 11/4/2025 của Bộ Xây Dựng (đồng/m²)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7.830.200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Tỷ lệ % CLCL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Giá trị đất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50.152.500.000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10.078.288.872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12.825.000.000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Đơn giá QSDĐ (đồng/m²)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67.500.000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117.189.405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113.495.575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NHẬN XÉT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Tính chất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Pháp lý</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Thời hạn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Vị trí</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Kém 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Giao thông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Độ rộng đường trước tài sản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Độ rộng mặt đường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Cơ sở hạ tầng kỹ thuật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Diện tích đất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Lợi thế hơn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Mặt tiền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Kém 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Kém 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Kém lợi thế hơn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Chiều sâu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Lợi thế hơn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Số lượng mặt tiếp giáp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Hình dáng thửa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Kém 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Lợi thế hơn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Kém 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bottom"/>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Bất lợi thương mại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Các yếu tố như vị trí, giao thông, diện tích, hướng nhìn, hình dáng, nội thất, hạ tầng kỹ thuật và hạ tầng xã hội… làm ảnh hưởng đến giá trị của thửa đất. Mỗi yếu tố đóng góp một tỷ lệ nhất định vào giá trị của thửa đất. Vì vậy, dựa trên ba tài sản so sánh</w:t>
      </w:r>
      <w:r>
        <w:rPr>
          <w:rFonts w:ascii="Times New Roman" w:hAnsi="Times New Roman" w:eastAsia="Times New Roman" w:cs="Times New Roman"/>
          <w:color w:val="000000" w:themeColor="text1"/>
          <w:sz w:val="24"/>
        </w:rPr>
        <w:t xml:space="preserve">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themeColor="text1"/>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themeColor="text1"/>
          <w:sz w:val="24"/>
        </w:rPr>
        <w:t xml:space="preserve"> chỉnh).</w:t>
      </w:r>
      <w:r>
        <w:rPr>
          <w:rFonts w:ascii="Times New Roman" w:hAnsi="Times New Roman" w:cs="Times New Roman"/>
          <w:color w:val="000000" w:themeColor="text1"/>
        </w:rPr>
      </w:r>
      <w:r>
        <w:rPr>
          <w:rFonts w:ascii="Times New Roman" w:hAnsi="Times New Roman" w:cs="Times New Roman"/>
          <w:color w:val="000000" w:themeColor="text1"/>
        </w:rPr>
      </w:r>
    </w:p>
    <w:p>
      <w:pPr>
        <w:numPr>
          <w:ilvl w:val="0"/>
          <w:numId w:val="42"/>
        </w:numPr>
        <w:pBdr>
          <w:top w:val="none" w:color="000000" w:sz="4" w:space="0"/>
          <w:left w:val="none" w:color="000000" w:sz="4" w:space="0"/>
          <w:bottom w:val="none" w:color="000000" w:sz="4" w:space="0"/>
          <w:right w:val="none" w:color="000000" w:sz="4" w:space="0"/>
        </w:pBdr>
        <w:spacing w:after="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Bảng điều chỉnh:</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5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24"/>
        <w:gridCol w:w="1969"/>
        <w:gridCol w:w="1049"/>
        <w:gridCol w:w="1430"/>
        <w:gridCol w:w="1578"/>
        <w:gridCol w:w="1578"/>
        <w:gridCol w:w="1578"/>
      </w:tblGrid>
      <w:tr>
        <w:trPr>
          <w:trHeight w:val="63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24"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STT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Yếu tố so sánh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Đơn vị tính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thẩm định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so sánh 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so sánh 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so sánh 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24"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A</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Giá trị QSDĐ thị trường (Ước tính sau thương lượng)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Đồng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50.152.500.000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10.078.288.872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12.825.000.000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9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24"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B</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Đơn giá đất ước tính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67.500.000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117.189.405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113.495.575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25"/>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24"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Điều chỉnh các yếu tố so sánh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24" w:type="dxa"/>
            <w:vAlign w:val="center"/>
            <w:vMerge w:val="restart"/>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Tính chất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Giao dịch bình thường trên thị trường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Giao dịch bình thường trên thị trường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Giao dịch bình thường trên thị trường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Giao dịch bình thường trên thị trường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67.500.000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117.189.405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113.495.575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24" w:type="dxa"/>
            <w:vAlign w:val="center"/>
            <w:vMerge w:val="restart"/>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Pháp lý</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67.500.000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117.189.405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113.495.575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24" w:type="dxa"/>
            <w:vAlign w:val="center"/>
            <w:vMerge w:val="restart"/>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nông thôn (743 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nông thôn (86 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nông thôn (113 m²)</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67.500.000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117.189.405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113.495.575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24" w:type="dxa"/>
            <w:vAlign w:val="center"/>
            <w:vMerge w:val="restart"/>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Thời hạn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nông thôn – Lâu dài</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nông thôn – Lâu dài</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nông thôn – Lâu dài</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nông thôn – Lâu dài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67.500.000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117.189.405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113.495.575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87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24" w:type="dxa"/>
            <w:vAlign w:val="center"/>
            <w:vMerge w:val="restart"/>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Vị trí</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tại: Xã Quang Minh, Thành phố Hà Nội, tiếp giáp đường đường QL 23, cách UBND xã Quang Minh khoảng 1,7km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tại: Xã Quang Minh, Thành phố Hà Nội, Tài sản tiếp giáp QL23, cách UBND xã Quang Minh khoảng 3km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tại: Xã Quang Minh, Thành phố Hà Nội, Tài sản tiếp giáp QL23, cách UBND xã Quang Minh khoảng 2km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tại: Xã Quang Minh, Thành phố Hà Nội, Tài sản tiếp giáp QL23, cách UBND xã Quang Minh khoảng 1,42km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3.375.000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70.875.000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117.189.405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113.495.575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24" w:type="dxa"/>
            <w:vAlign w:val="center"/>
            <w:vMerge w:val="restart"/>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Giao thông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Đường nhựa có vỉa hè</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Đường nhựa có vỉa hè</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Đường nhựa có vỉa hè</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Đường nhựa có vỉa hè</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70.875.000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117.189.405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113.495.575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18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24" w:type="dxa"/>
            <w:vAlign w:val="center"/>
            <w:vMerge w:val="restart"/>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C7</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Độ rộng đường trước tài sản (m)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70.875.000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117.189.405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113.495.575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24" w:type="dxa"/>
            <w:vAlign w:val="center"/>
            <w:vMerge w:val="restart"/>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C8</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Độ rộng mặt đường (m)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70.875.000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117.189.405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113.495.575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24" w:type="dxa"/>
            <w:vAlign w:val="center"/>
            <w:vMerge w:val="restart"/>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C9</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Cơ sở hạ tầng kỹ thuật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Hạ tầng khu dân cư thông thường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Hạ tầng khu dân cư thông thường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Hạ tầng khu dân cư thông thường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Hạ tầng khu dân cư thông thường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70.875.000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117.189.405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113.495.575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24" w:type="dxa"/>
            <w:vAlign w:val="center"/>
            <w:vMerge w:val="restart"/>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Diện tích đất (m²)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1.200,00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743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86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113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-35,00%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-35,00%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-3.375.000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-41.016.292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-39.723.451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67.500.000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76.173.114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73.772.124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24" w:type="dxa"/>
            <w:vAlign w:val="center"/>
            <w:vMerge w:val="restart"/>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Mặt tiền (m)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Khoảng 28m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20,2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4,4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15,00%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3.375.000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23.437.881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17.024.336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70.875.000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99.610.995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90.796.460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24" w:type="dxa"/>
            <w:vAlign w:val="center"/>
            <w:vMerge w:val="restart"/>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Chiều sâu (m)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43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36,78</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19,55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18,83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-15,00%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-15,00%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-17.578.411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-17.024.336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75"/>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70.875.000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82.032.584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73.772.124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24" w:type="dxa"/>
            <w:vAlign w:val="center"/>
            <w:vMerge w:val="restart"/>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Số lượng mặt tiếp giáp</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Tiếp giáp 1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Tiếp giáp góc 1 mặt đường, phố + 1 mặt ngõ</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Tiếp giáp 2 mặt đường trước sau</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Tiếp giáp 1 mặt tiền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-6.750.000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-14.062.729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64.125.000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67.969.855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73.772.124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24" w:type="dxa"/>
            <w:vAlign w:val="center"/>
            <w:vMerge w:val="restart"/>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Hình dáng thửa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Tương đối vuông vức</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Nở hậu</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1.350.000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-5.674.779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65.475.000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67.969.855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68.097.345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24" w:type="dxa"/>
            <w:vAlign w:val="center"/>
            <w:vMerge w:val="restart"/>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Tốt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Khá</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Tốt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Tốt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3.375.000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68.850.000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67.969.855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68.097.345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24"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D</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Mức giá chỉ dẫn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68.850.000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67.969.855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68.097.345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24"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trị trung bình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4734"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68.305.733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24"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độ chênh lệch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0,80%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-0,49%</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-0,31%</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24"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Tổng hợp các số liệu điều chỉnh tại mục C</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24"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Tổng giá trị điều chỉnh gộp</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21.600.000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96.095.313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val="false"/>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79.446.903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24"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Tổng số lần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Lần</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24"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Biên độ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val="false"/>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before="17" w:beforeAutospacing="0" w:line="276"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0% - 10%</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before="17" w:beforeAutospacing="0" w:line="276"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0% - 35%</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before="17" w:beforeAutospacing="0" w:line="276"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0% - 35%</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624"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969" w:type="dxa"/>
            <w:vAlign w:val="center"/>
            <w:textDirection w:val="lrTb"/>
            <w:noWrap w:val="false"/>
          </w:tcPr>
          <w:p>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Tổng giá trị điều chỉnh thuần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049"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430" w:type="dxa"/>
            <w:vAlign w:val="center"/>
            <w:textDirection w:val="lrTb"/>
            <w:noWrap/>
          </w:tcPr>
          <w:p>
            <w:pPr>
              <w:pBdr/>
              <w:spacing w:after="0" w:before="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1.350.000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49.219.550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1578" w:type="dxa"/>
            <w:vAlign w:val="center"/>
            <w:textDirection w:val="lrTb"/>
            <w:noWrap/>
          </w:tcPr>
          <w:p>
            <w:pPr>
              <w:pBdr/>
              <w:spacing w:after="0" w:before="17" w:beforeAutospacing="0" w:line="240"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45.398.230 </w:t>
            </w:r>
            <w:r>
              <w:rPr>
                <w:rFonts w:ascii="Times New Roman" w:hAnsi="Times New Roman" w:cs="Times New Roman"/>
                <w:color w:val="000000" w:themeColor="text1"/>
              </w:rPr>
            </w:r>
            <w:r>
              <w:rPr>
                <w:rFonts w:ascii="Times New Roman" w:hAnsi="Times New Roman" w:cs="Times New Roman"/>
                <w:color w:val="000000" w:themeColor="text1"/>
              </w:rP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rPr>
          <w:rFonts w:ascii="Times New Roman" w:hAnsi="Times New Roman" w:cs="Times New Roman"/>
          <w:color w:val="000000" w:themeColor="text1"/>
          <w:sz w:val="24"/>
          <w:szCs w:val="24"/>
          <w:highlight w:val="none"/>
          <w:u w:val="single"/>
        </w:rPr>
      </w:pPr>
      <w:r>
        <w:rPr>
          <w:rFonts w:ascii="Times New Roman" w:hAnsi="Times New Roman" w:eastAsia="Times New Roman" w:cs="Times New Roman"/>
          <w:color w:val="000000" w:themeColor="text1"/>
          <w:sz w:val="24"/>
          <w:u w:val="single"/>
        </w:rPr>
        <w:t xml:space="preserve">Về nguyên tắc khống chế:</w:t>
      </w:r>
      <w:r>
        <w:rPr>
          <w:rFonts w:ascii="Times New Roman" w:hAnsi="Times New Roman" w:cs="Times New Roman"/>
          <w:color w:val="000000" w:themeColor="text1"/>
          <w:sz w:val="24"/>
          <w:szCs w:val="24"/>
          <w:highlight w:val="none"/>
          <w:u w:val="single"/>
        </w:rPr>
      </w:r>
      <w:r>
        <w:rPr>
          <w:rFonts w:ascii="Times New Roman" w:hAnsi="Times New Roman" w:cs="Times New Roman"/>
          <w:color w:val="000000" w:themeColor="text1"/>
          <w:sz w:val="24"/>
          <w:szCs w:val="24"/>
          <w:highlight w:val="none"/>
          <w:u w:val="single"/>
        </w:rPr>
      </w:r>
    </w:p>
    <w:p>
      <w:pPr>
        <w:pBdr>
          <w:top w:val="none" w:color="000000" w:sz="4" w:space="0"/>
          <w:left w:val="none" w:color="000000" w:sz="4" w:space="0"/>
          <w:bottom w:val="none" w:color="000000" w:sz="4" w:space="0"/>
          <w:right w:val="none" w:color="000000" w:sz="4" w:space="0"/>
        </w:pBdr>
        <w:spacing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Theo số liệu tại mục D2, chênh lệch giữa mức giá trung bình của các mức giá chỉ dẫn nằm trong khoảng từ </w:t>
      </w:r>
      <w:r>
        <w:rPr>
          <w:rFonts w:ascii="Times New Roman" w:hAnsi="Times New Roman" w:eastAsia="Times New Roman" w:cs="Times New Roman"/>
          <w:color w:val="000000" w:themeColor="text1"/>
        </w:rPr>
        <w:t xml:space="preserve">-0,49</w:t>
      </w:r>
      <w:r>
        <w:rPr>
          <w:rFonts w:ascii="Times New Roman" w:hAnsi="Times New Roman" w:eastAsia="Times New Roman" w:cs="Times New Roman"/>
          <w:color w:val="000000" w:themeColor="text1"/>
        </w:rPr>
        <w:t xml:space="preserve">% đến </w:t>
      </w:r>
      <w:r>
        <w:rPr>
          <w:rFonts w:ascii="Times New Roman" w:hAnsi="Times New Roman" w:eastAsia="Times New Roman" w:cs="Times New Roman"/>
          <w:color w:val="000000" w:themeColor="text1"/>
        </w:rPr>
        <w:t xml:space="preserve">0,8</w:t>
      </w:r>
      <w:r>
        <w:rPr>
          <w:rFonts w:ascii="Times New Roman" w:hAnsi="Times New Roman" w:eastAsia="Times New Roman" w:cs="Times New Roman"/>
          <w:color w:val="000000" w:themeColor="text1"/>
        </w:rPr>
        <w:t xml:space="preserve">%</w:t>
      </w:r>
      <w:r>
        <w:rPr>
          <w:rFonts w:ascii="Times New Roman" w:hAnsi="Times New Roman" w:eastAsia="Times New Roman" w:cs="Times New Roman"/>
          <w:color w:val="000000" w:themeColor="text1"/>
          <w:sz w:val="24"/>
        </w:rPr>
        <w:t xml:space="preserve"> </w:t>
      </w:r>
      <w:r>
        <w:rPr>
          <w:rFonts w:ascii="Times New Roman" w:hAnsi="Times New Roman" w:eastAsia="Times New Roman" w:cs="Times New Roman"/>
          <w:color w:val="000000" w:themeColor="text1"/>
          <w:sz w:val="24"/>
        </w:rPr>
        <w:t xml:space="preserve">đảm bảo không quá 15% (theo Thông tư số 32/2024/TT-BTCngày 16/5/2024 của Bộ Tài Chính).</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u w:val="single"/>
        </w:rPr>
        <w:t xml:space="preserve">Về thống nhất mức giá chỉ dẫn:</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59"/>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78"/>
        <w:gridCol w:w="2154"/>
        <w:gridCol w:w="2030"/>
        <w:gridCol w:w="2321"/>
        <w:gridCol w:w="2256"/>
      </w:tblGrid>
      <w:tr>
        <w:trPr>
          <w:trHeight w:val="284"/>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Tài sản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203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Mức giá chỉ dẫn của các TSSS</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232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Trọng số của các TSSS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Giá trị trung bình của mức giá chỉ dẫn sau điều chỉnh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tcBorders>
              <w:left w:val="single" w:color="000000" w:sz="8" w:space="0"/>
              <w:bottom w:val="single" w:color="000000" w:sz="8" w:space="0"/>
              <w:right w:val="single" w:color="000000" w:sz="8" w:space="0"/>
            </w:tcBorders>
            <w:tcMar>
              <w:left w:w="108" w:type="dxa"/>
              <w:top w:w="0" w:type="dxa"/>
              <w:right w:w="108" w:type="dxa"/>
              <w:bottom w:w="0" w:type="dxa"/>
            </w:tcMar>
            <w:tcW w:w="7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so sánh 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030" w:type="dxa"/>
            <w:vAlign w:val="center"/>
            <w:textDirection w:val="lrTb"/>
            <w:noWrap w:val="false"/>
          </w:tcPr>
          <w:p>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68.850.000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321" w:type="dxa"/>
            <w:vAlign w:val="center"/>
            <w:textDirection w:val="lrTb"/>
            <w:noWrap w:val="false"/>
          </w:tcPr>
          <w:p>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40%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256" w:type="dxa"/>
            <w:vAlign w:val="center"/>
            <w:textDirection w:val="lrTb"/>
            <w:noWrap w:val="false"/>
          </w:tcPr>
          <w:p>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27.540.000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tcBorders>
              <w:left w:val="single" w:color="000000" w:sz="8" w:space="0"/>
              <w:bottom w:val="single" w:color="000000" w:sz="8" w:space="0"/>
              <w:right w:val="single" w:color="000000" w:sz="8" w:space="0"/>
            </w:tcBorders>
            <w:tcMar>
              <w:left w:w="108" w:type="dxa"/>
              <w:top w:w="0" w:type="dxa"/>
              <w:right w:w="108" w:type="dxa"/>
              <w:bottom w:w="0" w:type="dxa"/>
            </w:tcMar>
            <w:tcW w:w="7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so sánh 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030" w:type="dxa"/>
            <w:vAlign w:val="center"/>
            <w:textDirection w:val="lrTb"/>
            <w:noWrap w:val="false"/>
          </w:tcPr>
          <w:p>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67.969.854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321" w:type="dxa"/>
            <w:vAlign w:val="center"/>
            <w:textDirection w:val="lrTb"/>
            <w:noWrap w:val="false"/>
          </w:tcPr>
          <w:p>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30%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256" w:type="dxa"/>
            <w:vAlign w:val="center"/>
            <w:textDirection w:val="lrTb"/>
            <w:noWrap w:val="false"/>
          </w:tcPr>
          <w:p>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20.390.956</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tcBorders>
              <w:left w:val="single" w:color="000000" w:sz="8" w:space="0"/>
              <w:bottom w:val="single" w:color="000000" w:sz="8" w:space="0"/>
              <w:right w:val="single" w:color="000000" w:sz="8" w:space="0"/>
            </w:tcBorders>
            <w:tcMar>
              <w:left w:w="108" w:type="dxa"/>
              <w:top w:w="0" w:type="dxa"/>
              <w:right w:w="108" w:type="dxa"/>
              <w:bottom w:w="0" w:type="dxa"/>
            </w:tcMar>
            <w:tcW w:w="77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so sánh 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030" w:type="dxa"/>
            <w:vAlign w:val="center"/>
            <w:textDirection w:val="lrTb"/>
            <w:noWrap w:val="false"/>
          </w:tcPr>
          <w:p>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68.097.345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321" w:type="dxa"/>
            <w:vAlign w:val="center"/>
            <w:textDirection w:val="lrTb"/>
            <w:noWrap w:val="false"/>
          </w:tcPr>
          <w:p>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30%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256" w:type="dxa"/>
            <w:vAlign w:val="center"/>
            <w:textDirection w:val="lrTb"/>
            <w:noWrap w:val="false"/>
          </w:tcPr>
          <w:p>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20.429.204</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Giá trị bình quân theo trọng số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68.008.592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Làm tròn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25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68.000.000 </w:t>
            </w:r>
            <w:r>
              <w:rPr>
                <w:rFonts w:ascii="Times New Roman" w:hAnsi="Times New Roman" w:cs="Times New Roman"/>
                <w:color w:val="000000" w:themeColor="text1"/>
              </w:rPr>
            </w:r>
            <w:r>
              <w:rPr>
                <w:rFonts w:ascii="Times New Roman" w:hAnsi="Times New Roman" w:cs="Times New Roman"/>
                <w:color w:val="000000" w:themeColor="text1"/>
              </w:rPr>
            </w:r>
          </w:p>
        </w:tc>
      </w:tr>
    </w:tbl>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Tổ thẩm định sử dụng mức giá chỉ dẫn là mức giá bình quân có trọng số của 03 tài sản so sánh làm mức giá của tài sản thẩm định giá, tương ứng là:</w:t>
      </w:r>
      <w:r>
        <w:rPr>
          <w:rFonts w:ascii="Times New Roman" w:hAnsi="Times New Roman" w:eastAsia="Times New Roman" w:cs="Times New Roman"/>
          <w:b/>
          <w:color w:val="000000" w:themeColor="text1"/>
          <w:sz w:val="24"/>
        </w:rPr>
        <w:t xml:space="preserve"> 68.000.000 đồng/m².</w:t>
      </w:r>
      <w:r>
        <w:rPr>
          <w:rFonts w:ascii="Times New Roman" w:hAnsi="Times New Roman" w:cs="Times New Roman"/>
          <w:color w:val="000000" w:themeColor="text1"/>
        </w:rPr>
      </w:r>
      <w:r>
        <w:rPr>
          <w:rFonts w:ascii="Times New Roman" w:hAnsi="Times New Roman" w:cs="Times New Roman"/>
          <w:color w:val="000000" w:themeColor="text1"/>
        </w:rPr>
      </w:r>
    </w:p>
    <w:p>
      <w:pPr>
        <w:numPr>
          <w:ilvl w:val="0"/>
          <w:numId w:val="43"/>
        </w:numPr>
        <w:pBdr>
          <w:top w:val="none" w:color="000000" w:sz="4" w:space="0"/>
          <w:left w:val="none" w:color="000000" w:sz="4" w:space="0"/>
          <w:bottom w:val="none" w:color="000000" w:sz="4" w:space="0"/>
          <w:right w:val="none" w:color="000000" w:sz="4" w:space="0"/>
        </w:pBdr>
        <w:spacing w:after="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Kết quả thẩm định giá:</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pacing w:val="2"/>
          <w:sz w:val="24"/>
        </w:rPr>
        <w:t xml:space="preserve">Dựa trên các lập luận trên, tổ thẩm định ước tính giá trị tài sản thẩm định giá chưa bao gồm các loại thuế, phí và lệ phí liên quan đến việc chuyển nhượng tài sản tại thời điểm tháng 02/2026 như sau:</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59"/>
        <w:tblInd w:w="113"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97"/>
        <w:gridCol w:w="4147"/>
        <w:gridCol w:w="1312"/>
        <w:gridCol w:w="1554"/>
        <w:gridCol w:w="57"/>
        <w:gridCol w:w="1874"/>
        <w:gridCol w:w="15"/>
        <w:gridCol w:w="14"/>
        <w:gridCol w:w="57"/>
      </w:tblGrid>
      <w:tr>
        <w:trPr>
          <w:gridAfter w:val="3"/>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414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Tài sản</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3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Diện tích (m²)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5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Đơn giá (đồng/m²)</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2"/>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Thành tiền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gridAfter w:val="3"/>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701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Quyền sử dụng đất tại thửa đất số: 2b + 4a + 162a, tờ bản đồ số: 26 có địa chỉ: K9 Thường Lệ, Đại Thịnh, huyện Mê Linh, tỉnh Vĩnh Phúc (nay là xã Quang Minh, thành phố Hà Nội)  theo Giấy chứng nhận quyền sử dụng đất số: G 443584, số vào sổ cấp GCN: 1108QSD</w:t>
            </w:r>
            <w:r>
              <w:rPr>
                <w:rFonts w:ascii="Times New Roman" w:hAnsi="Times New Roman" w:eastAsia="Times New Roman" w:cs="Times New Roman"/>
                <w:b/>
                <w:color w:val="000000" w:themeColor="text1"/>
                <w:sz w:val="24"/>
              </w:rPr>
              <w:t xml:space="preserve">Đ do UBND huyện Mê Linh cấp ngày 02/7/1996 cho ông Trịnh Minh Tỉnh</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gridAfter w:val="3"/>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414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Thửa đất số 2</w:t>
            </w:r>
            <w:r>
              <w:rPr>
                <w:rFonts w:ascii="Times New Roman" w:hAnsi="Times New Roman" w:eastAsia="Times New Roman" w:cs="Times New Roman"/>
                <w:b/>
                <w:color w:val="000000" w:themeColor="text1"/>
                <w:sz w:val="20"/>
                <w:vertAlign w:val="superscript"/>
              </w:rPr>
              <w:t xml:space="preserve">b</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3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gridAfter w:val="3"/>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414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nằm ngoài QHGT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312"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168,25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82.000.000</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13.796.500.000</w:t>
            </w:r>
            <w:r>
              <w:rPr>
                <w:rFonts w:ascii="Times New Roman" w:hAnsi="Times New Roman" w:cs="Times New Roman"/>
                <w:color w:val="000000" w:themeColor="text1"/>
              </w:rPr>
            </w:r>
            <w:r>
              <w:rPr>
                <w:rFonts w:ascii="Times New Roman" w:hAnsi="Times New Roman" w:cs="Times New Roman"/>
                <w:color w:val="000000" w:themeColor="text1"/>
              </w:rPr>
            </w:r>
          </w:p>
        </w:tc>
      </w:tr>
      <w:tr>
        <w:trPr>
          <w:gridAfter w:val="3"/>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414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nằm trong QHGT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312"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41,75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22.500.000</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939.375.000</w:t>
            </w:r>
            <w:r>
              <w:rPr>
                <w:rFonts w:ascii="Times New Roman" w:hAnsi="Times New Roman" w:cs="Times New Roman"/>
                <w:color w:val="000000" w:themeColor="text1"/>
              </w:rPr>
            </w:r>
            <w:r>
              <w:rPr>
                <w:rFonts w:ascii="Times New Roman" w:hAnsi="Times New Roman" w:cs="Times New Roman"/>
                <w:color w:val="000000" w:themeColor="text1"/>
              </w:rPr>
            </w:r>
          </w:p>
        </w:tc>
      </w:tr>
      <w:tr>
        <w:trPr>
          <w:gridAfter w:val="3"/>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414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Thửa đất số 4</w:t>
            </w:r>
            <w:r>
              <w:rPr>
                <w:rFonts w:ascii="Times New Roman" w:hAnsi="Times New Roman" w:eastAsia="Times New Roman" w:cs="Times New Roman"/>
                <w:b/>
                <w:color w:val="000000" w:themeColor="text1"/>
                <w:sz w:val="20"/>
                <w:vertAlign w:val="superscript"/>
              </w:rPr>
              <w:t xml:space="preserve">a</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312"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gridAfter w:val="3"/>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414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nằm ngoài QHGT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312"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146,48</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99.000.000</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14.501.520.000</w:t>
            </w:r>
            <w:r>
              <w:rPr>
                <w:rFonts w:ascii="Times New Roman" w:hAnsi="Times New Roman" w:cs="Times New Roman"/>
                <w:color w:val="000000" w:themeColor="text1"/>
              </w:rPr>
            </w:r>
            <w:r>
              <w:rPr>
                <w:rFonts w:ascii="Times New Roman" w:hAnsi="Times New Roman" w:cs="Times New Roman"/>
                <w:color w:val="000000" w:themeColor="text1"/>
              </w:rPr>
            </w:r>
          </w:p>
        </w:tc>
      </w:tr>
      <w:tr>
        <w:trPr>
          <w:gridAfter w:val="3"/>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414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nằm trong QHGT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312"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33,52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22.500.000</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754.200.000</w:t>
            </w:r>
            <w:r>
              <w:rPr>
                <w:rFonts w:ascii="Times New Roman" w:hAnsi="Times New Roman" w:cs="Times New Roman"/>
                <w:color w:val="000000" w:themeColor="text1"/>
              </w:rPr>
            </w:r>
            <w:r>
              <w:rPr>
                <w:rFonts w:ascii="Times New Roman" w:hAnsi="Times New Roman" w:cs="Times New Roman"/>
                <w:color w:val="000000" w:themeColor="text1"/>
              </w:rPr>
            </w:r>
          </w:p>
        </w:tc>
      </w:tr>
      <w:tr>
        <w:trPr>
          <w:gridAfter w:val="3"/>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9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414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Thửa đất số 162</w:t>
            </w:r>
            <w:r>
              <w:rPr>
                <w:rFonts w:ascii="Times New Roman" w:hAnsi="Times New Roman" w:eastAsia="Times New Roman" w:cs="Times New Roman"/>
                <w:b/>
                <w:color w:val="000000" w:themeColor="text1"/>
                <w:sz w:val="20"/>
                <w:vertAlign w:val="superscript"/>
              </w:rPr>
              <w:t xml:space="preserve">a</w:t>
            </w:r>
            <w:r>
              <w:rPr>
                <w:rFonts w:ascii="Times New Roman" w:hAnsi="Times New Roman" w:eastAsia="Times New Roman" w:cs="Times New Roman"/>
                <w:b/>
                <w:color w:val="000000" w:themeColor="text1"/>
                <w:sz w:val="24"/>
              </w:rPr>
              <w:t xml:space="preserve">: </w:t>
            </w:r>
            <w:r>
              <w:rPr>
                <w:rFonts w:ascii="Times New Roman" w:hAnsi="Times New Roman" w:eastAsia="Times New Roman" w:cs="Times New Roman"/>
                <w:color w:val="000000" w:themeColor="text1"/>
                <w:sz w:val="24"/>
              </w:rPr>
              <w:t xml:space="preserve">Đất ở nằm ngoài QHGT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312"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1.200,00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5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68.000.000</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9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81.600.000.000</w:t>
            </w:r>
            <w:r>
              <w:rPr>
                <w:rFonts w:ascii="Times New Roman" w:hAnsi="Times New Roman" w:cs="Times New Roman"/>
                <w:color w:val="000000" w:themeColor="text1"/>
              </w:rPr>
            </w:r>
            <w:r>
              <w:rPr>
                <w:rFonts w:ascii="Times New Roman" w:hAnsi="Times New Roman" w:cs="Times New Roman"/>
                <w:color w:val="000000" w:themeColor="text1"/>
              </w:rPr>
            </w:r>
          </w:p>
        </w:tc>
      </w:tr>
      <w:tr>
        <w:trPr>
          <w:gridAfter w:val="2"/>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710"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Tổng cộng</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bottom w:val="single" w:color="000000" w:sz="8" w:space="0"/>
              <w:right w:val="single" w:color="000000" w:sz="8" w:space="0"/>
            </w:tcBorders>
            <w:tcMar>
              <w:left w:w="108" w:type="dxa"/>
              <w:top w:w="0" w:type="dxa"/>
              <w:right w:w="108" w:type="dxa"/>
              <w:bottom w:w="0" w:type="dxa"/>
            </w:tcMar>
            <w:tcW w:w="1946"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111.591.595.000 </w:t>
            </w:r>
            <w:r>
              <w:rPr>
                <w:rFonts w:ascii="Times New Roman" w:hAnsi="Times New Roman" w:cs="Times New Roman"/>
                <w:color w:val="000000" w:themeColor="text1"/>
              </w:rPr>
            </w:r>
            <w:r>
              <w:rPr>
                <w:rFonts w:ascii="Times New Roman" w:hAnsi="Times New Roman" w:cs="Times New Roman"/>
                <w:color w:val="000000" w:themeColor="text1"/>
              </w:rPr>
            </w:r>
          </w:p>
        </w:tc>
      </w:tr>
      <w:tr>
        <w:trPr>
          <w:gridAfter w:val="2"/>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710"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Làm tròn</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bottom w:val="single" w:color="000000" w:sz="8" w:space="0"/>
              <w:right w:val="single" w:color="000000" w:sz="8" w:space="0"/>
            </w:tcBorders>
            <w:tcMar>
              <w:left w:w="108" w:type="dxa"/>
              <w:top w:w="0" w:type="dxa"/>
              <w:right w:w="108" w:type="dxa"/>
              <w:bottom w:w="0" w:type="dxa"/>
            </w:tcMar>
            <w:tcW w:w="1946" w:type="dxa"/>
            <w:vAlign w:val="center"/>
            <w:textDirection w:val="lrTb"/>
            <w:noWrap/>
          </w:tcPr>
          <w:p>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111.592.000.000 </w:t>
            </w:r>
            <w:r>
              <w:rPr>
                <w:rFonts w:ascii="Times New Roman" w:hAnsi="Times New Roman" w:cs="Times New Roman"/>
                <w:color w:val="000000" w:themeColor="text1"/>
              </w:rPr>
            </w:r>
            <w:r>
              <w:rPr>
                <w:rFonts w:ascii="Times New Roman" w:hAnsi="Times New Roman" w:cs="Times New Roman"/>
                <w:color w:val="000000" w:themeColor="text1"/>
              </w:rPr>
            </w:r>
          </w:p>
        </w:tc>
      </w:tr>
      <w:tr>
        <w:trPr>
          <w:gridAfter w:val="2"/>
          <w:trHeight w:val="20"/>
        </w:trPr>
        <w:tc>
          <w:tcPr>
            <w:gridSpan w:val="7"/>
            <w:tcBorders>
              <w:left w:val="single" w:color="000000" w:sz="8" w:space="0"/>
              <w:bottom w:val="single" w:color="000000" w:sz="8" w:space="0"/>
              <w:right w:val="single" w:color="000000" w:sz="8" w:space="0"/>
            </w:tcBorders>
            <w:tcMar>
              <w:left w:w="108" w:type="dxa"/>
              <w:top w:w="0" w:type="dxa"/>
              <w:right w:w="108" w:type="dxa"/>
              <w:bottom w:w="0" w:type="dxa"/>
            </w:tcMar>
            <w:tcW w:w="965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i/>
                <w:color w:val="000000" w:themeColor="text1"/>
                <w:sz w:val="24"/>
              </w:rPr>
              <w:t xml:space="preserve">(Bằng chữ: Một trăm mười một tỷ năm trăm chín mươi hai triệu đồng chẵn ./.)</w:t>
            </w:r>
            <w:r>
              <w:rPr>
                <w:rFonts w:ascii="Times New Roman" w:hAnsi="Times New Roman" w:cs="Times New Roman"/>
                <w:color w:val="000000" w:themeColor="text1"/>
              </w:rPr>
            </w:r>
            <w:r>
              <w:rPr>
                <w:rFonts w:ascii="Times New Roman" w:hAnsi="Times New Roman" w:cs="Times New Roman"/>
                <w:color w:val="000000" w:themeColor="text1"/>
              </w:rPr>
            </w:r>
          </w:p>
        </w:tc>
      </w:tr>
    </w:tbl>
    <w:p>
      <w:pPr>
        <w:pBdr>
          <w:top w:val="none" w:color="000000" w:sz="4" w:space="0"/>
          <w:left w:val="none" w:color="000000" w:sz="4" w:space="0"/>
          <w:bottom w:val="none" w:color="000000" w:sz="4" w:space="0"/>
          <w:right w:val="none" w:color="000000" w:sz="4" w:space="0"/>
        </w:pBdr>
        <w:spacing w:after="0" w:before="24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IX. THỜI HẠN HIỆU LỰC CỦA KẾT QUẢ THẨM ĐỊNH GIÁ</w:t>
      </w:r>
      <w:r>
        <w:rPr>
          <w:rFonts w:ascii="Times New Roman" w:hAnsi="Times New Roman" w:cs="Times New Roman"/>
          <w:color w:val="000000" w:themeColor="text1"/>
        </w:rPr>
      </w:r>
      <w:r>
        <w:rPr>
          <w:rFonts w:ascii="Times New Roman" w:hAnsi="Times New Roman" w:cs="Times New Roman"/>
          <w:color w:val="000000" w:themeColor="text1"/>
        </w:rPr>
      </w:r>
    </w:p>
    <w:p>
      <w:pPr>
        <w:numPr>
          <w:ilvl w:val="0"/>
          <w:numId w:val="42"/>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Tối đa 06 (sáu) tháng tính từ ngày ký đối với tài sản là Bất động sản.</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pacing w:val="-4"/>
          <w:sz w:val="24"/>
        </w:rPr>
        <w:t xml:space="preserve">X. TUYÊN BỐ CHUNG VÀ MIỄN TRỪ TRÁCH NHIỆM</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48"/>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Công ty Cổ phần Thấm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48"/>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w:t>
      </w:r>
      <w:r>
        <w:rPr>
          <w:rFonts w:ascii="Times New Roman" w:hAnsi="Times New Roman" w:eastAsia="Times New Roman" w:cs="Times New Roman"/>
          <w:color w:val="000000" w:themeColor="text1"/>
          <w:sz w:val="24"/>
        </w:rPr>
        <w:t xml:space="preserve">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48"/>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Chứng thư, Báo cáo này được soạn thảo theo Hợp đồng số 275/2026/0281/VFI-HĐTĐ.</w:t>
      </w:r>
      <w:r>
        <w:rPr>
          <w:rFonts w:ascii="Times New Roman" w:hAnsi="Times New Roman" w:eastAsia="Times New Roman" w:cs="Times New Roman"/>
          <w:b/>
          <w:color w:val="000000" w:themeColor="text1"/>
          <w:sz w:val="24"/>
        </w:rPr>
        <w:t xml:space="preserve">27.A</w:t>
      </w:r>
      <w:r>
        <w:rPr>
          <w:rFonts w:ascii="Times New Roman" w:hAnsi="Times New Roman" w:eastAsia="Times New Roman" w:cs="Times New Roman"/>
          <w:color w:val="000000" w:themeColor="text1"/>
          <w:sz w:val="24"/>
        </w:rPr>
        <w:t xml:space="preserve"> được ký kết ngày 28/01/2026 và tuân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w:t>
      </w:r>
      <w:r>
        <w:rPr>
          <w:rFonts w:ascii="Times New Roman" w:hAnsi="Times New Roman" w:eastAsia="Times New Roman" w:cs="Times New Roman"/>
          <w:color w:val="000000" w:themeColor="text1"/>
          <w:sz w:val="24"/>
        </w:rPr>
        <w:t xml:space="preserve">g (gọi tắt là “các bên liên quan”).</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48"/>
        </w:numPr>
        <w:pBdr>
          <w:top w:val="none" w:color="000000" w:sz="4" w:space="0"/>
          <w:left w:val="none" w:color="000000" w:sz="4" w:space="0"/>
          <w:bottom w:val="none" w:color="000000" w:sz="4" w:space="0"/>
          <w:right w:val="none" w:color="000000" w:sz="4" w:space="0"/>
        </w:pBdr>
        <w:spacing w:after="120" w:before="120" w:line="276" w:lineRule="auto"/>
        <w:ind w:right="0" w:hanging="425"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Các bên liên quan khi đọc và thực hiện sử dụng sản phẩm tư vấn này, tức là đã chấp nhận và đồng ý với những điều khoản sau</w:t>
      </w: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49"/>
        </w:numPr>
        <w:pBdr>
          <w:top w:val="none" w:color="000000" w:sz="4" w:space="0"/>
          <w:left w:val="none" w:color="000000" w:sz="4" w:space="0"/>
          <w:bottom w:val="none" w:color="000000" w:sz="4" w:space="0"/>
          <w:right w:val="none" w:color="000000" w:sz="4" w:space="0"/>
        </w:pBdr>
        <w:spacing w:after="120" w:before="120" w:line="276" w:lineRule="auto"/>
        <w:ind w:right="0" w:hanging="295" w:left="72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w:t>
      </w:r>
      <w:r>
        <w:rPr>
          <w:rFonts w:ascii="Times New Roman" w:hAnsi="Times New Roman" w:eastAsia="Times New Roman" w:cs="Times New Roman"/>
          <w:color w:val="000000" w:themeColor="text1"/>
          <w:sz w:val="24"/>
        </w:rPr>
        <w:t xml:space="preserve">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w:t>
      </w:r>
      <w:r>
        <w:rPr>
          <w:rFonts w:ascii="Times New Roman" w:hAnsi="Times New Roman" w:eastAsia="Times New Roman" w:cs="Times New Roman"/>
          <w:color w:val="000000" w:themeColor="text1"/>
          <w:sz w:val="24"/>
        </w:rPr>
        <w:t xml:space="preserve">kỳ mục đích nào thì mọi trách nhiệm có liên quan đều thuộc Quý Khách hàng và các bên liên quan đó tham gia vào các giao dịch có liên quan.</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49"/>
        </w:numPr>
        <w:pBdr>
          <w:top w:val="none" w:color="000000" w:sz="4" w:space="0"/>
          <w:left w:val="none" w:color="000000" w:sz="4" w:space="0"/>
          <w:bottom w:val="none" w:color="000000" w:sz="4" w:space="0"/>
          <w:right w:val="none" w:color="000000" w:sz="4" w:space="0"/>
        </w:pBdr>
        <w:spacing w:after="120" w:before="120" w:line="276" w:lineRule="auto"/>
        <w:ind w:right="0" w:hanging="295" w:left="72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w:t>
      </w:r>
      <w:r>
        <w:rPr>
          <w:rFonts w:ascii="Times New Roman" w:hAnsi="Times New Roman" w:eastAsia="Times New Roman" w:cs="Times New Roman"/>
          <w:color w:val="000000" w:themeColor="text1"/>
          <w:sz w:val="24"/>
        </w:rPr>
        <w:t xml:space="preserve">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w:t>
      </w:r>
      <w:r>
        <w:rPr>
          <w:rFonts w:ascii="Times New Roman" w:hAnsi="Times New Roman" w:eastAsia="Times New Roman" w:cs="Times New Roman"/>
          <w:color w:val="000000" w:themeColor="text1"/>
          <w:sz w:val="24"/>
        </w:rPr>
        <w:t xml:space="preserve">n của các bên liên quan, hoặc do hậu quả của việc cung cấp Chứng thư, Báo cáo cho các bên liên quan.</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49"/>
        </w:numPr>
        <w:pBdr>
          <w:top w:val="none" w:color="000000" w:sz="4" w:space="0"/>
          <w:left w:val="none" w:color="000000" w:sz="4" w:space="0"/>
          <w:bottom w:val="none" w:color="000000" w:sz="4" w:space="0"/>
          <w:right w:val="none" w:color="000000" w:sz="4" w:space="0"/>
        </w:pBdr>
        <w:spacing w:after="120" w:before="120" w:line="276" w:lineRule="auto"/>
        <w:ind w:right="0" w:hanging="295" w:left="72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w:t>
      </w:r>
      <w:r>
        <w:rPr>
          <w:rFonts w:ascii="Times New Roman" w:hAnsi="Times New Roman" w:eastAsia="Times New Roman" w:cs="Times New Roman"/>
          <w:color w:val="000000" w:themeColor="text1"/>
          <w:sz w:val="24"/>
        </w:rPr>
        <w:t xml:space="preserve">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w:t>
      </w:r>
      <w:r>
        <w:rPr>
          <w:rFonts w:ascii="Times New Roman" w:hAnsi="Times New Roman" w:eastAsia="Times New Roman" w:cs="Times New Roman"/>
          <w:color w:val="000000" w:themeColor="text1"/>
          <w:sz w:val="24"/>
        </w:rPr>
        <w:t xml:space="preserve">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w:t>
      </w:r>
      <w:r>
        <w:rPr>
          <w:rFonts w:ascii="Times New Roman" w:hAnsi="Times New Roman" w:eastAsia="Times New Roman" w:cs="Times New Roman"/>
          <w:color w:val="000000" w:themeColor="text1"/>
          <w:sz w:val="24"/>
        </w:rPr>
        <w:t xml:space="preserve">gây tổn hại đến danh dự, trách nhiệm pháp lý, nghĩa vụ kinh tế… của các cá nhân và tập thể Lotus VFI.</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XI. NHỮNG ĐIỀU KHOẢN LOẠI TRỪ VÀ HẠN CHẾ CỦA KẾT QUẢ THẨM ĐỊNH GIÁ</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46"/>
        </w:numPr>
        <w:pBdr>
          <w:top w:val="none" w:color="000000" w:sz="4" w:space="0"/>
          <w:left w:val="none" w:color="000000" w:sz="4" w:space="0"/>
          <w:bottom w:val="none" w:color="000000" w:sz="4" w:space="0"/>
          <w:right w:val="none" w:color="000000" w:sz="4" w:space="0"/>
        </w:pBdr>
        <w:spacing w:after="120" w:before="120" w:line="276" w:lineRule="auto"/>
        <w:ind w:right="0" w:hanging="360"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w:t>
      </w:r>
      <w:r>
        <w:rPr>
          <w:rFonts w:ascii="Times New Roman" w:hAnsi="Times New Roman" w:eastAsia="Times New Roman" w:cs="Times New Roman"/>
          <w:color w:val="000000" w:themeColor="text1"/>
          <w:sz w:val="24"/>
        </w:rPr>
        <w:t xml:space="preserve">à không có xác nhận của Công ty Cổ phần Thẩm định và Đầu tư Tài chính Hoa Sen đều vi phạm pháp luật và không có giá trị.</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46"/>
        </w:numPr>
        <w:pBdr>
          <w:top w:val="none" w:color="000000" w:sz="4" w:space="0"/>
          <w:left w:val="none" w:color="000000" w:sz="4" w:space="0"/>
          <w:bottom w:val="none" w:color="000000" w:sz="4" w:space="0"/>
          <w:right w:val="none" w:color="000000" w:sz="4" w:space="0"/>
        </w:pBdr>
        <w:spacing w:after="120" w:before="120" w:line="276" w:lineRule="auto"/>
        <w:ind w:right="0" w:hanging="360"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Kết quả thẩm định giá trên chỉ xác nhận khi khách hàng hoàn tất các thủ tục pháp lý và nghĩa vụ tài chính liên quan đến tài sản thẩm định theo quy định của pháp luật hiện hành.</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46"/>
        </w:numPr>
        <w:pBdr>
          <w:top w:val="none" w:color="000000" w:sz="4" w:space="0"/>
          <w:left w:val="none" w:color="000000" w:sz="4" w:space="0"/>
          <w:bottom w:val="none" w:color="000000" w:sz="4" w:space="0"/>
          <w:right w:val="none" w:color="000000" w:sz="4" w:space="0"/>
        </w:pBdr>
        <w:spacing w:after="120" w:before="120" w:line="276" w:lineRule="auto"/>
        <w:ind w:right="0" w:hanging="360"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46"/>
        </w:numPr>
        <w:pBdr>
          <w:top w:val="none" w:color="000000" w:sz="4" w:space="0"/>
          <w:left w:val="none" w:color="000000" w:sz="4" w:space="0"/>
          <w:bottom w:val="none" w:color="000000" w:sz="4" w:space="0"/>
          <w:right w:val="none" w:color="000000" w:sz="4" w:space="0"/>
        </w:pBdr>
        <w:spacing w:after="120" w:before="120" w:line="276" w:lineRule="auto"/>
        <w:ind w:right="0" w:hanging="360"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Các phương pháp tính toán trên cơ sở tài liệu được cung cấp bởi khách hàng và dựa trên các tài liệu khác có liên quan do tổ thẩm định thu thập, cũng như các điều kiện và kỳ vọng tại thời điểm thẩm định giá phù hợp với các luật định, chính sách quản lý của </w:t>
      </w:r>
      <w:r>
        <w:rPr>
          <w:rFonts w:ascii="Times New Roman" w:hAnsi="Times New Roman" w:eastAsia="Times New Roman" w:cs="Times New Roman"/>
          <w:color w:val="000000" w:themeColor="text1"/>
          <w:sz w:val="24"/>
        </w:rPr>
        <w:t xml:space="preserve">Nhà nước hiện hành và các điều kiện, giả định theo quan điểm hợp lý của tổ thẩm định kèm theo báo cáo này. Một số vấn đề, sự kiện tương lai không có khả năng tính toán chính xác, hoặc nằm ngoài phạm vi chuyên môn nên cần vận dụng các giả định cho việc thẩm</w:t>
      </w:r>
      <w:r>
        <w:rPr>
          <w:rFonts w:ascii="Times New Roman" w:hAnsi="Times New Roman" w:eastAsia="Times New Roman" w:cs="Times New Roman"/>
          <w:color w:val="000000" w:themeColor="text1"/>
          <w:sz w:val="24"/>
        </w:rPr>
        <w:t xml:space="preserve"> định giá này, tổ thẩm định không đảm bảo là các giả định làm cơ sở thẩm định giá là chính xác hoàn toàn.</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46"/>
        </w:numPr>
        <w:pBdr>
          <w:top w:val="none" w:color="000000" w:sz="4" w:space="0"/>
          <w:left w:val="none" w:color="000000" w:sz="4" w:space="0"/>
          <w:bottom w:val="none" w:color="000000" w:sz="4" w:space="0"/>
          <w:right w:val="none" w:color="000000" w:sz="4" w:space="0"/>
        </w:pBdr>
        <w:spacing w:after="120" w:before="120" w:line="276" w:lineRule="auto"/>
        <w:ind w:right="0" w:hanging="360"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Công ty Cổ phần Thẩm định và Đầu tư Tài chính Hoa Sen không chịu trách nhiệm kiểm tra thông tin của những bản sao (bản photo) các giấy tờ liên quan đến tính chất pháp lý của tài sản yêu cầu thẩm định giá so với bản gốc. Đồng thời Công ty không tiến hành ki</w:t>
      </w:r>
      <w:r>
        <w:rPr>
          <w:rFonts w:ascii="Times New Roman" w:hAnsi="Times New Roman" w:eastAsia="Times New Roman" w:cs="Times New Roman"/>
          <w:color w:val="000000" w:themeColor="text1"/>
          <w:sz w:val="24"/>
        </w:rPr>
        <w:t xml:space="preserve">ểm tra hồ sơ pháp lý gốc để xác nhận về chủ sử dụng của tài sản định giá và Công ty Cổ phần Thẩm định và Đầu tư Tài chính Hoa Sen cũng không đảm bảo về việc phát sinh sử dụng khác của tài sản có thể được thể hiện ở những tài liệu pháp lý mà Khách hàng chưa</w:t>
      </w:r>
      <w:r>
        <w:rPr>
          <w:rFonts w:ascii="Times New Roman" w:hAnsi="Times New Roman" w:eastAsia="Times New Roman" w:cs="Times New Roman"/>
          <w:color w:val="000000" w:themeColor="text1"/>
          <w:sz w:val="24"/>
        </w:rPr>
        <w:t xml:space="preserve"> cung cấp. Công ty Cổ phần Thẩm định và Đầu tư Tài chính Hoa Sen giả định rằng tất cả các tài liệu pháp lý được cung cấp từ phía Khách hàng đều trung thực và hợp lý. Công ty Cổ phần Thẩm định và Đầu tư Tài chính Hoa Sen cũng khuyến cáo rằng những đối tượng</w:t>
      </w:r>
      <w:r>
        <w:rPr>
          <w:rFonts w:ascii="Times New Roman" w:hAnsi="Times New Roman" w:eastAsia="Times New Roman" w:cs="Times New Roman"/>
          <w:color w:val="000000" w:themeColor="text1"/>
          <w:sz w:val="24"/>
        </w:rPr>
        <w:t xml:space="preserve"> sử dụng bản báo cáo nên thận trọng trong việc làm rõ các tài liệu pháp lý có liên quan đến vấn đề này trước khi đưa ra các quyết định về tài sản định giá.</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46"/>
        </w:numPr>
        <w:pBdr>
          <w:top w:val="none" w:color="000000" w:sz="4" w:space="0"/>
          <w:left w:val="none" w:color="000000" w:sz="4" w:space="0"/>
          <w:bottom w:val="none" w:color="000000" w:sz="4" w:space="0"/>
          <w:right w:val="none" w:color="000000" w:sz="4" w:space="0"/>
        </w:pBdr>
        <w:spacing w:after="120" w:before="120" w:line="276" w:lineRule="auto"/>
        <w:ind w:right="0" w:hanging="360"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Khách hàng yêu cầu thẩm định giá và người hướng dẫn tổ thẩm định thực hiện thẩm định hiện trạng tài sản phải chịu hoàn toàn trách nhiệm về thông tin liên quan đến đặc điểm kinh tế - kỹ thuật, tính năng và tính pháp lý của tài sản thẩm định giá đã cung cấp </w:t>
      </w:r>
      <w:r>
        <w:rPr>
          <w:rFonts w:ascii="Times New Roman" w:hAnsi="Times New Roman" w:eastAsia="Times New Roman" w:cs="Times New Roman"/>
          <w:color w:val="000000" w:themeColor="text1"/>
          <w:sz w:val="24"/>
        </w:rPr>
        <w:t xml:space="preserve">cho Công ty Cổ phần Thẩm định và Đầu tư Tài chính Hoa Sen tại thời điểm và địa điểm thẩm định giá.</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46"/>
        </w:numPr>
        <w:pBdr>
          <w:top w:val="none" w:color="000000" w:sz="4" w:space="0"/>
          <w:left w:val="none" w:color="000000" w:sz="4" w:space="0"/>
          <w:bottom w:val="none" w:color="000000" w:sz="4" w:space="0"/>
          <w:right w:val="none" w:color="000000" w:sz="4" w:space="0"/>
        </w:pBdr>
        <w:spacing w:after="120" w:before="120" w:line="276" w:lineRule="auto"/>
        <w:ind w:right="0" w:hanging="360"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w:t>
      </w:r>
      <w:r>
        <w:rPr>
          <w:rFonts w:ascii="Times New Roman" w:hAnsi="Times New Roman" w:eastAsia="Times New Roman" w:cs="Times New Roman"/>
          <w:color w:val="000000" w:themeColor="text1"/>
          <w:sz w:val="24"/>
        </w:rPr>
        <w:t xml:space="preserve">Giá trị ước tính này không nhất thiết phải trùng khớp với giá trị dùng để giao dịch.</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46"/>
        </w:numPr>
        <w:pBdr>
          <w:top w:val="none" w:color="000000" w:sz="4" w:space="0"/>
          <w:left w:val="none" w:color="000000" w:sz="4" w:space="0"/>
          <w:bottom w:val="none" w:color="000000" w:sz="4" w:space="0"/>
          <w:right w:val="none" w:color="000000" w:sz="4" w:space="0"/>
        </w:pBdr>
        <w:spacing w:after="120" w:before="120" w:line="276" w:lineRule="auto"/>
        <w:ind w:right="0" w:hanging="360"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w:t>
      </w:r>
      <w:r>
        <w:rPr>
          <w:rFonts w:ascii="Times New Roman" w:hAnsi="Times New Roman" w:eastAsia="Times New Roman" w:cs="Times New Roman"/>
          <w:color w:val="000000" w:themeColor="text1"/>
          <w:sz w:val="24"/>
        </w:rPr>
        <w:t xml:space="preserve">ch, số ô, số thửa, tờ bản đồ theo Giấy chứng nhận quyền sử dụng đất đã cung cấp cho chúng tôi.</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46"/>
        </w:numPr>
        <w:pBdr>
          <w:top w:val="none" w:color="000000" w:sz="4" w:space="0"/>
          <w:left w:val="none" w:color="000000" w:sz="4" w:space="0"/>
          <w:bottom w:val="none" w:color="000000" w:sz="4" w:space="0"/>
          <w:right w:val="none" w:color="000000" w:sz="4" w:space="0"/>
        </w:pBdr>
        <w:spacing w:after="120" w:before="120" w:line="276" w:lineRule="auto"/>
        <w:ind w:right="0" w:hanging="360"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themeColor="text1"/>
          <w:sz w:val="24"/>
        </w:rPr>
        <w:t xml:space="preserve"> trừ mọi trách nhiệm phát sinh, liên đới (nếu có) trong trường hợp này.</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46"/>
        </w:numPr>
        <w:pBdr>
          <w:top w:val="none" w:color="000000" w:sz="4" w:space="0"/>
          <w:left w:val="none" w:color="000000" w:sz="4" w:space="0"/>
          <w:bottom w:val="none" w:color="000000" w:sz="4" w:space="0"/>
          <w:right w:val="none" w:color="000000" w:sz="4" w:space="0"/>
        </w:pBdr>
        <w:spacing w:after="120" w:before="120" w:line="276" w:lineRule="auto"/>
        <w:ind w:right="0" w:hanging="360"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Tại thời điểm khảo sát, trên thửa đất số 2</w:t>
      </w:r>
      <w:r>
        <w:rPr>
          <w:rFonts w:ascii="Times New Roman" w:hAnsi="Times New Roman" w:eastAsia="Times New Roman" w:cs="Times New Roman"/>
          <w:color w:val="000000" w:themeColor="text1"/>
          <w:sz w:val="20"/>
          <w:vertAlign w:val="superscript"/>
        </w:rPr>
        <w:t xml:space="preserve">b</w:t>
      </w:r>
      <w:r>
        <w:rPr>
          <w:rFonts w:ascii="Times New Roman" w:hAnsi="Times New Roman" w:eastAsia="Times New Roman" w:cs="Times New Roman"/>
          <w:color w:val="000000" w:themeColor="text1"/>
          <w:sz w:val="24"/>
        </w:rPr>
        <w:t xml:space="preserve"> có 01 Nhà 3 tầng, kết cấu tường gạch, khung, sàn bê tông cốt thép, mái đổ bê tông và lợp tôn. Hiện đang sử dụng bình thường. Ngoại quan đã cũ; Thửa đất số 4a có 01 Nhà 5 tầng + 1 tum + 1 hầm, kết cấu tường gạch, khung, sàn bê tông cốt thép, mái đổ bê tông</w:t>
      </w:r>
      <w:r>
        <w:rPr>
          <w:rFonts w:ascii="Times New Roman" w:hAnsi="Times New Roman" w:eastAsia="Times New Roman" w:cs="Times New Roman"/>
          <w:color w:val="000000" w:themeColor="text1"/>
          <w:sz w:val="24"/>
        </w:rPr>
        <w:t xml:space="preserve">. Hiện đang sử dụng bình thường. Ngoại quan khá, xây hết đất năm 2022; Thửa đất số 162a có 01 Nhà 1 tầng, kết cấu tường, khung cột gỗ, sàn bê tông cốt thép, mái ngói. Hiện đang sử dụng bình thường. Ngoại quan mới. Các công trình xây dựng chưa được chứng nh</w:t>
      </w:r>
      <w:r>
        <w:rPr>
          <w:rFonts w:ascii="Times New Roman" w:hAnsi="Times New Roman" w:eastAsia="Times New Roman" w:cs="Times New Roman"/>
          <w:color w:val="000000" w:themeColor="text1"/>
          <w:sz w:val="24"/>
        </w:rPr>
        <w:t xml:space="preserve">ận trên Giấy chứng nhận quyền sử dụng đất. </w:t>
      </w:r>
      <w:r>
        <w:rPr>
          <w:rFonts w:ascii="Times New Roman" w:hAnsi="Times New Roman" w:eastAsia="Times New Roman" w:cs="Times New Roman"/>
          <w:color w:val="000000" w:themeColor="text1"/>
          <w:spacing w:val="4"/>
          <w:sz w:val="24"/>
        </w:rPr>
        <w:t xml:space="preserve">T</w:t>
      </w:r>
      <w:r>
        <w:rPr>
          <w:rFonts w:ascii="Times New Roman" w:hAnsi="Times New Roman" w:eastAsia="Times New Roman" w:cs="Times New Roman"/>
          <w:color w:val="000000" w:themeColor="text1"/>
          <w:sz w:val="24"/>
        </w:rPr>
        <w:t xml:space="preserve">ổ thẩm định cũng không nhận được bất kỳ hồ sơ pháp lý nào liên quan tới công trình xây dựng trên. Do vậy, theo đề nghị của Ngân hàng/Khách hàng, tổ thẩm định không xác định giá trị của công trình xây dựng vào tổng giá trị nhưng vẫn coi đó là phần không thể</w:t>
      </w:r>
      <w:r>
        <w:rPr>
          <w:rFonts w:ascii="Times New Roman" w:hAnsi="Times New Roman" w:eastAsia="Times New Roman" w:cs="Times New Roman"/>
          <w:color w:val="000000" w:themeColor="text1"/>
          <w:sz w:val="24"/>
        </w:rPr>
        <w:t xml:space="preserve"> tách rời của tài sản thẩm định. Kính đề nghị đơn vị sử dụng kết quả lưu ý.</w:t>
      </w:r>
      <w:r>
        <w:rPr>
          <w:rFonts w:ascii="Times New Roman" w:hAnsi="Times New Roman" w:eastAsia="Times New Roman" w:cs="Times New Roman"/>
          <w:color w:val="000000" w:themeColor="text1"/>
          <w:spacing w:val="-4"/>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46"/>
        </w:numPr>
        <w:pBdr>
          <w:top w:val="none" w:color="000000" w:sz="4" w:space="0"/>
          <w:left w:val="none" w:color="000000" w:sz="4" w:space="0"/>
          <w:bottom w:val="none" w:color="000000" w:sz="4" w:space="0"/>
          <w:right w:val="none" w:color="000000" w:sz="4" w:space="0"/>
        </w:pBdr>
        <w:spacing w:after="120" w:before="120" w:line="276" w:lineRule="auto"/>
        <w:ind w:right="0" w:hanging="360"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pacing w:val="-4"/>
          <w:sz w:val="24"/>
        </w:rPr>
        <w:t xml:space="preserve">Thông qua nguồn tin kiểm tra quy hoạch từ website Meeymap.com, tổ thẩm định nhận thấy thửa đất số 2</w:t>
      </w:r>
      <w:r>
        <w:rPr>
          <w:rFonts w:ascii="Times New Roman" w:hAnsi="Times New Roman" w:eastAsia="Times New Roman" w:cs="Times New Roman"/>
          <w:color w:val="000000" w:themeColor="text1"/>
          <w:spacing w:val="-4"/>
          <w:sz w:val="20"/>
          <w:vertAlign w:val="superscript"/>
        </w:rPr>
        <w:t xml:space="preserve">b</w:t>
      </w:r>
      <w:r>
        <w:rPr>
          <w:rFonts w:ascii="Times New Roman" w:hAnsi="Times New Roman" w:eastAsia="Times New Roman" w:cs="Times New Roman"/>
          <w:color w:val="000000" w:themeColor="text1"/>
          <w:spacing w:val="-4"/>
          <w:sz w:val="24"/>
        </w:rPr>
        <w:t xml:space="preserve"> có 168,25 m</w:t>
      </w:r>
      <w:r>
        <w:rPr>
          <w:rFonts w:ascii="Times New Roman" w:hAnsi="Times New Roman" w:eastAsia="Times New Roman" w:cs="Times New Roman"/>
          <w:color w:val="000000" w:themeColor="text1"/>
          <w:spacing w:val="-4"/>
          <w:sz w:val="20"/>
          <w:vertAlign w:val="superscript"/>
        </w:rPr>
        <w:t xml:space="preserve">2</w:t>
      </w:r>
      <w:r>
        <w:rPr>
          <w:rFonts w:ascii="Times New Roman" w:hAnsi="Times New Roman" w:eastAsia="Times New Roman" w:cs="Times New Roman"/>
          <w:color w:val="000000" w:themeColor="text1"/>
          <w:spacing w:val="-4"/>
          <w:sz w:val="24"/>
        </w:rPr>
        <w:t xml:space="preserve"> thuộc quy hoạch đất ở, thửa đất số 4a có khoảng 146,48m</w:t>
      </w:r>
      <w:r>
        <w:rPr>
          <w:rFonts w:ascii="Times New Roman" w:hAnsi="Times New Roman" w:eastAsia="Times New Roman" w:cs="Times New Roman"/>
          <w:color w:val="000000" w:themeColor="text1"/>
          <w:spacing w:val="-4"/>
          <w:sz w:val="20"/>
          <w:vertAlign w:val="superscript"/>
        </w:rPr>
        <w:t xml:space="preserve">2</w:t>
      </w:r>
      <w:r>
        <w:rPr>
          <w:rFonts w:ascii="Times New Roman" w:hAnsi="Times New Roman" w:eastAsia="Times New Roman" w:cs="Times New Roman"/>
          <w:color w:val="000000" w:themeColor="text1"/>
          <w:spacing w:val="-4"/>
          <w:sz w:val="24"/>
        </w:rPr>
        <w:t xml:space="preserve"> thuộc quy hoạch đất ở, phần diện tích còn lại thuộc quy hoạch hành lang giao thông, tỷ lệ 1/2000 theo đồ án </w:t>
      </w:r>
      <w:hyperlink r:id="rId25" w:tooltip="https://beta.meeymap.com/tra-cuu-quy-hoach/ql23?search=eyJsYXQiOjIxLjE3NTA0NjI5NzUxNzQ0LCJsbmciOjEwNS43MzE1NDk0ODcxOTYwNSwidGFiIjowLCJzYXRlbGxpdGVWaXNpYmxlIjp0cnVlLCJpbWFnZSI6Ii9pbWFnZXMvc2VvLWRlZmF1bHQtMi5wbmcifQ" w:history="1">
        <w:r>
          <w:rPr>
            <w:rStyle w:val="1045"/>
            <w:rFonts w:ascii="Times New Roman" w:hAnsi="Times New Roman" w:eastAsia="Times New Roman" w:cs="Times New Roman"/>
            <w:color w:val="000000" w:themeColor="text1"/>
            <w:spacing w:val="-4"/>
            <w:sz w:val="22"/>
            <w:u w:val="none"/>
          </w:rPr>
          <w:t xml:space="preserve">Quy hoạch phân khu N1</w:t>
        </w:r>
      </w:hyperlink>
      <w:r>
        <w:rPr>
          <w:rFonts w:ascii="Times New Roman" w:hAnsi="Times New Roman" w:eastAsia="Times New Roman" w:cs="Times New Roman"/>
          <w:color w:val="000000" w:themeColor="text1"/>
          <w:spacing w:val="-4"/>
          <w:sz w:val="24"/>
        </w:rPr>
        <w:t xml:space="preserve">, quyết định </w:t>
      </w:r>
      <w:hyperlink r:id="rId26" w:tooltip="https://beta.meeymap.com/tra-cuu-quy-hoach/ql23?search=eyJsYXQiOjIxLjE3NTA0NjI5NzUxNzQ0LCJsbmciOjEwNS43MzE1NDk0ODcxOTYwNSwidGFiIjowLCJzYXRlbGxpdGVWaXNpYmxlIjp0cnVlLCJpbWFnZSI6Ii9pbWFnZXMvc2VvLWRlZmF1bHQtMi5wbmcifQ" w:history="1">
        <w:r>
          <w:rPr>
            <w:rStyle w:val="1045"/>
            <w:rFonts w:ascii="Times New Roman" w:hAnsi="Times New Roman" w:eastAsia="Times New Roman" w:cs="Times New Roman"/>
            <w:color w:val="000000" w:themeColor="text1"/>
            <w:spacing w:val="-4"/>
            <w:sz w:val="22"/>
            <w:u w:val="none"/>
          </w:rPr>
          <w:t xml:space="preserve">Quyết định số 1911/QĐ-UBND</w:t>
        </w:r>
      </w:hyperlink>
      <w:r>
        <w:rPr>
          <w:rFonts w:ascii="Times New Roman" w:hAnsi="Times New Roman" w:eastAsia="Times New Roman" w:cs="Times New Roman"/>
          <w:color w:val="000000" w:themeColor="text1"/>
          <w:spacing w:val="-4"/>
          <w:sz w:val="24"/>
        </w:rPr>
        <w:t xml:space="preserve">, </w:t>
      </w:r>
      <w:r>
        <w:rPr>
          <w:rFonts w:ascii="Times New Roman" w:hAnsi="Times New Roman" w:eastAsia="Times New Roman" w:cs="Times New Roman"/>
          <w:color w:val="000000" w:themeColor="text1"/>
          <w:sz w:val="24"/>
        </w:rPr>
        <w:t xml:space="preserve">hiện nay chưa có thông báo thu hồi đất/quyết định thu hồi đất/phương án giải tỏa bồi thường. Theo đề nghị của Khách hàng, tổ thẩm định xác định giá trị tài sản theo thông tin quy hoạch nêu trên. Đối với diện tích nằm ngoài quy hoạch tổ thẩm định đánh giá t</w:t>
      </w:r>
      <w:r>
        <w:rPr>
          <w:rFonts w:ascii="Times New Roman" w:hAnsi="Times New Roman" w:eastAsia="Times New Roman" w:cs="Times New Roman"/>
          <w:color w:val="000000" w:themeColor="text1"/>
          <w:sz w:val="24"/>
        </w:rPr>
        <w:t xml:space="preserve">heo giá trị thị trường, đối với phần nằm trong quy hoạch tổ thẩm định đánh giá theo giá khung UBND từng thời kỳ, giá trị đền bù thực tế còn phụ thuộc vào thỏa thuận các bên tại thời điểm Nhà nước giải phóng mặt bằng thực hiện quy hoạch. Đề nghị đơn vị sử d</w:t>
      </w:r>
      <w:r>
        <w:rPr>
          <w:rFonts w:ascii="Times New Roman" w:hAnsi="Times New Roman" w:eastAsia="Times New Roman" w:cs="Times New Roman"/>
          <w:color w:val="000000" w:themeColor="text1"/>
          <w:sz w:val="24"/>
        </w:rPr>
        <w:t xml:space="preserve">ụng kết quả lưu ý kiểm tra xác minh thêm thông tin quy hoạch nếu thấy cần thiết. Trong trường hợp Khách hàng/Ngân hàng cung cấp được Văn bản xác nhận rõ phần diện tích thuộc quy hoạch mà có sự sai khác so với số liệu nêu trên thì kết quả thẩm định giá cần </w:t>
      </w:r>
      <w:r>
        <w:rPr>
          <w:rFonts w:ascii="Times New Roman" w:hAnsi="Times New Roman" w:eastAsia="Times New Roman" w:cs="Times New Roman"/>
          <w:color w:val="000000" w:themeColor="text1"/>
          <w:sz w:val="24"/>
        </w:rPr>
        <w:t xml:space="preserve">được xem xét, điều chỉnh phù hợp, chúng tôi bảo lưu quyền xem xét lại kết quả thẩm định giá</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46"/>
        </w:numPr>
        <w:pBdr>
          <w:top w:val="none" w:color="000000" w:sz="4" w:space="0"/>
          <w:left w:val="none" w:color="000000" w:sz="4" w:space="0"/>
          <w:bottom w:val="none" w:color="000000" w:sz="4" w:space="0"/>
          <w:right w:val="none" w:color="000000" w:sz="4" w:space="0"/>
        </w:pBdr>
        <w:spacing w:after="120" w:before="120" w:line="276" w:lineRule="auto"/>
        <w:ind w:right="0" w:hanging="360"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Theo GCN số G 443584 và trích lục khách hàng cung cấp, sơ đồ thửa đất chưa thể hiện kích thước các cạnh của thửa đất. Kết quả thẩm định được Tổ thẩm định đưa ra trên cơ sở đo đạc kích thước thửa đất thực tế dưới sự hướng dẫn của Khách hàng với giả định kíc</w:t>
      </w:r>
      <w:r>
        <w:rPr>
          <w:rFonts w:ascii="Times New Roman" w:hAnsi="Times New Roman" w:eastAsia="Times New Roman" w:cs="Times New Roman"/>
          <w:color w:val="000000" w:themeColor="text1"/>
          <w:sz w:val="24"/>
        </w:rPr>
        <w:t xml:space="preserve">h thước thửa đất trên thực tế hoàn toàn trùng khớp với hồ sơ pháp lý. Kết quả thẩm định giá chỉ có giá trị giới hạn trong trường hợp giả định nêu trên là đúng. Đề nghị Đơn vị sử dụng kết quả lưu ý.</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46"/>
        </w:numPr>
        <w:pBdr>
          <w:top w:val="none" w:color="000000" w:sz="4" w:space="0"/>
          <w:left w:val="none" w:color="000000" w:sz="4" w:space="0"/>
          <w:bottom w:val="none" w:color="000000" w:sz="4" w:space="0"/>
          <w:right w:val="none" w:color="000000" w:sz="4" w:space="0"/>
        </w:pBdr>
        <w:spacing w:after="120" w:before="120" w:line="276" w:lineRule="auto"/>
        <w:ind w:right="0" w:hanging="360"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Mục đích sử dụng đất của thửa đất 162</w:t>
      </w:r>
      <w:r>
        <w:rPr>
          <w:rFonts w:ascii="Times New Roman" w:hAnsi="Times New Roman" w:eastAsia="Times New Roman" w:cs="Times New Roman"/>
          <w:color w:val="000000" w:themeColor="text1"/>
          <w:sz w:val="20"/>
          <w:vertAlign w:val="superscript"/>
        </w:rPr>
        <w:t xml:space="preserve">a</w:t>
      </w:r>
      <w:r>
        <w:rPr>
          <w:rFonts w:ascii="Times New Roman" w:hAnsi="Times New Roman" w:eastAsia="Times New Roman" w:cs="Times New Roman"/>
          <w:color w:val="000000" w:themeColor="text1"/>
          <w:sz w:val="24"/>
        </w:rPr>
        <w:t xml:space="preserve"> được công nhận tại trang 2 GCN là đất ao và thổ cư. Tuy nhiên theo tờ trích lục bản đồ mà khách hàng cung cấp và kết quả khảo sát thực tế, mục đích sử dụng của thửa đất là đất ở. Do đó, tổ thẩm định đánh giá giá trị thửa đất 162ª theo tờ trích lục bản đồ.</w:t>
      </w:r>
      <w:r>
        <w:rPr>
          <w:rFonts w:ascii="Times New Roman" w:hAnsi="Times New Roman" w:eastAsia="Times New Roman" w:cs="Times New Roman"/>
          <w:color w:val="000000" w:themeColor="text1"/>
          <w:sz w:val="24"/>
        </w:rPr>
        <w:t xml:space="preserve"> Đề nghị Đơn vị sử dụng kết quả lưu ý.</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46"/>
        </w:numPr>
        <w:pBdr>
          <w:top w:val="none" w:color="000000" w:sz="4" w:space="0"/>
          <w:left w:val="none" w:color="000000" w:sz="4" w:space="0"/>
          <w:bottom w:val="none" w:color="000000" w:sz="4" w:space="0"/>
          <w:right w:val="none" w:color="000000" w:sz="4" w:space="0"/>
        </w:pBdr>
        <w:spacing w:after="120" w:before="120" w:line="276" w:lineRule="auto"/>
        <w:ind w:right="0" w:hanging="360"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Tổ thẩm định giá sử dụng Phương pháp so sánh để xác định giá trị tài sản thẩm định giá trong đó việc thu thập thông tin TSSS đã giao dịch thành công còn gặp nhiều hạn chế, vì vậy tổ thẩm định giá sử dụng các TSSS là các tài sản đang được giao bán trên thị </w:t>
      </w:r>
      <w:r>
        <w:rPr>
          <w:rFonts w:ascii="Times New Roman" w:hAnsi="Times New Roman" w:eastAsia="Times New Roman" w:cs="Times New Roman"/>
          <w:color w:val="000000" w:themeColor="text1"/>
          <w:sz w:val="24"/>
        </w:rPr>
        <w:t xml:space="preserve">trường. Kết quả thẩm định giá có thể thay đổi khi các TSSS được giao dịch thành công. Khách hàng và các bên thứ ba khi sử dụng kết quả thẩm định giá cần lưu ý khi sử dụng Chứng thư thẩm định giá.</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46"/>
        </w:numPr>
        <w:pBdr>
          <w:top w:val="none" w:color="000000" w:sz="4" w:space="0"/>
          <w:left w:val="none" w:color="000000" w:sz="4" w:space="0"/>
          <w:bottom w:val="none" w:color="000000" w:sz="4" w:space="0"/>
          <w:right w:val="none" w:color="000000" w:sz="4" w:space="0"/>
        </w:pBdr>
        <w:spacing w:after="120" w:before="120" w:line="276" w:lineRule="auto"/>
        <w:ind w:right="0" w:hanging="360"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w:t>
      </w:r>
      <w:r>
        <w:rPr>
          <w:rFonts w:ascii="Times New Roman" w:hAnsi="Times New Roman" w:eastAsia="Times New Roman" w:cs="Times New Roman"/>
          <w:color w:val="000000" w:themeColor="text1"/>
          <w:sz w:val="24"/>
        </w:rPr>
        <w:t xml:space="preserve">định giá.</w:t>
      </w:r>
      <w:r>
        <w:rPr>
          <w:rFonts w:ascii="Times New Roman" w:hAnsi="Times New Roman" w:cs="Times New Roman"/>
          <w:color w:val="000000" w:themeColor="text1"/>
        </w:rPr>
      </w:r>
      <w:r>
        <w:rPr>
          <w:rFonts w:ascii="Times New Roman" w:hAnsi="Times New Roman" w:cs="Times New Roman"/>
          <w:color w:val="000000" w:themeColor="text1"/>
        </w:rPr>
      </w:r>
    </w:p>
    <w:p>
      <w:pPr>
        <w:pStyle w:val="1055"/>
        <w:numPr>
          <w:ilvl w:val="0"/>
          <w:numId w:val="46"/>
        </w:numPr>
        <w:pBdr>
          <w:top w:val="none" w:color="000000" w:sz="4" w:space="0"/>
          <w:left w:val="none" w:color="000000" w:sz="4" w:space="0"/>
          <w:bottom w:val="none" w:color="000000" w:sz="4" w:space="0"/>
          <w:right w:val="none" w:color="000000" w:sz="4" w:space="0"/>
        </w:pBdr>
        <w:spacing w:after="120" w:before="120" w:line="276" w:lineRule="auto"/>
        <w:ind w:right="0" w:hanging="360" w:left="425"/>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w:t>
      </w:r>
      <w:r>
        <w:rPr>
          <w:rFonts w:ascii="Times New Roman" w:hAnsi="Times New Roman" w:eastAsia="Times New Roman" w:cs="Times New Roman"/>
          <w:color w:val="000000" w:themeColor="text1"/>
          <w:sz w:val="24"/>
        </w:rPr>
        <w:t xml:space="preserve">kết quả…. và chấp nhận sử dụng tất cả nội dung được trình bày trong chứng thư này.</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X. CÁC PHỤ LỤC KÈM THEO </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Phụ lục 1: Hình ảnh hiện trạng của tài sản.</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Phụ lục 2: Thông tin thu thập thị trường.</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Báo cáo kết quả thẩm định giá được phát hành 03 (ba) bản chính bằng tiếng Việt kèm theo Chứng thư thẩm định giá số 275/2026/0281/VFI-CT.27.A ngày 05/02/2026 tại Công ty Cổ phần Thẩm định và Đầu tư Tài chính Hoa Sen.</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5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069"/>
        <w:gridCol w:w="4961"/>
      </w:tblGrid>
      <w:tr>
        <w:trPr>
          <w:trHeight w:val="1087"/>
        </w:trPr>
        <w:tc>
          <w:tcPr>
            <w:tcBorders/>
            <w:tcMar>
              <w:left w:w="108" w:type="dxa"/>
              <w:top w:w="0" w:type="dxa"/>
              <w:right w:w="108" w:type="dxa"/>
              <w:bottom w:w="0" w:type="dxa"/>
            </w:tcMar>
            <w:tcW w:w="50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pacing w:val="3"/>
                <w:sz w:val="24"/>
              </w:rPr>
              <w:t xml:space="preserve">THẨM ĐỊNH VIÊN VỀ GIÁ</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96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pacing w:val="3"/>
                <w:sz w:val="24"/>
              </w:rPr>
              <w:t xml:space="preserve">CÔNG TY CỔ PHẦN THẨM ĐỊNH VÀ ĐẦU TƯ TÀI CHÍNH HOA SEN</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Chủ tịch HĐQT</w:t>
            </w:r>
            <w:r>
              <w:rPr>
                <w:rFonts w:ascii="Times New Roman" w:hAnsi="Times New Roman" w:eastAsia="Times New Roman" w:cs="Times New Roman"/>
                <w:color w:val="000000" w:themeColor="text1"/>
                <w:sz w:val="24"/>
              </w:rPr>
              <w:t xml:space="preserve"> </w:t>
            </w:r>
            <w:r>
              <w:rPr>
                <w:rFonts w:ascii="Times New Roman" w:hAnsi="Times New Roman" w:eastAsia="Times New Roman" w:cs="Times New Roman"/>
                <w:b/>
                <w:color w:val="000000" w:themeColor="text1"/>
                <w:sz w:val="24"/>
              </w:rPr>
              <w:t xml:space="preserve">kiêm Tổng Giám đốc</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508"/>
        </w:trPr>
        <w:tc>
          <w:tcPr>
            <w:tcBorders/>
            <w:tcMar>
              <w:left w:w="108" w:type="dxa"/>
              <w:top w:w="0" w:type="dxa"/>
              <w:right w:w="108" w:type="dxa"/>
              <w:bottom w:w="0" w:type="dxa"/>
            </w:tcMar>
            <w:tcW w:w="5069"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pacing w:val="3"/>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pacing w:val="3"/>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pacing w:val="3"/>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pacing w:val="3"/>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961"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12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pacing w:val="3"/>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pacing w:val="3"/>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pacing w:val="3"/>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pacing w:val="3"/>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pacing w:val="3"/>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3"/>
        </w:trPr>
        <w:tc>
          <w:tcPr>
            <w:tcBorders/>
            <w:tcMar>
              <w:left w:w="108" w:type="dxa"/>
              <w:top w:w="0" w:type="dxa"/>
              <w:right w:w="108" w:type="dxa"/>
              <w:bottom w:w="0" w:type="dxa"/>
            </w:tcMar>
            <w:tcW w:w="5069"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Nguyễn Thị Thùy</w:t>
            </w:r>
            <w:r>
              <w:rPr>
                <w:rFonts w:ascii="Times New Roman" w:hAnsi="Times New Roman" w:eastAsia="Times New Roman" w:cs="Times New Roman"/>
                <w:color w:val="000000" w:themeColor="text1"/>
                <w:sz w:val="24"/>
              </w:rPr>
              <w:t xml:space="preserve"> </w:t>
            </w:r>
            <w:r>
              <w:rPr>
                <w:rFonts w:ascii="Times New Roman" w:hAnsi="Times New Roman" w:eastAsia="Times New Roman" w:cs="Times New Roman"/>
                <w:b/>
                <w:color w:val="000000" w:themeColor="text1"/>
                <w:sz w:val="24"/>
              </w:rPr>
              <w:t xml:space="preserve">Dương</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pacing w:val="3"/>
                <w:sz w:val="24"/>
                <w:highlight w:val="white"/>
              </w:rPr>
              <w:t xml:space="preserve">Số thẻ thẩm định viên về giá: </w:t>
            </w:r>
            <w:r>
              <w:rPr>
                <w:rFonts w:ascii="Times New Roman" w:hAnsi="Times New Roman" w:eastAsia="Times New Roman" w:cs="Times New Roman"/>
                <w:color w:val="000000" w:themeColor="text1"/>
                <w:sz w:val="24"/>
              </w:rPr>
              <w:t xml:space="preserve">XVI25TS.2576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961"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Vũ Văn Quân</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pacing w:val="3"/>
                <w:sz w:val="24"/>
              </w:rPr>
              <w:t xml:space="preserve">Số thẻ thẩm định viên về giá: </w:t>
            </w:r>
            <w:r>
              <w:rPr>
                <w:rFonts w:ascii="Times New Roman" w:hAnsi="Times New Roman" w:eastAsia="Times New Roman" w:cs="Times New Roman"/>
                <w:color w:val="000000" w:themeColor="text1"/>
                <w:sz w:val="24"/>
              </w:rPr>
              <w:t xml:space="preserve"> XII17.1825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3"/>
        </w:trPr>
        <w:tc>
          <w:tcPr>
            <w:tcBorders/>
            <w:tcMar>
              <w:left w:w="108" w:type="dxa"/>
              <w:top w:w="0" w:type="dxa"/>
              <w:right w:w="108" w:type="dxa"/>
              <w:bottom w:w="0" w:type="dxa"/>
            </w:tcMar>
            <w:tcW w:w="50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TRỢ LÝ THẨM ĐỊNH VIÊN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961"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pacing w:val="3"/>
                <w:sz w:val="24"/>
              </w:rPr>
              <w:t xml:space="preserve">Kiểm soát viên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3"/>
        </w:trPr>
        <w:tc>
          <w:tcPr>
            <w:tcBorders/>
            <w:tcMar>
              <w:left w:w="108" w:type="dxa"/>
              <w:top w:w="0" w:type="dxa"/>
              <w:right w:w="108" w:type="dxa"/>
              <w:bottom w:w="0" w:type="dxa"/>
            </w:tcMar>
            <w:tcW w:w="50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pacing w:val="3"/>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961"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pacing w:val="3"/>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3"/>
        </w:trPr>
        <w:tc>
          <w:tcPr>
            <w:tcBorders/>
            <w:tcMar>
              <w:left w:w="108" w:type="dxa"/>
              <w:top w:w="0" w:type="dxa"/>
              <w:right w:w="108" w:type="dxa"/>
              <w:bottom w:w="0" w:type="dxa"/>
            </w:tcMar>
            <w:tcW w:w="50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Nguyễn Thị Thùy Dung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961"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sz w:val="24"/>
              </w:rPr>
              <w:t xml:space="preserve">Nguyễn Thị Thùy</w:t>
            </w:r>
            <w:r>
              <w:rPr>
                <w:rFonts w:ascii="Times New Roman" w:hAnsi="Times New Roman" w:cs="Times New Roman"/>
                <w:b/>
                <w:bCs/>
                <w:color w:val="000000" w:themeColor="text1"/>
              </w:rPr>
            </w:r>
            <w:r>
              <w:rPr>
                <w:rFonts w:ascii="Times New Roman" w:hAnsi="Times New Roman" w:cs="Times New Roman"/>
                <w:b/>
                <w:bCs/>
                <w:color w:val="000000" w:themeColor="text1"/>
              </w:rPr>
            </w:r>
          </w:p>
        </w:tc>
      </w:tr>
    </w:tbl>
    <w:p>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rPr>
        <w:br w:type="page" w:clear="all"/>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GIẤY CHỨNG NHẬN QSDĐ</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6048375" cy="80645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34964" name=""/>
                        <pic:cNvPicPr>
                          <a:picLocks noChangeAspect="1"/>
                        </pic:cNvPicPr>
                        <pic:nvPr/>
                      </pic:nvPicPr>
                      <pic:blipFill rotWithShape="1">
                        <a:blip r:embed="rId27"/>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476.25pt;height:635.00pt;mso-wrap-distance-left:0.00pt;mso-wrap-distance-top:0.00pt;mso-wrap-distance-right:0.00pt;mso-wrap-distance-bottom:0.00pt;z-index:1;" stroked="false">
                <v:imagedata r:id="rId27"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6048375" cy="8073921"/>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82201" name=""/>
                        <pic:cNvPicPr>
                          <a:picLocks noChangeAspect="1"/>
                        </pic:cNvPicPr>
                        <pic:nvPr/>
                      </pic:nvPicPr>
                      <pic:blipFill rotWithShape="1">
                        <a:blip r:embed="rId28"/>
                        <a:stretch/>
                      </pic:blipFill>
                      <pic:spPr bwMode="auto">
                        <a:xfrm>
                          <a:off x="0" y="0"/>
                          <a:ext cx="6048374" cy="807391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476.25pt;height:635.74pt;mso-wrap-distance-left:0.00pt;mso-wrap-distance-top:0.00pt;mso-wrap-distance-right:0.00pt;mso-wrap-distance-bottom:0.00pt;z-index:1;" stroked="false">
                <v:imagedata r:id="rId28"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6048375" cy="8073921"/>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40551" name=""/>
                        <pic:cNvPicPr>
                          <a:picLocks noChangeAspect="1"/>
                        </pic:cNvPicPr>
                        <pic:nvPr/>
                      </pic:nvPicPr>
                      <pic:blipFill rotWithShape="1">
                        <a:blip r:embed="rId29"/>
                        <a:stretch/>
                      </pic:blipFill>
                      <pic:spPr bwMode="auto">
                        <a:xfrm>
                          <a:off x="0" y="0"/>
                          <a:ext cx="6048374" cy="807391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76.25pt;height:635.74pt;mso-wrap-distance-left:0.00pt;mso-wrap-distance-top:0.00pt;mso-wrap-distance-right:0.00pt;mso-wrap-distance-bottom:0.00pt;z-index:1;" stroked="false">
                <v:imagedata r:id="rId29"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6048375" cy="8073921"/>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197840" name=""/>
                        <pic:cNvPicPr>
                          <a:picLocks noChangeAspect="1"/>
                        </pic:cNvPicPr>
                        <pic:nvPr/>
                      </pic:nvPicPr>
                      <pic:blipFill rotWithShape="1">
                        <a:blip r:embed="rId30"/>
                        <a:stretch/>
                      </pic:blipFill>
                      <pic:spPr bwMode="auto">
                        <a:xfrm>
                          <a:off x="0" y="0"/>
                          <a:ext cx="6048374" cy="807391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76.25pt;height:635.74pt;mso-wrap-distance-left:0.00pt;mso-wrap-distance-top:0.00pt;mso-wrap-distance-right:0.00pt;mso-wrap-distance-bottom:0.00pt;z-index:1;" stroked="false">
                <v:imagedata r:id="rId30"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6048375" cy="8073921"/>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658917" name=""/>
                        <pic:cNvPicPr>
                          <a:picLocks noChangeAspect="1"/>
                        </pic:cNvPicPr>
                        <pic:nvPr/>
                      </pic:nvPicPr>
                      <pic:blipFill rotWithShape="1">
                        <a:blip r:embed="rId31"/>
                        <a:stretch/>
                      </pic:blipFill>
                      <pic:spPr bwMode="auto">
                        <a:xfrm>
                          <a:off x="0" y="0"/>
                          <a:ext cx="6048374" cy="807391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76.25pt;height:635.74pt;mso-wrap-distance-left:0.00pt;mso-wrap-distance-top:0.00pt;mso-wrap-distance-right:0.00pt;mso-wrap-distance-bottom:0.00pt;z-index:1;" stroked="false">
                <v:imagedata r:id="rId31"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6048375" cy="8073921"/>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87396" name=""/>
                        <pic:cNvPicPr>
                          <a:picLocks noChangeAspect="1"/>
                        </pic:cNvPicPr>
                        <pic:nvPr/>
                      </pic:nvPicPr>
                      <pic:blipFill rotWithShape="1">
                        <a:blip r:embed="rId32"/>
                        <a:stretch/>
                      </pic:blipFill>
                      <pic:spPr bwMode="auto">
                        <a:xfrm>
                          <a:off x="0" y="0"/>
                          <a:ext cx="6048374" cy="807391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76.25pt;height:635.74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rPr>
        <w:br w:type="page" w:clear="all"/>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BIÊN BẢN KHẢO SÁT</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6048375" cy="8058150"/>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65375" name=""/>
                        <pic:cNvPicPr>
                          <a:picLocks noChangeAspect="1"/>
                        </pic:cNvPicPr>
                        <pic:nvPr/>
                      </pic:nvPicPr>
                      <pic:blipFill rotWithShape="1">
                        <a:blip r:embed="rId33"/>
                        <a:stretch/>
                      </pic:blipFill>
                      <pic:spPr bwMode="auto">
                        <a:xfrm>
                          <a:off x="0" y="0"/>
                          <a:ext cx="6048374" cy="80581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76.25pt;height:634.50pt;mso-wrap-distance-left:0.00pt;mso-wrap-distance-top:0.00pt;mso-wrap-distance-right:0.00pt;mso-wrap-distance-bottom:0.00pt;z-index:1;" stroked="false">
                <v:imagedata r:id="rId33"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6048375" cy="805815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074278" name=""/>
                        <pic:cNvPicPr>
                          <a:picLocks noChangeAspect="1"/>
                        </pic:cNvPicPr>
                        <pic:nvPr/>
                      </pic:nvPicPr>
                      <pic:blipFill rotWithShape="1">
                        <a:blip r:embed="rId34"/>
                        <a:stretch/>
                      </pic:blipFill>
                      <pic:spPr bwMode="auto">
                        <a:xfrm>
                          <a:off x="0" y="0"/>
                          <a:ext cx="6048374" cy="80581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76.25pt;height:634.50pt;mso-wrap-distance-left:0.00pt;mso-wrap-distance-top:0.00pt;mso-wrap-distance-right:0.00pt;mso-wrap-distance-bottom:0.00pt;z-index:1;" stroked="false">
                <v:imagedata r:id="rId34"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6048375" cy="8058150"/>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52100" name=""/>
                        <pic:cNvPicPr>
                          <a:picLocks noChangeAspect="1"/>
                        </pic:cNvPicPr>
                        <pic:nvPr/>
                      </pic:nvPicPr>
                      <pic:blipFill rotWithShape="1">
                        <a:blip r:embed="rId35"/>
                        <a:stretch/>
                      </pic:blipFill>
                      <pic:spPr bwMode="auto">
                        <a:xfrm>
                          <a:off x="0" y="0"/>
                          <a:ext cx="6048374" cy="80581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76.25pt;height:634.50pt;mso-wrap-distance-left:0.00pt;mso-wrap-distance-top:0.00pt;mso-wrap-distance-right:0.00pt;mso-wrap-distance-bottom:0.00pt;z-index:1;" stroked="false">
                <v:imagedata r:id="rId35"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rPr>
        <w:br w:type="page" w:clear="all"/>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PHỤ LỤC 1: HÌNH ẢNH HIỆN TRẠNG CỦA TÀI SẢN</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i/>
          <w:color w:val="000000" w:themeColor="text1"/>
          <w:sz w:val="24"/>
        </w:rPr>
        <w:t xml:space="preserve">(Kèm theo Báo cáo thẩm định số 275/2026/0281/VFI-BC.27.A ngày 05 tháng 02 năm 2026 của Công ty Cổ phần Thẩm định và Đầu tư Tài chính Hoa Sen)</w:t>
      </w:r>
      <w:r>
        <w:rPr>
          <w:rFonts w:ascii="Times New Roman" w:hAnsi="Times New Roman" w:cs="Times New Roman"/>
          <w:color w:val="000000" w:themeColor="text1"/>
        </w:rPr>
      </w:r>
      <w:r>
        <w:rPr>
          <w:rFonts w:ascii="Times New Roman" w:hAnsi="Times New Roman" w:cs="Times New Roman"/>
          <w:color w:val="000000" w:themeColor="text1"/>
        </w:rPr>
      </w:r>
    </w:p>
    <w:p>
      <w:pPr>
        <w:numPr>
          <w:ilvl w:val="0"/>
          <w:numId w:val="43"/>
        </w:numPr>
        <w:pBdr>
          <w:top w:val="none" w:color="000000" w:sz="4" w:space="0"/>
          <w:left w:val="none" w:color="000000" w:sz="4" w:space="0"/>
          <w:bottom w:val="none" w:color="000000" w:sz="4" w:space="0"/>
          <w:right w:val="none" w:color="000000" w:sz="4" w:space="0"/>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b/>
          <w:i/>
          <w:color w:val="000000" w:themeColor="text1"/>
          <w:sz w:val="24"/>
        </w:rPr>
        <w:t xml:space="preserve">Thửa đất số 2</w:t>
      </w:r>
      <w:r>
        <w:rPr>
          <w:rFonts w:ascii="Times New Roman" w:hAnsi="Times New Roman" w:eastAsia="Times New Roman" w:cs="Times New Roman"/>
          <w:b/>
          <w:i/>
          <w:color w:val="000000" w:themeColor="text1"/>
          <w:sz w:val="20"/>
          <w:vertAlign w:val="superscript"/>
        </w:rPr>
        <w:t xml:space="preserve">b</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5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4837"/>
        <w:gridCol w:w="4837"/>
      </w:tblGrid>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hanging="568" w:left="28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1428750" cy="3181350"/>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228612" name=""/>
                              <pic:cNvPicPr>
                                <a:picLocks noChangeAspect="1"/>
                              </pic:cNvPicPr>
                              <pic:nvPr/>
                            </pic:nvPicPr>
                            <pic:blipFill rotWithShape="1">
                              <a:blip r:embed="rId36"/>
                              <a:stretch/>
                            </pic:blipFill>
                            <pic:spPr bwMode="auto">
                              <a:xfrm>
                                <a:off x="0" y="0"/>
                                <a:ext cx="1428750" cy="31813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112.50pt;height:250.50pt;mso-wrap-distance-left:0.00pt;mso-wrap-distance-top:0.00pt;mso-wrap-distance-right:0.00pt;mso-wrap-distance-bottom:0.00pt;z-index:1;" stroked="false">
                      <v:imagedata r:id="rId36"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hanging="568" w:left="28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91695" name=""/>
                              <pic:cNvPicPr>
                                <a:picLocks noChangeAspect="1"/>
                              </pic:cNvPicPr>
                              <pic:nvPr/>
                            </pic:nvPicPr>
                            <pic:blipFill rotWithShape="1">
                              <a:blip r:embed="rId37"/>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231.75pt;height:174.00pt;mso-wrap-distance-left:0.00pt;mso-wrap-distance-top:0.00pt;mso-wrap-distance-right:0.00pt;mso-wrap-distance-bottom:0.00pt;z-index:1;" stroked="false">
                      <v:imagedata r:id="rId37"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hanging="568" w:left="284"/>
              <w:jc w:val="center"/>
              <w:rPr>
                <w:rFonts w:ascii="Times New Roman" w:hAnsi="Times New Roman" w:cs="Times New Roman"/>
                <w:color w:val="000000" w:themeColor="text1"/>
              </w:rPr>
            </w:pPr>
            <w:r>
              <w:rPr>
                <w:rFonts w:ascii="Times New Roman" w:hAnsi="Times New Roman" w:eastAsia="Times New Roman" w:cs="Times New Roman"/>
                <w:i/>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hanging="568" w:left="284"/>
              <w:jc w:val="center"/>
              <w:rPr>
                <w:rFonts w:ascii="Times New Roman" w:hAnsi="Times New Roman" w:cs="Times New Roman"/>
                <w:color w:val="000000" w:themeColor="text1"/>
              </w:rPr>
            </w:pPr>
            <w:r>
              <w:rPr>
                <w:rFonts w:ascii="Times New Roman" w:hAnsi="Times New Roman" w:eastAsia="Times New Roman" w:cs="Times New Roman"/>
                <w:i/>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hanging="568" w:left="28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12838" name=""/>
                              <pic:cNvPicPr>
                                <a:picLocks noChangeAspect="1"/>
                              </pic:cNvPicPr>
                              <pic:nvPr/>
                            </pic:nvPicPr>
                            <pic:blipFill rotWithShape="1">
                              <a:blip r:embed="rId38"/>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231.75pt;height:174.00pt;mso-wrap-distance-left:0.00pt;mso-wrap-distance-top:0.00pt;mso-wrap-distance-right:0.00pt;mso-wrap-distance-bottom:0.00pt;z-index:1;" stroked="false">
                      <v:imagedata r:id="rId38"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hanging="568" w:left="28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167215" name=""/>
                              <pic:cNvPicPr>
                                <a:picLocks noChangeAspect="1"/>
                              </pic:cNvPicPr>
                              <pic:nvPr/>
                            </pic:nvPicPr>
                            <pic:blipFill rotWithShape="1">
                              <a:blip r:embed="rId39"/>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231.75pt;height:174.00pt;mso-wrap-distance-left:0.00pt;mso-wrap-distance-top:0.00pt;mso-wrap-distance-right:0.00pt;mso-wrap-distance-bottom:0.00pt;z-index:1;" stroked="false">
                      <v:imagedata r:id="rId39"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hanging="568" w:left="28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56243" name=""/>
                              <pic:cNvPicPr>
                                <a:picLocks noChangeAspect="1"/>
                              </pic:cNvPicPr>
                              <pic:nvPr/>
                            </pic:nvPicPr>
                            <pic:blipFill rotWithShape="1">
                              <a:blip r:embed="rId40"/>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231.75pt;height:174.00pt;mso-wrap-distance-left:0.00pt;mso-wrap-distance-top:0.00pt;mso-wrap-distance-right:0.00pt;mso-wrap-distance-bottom:0.00pt;z-index:1;" stroked="false">
                      <v:imagedata r:id="rId40"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hanging="568" w:left="28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68095" name=""/>
                              <pic:cNvPicPr>
                                <a:picLocks noChangeAspect="1"/>
                              </pic:cNvPicPr>
                              <pic:nvPr/>
                            </pic:nvPicPr>
                            <pic:blipFill rotWithShape="1">
                              <a:blip r:embed="rId41"/>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231.75pt;height:174.00pt;mso-wrap-distance-left:0.00pt;mso-wrap-distance-top:0.00pt;mso-wrap-distance-right:0.00pt;mso-wrap-distance-bottom:0.00pt;z-index:1;" stroked="false">
                      <v:imagedata r:id="rId41"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bl>
    <w:p>
      <w:pPr>
        <w:pBdr>
          <w:top w:val="none" w:color="000000" w:sz="4" w:space="0"/>
          <w:left w:val="none" w:color="000000" w:sz="4" w:space="0"/>
          <w:bottom w:val="none" w:color="000000" w:sz="4" w:space="0"/>
          <w:right w:val="none" w:color="000000" w:sz="4" w:space="0"/>
        </w:pBdr>
        <w:spacing w:after="0" w:before="0" w:line="276" w:lineRule="auto"/>
        <w:ind w:right="0" w:hanging="568" w:left="284"/>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0" w:line="276" w:lineRule="auto"/>
        <w:ind w:right="0" w:hanging="568" w:left="284"/>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pPr>
        <w:numPr>
          <w:ilvl w:val="0"/>
          <w:numId w:val="43"/>
        </w:numPr>
        <w:pBdr>
          <w:top w:val="none" w:color="000000" w:sz="4" w:space="0"/>
          <w:left w:val="none" w:color="000000" w:sz="4" w:space="0"/>
          <w:bottom w:val="none" w:color="000000" w:sz="4" w:space="0"/>
          <w:right w:val="none" w:color="000000" w:sz="4" w:space="0"/>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b/>
          <w:i/>
          <w:color w:val="000000" w:themeColor="text1"/>
          <w:sz w:val="24"/>
        </w:rPr>
        <w:t xml:space="preserve">Thửa đất số 4</w:t>
      </w:r>
      <w:r>
        <w:rPr>
          <w:rFonts w:ascii="Times New Roman" w:hAnsi="Times New Roman" w:eastAsia="Times New Roman" w:cs="Times New Roman"/>
          <w:b/>
          <w:i/>
          <w:color w:val="000000" w:themeColor="text1"/>
          <w:sz w:val="20"/>
          <w:vertAlign w:val="superscript"/>
        </w:rPr>
        <w:t xml:space="preserve">a</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5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4837"/>
        <w:gridCol w:w="4837"/>
      </w:tblGrid>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hanging="568" w:left="28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1276350" cy="2838450"/>
                      <wp:effectExtent l="0" t="0" r="0" b="0"/>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30353" name=""/>
                              <pic:cNvPicPr>
                                <a:picLocks noChangeAspect="1"/>
                              </pic:cNvPicPr>
                              <pic:nvPr/>
                            </pic:nvPicPr>
                            <pic:blipFill rotWithShape="1">
                              <a:blip r:embed="rId42"/>
                              <a:stretch/>
                            </pic:blipFill>
                            <pic:spPr bwMode="auto">
                              <a:xfrm>
                                <a:off x="0" y="0"/>
                                <a:ext cx="1276349" cy="28384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100.50pt;height:223.50pt;mso-wrap-distance-left:0.00pt;mso-wrap-distance-top:0.00pt;mso-wrap-distance-right:0.00pt;mso-wrap-distance-bottom:0.00pt;z-index:1;" stroked="false">
                      <v:imagedata r:id="rId42"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hanging="568" w:left="28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219325" cy="2952750"/>
                      <wp:effectExtent l="0" t="0" r="0" b="0"/>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82457" name=""/>
                              <pic:cNvPicPr>
                                <a:picLocks noChangeAspect="1"/>
                              </pic:cNvPicPr>
                              <pic:nvPr/>
                            </pic:nvPicPr>
                            <pic:blipFill rotWithShape="1">
                              <a:blip r:embed="rId43"/>
                              <a:stretch/>
                            </pic:blipFill>
                            <pic:spPr bwMode="auto">
                              <a:xfrm>
                                <a:off x="0" y="0"/>
                                <a:ext cx="2219324" cy="29527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174.75pt;height:232.50pt;mso-wrap-distance-left:0.00pt;mso-wrap-distance-top:0.00pt;mso-wrap-distance-right:0.00pt;mso-wrap-distance-bottom:0.00pt;z-index:1;" stroked="false">
                      <v:imagedata r:id="rId43"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hanging="568" w:left="28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75211" name=""/>
                              <pic:cNvPicPr>
                                <a:picLocks noChangeAspect="1"/>
                              </pic:cNvPicPr>
                              <pic:nvPr/>
                            </pic:nvPicPr>
                            <pic:blipFill rotWithShape="1">
                              <a:blip r:embed="rId44"/>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231.75pt;height:174.00pt;mso-wrap-distance-left:0.00pt;mso-wrap-distance-top:0.00pt;mso-wrap-distance-right:0.00pt;mso-wrap-distance-bottom:0.00pt;z-index:1;" stroked="false">
                      <v:imagedata r:id="rId44"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hanging="568" w:left="28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13689" name=""/>
                              <pic:cNvPicPr>
                                <a:picLocks noChangeAspect="1"/>
                              </pic:cNvPicPr>
                              <pic:nvPr/>
                            </pic:nvPicPr>
                            <pic:blipFill rotWithShape="1">
                              <a:blip r:embed="rId45"/>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231.75pt;height:174.00pt;mso-wrap-distance-left:0.00pt;mso-wrap-distance-top:0.00pt;mso-wrap-distance-right:0.00pt;mso-wrap-distance-bottom:0.00pt;z-index:1;" stroked="false">
                      <v:imagedata r:id="rId45"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hanging="568" w:left="28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178712" name=""/>
                              <pic:cNvPicPr>
                                <a:picLocks noChangeAspect="1"/>
                              </pic:cNvPicPr>
                              <pic:nvPr/>
                            </pic:nvPicPr>
                            <pic:blipFill rotWithShape="1">
                              <a:blip r:embed="rId46"/>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width:231.75pt;height:174.00pt;mso-wrap-distance-left:0.00pt;mso-wrap-distance-top:0.00pt;mso-wrap-distance-right:0.00pt;mso-wrap-distance-bottom:0.00pt;z-index:1;" stroked="false">
                      <v:imagedata r:id="rId46"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line="276" w:lineRule="auto"/>
              <w:ind w:right="0" w:hanging="568" w:left="28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5379" name=""/>
                              <pic:cNvPicPr>
                                <a:picLocks noChangeAspect="1"/>
                              </pic:cNvPicPr>
                              <pic:nvPr/>
                            </pic:nvPicPr>
                            <pic:blipFill rotWithShape="1">
                              <a:blip r:embed="rId47"/>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width:231.75pt;height:174.00pt;mso-wrap-distance-left:0.00pt;mso-wrap-distance-top:0.00pt;mso-wrap-distance-right:0.00pt;mso-wrap-distance-bottom:0.00pt;z-index:1;" stroked="false">
                      <v:imagedata r:id="rId47"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bl>
    <w:p>
      <w:pPr>
        <w:pBdr>
          <w:top w:val="none" w:color="000000" w:sz="4" w:space="0"/>
          <w:left w:val="none" w:color="000000" w:sz="4" w:space="0"/>
          <w:bottom w:val="none" w:color="000000" w:sz="4" w:space="0"/>
          <w:right w:val="none" w:color="000000" w:sz="4" w:space="0"/>
        </w:pBdr>
        <w:spacing w:after="0" w:before="0" w:line="276" w:lineRule="auto"/>
        <w:ind w:right="0" w:hanging="568" w:left="284"/>
        <w:rPr>
          <w:rFonts w:ascii="Times New Roman" w:hAnsi="Times New Roman" w:cs="Times New Roman"/>
          <w:color w:val="000000" w:themeColor="text1"/>
        </w:rPr>
      </w:pPr>
      <w:r>
        <w:rPr>
          <w:rFonts w:ascii="Times New Roman" w:hAnsi="Times New Roman" w:eastAsia="Times New Roman" w:cs="Times New Roman"/>
          <w:b/>
          <w:i/>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rPr>
        <w:br w:type="page" w:clear="all"/>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i/>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0" w:line="276" w:lineRule="auto"/>
        <w:ind w:right="0" w:hanging="568" w:left="284"/>
        <w:rPr>
          <w:rFonts w:ascii="Times New Roman" w:hAnsi="Times New Roman" w:cs="Times New Roman"/>
          <w:color w:val="000000" w:themeColor="text1"/>
        </w:rPr>
      </w:pPr>
      <w:r>
        <w:rPr>
          <w:rFonts w:ascii="Times New Roman" w:hAnsi="Times New Roman" w:eastAsia="Times New Roman" w:cs="Times New Roman"/>
          <w:b/>
          <w:i/>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pPr>
        <w:numPr>
          <w:ilvl w:val="0"/>
          <w:numId w:val="43"/>
        </w:numPr>
        <w:pBdr>
          <w:top w:val="none" w:color="000000" w:sz="4" w:space="0"/>
          <w:left w:val="none" w:color="000000" w:sz="4" w:space="0"/>
          <w:bottom w:val="none" w:color="000000" w:sz="4" w:space="0"/>
          <w:right w:val="none" w:color="000000" w:sz="4" w:space="0"/>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b/>
          <w:i/>
          <w:color w:val="000000" w:themeColor="text1"/>
          <w:sz w:val="24"/>
        </w:rPr>
        <w:t xml:space="preserve">Thửa đất số 162</w:t>
      </w:r>
      <w:r>
        <w:rPr>
          <w:rFonts w:ascii="Times New Roman" w:hAnsi="Times New Roman" w:eastAsia="Times New Roman" w:cs="Times New Roman"/>
          <w:b/>
          <w:i/>
          <w:color w:val="000000" w:themeColor="text1"/>
          <w:sz w:val="20"/>
          <w:vertAlign w:val="superscript"/>
        </w:rPr>
        <w:t xml:space="preserve">a</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5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4837"/>
        <w:gridCol w:w="4837"/>
      </w:tblGrid>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1543050" cy="3438525"/>
                      <wp:effectExtent l="0" t="0" r="0" b="0"/>
                      <wp:docPr id="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36862" name=""/>
                              <pic:cNvPicPr>
                                <a:picLocks noChangeAspect="1"/>
                              </pic:cNvPicPr>
                              <pic:nvPr/>
                            </pic:nvPicPr>
                            <pic:blipFill rotWithShape="1">
                              <a:blip r:embed="rId48"/>
                              <a:stretch/>
                            </pic:blipFill>
                            <pic:spPr bwMode="auto">
                              <a:xfrm>
                                <a:off x="0" y="0"/>
                                <a:ext cx="1543050" cy="34385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width:121.50pt;height:270.75pt;mso-wrap-distance-left:0.00pt;mso-wrap-distance-top:0.00pt;mso-wrap-distance-right:0.00pt;mso-wrap-distance-bottom:0.00pt;z-index:1;" stroked="false">
                      <v:imagedata r:id="rId48"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top"/>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76419" name=""/>
                              <pic:cNvPicPr>
                                <a:picLocks noChangeAspect="1"/>
                              </pic:cNvPicPr>
                              <pic:nvPr/>
                            </pic:nvPicPr>
                            <pic:blipFill rotWithShape="1">
                              <a:blip r:embed="rId49"/>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width:231.75pt;height:174.00pt;mso-wrap-distance-left:0.00pt;mso-wrap-distance-top:0.00pt;mso-wrap-distance-right:0.00pt;mso-wrap-distance-bottom:0.00pt;z-index:1;" stroked="false">
                      <v:imagedata r:id="rId49"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i/>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i/>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25849" name=""/>
                              <pic:cNvPicPr>
                                <a:picLocks noChangeAspect="1"/>
                              </pic:cNvPicPr>
                              <pic:nvPr/>
                            </pic:nvPicPr>
                            <pic:blipFill rotWithShape="1">
                              <a:blip r:embed="rId50"/>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 o:spid="_x0000_s32" type="#_x0000_t75" style="width:231.75pt;height:174.00pt;mso-wrap-distance-left:0.00pt;mso-wrap-distance-top:0.00pt;mso-wrap-distance-right:0.00pt;mso-wrap-distance-bottom:0.00pt;z-index:1;" stroked="false">
                      <v:imagedata r:id="rId50"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69795" name=""/>
                              <pic:cNvPicPr>
                                <a:picLocks noChangeAspect="1"/>
                              </pic:cNvPicPr>
                              <pic:nvPr/>
                            </pic:nvPicPr>
                            <pic:blipFill rotWithShape="1">
                              <a:blip r:embed="rId51"/>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 o:spid="_x0000_s33" type="#_x0000_t75" style="width:231.75pt;height:174.00pt;mso-wrap-distance-left:0.00pt;mso-wrap-distance-top:0.00pt;mso-wrap-distance-right:0.00pt;mso-wrap-distance-bottom:0.00pt;z-index:1;" stroked="false">
                      <v:imagedata r:id="rId51"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i/>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i/>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52134" name=""/>
                              <pic:cNvPicPr>
                                <a:picLocks noChangeAspect="1"/>
                              </pic:cNvPicPr>
                              <pic:nvPr/>
                            </pic:nvPicPr>
                            <pic:blipFill rotWithShape="1">
                              <a:blip r:embed="rId52"/>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 o:spid="_x0000_s34" type="#_x0000_t75" style="width:231.75pt;height:174.00pt;mso-wrap-distance-left:0.00pt;mso-wrap-distance-top:0.00pt;mso-wrap-distance-right:0.00pt;mso-wrap-distance-bottom:0.00pt;z-index:1;" stroked="false">
                      <v:imagedata r:id="rId52"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3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03089" name=""/>
                              <pic:cNvPicPr>
                                <a:picLocks noChangeAspect="1"/>
                              </pic:cNvPicPr>
                              <pic:nvPr/>
                            </pic:nvPicPr>
                            <pic:blipFill rotWithShape="1">
                              <a:blip r:embed="rId53"/>
                              <a:stretch/>
                            </pic:blipFill>
                            <pic:spPr bwMode="auto">
                              <a:xfrm>
                                <a:off x="0" y="0"/>
                                <a:ext cx="2943224"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 o:spid="_x0000_s35" type="#_x0000_t75" style="width:231.75pt;height:174.00pt;mso-wrap-distance-left:0.00pt;mso-wrap-distance-top:0.00pt;mso-wrap-distance-right:0.00pt;mso-wrap-distance-bottom:0.00pt;z-index:1;" stroked="false">
                      <v:imagedata r:id="rId53"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bl>
    <w:p>
      <w:pPr>
        <w:pBdr>
          <w:top w:val="none" w:color="000000" w:sz="4" w:space="0"/>
          <w:left w:val="none" w:color="000000" w:sz="4" w:space="0"/>
          <w:bottom w:val="none" w:color="000000" w:sz="4" w:space="0"/>
          <w:right w:val="none" w:color="000000" w:sz="4" w:space="0"/>
        </w:pBdr>
        <w:spacing w:after="0" w:before="0" w:line="276" w:lineRule="auto"/>
        <w:ind w:right="0" w:firstLine="0" w:left="-284"/>
        <w:rPr>
          <w:rFonts w:ascii="Times New Roman" w:hAnsi="Times New Roman" w:cs="Times New Roman"/>
          <w:color w:val="000000" w:themeColor="text1"/>
        </w:rPr>
      </w:pPr>
      <w:r>
        <w:rPr>
          <w:rFonts w:ascii="Times New Roman" w:hAnsi="Times New Roman" w:eastAsia="Times New Roman" w:cs="Times New Roman"/>
          <w:b/>
          <w:i/>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rPr>
        <w:br w:type="page" w:clear="all"/>
      </w: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Phụ lục 2: Thông tin thu thập thị trường.</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i/>
          <w:color w:val="000000" w:themeColor="text1"/>
          <w:sz w:val="24"/>
        </w:rPr>
        <w:t xml:space="preserve">(Kèm theo Báo cáo thẩm định số 275/2026/0281/VFI-BC.27.A ngày 05 tháng 02 năm 2026 của Công ty Cổ phần Thẩm định và Đầu tư Tài chính Hoa Sen)</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5791200" cy="6000750"/>
                <wp:effectExtent l="0" t="0" r="0" b="0"/>
                <wp:docPr id="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65275" name=""/>
                        <pic:cNvPicPr>
                          <a:picLocks noChangeAspect="1"/>
                        </pic:cNvPicPr>
                        <pic:nvPr/>
                      </pic:nvPicPr>
                      <pic:blipFill rotWithShape="1">
                        <a:blip r:embed="rId54"/>
                        <a:stretch/>
                      </pic:blipFill>
                      <pic:spPr bwMode="auto">
                        <a:xfrm>
                          <a:off x="0" y="0"/>
                          <a:ext cx="5791199" cy="60007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 o:spid="_x0000_s36" type="#_x0000_t75" style="width:456.00pt;height:472.50pt;mso-wrap-distance-left:0.00pt;mso-wrap-distance-top:0.00pt;mso-wrap-distance-right:0.00pt;mso-wrap-distance-bottom:0.00pt;z-index:1;" stroked="false">
                <v:imagedata r:id="rId54"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5067300" cy="3381375"/>
                <wp:effectExtent l="0" t="0" r="0" b="0"/>
                <wp:docPr id="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84940" name=""/>
                        <pic:cNvPicPr>
                          <a:picLocks noChangeAspect="1"/>
                        </pic:cNvPicPr>
                        <pic:nvPr/>
                      </pic:nvPicPr>
                      <pic:blipFill rotWithShape="1">
                        <a:blip r:embed="rId55"/>
                        <a:stretch/>
                      </pic:blipFill>
                      <pic:spPr bwMode="auto">
                        <a:xfrm>
                          <a:off x="0" y="0"/>
                          <a:ext cx="5067299" cy="33813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 o:spid="_x0000_s37" type="#_x0000_t75" style="width:399.00pt;height:266.25pt;mso-wrap-distance-left:0.00pt;mso-wrap-distance-top:0.00pt;mso-wrap-distance-right:0.00pt;mso-wrap-distance-bottom:0.00pt;z-index:1;" stroked="false">
                <v:imagedata r:id="rId55"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5029200" cy="3390900"/>
                <wp:effectExtent l="0" t="0" r="0" b="0"/>
                <wp:docPr id="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406904" name=""/>
                        <pic:cNvPicPr>
                          <a:picLocks noChangeAspect="1"/>
                        </pic:cNvPicPr>
                        <pic:nvPr/>
                      </pic:nvPicPr>
                      <pic:blipFill rotWithShape="1">
                        <a:blip r:embed="rId56"/>
                        <a:stretch/>
                      </pic:blipFill>
                      <pic:spPr bwMode="auto">
                        <a:xfrm>
                          <a:off x="0" y="0"/>
                          <a:ext cx="5029199" cy="33908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8" o:spid="_x0000_s38" type="#_x0000_t75" style="width:396.00pt;height:267.00pt;mso-wrap-distance-left:0.00pt;mso-wrap-distance-top:0.00pt;mso-wrap-distance-right:0.00pt;mso-wrap-distance-bottom:0.00pt;z-index:1;" stroked="false">
                <v:imagedata r:id="rId56"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942975" cy="638175"/>
                <wp:effectExtent l="0" t="0" r="0" b="0"/>
                <wp:docPr id="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39879" name=""/>
                        <pic:cNvPicPr>
                          <a:picLocks noChangeAspect="1"/>
                        </pic:cNvPicPr>
                        <pic:nvPr/>
                      </pic:nvPicPr>
                      <pic:blipFill rotWithShape="1">
                        <a:blip r:embed="rId57"/>
                        <a:stretch/>
                      </pic:blipFill>
                      <pic:spPr bwMode="auto">
                        <a:xfrm>
                          <a:off x="0" y="0"/>
                          <a:ext cx="942975" cy="6381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 o:spid="_x0000_s39" type="#_x0000_t75" style="width:74.25pt;height:50.25pt;mso-wrap-distance-left:0.00pt;mso-wrap-distance-top:0.00pt;mso-wrap-distance-right:0.00pt;mso-wrap-distance-bottom:0.00pt;z-index:1;" stroked="false">
                <v:imagedata r:id="rId57"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i/>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6048375" cy="6647506"/>
                <wp:effectExtent l="0" t="0" r="0" b="0"/>
                <wp:docPr id="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02986" name=""/>
                        <pic:cNvPicPr>
                          <a:picLocks noChangeAspect="1"/>
                        </pic:cNvPicPr>
                        <pic:nvPr/>
                      </pic:nvPicPr>
                      <pic:blipFill rotWithShape="1">
                        <a:blip r:embed="rId58"/>
                        <a:stretch/>
                      </pic:blipFill>
                      <pic:spPr bwMode="auto">
                        <a:xfrm>
                          <a:off x="0" y="0"/>
                          <a:ext cx="6048374" cy="664750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 o:spid="_x0000_s40" type="#_x0000_t75" style="width:476.25pt;height:523.43pt;mso-wrap-distance-left:0.00pt;mso-wrap-distance-top:0.00pt;mso-wrap-distance-right:0.00pt;mso-wrap-distance-bottom:0.00pt;z-index:1;" stroked="false">
                <v:imagedata r:id="rId58"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3067050" cy="2276475"/>
                <wp:effectExtent l="0" t="0" r="0" b="0"/>
                <wp:docPr id="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16010" name=""/>
                        <pic:cNvPicPr>
                          <a:picLocks noChangeAspect="1"/>
                        </pic:cNvPicPr>
                        <pic:nvPr/>
                      </pic:nvPicPr>
                      <pic:blipFill rotWithShape="1">
                        <a:blip r:embed="rId59"/>
                        <a:stretch/>
                      </pic:blipFill>
                      <pic:spPr bwMode="auto">
                        <a:xfrm>
                          <a:off x="0" y="0"/>
                          <a:ext cx="3067049" cy="22764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1" o:spid="_x0000_s41" type="#_x0000_t75" style="width:241.50pt;height:179.25pt;mso-wrap-distance-left:0.00pt;mso-wrap-distance-top:0.00pt;mso-wrap-distance-right:0.00pt;mso-wrap-distance-bottom:0.00pt;z-index:1;" stroked="false">
                <v:imagedata r:id="rId59"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400300" cy="2590800"/>
                <wp:effectExtent l="0" t="0" r="0" b="0"/>
                <wp:docPr id="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08263" name=""/>
                        <pic:cNvPicPr>
                          <a:picLocks noChangeAspect="1"/>
                        </pic:cNvPicPr>
                        <pic:nvPr/>
                      </pic:nvPicPr>
                      <pic:blipFill rotWithShape="1">
                        <a:blip r:embed="rId60"/>
                        <a:stretch/>
                      </pic:blipFill>
                      <pic:spPr bwMode="auto">
                        <a:xfrm>
                          <a:off x="0" y="0"/>
                          <a:ext cx="2400300" cy="2590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2" o:spid="_x0000_s42" type="#_x0000_t75" style="width:189.00pt;height:204.00pt;mso-wrap-distance-left:0.00pt;mso-wrap-distance-top:0.00pt;mso-wrap-distance-right:0.00pt;mso-wrap-distance-bottom:0.00pt;z-index:1;" stroked="false">
                <v:imagedata r:id="rId60" o:title=""/>
                <o:lock v:ext="edit" rotation="t"/>
              </v:shape>
            </w:pict>
          </mc:Fallback>
        </mc:AlternateContent>
      </w:r>
      <w:r>
        <w:rPr>
          <w:rFonts w:ascii="Times New Roman" w:hAnsi="Times New Roman" w:eastAsia="Times New Roman" w:cs="Times New Roman"/>
          <w:color w:val="000000" w:themeColor="text1"/>
          <w:sz w:val="22"/>
        </w:rPr>
        <mc:AlternateContent>
          <mc:Choice Requires="wpg">
            <w:drawing>
              <wp:inline xmlns:wp="http://schemas.openxmlformats.org/drawingml/2006/wordprocessingDrawing" distT="0" distB="0" distL="0" distR="0">
                <wp:extent cx="2343150" cy="2600325"/>
                <wp:effectExtent l="0" t="0" r="0" b="0"/>
                <wp:docPr id="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12761" name=""/>
                        <pic:cNvPicPr>
                          <a:picLocks noChangeAspect="1"/>
                        </pic:cNvPicPr>
                        <pic:nvPr/>
                      </pic:nvPicPr>
                      <pic:blipFill rotWithShape="1">
                        <a:blip r:embed="rId61"/>
                        <a:stretch/>
                      </pic:blipFill>
                      <pic:spPr bwMode="auto">
                        <a:xfrm>
                          <a:off x="0" y="0"/>
                          <a:ext cx="2343150" cy="26003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3" o:spid="_x0000_s43" type="#_x0000_t75" style="width:184.50pt;height:204.75pt;mso-wrap-distance-left:0.00pt;mso-wrap-distance-top:0.00pt;mso-wrap-distance-right:0.00pt;mso-wrap-distance-bottom:0.00pt;z-index:1;" stroked="false">
                <v:imagedata r:id="rId61"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i/>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5553075" cy="6276975"/>
                <wp:effectExtent l="0" t="0" r="0" b="0"/>
                <wp:docPr id="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13239" name=""/>
                        <pic:cNvPicPr>
                          <a:picLocks noChangeAspect="1"/>
                        </pic:cNvPicPr>
                        <pic:nvPr/>
                      </pic:nvPicPr>
                      <pic:blipFill rotWithShape="1">
                        <a:blip r:embed="rId62"/>
                        <a:stretch/>
                      </pic:blipFill>
                      <pic:spPr bwMode="auto">
                        <a:xfrm>
                          <a:off x="0" y="0"/>
                          <a:ext cx="5553074" cy="62769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4" o:spid="_x0000_s44" type="#_x0000_t75" style="width:437.25pt;height:494.25pt;mso-wrap-distance-left:0.00pt;mso-wrap-distance-top:0.00pt;mso-wrap-distance-right:0.00pt;mso-wrap-distance-bottom:0.00pt;z-index:1;" stroked="false">
                <v:imagedata r:id="rId62"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562225" cy="2581275"/>
                <wp:effectExtent l="0" t="0" r="0" b="0"/>
                <wp:docPr id="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01517" name=""/>
                        <pic:cNvPicPr>
                          <a:picLocks noChangeAspect="1"/>
                        </pic:cNvPicPr>
                        <pic:nvPr/>
                      </pic:nvPicPr>
                      <pic:blipFill rotWithShape="1">
                        <a:blip r:embed="rId63"/>
                        <a:stretch/>
                      </pic:blipFill>
                      <pic:spPr bwMode="auto">
                        <a:xfrm>
                          <a:off x="0" y="0"/>
                          <a:ext cx="2562224" cy="25812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 o:spid="_x0000_s45" type="#_x0000_t75" style="width:201.75pt;height:203.25pt;mso-wrap-distance-left:0.00pt;mso-wrap-distance-top:0.00pt;mso-wrap-distance-right:0.00pt;mso-wrap-distance-bottom:0.00pt;z-index:1;" stroked="false">
                <v:imagedata r:id="rId63" o:title=""/>
                <o:lock v:ext="edit" rotation="t"/>
              </v:shape>
            </w:pict>
          </mc:Fallback>
        </mc:AlternateContent>
      </w:r>
      <w:r>
        <w:rPr>
          <w:rFonts w:ascii="Times New Roman" w:hAnsi="Times New Roman" w:eastAsia="Times New Roman" w:cs="Times New Roman"/>
          <w:color w:val="000000" w:themeColor="text1"/>
          <w:sz w:val="22"/>
        </w:rPr>
        <mc:AlternateContent>
          <mc:Choice Requires="wpg">
            <w:drawing>
              <wp:inline xmlns:wp="http://schemas.openxmlformats.org/drawingml/2006/wordprocessingDrawing" distT="0" distB="0" distL="0" distR="0">
                <wp:extent cx="1419225" cy="2609850"/>
                <wp:effectExtent l="0" t="0" r="0" b="0"/>
                <wp:docPr id="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65555" name=""/>
                        <pic:cNvPicPr>
                          <a:picLocks noChangeAspect="1"/>
                        </pic:cNvPicPr>
                        <pic:nvPr/>
                      </pic:nvPicPr>
                      <pic:blipFill rotWithShape="1">
                        <a:blip r:embed="rId64"/>
                        <a:stretch/>
                      </pic:blipFill>
                      <pic:spPr bwMode="auto">
                        <a:xfrm>
                          <a:off x="0" y="0"/>
                          <a:ext cx="1419224" cy="26098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6" o:spid="_x0000_s46" type="#_x0000_t75" style="width:111.75pt;height:205.50pt;mso-wrap-distance-left:0.00pt;mso-wrap-distance-top:0.00pt;mso-wrap-distance-right:0.00pt;mso-wrap-distance-bottom:0.00pt;z-index:1;" stroked="false">
                <v:imagedata r:id="rId64"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4895850" cy="3429000"/>
                <wp:effectExtent l="0" t="0" r="0" b="0"/>
                <wp:docPr id="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5990" name=""/>
                        <pic:cNvPicPr>
                          <a:picLocks noChangeAspect="1"/>
                        </pic:cNvPicPr>
                        <pic:nvPr/>
                      </pic:nvPicPr>
                      <pic:blipFill rotWithShape="1">
                        <a:blip r:embed="rId65"/>
                        <a:stretch/>
                      </pic:blipFill>
                      <pic:spPr bwMode="auto">
                        <a:xfrm>
                          <a:off x="0" y="0"/>
                          <a:ext cx="4895849" cy="3429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7" o:spid="_x0000_s47" type="#_x0000_t75" style="width:385.50pt;height:270.00pt;mso-wrap-distance-left:0.00pt;mso-wrap-distance-top:0.00pt;mso-wrap-distance-right:0.00pt;mso-wrap-distance-bottom:0.00pt;z-index:1;" stroked="false">
                <v:imagedata r:id="rId65"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5495925" cy="6057900"/>
                <wp:effectExtent l="0" t="0" r="0" b="0"/>
                <wp:docPr id="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196686" name=""/>
                        <pic:cNvPicPr>
                          <a:picLocks noChangeAspect="1"/>
                        </pic:cNvPicPr>
                        <pic:nvPr/>
                      </pic:nvPicPr>
                      <pic:blipFill rotWithShape="1">
                        <a:blip r:embed="rId66"/>
                        <a:stretch/>
                      </pic:blipFill>
                      <pic:spPr bwMode="auto">
                        <a:xfrm>
                          <a:off x="0" y="0"/>
                          <a:ext cx="5495924" cy="60579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8" o:spid="_x0000_s48" type="#_x0000_t75" style="width:432.75pt;height:477.00pt;mso-wrap-distance-left:0.00pt;mso-wrap-distance-top:0.00pt;mso-wrap-distance-right:0.00pt;mso-wrap-distance-bottom:0.00pt;z-index:1;" stroked="false">
                <v:imagedata r:id="rId66"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24175" cy="3162300"/>
                <wp:effectExtent l="0" t="0" r="0" b="0"/>
                <wp:docPr id="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792901" name=""/>
                        <pic:cNvPicPr>
                          <a:picLocks noChangeAspect="1"/>
                        </pic:cNvPicPr>
                        <pic:nvPr/>
                      </pic:nvPicPr>
                      <pic:blipFill rotWithShape="1">
                        <a:blip r:embed="rId67"/>
                        <a:stretch/>
                      </pic:blipFill>
                      <pic:spPr bwMode="auto">
                        <a:xfrm>
                          <a:off x="0" y="0"/>
                          <a:ext cx="2924174" cy="31622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9" o:spid="_x0000_s49" type="#_x0000_t75" style="width:230.25pt;height:249.00pt;mso-wrap-distance-left:0.00pt;mso-wrap-distance-top:0.00pt;mso-wrap-distance-right:0.00pt;mso-wrap-distance-bottom:0.00pt;z-index:1;" stroked="false">
                <v:imagedata r:id="rId67"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5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46</w:t>
    </w:r>
    <w:r>
      <w:rPr>
        <w:caps/>
        <w:color w:val="000000" w:themeColor="text1"/>
      </w:rPr>
      <w:fldChar w:fldCharType="end"/>
    </w:r>
    <w:r>
      <w:rPr>
        <w:caps/>
        <w:color w:val="000000" w:themeColor="text1"/>
      </w:rPr>
    </w:r>
    <w:r>
      <w:rPr>
        <w:caps/>
        <w:color w:val="000000" w:themeColor="text1"/>
      </w:rPr>
    </w:r>
  </w:p>
  <w:p>
    <w:pPr>
      <w:pStyle w:val="105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5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5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4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C157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3">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4">
    <w:nsid w:val="0E5329E7"/>
    <w:lvl w:ilvl="0">
      <w:isLgl w:val="false"/>
      <w:lvlJc w:val="left"/>
      <w:lvlText w:val=""/>
      <w:numFmt w:val="bullet"/>
      <w:pPr>
        <w:pBdr/>
        <w:spacing/>
        <w:ind w:hanging="360" w:left="1077"/>
      </w:pPr>
      <w:rPr>
        <w:rFonts w:hint="default" w:ascii="Wingdings" w:hAnsi="Wingdings"/>
        <w:color w:val="000000" w:themeColor="text1"/>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5">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6">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7">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8">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0">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1">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2">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3">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4">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6">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7">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8">
    <w:nsid w:val="45230541"/>
    <w:lvl w:ilvl="0">
      <w:isLgl w:val="false"/>
      <w:lvlJc w:val="left"/>
      <w:lvlText w:val=""/>
      <w:numFmt w:val="bullet"/>
      <w:pPr>
        <w:pBdr/>
        <w:spacing/>
        <w:ind w:hanging="360" w:left="1004"/>
      </w:pPr>
      <w:rPr>
        <w:rFonts w:hint="default" w:ascii="Wingdings" w:hAnsi="Wingdings"/>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9">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0">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21">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22">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4">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5">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6">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7">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8">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9">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1">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32">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3">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4">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5">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7">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8">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9">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40">
    <w:nsid w:val="614C0405"/>
    <w:lvl w:ilvl="0">
      <w:isLgl w:val="false"/>
      <w:lvlJc w:val="left"/>
      <w:lvlText w:val="-"/>
      <w:numFmt w:val="bullet"/>
      <w:pPr>
        <w:pBdr/>
        <w:spacing/>
        <w:ind w:hanging="360" w:left="720"/>
      </w:pPr>
      <w:rPr>
        <w:rFonts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1">
    <w:nsid w:val="0106BCF2"/>
    <w:lvl w:ilvl="0">
      <w:isLgl w:val="false"/>
      <w:lvlJc w:val="left"/>
      <w:lvlText w:val="%1."/>
      <w:numFmt w:val="decimal"/>
      <w:pPr>
        <w:pBdr/>
        <w:spacing/>
        <w:ind w:hanging="360" w:left="720"/>
      </w:pPr>
      <w:rPr>
        <w:b/>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42">
    <w:nsid w:val="083ABC0D"/>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3">
    <w:nsid w:val="5E681BBE"/>
    <w:lvl w:ilvl="0">
      <w:isLgl w:val="false"/>
      <w:lvlJc w:val="left"/>
      <w:lvlText w:val="%1."/>
      <w:numFmt w:val="decimal"/>
      <w:pPr>
        <w:pBdr/>
        <w:spacing/>
        <w:ind w:hanging="360" w:left="709"/>
      </w:pPr>
      <w:rPr>
        <w:rFonts w:ascii="Times New Roman" w:hAnsi="Times New Roman" w:eastAsia="Times New Roman" w:cs="Times New Roman"/>
        <w:b/>
        <w:sz w:val="24"/>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44">
    <w:nsid w:val="492D4A17"/>
    <w:lvl w:ilvl="0">
      <w:isLgl w:val="false"/>
      <w:lvlJc w:val="left"/>
      <w:lvlText w:val="-"/>
      <w:numFmt w:val="bullet"/>
      <w:pPr>
        <w:pBdr/>
        <w:spacing/>
        <w:ind w:hanging="360" w:left="720"/>
      </w:pPr>
      <w:rPr>
        <w:rFonts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5">
    <w:nsid w:val="07915842"/>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46">
    <w:nsid w:val="1AD23DC8"/>
    <w:lvl w:ilvl="0">
      <w:isLgl w:val="false"/>
      <w:lvlJc w:val="left"/>
      <w:lvlText w:val="-"/>
      <w:numFmt w:val="bullet"/>
      <w:pPr>
        <w:pBdr/>
        <w:spacing/>
        <w:ind w:hanging="360" w:left="720"/>
      </w:pPr>
      <w:rPr>
        <w:rFonts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7">
    <w:nsid w:val="7D7A102B"/>
    <w:lvl w:ilvl="0">
      <w:isLgl w:val="false"/>
      <w:lvlJc w:val="left"/>
      <w:lvlText w:val="Ø"/>
      <w:numFmt w:val="bullet"/>
      <w:pPr>
        <w:pBdr/>
        <w:spacing/>
        <w:ind w:hanging="360" w:left="720"/>
      </w:pPr>
      <w:rPr>
        <w:rFonts w:ascii="Wingdings" w:hAnsi="Wingdings" w:eastAsia="Wingdings" w:cs="Wingdings"/>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8">
    <w:nsid w:val="4844FAF0"/>
    <w:lvl w:ilvl="0">
      <w:isLgl w:val="false"/>
      <w:lvlJc w:val="left"/>
      <w:lvlText w:val="-"/>
      <w:numFmt w:val="bullet"/>
      <w:pPr>
        <w:pBdr/>
        <w:spacing/>
        <w:ind w:hanging="360" w:left="720"/>
      </w:pPr>
      <w:rPr>
        <w:rFonts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9">
    <w:nsid w:val="0176F17B"/>
    <w:lvl w:ilvl="0">
      <w:isLgl w:val="false"/>
      <w:lvlJc w:val="left"/>
      <w:lvlText w:val="-"/>
      <w:numFmt w:val="bullet"/>
      <w:pPr>
        <w:pBdr/>
        <w:spacing/>
        <w:ind w:hanging="360" w:left="720"/>
      </w:pPr>
      <w:rPr>
        <w:rFonts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50">
    <w:nsid w:val="7A6D2E83"/>
    <w:lvl w:ilvl="0">
      <w:isLgl w:val="false"/>
      <w:lvlJc w:val="left"/>
      <w:lvlText w:val="-"/>
      <w:numFmt w:val="bullet"/>
      <w:pPr>
        <w:pBdr/>
        <w:spacing/>
        <w:ind w:hanging="360" w:left="720"/>
      </w:pPr>
      <w:rPr>
        <w:rFonts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51">
    <w:nsid w:val="7B39BC05"/>
    <w:lvl w:ilvl="0">
      <w:isLgl w:val="false"/>
      <w:lvlJc w:val="left"/>
      <w:lvlText w:val="-"/>
      <w:numFmt w:val="bullet"/>
      <w:pPr>
        <w:pBdr/>
        <w:spacing/>
        <w:ind w:hanging="360" w:left="720"/>
      </w:pPr>
      <w:rPr>
        <w:rFonts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num w:numId="1">
    <w:abstractNumId w:val="15"/>
  </w:num>
  <w:num w:numId="2">
    <w:abstractNumId w:val="8"/>
  </w:num>
  <w:num w:numId="3">
    <w:abstractNumId w:val="7"/>
  </w:num>
  <w:num w:numId="4">
    <w:abstractNumId w:val="30"/>
  </w:num>
  <w:num w:numId="5">
    <w:abstractNumId w:val="34"/>
  </w:num>
  <w:num w:numId="6">
    <w:abstractNumId w:val="36"/>
  </w:num>
  <w:num w:numId="7">
    <w:abstractNumId w:val="13"/>
  </w:num>
  <w:num w:numId="8">
    <w:abstractNumId w:val="5"/>
  </w:num>
  <w:num w:numId="9">
    <w:abstractNumId w:val="10"/>
  </w:num>
  <w:num w:numId="10">
    <w:abstractNumId w:val="14"/>
  </w:num>
  <w:num w:numId="11">
    <w:abstractNumId w:val="24"/>
  </w:num>
  <w:num w:numId="12">
    <w:abstractNumId w:val="9"/>
  </w:num>
  <w:num w:numId="13">
    <w:abstractNumId w:val="27"/>
  </w:num>
  <w:num w:numId="14">
    <w:abstractNumId w:val="21"/>
  </w:num>
  <w:num w:numId="15">
    <w:abstractNumId w:val="17"/>
  </w:num>
  <w:num w:numId="16">
    <w:abstractNumId w:val="6"/>
  </w:num>
  <w:num w:numId="17">
    <w:abstractNumId w:val="13"/>
  </w:num>
  <w:num w:numId="18">
    <w:abstractNumId w:val="38"/>
  </w:num>
  <w:num w:numId="19">
    <w:abstractNumId w:val="35"/>
  </w:num>
  <w:num w:numId="20">
    <w:abstractNumId w:val="26"/>
  </w:num>
  <w:num w:numId="21">
    <w:abstractNumId w:val="16"/>
  </w:num>
  <w:num w:numId="22">
    <w:abstractNumId w:val="11"/>
  </w:num>
  <w:num w:numId="23">
    <w:abstractNumId w:val="39"/>
  </w:num>
  <w:num w:numId="24">
    <w:abstractNumId w:val="19"/>
  </w:num>
  <w:num w:numId="25">
    <w:abstractNumId w:val="32"/>
  </w:num>
  <w:num w:numId="26">
    <w:abstractNumId w:val="28"/>
  </w:num>
  <w:num w:numId="27">
    <w:abstractNumId w:val="1"/>
  </w:num>
  <w:num w:numId="28">
    <w:abstractNumId w:val="2"/>
  </w:num>
  <w:num w:numId="29">
    <w:abstractNumId w:val="25"/>
  </w:num>
  <w:num w:numId="30">
    <w:abstractNumId w:val="31"/>
  </w:num>
  <w:num w:numId="31">
    <w:abstractNumId w:val="20"/>
  </w:num>
  <w:num w:numId="32">
    <w:abstractNumId w:val="33"/>
  </w:num>
  <w:num w:numId="33">
    <w:abstractNumId w:val="3"/>
  </w:num>
  <w:num w:numId="34">
    <w:abstractNumId w:val="12"/>
  </w:num>
  <w:num w:numId="35">
    <w:abstractNumId w:val="23"/>
  </w:num>
  <w:num w:numId="36">
    <w:abstractNumId w:val="37"/>
  </w:num>
  <w:num w:numId="37">
    <w:abstractNumId w:val="29"/>
  </w:num>
  <w:num w:numId="38">
    <w:abstractNumId w:val="22"/>
  </w:num>
  <w:num w:numId="39">
    <w:abstractNumId w:val="4"/>
  </w:num>
  <w:num w:numId="40">
    <w:abstractNumId w:val="18"/>
  </w:num>
  <w:num w:numId="41">
    <w:abstractNumId w:val="0"/>
  </w:num>
  <w:num w:numId="42">
    <w:abstractNumId w:val="40"/>
  </w:num>
  <w:num w:numId="43">
    <w:abstractNumId w:val="41"/>
  </w:num>
  <w:num w:numId="44">
    <w:abstractNumId w:val="42"/>
  </w:num>
  <w:num w:numId="45">
    <w:abstractNumId w:val="43"/>
  </w:num>
  <w:num w:numId="46">
    <w:abstractNumId w:val="44"/>
  </w:num>
  <w:num w:numId="47">
    <w:abstractNumId w:val="45"/>
  </w:num>
  <w:num w:numId="48">
    <w:abstractNumId w:val="46"/>
  </w:num>
  <w:num w:numId="49">
    <w:abstractNumId w:val="47"/>
  </w:num>
  <w:num w:numId="50">
    <w:abstractNumId w:val="48"/>
  </w:num>
  <w:num w:numId="51">
    <w:abstractNumId w:val="49"/>
  </w:num>
  <w:num w:numId="52">
    <w:abstractNumId w:val="50"/>
  </w:num>
  <w:num w:numId="53">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67">
    <w:name w:val="Table Grid Light"/>
    <w:basedOn w:val="103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Plain Table 1"/>
    <w:basedOn w:val="103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Plain Table 2"/>
    <w:basedOn w:val="103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Plain Table 3"/>
    <w:basedOn w:val="103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Plain Table 4"/>
    <w:basedOn w:val="103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Plain Table 5"/>
    <w:basedOn w:val="103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1 Light"/>
    <w:basedOn w:val="103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1 Light - Accent 1"/>
    <w:basedOn w:val="103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1 Light - Accent 2"/>
    <w:basedOn w:val="103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1 Light - Accent 3"/>
    <w:basedOn w:val="103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1 Light - Accent 4"/>
    <w:basedOn w:val="103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1 Light - Accent 5"/>
    <w:basedOn w:val="103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1 Light - Accent 6"/>
    <w:basedOn w:val="103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2"/>
    <w:basedOn w:val="103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2 - Accent 1"/>
    <w:basedOn w:val="103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2 - Accent 2"/>
    <w:basedOn w:val="103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2 - Accent 3"/>
    <w:basedOn w:val="103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2 - Accent 4"/>
    <w:basedOn w:val="103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2 - Accent 5"/>
    <w:basedOn w:val="103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2 - Accent 6"/>
    <w:basedOn w:val="103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3"/>
    <w:basedOn w:val="103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3 - Accent 1"/>
    <w:basedOn w:val="103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3 - Accent 2"/>
    <w:basedOn w:val="103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3 - Accent 3"/>
    <w:basedOn w:val="103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3 - Accent 4"/>
    <w:basedOn w:val="103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3 - Accent 5"/>
    <w:basedOn w:val="103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3 - Accent 6"/>
    <w:basedOn w:val="103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4"/>
    <w:basedOn w:val="103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4 - Accent 1"/>
    <w:basedOn w:val="103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4 - Accent 2"/>
    <w:basedOn w:val="103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4 - Accent 3"/>
    <w:basedOn w:val="103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4 - Accent 4"/>
    <w:basedOn w:val="103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4 - Accent 5"/>
    <w:basedOn w:val="103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Grid Table 4 - Accent 6"/>
    <w:basedOn w:val="103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Grid Table 5 Dark"/>
    <w:basedOn w:val="103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Grid Table 5 Dark- Accent 1"/>
    <w:basedOn w:val="103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Grid Table 5 Dark - Accent 2"/>
    <w:basedOn w:val="103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Grid Table 5 Dark - Accent 3"/>
    <w:basedOn w:val="103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Grid Table 5 Dark- Accent 4"/>
    <w:basedOn w:val="103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Grid Table 5 Dark - Accent 5"/>
    <w:basedOn w:val="103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Grid Table 5 Dark - Accent 6"/>
    <w:basedOn w:val="103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Grid Table 6 Colorful"/>
    <w:basedOn w:val="103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909">
    <w:name w:val="Grid Table 6 Colorful - Accent 1"/>
    <w:basedOn w:val="103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910">
    <w:name w:val="Grid Table 6 Colorful - Accent 2"/>
    <w:basedOn w:val="103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911">
    <w:name w:val="Grid Table 6 Colorful - Accent 3"/>
    <w:basedOn w:val="103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12">
    <w:name w:val="Grid Table 6 Colorful - Accent 4"/>
    <w:basedOn w:val="103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13">
    <w:name w:val="Grid Table 6 Colorful - Accent 5"/>
    <w:basedOn w:val="103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14">
    <w:name w:val="Grid Table 6 Colorful - Accent 6"/>
    <w:basedOn w:val="103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15">
    <w:name w:val="Grid Table 7 Colorful"/>
    <w:basedOn w:val="103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Grid Table 7 Colorful - Accent 1"/>
    <w:basedOn w:val="103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Grid Table 7 Colorful - Accent 2"/>
    <w:basedOn w:val="103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Grid Table 7 Colorful - Accent 3"/>
    <w:basedOn w:val="103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Grid Table 7 Colorful - Accent 4"/>
    <w:basedOn w:val="103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Grid Table 7 Colorful - Accent 5"/>
    <w:basedOn w:val="103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Grid Table 7 Colorful - Accent 6"/>
    <w:basedOn w:val="103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1 Light"/>
    <w:basedOn w:val="103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1 Light - Accent 1"/>
    <w:basedOn w:val="103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1 Light - Accent 2"/>
    <w:basedOn w:val="103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1 Light - Accent 3"/>
    <w:basedOn w:val="103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1 Light - Accent 4"/>
    <w:basedOn w:val="103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1 Light - Accent 5"/>
    <w:basedOn w:val="103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1 Light - Accent 6"/>
    <w:basedOn w:val="103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2"/>
    <w:basedOn w:val="103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2 - Accent 1"/>
    <w:basedOn w:val="103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2 - Accent 2"/>
    <w:basedOn w:val="103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2 - Accent 3"/>
    <w:basedOn w:val="103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2 - Accent 4"/>
    <w:basedOn w:val="103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2 - Accent 5"/>
    <w:basedOn w:val="103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2 - Accent 6"/>
    <w:basedOn w:val="103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3"/>
    <w:basedOn w:val="103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3 - Accent 1"/>
    <w:basedOn w:val="103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3 - Accent 2"/>
    <w:basedOn w:val="103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3 - Accent 3"/>
    <w:basedOn w:val="103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3 - Accent 4"/>
    <w:basedOn w:val="103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3 - Accent 5"/>
    <w:basedOn w:val="103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3 - Accent 6"/>
    <w:basedOn w:val="103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st Table 4"/>
    <w:basedOn w:val="103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4 - Accent 1"/>
    <w:basedOn w:val="103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st Table 4 - Accent 2"/>
    <w:basedOn w:val="103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st Table 4 - Accent 3"/>
    <w:basedOn w:val="103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st Table 4 - Accent 4"/>
    <w:basedOn w:val="103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st Table 4 - Accent 5"/>
    <w:basedOn w:val="103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st Table 4 - Accent 6"/>
    <w:basedOn w:val="103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st Table 5 Dark"/>
    <w:basedOn w:val="103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51">
    <w:name w:val="List Table 5 Dark - Accent 1"/>
    <w:basedOn w:val="103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52">
    <w:name w:val="List Table 5 Dark - Accent 2"/>
    <w:basedOn w:val="103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53">
    <w:name w:val="List Table 5 Dark - Accent 3"/>
    <w:basedOn w:val="103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54">
    <w:name w:val="List Table 5 Dark - Accent 4"/>
    <w:basedOn w:val="103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55">
    <w:name w:val="List Table 5 Dark - Accent 5"/>
    <w:basedOn w:val="103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56">
    <w:name w:val="List Table 5 Dark - Accent 6"/>
    <w:basedOn w:val="103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57">
    <w:name w:val="List Table 6 Colorful"/>
    <w:basedOn w:val="103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List Table 6 Colorful - Accent 1"/>
    <w:basedOn w:val="103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List Table 6 Colorful - Accent 2"/>
    <w:basedOn w:val="103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List Table 6 Colorful - Accent 3"/>
    <w:basedOn w:val="103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List Table 6 Colorful - Accent 4"/>
    <w:basedOn w:val="103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List Table 6 Colorful - Accent 5"/>
    <w:basedOn w:val="103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List Table 6 Colorful - Accent 6"/>
    <w:basedOn w:val="103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List Table 7 Colorful"/>
    <w:basedOn w:val="103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65">
    <w:name w:val="List Table 7 Colorful - Accent 1"/>
    <w:basedOn w:val="103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66">
    <w:name w:val="List Table 7 Colorful - Accent 2"/>
    <w:basedOn w:val="103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67">
    <w:name w:val="List Table 7 Colorful - Accent 3"/>
    <w:basedOn w:val="103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68">
    <w:name w:val="List Table 7 Colorful - Accent 4"/>
    <w:basedOn w:val="103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69">
    <w:name w:val="List Table 7 Colorful - Accent 5"/>
    <w:basedOn w:val="103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70">
    <w:name w:val="List Table 7 Colorful - Accent 6"/>
    <w:basedOn w:val="103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71">
    <w:name w:val="Lined - Accent"/>
    <w:basedOn w:val="103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name w:val="Lined - Accent 1"/>
    <w:basedOn w:val="103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name w:val="Lined - Accent 2"/>
    <w:basedOn w:val="103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name w:val="Lined - Accent 3"/>
    <w:basedOn w:val="103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name w:val="Lined - Accent 4"/>
    <w:basedOn w:val="103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name w:val="Lined - Accent 5"/>
    <w:basedOn w:val="103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name w:val="Lined - Accent 6"/>
    <w:basedOn w:val="103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name w:val="Bordered &amp; Lined - Accent"/>
    <w:basedOn w:val="103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name w:val="Bordered &amp; Lined - Accent 1"/>
    <w:basedOn w:val="103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name w:val="Bordered &amp; Lined - Accent 2"/>
    <w:basedOn w:val="103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1">
    <w:name w:val="Bordered &amp; Lined - Accent 3"/>
    <w:basedOn w:val="103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2">
    <w:name w:val="Bordered &amp; Lined - Accent 4"/>
    <w:basedOn w:val="103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3">
    <w:name w:val="Bordered &amp; Lined - Accent 5"/>
    <w:basedOn w:val="103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4">
    <w:name w:val="Bordered &amp; Lined - Accent 6"/>
    <w:basedOn w:val="103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5">
    <w:name w:val="Bordered"/>
    <w:basedOn w:val="103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6">
    <w:name w:val="Bordered - Accent 1"/>
    <w:basedOn w:val="103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7">
    <w:name w:val="Bordered - Accent 2"/>
    <w:basedOn w:val="103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8">
    <w:name w:val="Bordered - Accent 3"/>
    <w:basedOn w:val="103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9">
    <w:name w:val="Bordered - Accent 4"/>
    <w:basedOn w:val="103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0">
    <w:name w:val="Bordered - Accent 5"/>
    <w:basedOn w:val="103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1">
    <w:name w:val="Bordered - Accent 6"/>
    <w:basedOn w:val="103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92">
    <w:name w:val="Heading 5"/>
    <w:basedOn w:val="1033"/>
    <w:next w:val="1033"/>
    <w:link w:val="99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93">
    <w:name w:val="Heading 6"/>
    <w:basedOn w:val="1033"/>
    <w:next w:val="1033"/>
    <w:link w:val="99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94">
    <w:name w:val="Heading 7"/>
    <w:basedOn w:val="1033"/>
    <w:next w:val="1033"/>
    <w:link w:val="99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95">
    <w:name w:val="Heading 8"/>
    <w:basedOn w:val="1033"/>
    <w:next w:val="1033"/>
    <w:link w:val="100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96">
    <w:name w:val="Heading 9"/>
    <w:basedOn w:val="1033"/>
    <w:next w:val="1033"/>
    <w:link w:val="100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97">
    <w:name w:val="Heading 5 Char"/>
    <w:basedOn w:val="1038"/>
    <w:link w:val="992"/>
    <w:uiPriority w:val="9"/>
    <w:pPr>
      <w:pBdr/>
      <w:spacing/>
      <w:ind/>
    </w:pPr>
    <w:rPr>
      <w:rFonts w:ascii="Arial" w:hAnsi="Arial" w:eastAsia="Arial" w:cs="Arial"/>
      <w:color w:val="0f4761" w:themeColor="accent1" w:themeShade="BF"/>
    </w:rPr>
  </w:style>
  <w:style w:type="character" w:styleId="998">
    <w:name w:val="Heading 6 Char"/>
    <w:basedOn w:val="1038"/>
    <w:link w:val="993"/>
    <w:uiPriority w:val="9"/>
    <w:pPr>
      <w:pBdr/>
      <w:spacing/>
      <w:ind/>
    </w:pPr>
    <w:rPr>
      <w:rFonts w:ascii="Arial" w:hAnsi="Arial" w:eastAsia="Arial" w:cs="Arial"/>
      <w:i/>
      <w:iCs/>
      <w:color w:val="595959" w:themeColor="text1" w:themeTint="A6"/>
    </w:rPr>
  </w:style>
  <w:style w:type="character" w:styleId="999">
    <w:name w:val="Heading 7 Char"/>
    <w:basedOn w:val="1038"/>
    <w:link w:val="994"/>
    <w:uiPriority w:val="9"/>
    <w:pPr>
      <w:pBdr/>
      <w:spacing/>
      <w:ind/>
    </w:pPr>
    <w:rPr>
      <w:rFonts w:ascii="Arial" w:hAnsi="Arial" w:eastAsia="Arial" w:cs="Arial"/>
      <w:color w:val="595959" w:themeColor="text1" w:themeTint="A6"/>
    </w:rPr>
  </w:style>
  <w:style w:type="character" w:styleId="1000">
    <w:name w:val="Heading 8 Char"/>
    <w:basedOn w:val="1038"/>
    <w:link w:val="995"/>
    <w:uiPriority w:val="9"/>
    <w:pPr>
      <w:pBdr/>
      <w:spacing/>
      <w:ind/>
    </w:pPr>
    <w:rPr>
      <w:rFonts w:ascii="Arial" w:hAnsi="Arial" w:eastAsia="Arial" w:cs="Arial"/>
      <w:i/>
      <w:iCs/>
      <w:color w:val="272727" w:themeColor="text1" w:themeTint="D8"/>
    </w:rPr>
  </w:style>
  <w:style w:type="character" w:styleId="1001">
    <w:name w:val="Heading 9 Char"/>
    <w:basedOn w:val="1038"/>
    <w:link w:val="996"/>
    <w:uiPriority w:val="9"/>
    <w:pPr>
      <w:pBdr/>
      <w:spacing/>
      <w:ind/>
    </w:pPr>
    <w:rPr>
      <w:rFonts w:ascii="Arial" w:hAnsi="Arial" w:eastAsia="Arial" w:cs="Arial"/>
      <w:i/>
      <w:iCs/>
      <w:color w:val="272727" w:themeColor="text1" w:themeTint="D8"/>
    </w:rPr>
  </w:style>
  <w:style w:type="paragraph" w:styleId="1002">
    <w:name w:val="Subtitle"/>
    <w:basedOn w:val="1033"/>
    <w:next w:val="1033"/>
    <w:link w:val="1003"/>
    <w:uiPriority w:val="11"/>
    <w:qFormat/>
    <w:pPr>
      <w:numPr>
        <w:ilvl w:val="1"/>
      </w:numPr>
      <w:pBdr/>
      <w:spacing/>
      <w:ind/>
    </w:pPr>
    <w:rPr>
      <w:color w:val="595959" w:themeColor="text1" w:themeTint="A6"/>
      <w:spacing w:val="15"/>
      <w:sz w:val="28"/>
      <w:szCs w:val="28"/>
    </w:rPr>
  </w:style>
  <w:style w:type="character" w:styleId="1003">
    <w:name w:val="Subtitle Char"/>
    <w:basedOn w:val="1038"/>
    <w:link w:val="1002"/>
    <w:uiPriority w:val="11"/>
    <w:pPr>
      <w:pBdr/>
      <w:spacing/>
      <w:ind/>
    </w:pPr>
    <w:rPr>
      <w:color w:val="595959" w:themeColor="text1" w:themeTint="A6"/>
      <w:spacing w:val="15"/>
      <w:sz w:val="28"/>
      <w:szCs w:val="28"/>
    </w:rPr>
  </w:style>
  <w:style w:type="paragraph" w:styleId="1004">
    <w:name w:val="Quote"/>
    <w:basedOn w:val="1033"/>
    <w:next w:val="1033"/>
    <w:link w:val="1005"/>
    <w:uiPriority w:val="29"/>
    <w:qFormat/>
    <w:pPr>
      <w:pBdr/>
      <w:spacing w:before="160"/>
      <w:ind/>
      <w:jc w:val="center"/>
    </w:pPr>
    <w:rPr>
      <w:i/>
      <w:iCs/>
      <w:color w:val="404040" w:themeColor="text1" w:themeTint="BF"/>
    </w:rPr>
  </w:style>
  <w:style w:type="character" w:styleId="1005">
    <w:name w:val="Quote Char"/>
    <w:basedOn w:val="1038"/>
    <w:link w:val="1004"/>
    <w:uiPriority w:val="29"/>
    <w:pPr>
      <w:pBdr/>
      <w:spacing/>
      <w:ind/>
    </w:pPr>
    <w:rPr>
      <w:i/>
      <w:iCs/>
      <w:color w:val="404040" w:themeColor="text1" w:themeTint="BF"/>
    </w:rPr>
  </w:style>
  <w:style w:type="character" w:styleId="1006">
    <w:name w:val="Intense Emphasis"/>
    <w:basedOn w:val="1038"/>
    <w:uiPriority w:val="21"/>
    <w:qFormat/>
    <w:pPr>
      <w:pBdr/>
      <w:spacing/>
      <w:ind/>
    </w:pPr>
    <w:rPr>
      <w:i/>
      <w:iCs/>
      <w:color w:val="0f4761" w:themeColor="accent1" w:themeShade="BF"/>
    </w:rPr>
  </w:style>
  <w:style w:type="paragraph" w:styleId="1007">
    <w:name w:val="Intense Quote"/>
    <w:basedOn w:val="1033"/>
    <w:next w:val="1033"/>
    <w:link w:val="100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008">
    <w:name w:val="Intense Quote Char"/>
    <w:basedOn w:val="1038"/>
    <w:link w:val="1007"/>
    <w:uiPriority w:val="30"/>
    <w:pPr>
      <w:pBdr/>
      <w:spacing/>
      <w:ind/>
    </w:pPr>
    <w:rPr>
      <w:i/>
      <w:iCs/>
      <w:color w:val="0f4761" w:themeColor="accent1" w:themeShade="BF"/>
    </w:rPr>
  </w:style>
  <w:style w:type="character" w:styleId="1009">
    <w:name w:val="Intense Reference"/>
    <w:basedOn w:val="1038"/>
    <w:uiPriority w:val="32"/>
    <w:qFormat/>
    <w:pPr>
      <w:pBdr/>
      <w:spacing/>
      <w:ind/>
    </w:pPr>
    <w:rPr>
      <w:b/>
      <w:bCs/>
      <w:smallCaps/>
      <w:color w:val="0f4761" w:themeColor="accent1" w:themeShade="BF"/>
      <w:spacing w:val="5"/>
    </w:rPr>
  </w:style>
  <w:style w:type="paragraph" w:styleId="1010">
    <w:name w:val="No Spacing"/>
    <w:basedOn w:val="1033"/>
    <w:uiPriority w:val="1"/>
    <w:qFormat/>
    <w:pPr>
      <w:pBdr/>
      <w:spacing w:after="0" w:line="240" w:lineRule="auto"/>
      <w:ind/>
    </w:pPr>
  </w:style>
  <w:style w:type="character" w:styleId="1011">
    <w:name w:val="Subtle Emphasis"/>
    <w:basedOn w:val="1038"/>
    <w:uiPriority w:val="19"/>
    <w:qFormat/>
    <w:pPr>
      <w:pBdr/>
      <w:spacing/>
      <w:ind/>
    </w:pPr>
    <w:rPr>
      <w:i/>
      <w:iCs/>
      <w:color w:val="404040" w:themeColor="text1" w:themeTint="BF"/>
    </w:rPr>
  </w:style>
  <w:style w:type="character" w:styleId="1012">
    <w:name w:val="Subtle Reference"/>
    <w:basedOn w:val="1038"/>
    <w:uiPriority w:val="31"/>
    <w:qFormat/>
    <w:pPr>
      <w:pBdr/>
      <w:spacing/>
      <w:ind/>
    </w:pPr>
    <w:rPr>
      <w:smallCaps/>
      <w:color w:val="5a5a5a" w:themeColor="text1" w:themeTint="A5"/>
    </w:rPr>
  </w:style>
  <w:style w:type="character" w:styleId="1013">
    <w:name w:val="Book Title"/>
    <w:basedOn w:val="1038"/>
    <w:uiPriority w:val="33"/>
    <w:qFormat/>
    <w:pPr>
      <w:pBdr/>
      <w:spacing/>
      <w:ind/>
    </w:pPr>
    <w:rPr>
      <w:b/>
      <w:bCs/>
      <w:i/>
      <w:iCs/>
      <w:spacing w:val="5"/>
    </w:rPr>
  </w:style>
  <w:style w:type="paragraph" w:styleId="1014">
    <w:name w:val="Caption"/>
    <w:basedOn w:val="1033"/>
    <w:next w:val="1033"/>
    <w:uiPriority w:val="35"/>
    <w:unhideWhenUsed/>
    <w:qFormat/>
    <w:pPr>
      <w:pBdr/>
      <w:spacing w:after="200" w:line="240" w:lineRule="auto"/>
      <w:ind/>
    </w:pPr>
    <w:rPr>
      <w:i/>
      <w:iCs/>
      <w:color w:val="0e2841" w:themeColor="text2"/>
      <w:sz w:val="18"/>
      <w:szCs w:val="18"/>
    </w:rPr>
  </w:style>
  <w:style w:type="paragraph" w:styleId="1015">
    <w:name w:val="footnote text"/>
    <w:basedOn w:val="1033"/>
    <w:link w:val="1016"/>
    <w:uiPriority w:val="99"/>
    <w:semiHidden/>
    <w:unhideWhenUsed/>
    <w:pPr>
      <w:pBdr/>
      <w:spacing w:after="0" w:line="240" w:lineRule="auto"/>
      <w:ind/>
    </w:pPr>
    <w:rPr>
      <w:sz w:val="20"/>
      <w:szCs w:val="20"/>
    </w:rPr>
  </w:style>
  <w:style w:type="character" w:styleId="1016">
    <w:name w:val="Footnote Text Char"/>
    <w:basedOn w:val="1038"/>
    <w:link w:val="1015"/>
    <w:uiPriority w:val="99"/>
    <w:semiHidden/>
    <w:pPr>
      <w:pBdr/>
      <w:spacing/>
      <w:ind/>
    </w:pPr>
    <w:rPr>
      <w:sz w:val="20"/>
      <w:szCs w:val="20"/>
    </w:rPr>
  </w:style>
  <w:style w:type="character" w:styleId="1017">
    <w:name w:val="footnote reference"/>
    <w:basedOn w:val="1038"/>
    <w:uiPriority w:val="99"/>
    <w:semiHidden/>
    <w:unhideWhenUsed/>
    <w:pPr>
      <w:pBdr/>
      <w:spacing/>
      <w:ind/>
    </w:pPr>
    <w:rPr>
      <w:vertAlign w:val="superscript"/>
    </w:rPr>
  </w:style>
  <w:style w:type="paragraph" w:styleId="1018">
    <w:name w:val="endnote text"/>
    <w:basedOn w:val="1033"/>
    <w:link w:val="1019"/>
    <w:uiPriority w:val="99"/>
    <w:semiHidden/>
    <w:unhideWhenUsed/>
    <w:pPr>
      <w:pBdr/>
      <w:spacing w:after="0" w:line="240" w:lineRule="auto"/>
      <w:ind/>
    </w:pPr>
    <w:rPr>
      <w:sz w:val="20"/>
      <w:szCs w:val="20"/>
    </w:rPr>
  </w:style>
  <w:style w:type="character" w:styleId="1019">
    <w:name w:val="Endnote Text Char"/>
    <w:basedOn w:val="1038"/>
    <w:link w:val="1018"/>
    <w:uiPriority w:val="99"/>
    <w:semiHidden/>
    <w:pPr>
      <w:pBdr/>
      <w:spacing/>
      <w:ind/>
    </w:pPr>
    <w:rPr>
      <w:sz w:val="20"/>
      <w:szCs w:val="20"/>
    </w:rPr>
  </w:style>
  <w:style w:type="character" w:styleId="1020">
    <w:name w:val="endnote reference"/>
    <w:basedOn w:val="1038"/>
    <w:uiPriority w:val="99"/>
    <w:semiHidden/>
    <w:unhideWhenUsed/>
    <w:pPr>
      <w:pBdr/>
      <w:spacing/>
      <w:ind/>
    </w:pPr>
    <w:rPr>
      <w:vertAlign w:val="superscript"/>
    </w:rPr>
  </w:style>
  <w:style w:type="paragraph" w:styleId="1021">
    <w:name w:val="toc 1"/>
    <w:basedOn w:val="1033"/>
    <w:next w:val="1033"/>
    <w:uiPriority w:val="39"/>
    <w:unhideWhenUsed/>
    <w:pPr>
      <w:pBdr/>
      <w:spacing w:after="100"/>
      <w:ind/>
    </w:pPr>
  </w:style>
  <w:style w:type="paragraph" w:styleId="1022">
    <w:name w:val="toc 2"/>
    <w:basedOn w:val="1033"/>
    <w:next w:val="1033"/>
    <w:uiPriority w:val="39"/>
    <w:unhideWhenUsed/>
    <w:pPr>
      <w:pBdr/>
      <w:spacing w:after="100"/>
      <w:ind w:left="220"/>
    </w:pPr>
  </w:style>
  <w:style w:type="paragraph" w:styleId="1023">
    <w:name w:val="toc 3"/>
    <w:basedOn w:val="1033"/>
    <w:next w:val="1033"/>
    <w:uiPriority w:val="39"/>
    <w:unhideWhenUsed/>
    <w:pPr>
      <w:pBdr/>
      <w:spacing w:after="100"/>
      <w:ind w:left="440"/>
    </w:pPr>
  </w:style>
  <w:style w:type="paragraph" w:styleId="1024">
    <w:name w:val="toc 4"/>
    <w:basedOn w:val="1033"/>
    <w:next w:val="1033"/>
    <w:uiPriority w:val="39"/>
    <w:unhideWhenUsed/>
    <w:pPr>
      <w:pBdr/>
      <w:spacing w:after="100"/>
      <w:ind w:left="660"/>
    </w:pPr>
  </w:style>
  <w:style w:type="paragraph" w:styleId="1025">
    <w:name w:val="toc 5"/>
    <w:basedOn w:val="1033"/>
    <w:next w:val="1033"/>
    <w:uiPriority w:val="39"/>
    <w:unhideWhenUsed/>
    <w:pPr>
      <w:pBdr/>
      <w:spacing w:after="100"/>
      <w:ind w:left="880"/>
    </w:pPr>
  </w:style>
  <w:style w:type="paragraph" w:styleId="1026">
    <w:name w:val="toc 6"/>
    <w:basedOn w:val="1033"/>
    <w:next w:val="1033"/>
    <w:uiPriority w:val="39"/>
    <w:unhideWhenUsed/>
    <w:pPr>
      <w:pBdr/>
      <w:spacing w:after="100"/>
      <w:ind w:left="1100"/>
    </w:pPr>
  </w:style>
  <w:style w:type="paragraph" w:styleId="1027">
    <w:name w:val="toc 7"/>
    <w:basedOn w:val="1033"/>
    <w:next w:val="1033"/>
    <w:uiPriority w:val="39"/>
    <w:unhideWhenUsed/>
    <w:pPr>
      <w:pBdr/>
      <w:spacing w:after="100"/>
      <w:ind w:left="1320"/>
    </w:pPr>
  </w:style>
  <w:style w:type="paragraph" w:styleId="1028">
    <w:name w:val="toc 8"/>
    <w:basedOn w:val="1033"/>
    <w:next w:val="1033"/>
    <w:uiPriority w:val="39"/>
    <w:unhideWhenUsed/>
    <w:pPr>
      <w:pBdr/>
      <w:spacing w:after="100"/>
      <w:ind w:left="1540"/>
    </w:pPr>
  </w:style>
  <w:style w:type="paragraph" w:styleId="1029">
    <w:name w:val="toc 9"/>
    <w:basedOn w:val="1033"/>
    <w:next w:val="1033"/>
    <w:uiPriority w:val="39"/>
    <w:unhideWhenUsed/>
    <w:pPr>
      <w:pBdr/>
      <w:spacing w:after="100"/>
      <w:ind w:left="1760"/>
    </w:pPr>
  </w:style>
  <w:style w:type="character" w:styleId="1030">
    <w:name w:val="Placeholder Text"/>
    <w:basedOn w:val="1038"/>
    <w:uiPriority w:val="99"/>
    <w:semiHidden/>
    <w:pPr>
      <w:pBdr/>
      <w:spacing/>
      <w:ind/>
    </w:pPr>
    <w:rPr>
      <w:color w:val="666666"/>
    </w:rPr>
  </w:style>
  <w:style w:type="paragraph" w:styleId="1031">
    <w:name w:val="TOC Heading"/>
    <w:uiPriority w:val="39"/>
    <w:unhideWhenUsed/>
    <w:pPr>
      <w:pBdr/>
      <w:spacing/>
      <w:ind/>
    </w:pPr>
  </w:style>
  <w:style w:type="paragraph" w:styleId="1032">
    <w:name w:val="table of figures"/>
    <w:basedOn w:val="1033"/>
    <w:next w:val="1033"/>
    <w:uiPriority w:val="99"/>
    <w:unhideWhenUsed/>
    <w:pPr>
      <w:pBdr/>
      <w:spacing w:after="0" w:afterAutospacing="0"/>
      <w:ind/>
    </w:pPr>
  </w:style>
  <w:style w:type="paragraph" w:styleId="1033" w:default="1">
    <w:name w:val="Normal"/>
    <w:qFormat/>
    <w:pPr>
      <w:pBdr/>
      <w:spacing w:after="0" w:line="240" w:lineRule="auto"/>
      <w:ind/>
    </w:pPr>
    <w:rPr>
      <w:rFonts w:ascii="Times New Roman" w:hAnsi="Times New Roman" w:eastAsia="Times New Roman" w:cs="Times New Roman"/>
      <w:sz w:val="24"/>
      <w:szCs w:val="24"/>
    </w:rPr>
  </w:style>
  <w:style w:type="paragraph" w:styleId="1034">
    <w:name w:val="Heading 1"/>
    <w:basedOn w:val="1033"/>
    <w:next w:val="1033"/>
    <w:link w:val="1041"/>
    <w:qFormat/>
    <w:pPr>
      <w:keepNext w:val="true"/>
      <w:pBdr/>
      <w:spacing w:after="120" w:before="120"/>
      <w:ind/>
      <w:jc w:val="center"/>
      <w:outlineLvl w:val="0"/>
    </w:pPr>
    <w:rPr>
      <w:b/>
      <w:bCs/>
      <w:sz w:val="27"/>
      <w:szCs w:val="27"/>
    </w:rPr>
  </w:style>
  <w:style w:type="paragraph" w:styleId="1035">
    <w:name w:val="Heading 2"/>
    <w:basedOn w:val="1033"/>
    <w:next w:val="1033"/>
    <w:link w:val="104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36">
    <w:name w:val="Heading 3"/>
    <w:basedOn w:val="1033"/>
    <w:next w:val="1033"/>
    <w:link w:val="1043"/>
    <w:qFormat/>
    <w:pPr>
      <w:keepNext w:val="true"/>
      <w:pBdr/>
      <w:spacing w:before="60"/>
      <w:ind/>
      <w:outlineLvl w:val="2"/>
    </w:pPr>
    <w:rPr>
      <w:sz w:val="28"/>
      <w:szCs w:val="28"/>
    </w:rPr>
  </w:style>
  <w:style w:type="paragraph" w:styleId="1037">
    <w:name w:val="Heading 4"/>
    <w:basedOn w:val="1033"/>
    <w:next w:val="1033"/>
    <w:link w:val="1044"/>
    <w:qFormat/>
    <w:pPr>
      <w:keepNext w:val="true"/>
      <w:pBdr/>
      <w:spacing/>
      <w:ind/>
      <w:jc w:val="center"/>
      <w:outlineLvl w:val="3"/>
    </w:pPr>
    <w:rPr>
      <w:b/>
      <w:bCs/>
    </w:rPr>
  </w:style>
  <w:style w:type="character" w:styleId="1038" w:default="1">
    <w:name w:val="Default Paragraph Font"/>
    <w:uiPriority w:val="1"/>
    <w:semiHidden/>
    <w:unhideWhenUsed/>
    <w:pPr>
      <w:pBdr/>
      <w:spacing/>
      <w:ind/>
    </w:pPr>
  </w:style>
  <w:style w:type="table" w:styleId="103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40" w:default="1">
    <w:name w:val="No List"/>
    <w:uiPriority w:val="99"/>
    <w:semiHidden/>
    <w:unhideWhenUsed/>
    <w:pPr>
      <w:pBdr/>
      <w:spacing/>
      <w:ind/>
    </w:pPr>
  </w:style>
  <w:style w:type="character" w:styleId="1041" w:customStyle="1">
    <w:name w:val="Heading 1 Char"/>
    <w:basedOn w:val="1038"/>
    <w:link w:val="1034"/>
    <w:pPr>
      <w:pBdr/>
      <w:spacing/>
      <w:ind/>
    </w:pPr>
    <w:rPr>
      <w:rFonts w:ascii="Times New Roman" w:hAnsi="Times New Roman" w:eastAsia="Times New Roman" w:cs="Times New Roman"/>
      <w:b/>
      <w:bCs/>
      <w:sz w:val="27"/>
      <w:szCs w:val="27"/>
    </w:rPr>
  </w:style>
  <w:style w:type="character" w:styleId="1042" w:customStyle="1">
    <w:name w:val="Heading 2 Char"/>
    <w:basedOn w:val="1038"/>
    <w:link w:val="1035"/>
    <w:uiPriority w:val="9"/>
    <w:pPr>
      <w:pBdr/>
      <w:spacing/>
      <w:ind/>
    </w:pPr>
    <w:rPr>
      <w:rFonts w:asciiTheme="majorHAnsi" w:hAnsiTheme="majorHAnsi" w:eastAsiaTheme="majorEastAsia" w:cstheme="majorBidi"/>
      <w:color w:val="365f91" w:themeColor="accent1" w:themeShade="BF"/>
      <w:sz w:val="26"/>
      <w:szCs w:val="26"/>
    </w:rPr>
  </w:style>
  <w:style w:type="character" w:styleId="1043" w:customStyle="1">
    <w:name w:val="Heading 3 Char"/>
    <w:basedOn w:val="1038"/>
    <w:link w:val="1036"/>
    <w:pPr>
      <w:pBdr/>
      <w:spacing/>
      <w:ind/>
    </w:pPr>
    <w:rPr>
      <w:rFonts w:ascii="Times New Roman" w:hAnsi="Times New Roman" w:eastAsia="Times New Roman" w:cs="Times New Roman"/>
      <w:sz w:val="28"/>
      <w:szCs w:val="28"/>
    </w:rPr>
  </w:style>
  <w:style w:type="character" w:styleId="1044" w:customStyle="1">
    <w:name w:val="Heading 4 Char"/>
    <w:basedOn w:val="1038"/>
    <w:link w:val="1037"/>
    <w:pPr>
      <w:pBdr/>
      <w:spacing/>
      <w:ind/>
    </w:pPr>
    <w:rPr>
      <w:rFonts w:ascii="Times New Roman" w:hAnsi="Times New Roman" w:eastAsia="Times New Roman" w:cs="Times New Roman"/>
      <w:b/>
      <w:bCs/>
      <w:sz w:val="24"/>
      <w:szCs w:val="24"/>
    </w:rPr>
  </w:style>
  <w:style w:type="character" w:styleId="1045">
    <w:name w:val="Hyperlink"/>
    <w:uiPriority w:val="99"/>
    <w:pPr>
      <w:pBdr/>
      <w:spacing/>
      <w:ind/>
    </w:pPr>
    <w:rPr>
      <w:color w:val="000000"/>
      <w:u w:val="single"/>
    </w:rPr>
  </w:style>
  <w:style w:type="character" w:styleId="1046">
    <w:name w:val="Strong"/>
    <w:uiPriority w:val="22"/>
    <w:qFormat/>
    <w:pPr>
      <w:pBdr/>
      <w:spacing/>
      <w:ind/>
    </w:pPr>
    <w:rPr>
      <w:b/>
      <w:bCs/>
    </w:rPr>
  </w:style>
  <w:style w:type="paragraph" w:styleId="1047">
    <w:name w:val="Balloon Text"/>
    <w:basedOn w:val="1033"/>
    <w:link w:val="1048"/>
    <w:uiPriority w:val="99"/>
    <w:semiHidden/>
    <w:unhideWhenUsed/>
    <w:pPr>
      <w:pBdr/>
      <w:spacing/>
      <w:ind/>
    </w:pPr>
    <w:rPr>
      <w:rFonts w:ascii="Tahoma" w:hAnsi="Tahoma" w:cs="Tahoma"/>
      <w:sz w:val="16"/>
      <w:szCs w:val="16"/>
    </w:rPr>
  </w:style>
  <w:style w:type="character" w:styleId="1048" w:customStyle="1">
    <w:name w:val="Balloon Text Char"/>
    <w:basedOn w:val="1038"/>
    <w:link w:val="1047"/>
    <w:uiPriority w:val="99"/>
    <w:semiHidden/>
    <w:pPr>
      <w:pBdr/>
      <w:spacing/>
      <w:ind/>
    </w:pPr>
    <w:rPr>
      <w:rFonts w:ascii="Tahoma" w:hAnsi="Tahoma" w:eastAsia="Times New Roman" w:cs="Tahoma"/>
      <w:sz w:val="16"/>
      <w:szCs w:val="16"/>
    </w:rPr>
  </w:style>
  <w:style w:type="paragraph" w:styleId="1049">
    <w:name w:val="Header"/>
    <w:basedOn w:val="1033"/>
    <w:link w:val="1050"/>
    <w:unhideWhenUsed/>
    <w:pPr>
      <w:pBdr/>
      <w:tabs>
        <w:tab w:val="center" w:leader="none" w:pos="4680"/>
        <w:tab w:val="right" w:leader="none" w:pos="9360"/>
      </w:tabs>
      <w:spacing/>
      <w:ind/>
    </w:pPr>
  </w:style>
  <w:style w:type="character" w:styleId="1050" w:customStyle="1">
    <w:name w:val="Header Char"/>
    <w:basedOn w:val="1038"/>
    <w:link w:val="1049"/>
    <w:pPr>
      <w:pBdr/>
      <w:spacing/>
      <w:ind/>
    </w:pPr>
    <w:rPr>
      <w:rFonts w:ascii="Times New Roman" w:hAnsi="Times New Roman" w:eastAsia="Times New Roman" w:cs="Times New Roman"/>
      <w:sz w:val="24"/>
      <w:szCs w:val="24"/>
    </w:rPr>
  </w:style>
  <w:style w:type="paragraph" w:styleId="1051">
    <w:name w:val="Footer"/>
    <w:basedOn w:val="1033"/>
    <w:link w:val="1052"/>
    <w:uiPriority w:val="99"/>
    <w:unhideWhenUsed/>
    <w:pPr>
      <w:pBdr/>
      <w:tabs>
        <w:tab w:val="center" w:leader="none" w:pos="4680"/>
        <w:tab w:val="right" w:leader="none" w:pos="9360"/>
      </w:tabs>
      <w:spacing/>
      <w:ind/>
    </w:pPr>
  </w:style>
  <w:style w:type="character" w:styleId="1052" w:customStyle="1">
    <w:name w:val="Footer Char"/>
    <w:basedOn w:val="1038"/>
    <w:link w:val="1051"/>
    <w:uiPriority w:val="99"/>
    <w:pPr>
      <w:pBdr/>
      <w:spacing/>
      <w:ind/>
    </w:pPr>
    <w:rPr>
      <w:rFonts w:ascii="Times New Roman" w:hAnsi="Times New Roman" w:eastAsia="Times New Roman" w:cs="Times New Roman"/>
      <w:sz w:val="24"/>
      <w:szCs w:val="24"/>
    </w:rPr>
  </w:style>
  <w:style w:type="character" w:styleId="1053" w:customStyle="1">
    <w:name w:val="normal-h1"/>
    <w:pPr>
      <w:pBdr/>
      <w:spacing/>
      <w:ind/>
    </w:pPr>
    <w:rPr>
      <w:rFonts w:hint="default" w:ascii=".VnTime" w:hAnsi=".VnTime"/>
      <w:color w:val="0000ff"/>
      <w:sz w:val="24"/>
      <w:szCs w:val="24"/>
    </w:rPr>
  </w:style>
  <w:style w:type="paragraph" w:styleId="1054" w:customStyle="1">
    <w:name w:val="normal-p"/>
    <w:basedOn w:val="1033"/>
    <w:pPr>
      <w:pBdr/>
      <w:spacing/>
      <w:ind/>
      <w:jc w:val="both"/>
    </w:pPr>
    <w:rPr>
      <w:sz w:val="20"/>
      <w:szCs w:val="20"/>
    </w:rPr>
  </w:style>
  <w:style w:type="paragraph" w:styleId="1055">
    <w:name w:val="List Paragraph"/>
    <w:basedOn w:val="1033"/>
    <w:link w:val="1142"/>
    <w:uiPriority w:val="34"/>
    <w:qFormat/>
    <w:pPr>
      <w:pBdr/>
      <w:spacing/>
      <w:ind w:left="720"/>
    </w:pPr>
  </w:style>
  <w:style w:type="paragraph" w:styleId="1056">
    <w:name w:val="Normal (Web)"/>
    <w:basedOn w:val="1033"/>
    <w:uiPriority w:val="99"/>
    <w:pPr>
      <w:pBdr/>
      <w:spacing w:after="100" w:afterAutospacing="1" w:before="100" w:beforeAutospacing="1"/>
      <w:ind/>
    </w:pPr>
  </w:style>
  <w:style w:type="paragraph" w:styleId="1057">
    <w:name w:val="Body Text"/>
    <w:basedOn w:val="1033"/>
    <w:link w:val="1058"/>
    <w:pPr>
      <w:pBdr/>
      <w:spacing w:after="120"/>
      <w:ind/>
      <w:jc w:val="both"/>
    </w:pPr>
  </w:style>
  <w:style w:type="character" w:styleId="1058" w:customStyle="1">
    <w:name w:val="Body Text Char"/>
    <w:basedOn w:val="1038"/>
    <w:link w:val="1057"/>
    <w:pPr>
      <w:pBdr/>
      <w:spacing/>
      <w:ind/>
    </w:pPr>
    <w:rPr>
      <w:rFonts w:ascii="Times New Roman" w:hAnsi="Times New Roman" w:eastAsia="Times New Roman" w:cs="Times New Roman"/>
      <w:sz w:val="24"/>
      <w:szCs w:val="24"/>
    </w:rPr>
  </w:style>
  <w:style w:type="table" w:styleId="1059">
    <w:name w:val="Table Grid"/>
    <w:basedOn w:val="103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6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61">
    <w:name w:val="annotation reference"/>
    <w:basedOn w:val="1038"/>
    <w:uiPriority w:val="99"/>
    <w:semiHidden/>
    <w:unhideWhenUsed/>
    <w:pPr>
      <w:pBdr/>
      <w:spacing/>
      <w:ind/>
    </w:pPr>
    <w:rPr>
      <w:sz w:val="16"/>
      <w:szCs w:val="16"/>
    </w:rPr>
  </w:style>
  <w:style w:type="paragraph" w:styleId="1062">
    <w:name w:val="annotation text"/>
    <w:basedOn w:val="1033"/>
    <w:link w:val="1063"/>
    <w:uiPriority w:val="99"/>
    <w:unhideWhenUsed/>
    <w:pPr>
      <w:pBdr/>
      <w:spacing/>
      <w:ind/>
    </w:pPr>
    <w:rPr>
      <w:sz w:val="20"/>
      <w:szCs w:val="20"/>
    </w:rPr>
  </w:style>
  <w:style w:type="character" w:styleId="1063" w:customStyle="1">
    <w:name w:val="Comment Text Char"/>
    <w:basedOn w:val="1038"/>
    <w:link w:val="1062"/>
    <w:uiPriority w:val="99"/>
    <w:pPr>
      <w:pBdr/>
      <w:spacing/>
      <w:ind/>
    </w:pPr>
    <w:rPr>
      <w:rFonts w:ascii="Times New Roman" w:hAnsi="Times New Roman" w:eastAsia="Times New Roman" w:cs="Times New Roman"/>
      <w:sz w:val="20"/>
      <w:szCs w:val="20"/>
    </w:rPr>
  </w:style>
  <w:style w:type="paragraph" w:styleId="1064">
    <w:name w:val="annotation subject"/>
    <w:basedOn w:val="1062"/>
    <w:next w:val="1062"/>
    <w:link w:val="1065"/>
    <w:uiPriority w:val="99"/>
    <w:semiHidden/>
    <w:unhideWhenUsed/>
    <w:pPr>
      <w:pBdr/>
      <w:spacing/>
      <w:ind/>
    </w:pPr>
    <w:rPr>
      <w:b/>
      <w:bCs/>
    </w:rPr>
  </w:style>
  <w:style w:type="character" w:styleId="1065" w:customStyle="1">
    <w:name w:val="Comment Subject Char"/>
    <w:basedOn w:val="1063"/>
    <w:link w:val="1064"/>
    <w:uiPriority w:val="99"/>
    <w:semiHidden/>
    <w:pPr>
      <w:pBdr/>
      <w:spacing/>
      <w:ind/>
    </w:pPr>
    <w:rPr>
      <w:rFonts w:ascii="Times New Roman" w:hAnsi="Times New Roman" w:eastAsia="Times New Roman" w:cs="Times New Roman"/>
      <w:b/>
      <w:bCs/>
      <w:sz w:val="20"/>
      <w:szCs w:val="20"/>
    </w:rPr>
  </w:style>
  <w:style w:type="paragraph" w:styleId="1066" w:customStyle="1">
    <w:name w:val="font5"/>
    <w:basedOn w:val="1033"/>
    <w:pPr>
      <w:pBdr/>
      <w:spacing w:after="100" w:afterAutospacing="1" w:before="100" w:beforeAutospacing="1"/>
      <w:ind/>
    </w:pPr>
    <w:rPr>
      <w:rFonts w:ascii="Tahoma" w:hAnsi="Tahoma" w:cs="Tahoma"/>
      <w:color w:val="000000"/>
      <w:sz w:val="18"/>
      <w:szCs w:val="18"/>
    </w:rPr>
  </w:style>
  <w:style w:type="paragraph" w:styleId="1067" w:customStyle="1">
    <w:name w:val="font6"/>
    <w:basedOn w:val="1033"/>
    <w:pPr>
      <w:pBdr/>
      <w:spacing w:after="100" w:afterAutospacing="1" w:before="100" w:beforeAutospacing="1"/>
      <w:ind/>
    </w:pPr>
    <w:rPr>
      <w:rFonts w:ascii="Tahoma" w:hAnsi="Tahoma" w:cs="Tahoma"/>
      <w:b/>
      <w:bCs/>
      <w:color w:val="000000"/>
      <w:sz w:val="18"/>
      <w:szCs w:val="18"/>
    </w:rPr>
  </w:style>
  <w:style w:type="paragraph" w:styleId="1068" w:customStyle="1">
    <w:name w:val="xl233"/>
    <w:basedOn w:val="103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9" w:customStyle="1">
    <w:name w:val="xl234"/>
    <w:basedOn w:val="1033"/>
    <w:pPr>
      <w:pBdr/>
      <w:spacing w:after="100" w:afterAutospacing="1" w:before="100" w:beforeAutospacing="1"/>
      <w:ind/>
      <w:jc w:val="center"/>
    </w:pPr>
  </w:style>
  <w:style w:type="paragraph" w:styleId="1070" w:customStyle="1">
    <w:name w:val="xl235"/>
    <w:basedOn w:val="1033"/>
    <w:pPr>
      <w:pBdr/>
      <w:spacing w:after="100" w:afterAutospacing="1" w:before="100" w:beforeAutospacing="1"/>
      <w:ind/>
      <w:jc w:val="center"/>
    </w:pPr>
    <w:rPr>
      <w:b/>
      <w:bCs/>
    </w:rPr>
  </w:style>
  <w:style w:type="paragraph" w:styleId="1071" w:customStyle="1">
    <w:name w:val="xl236"/>
    <w:basedOn w:val="103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2" w:customStyle="1">
    <w:name w:val="xl237"/>
    <w:basedOn w:val="103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3" w:customStyle="1">
    <w:name w:val="xl238"/>
    <w:basedOn w:val="103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4" w:customStyle="1">
    <w:name w:val="xl239"/>
    <w:basedOn w:val="103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75" w:customStyle="1">
    <w:name w:val="xl240"/>
    <w:basedOn w:val="1033"/>
    <w:pPr>
      <w:pBdr/>
      <w:spacing w:after="100" w:afterAutospacing="1" w:before="100" w:beforeAutospacing="1"/>
      <w:ind/>
    </w:pPr>
  </w:style>
  <w:style w:type="paragraph" w:styleId="1076" w:customStyle="1">
    <w:name w:val="xl241"/>
    <w:basedOn w:val="103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7" w:customStyle="1">
    <w:name w:val="xl242"/>
    <w:basedOn w:val="103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8" w:customStyle="1">
    <w:name w:val="xl243"/>
    <w:basedOn w:val="103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9" w:customStyle="1">
    <w:name w:val="xl244"/>
    <w:basedOn w:val="1033"/>
    <w:pPr>
      <w:pBdr/>
      <w:spacing w:after="100" w:afterAutospacing="1" w:before="100" w:beforeAutospacing="1"/>
      <w:ind/>
    </w:pPr>
    <w:rPr>
      <w:b/>
      <w:bCs/>
    </w:rPr>
  </w:style>
  <w:style w:type="paragraph" w:styleId="1080" w:customStyle="1">
    <w:name w:val="xl245"/>
    <w:basedOn w:val="103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1" w:customStyle="1">
    <w:name w:val="xl246"/>
    <w:basedOn w:val="103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82" w:customStyle="1">
    <w:name w:val="xl247"/>
    <w:basedOn w:val="103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3" w:customStyle="1">
    <w:name w:val="xl248"/>
    <w:basedOn w:val="103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4" w:customStyle="1">
    <w:name w:val="xl249"/>
    <w:basedOn w:val="103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5" w:customStyle="1">
    <w:name w:val="xl250"/>
    <w:basedOn w:val="103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6" w:customStyle="1">
    <w:name w:val="xl251"/>
    <w:basedOn w:val="103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7" w:customStyle="1">
    <w:name w:val="xl252"/>
    <w:basedOn w:val="103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8" w:customStyle="1">
    <w:name w:val="xl253"/>
    <w:basedOn w:val="103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9" w:customStyle="1">
    <w:name w:val="xl254"/>
    <w:basedOn w:val="103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55"/>
    <w:basedOn w:val="103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1" w:customStyle="1">
    <w:name w:val="xl256"/>
    <w:basedOn w:val="103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92" w:customStyle="1">
    <w:name w:val="xl257"/>
    <w:basedOn w:val="103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3" w:customStyle="1">
    <w:name w:val="xl258"/>
    <w:basedOn w:val="103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4" w:customStyle="1">
    <w:name w:val="xl259"/>
    <w:basedOn w:val="103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5" w:customStyle="1">
    <w:name w:val="xl260"/>
    <w:basedOn w:val="103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6" w:customStyle="1">
    <w:name w:val="xl261"/>
    <w:basedOn w:val="103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7" w:customStyle="1">
    <w:name w:val="xl262"/>
    <w:basedOn w:val="103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98" w:customStyle="1">
    <w:name w:val="xl263"/>
    <w:basedOn w:val="1033"/>
    <w:pPr>
      <w:pBdr/>
      <w:shd w:val="clear" w:color="000000" w:fill="ffffff"/>
      <w:spacing w:after="100" w:afterAutospacing="1" w:before="100" w:beforeAutospacing="1"/>
      <w:ind/>
    </w:pPr>
  </w:style>
  <w:style w:type="paragraph" w:styleId="1099" w:customStyle="1">
    <w:name w:val="xl264"/>
    <w:basedOn w:val="103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100" w:customStyle="1">
    <w:name w:val="xl265"/>
    <w:basedOn w:val="103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1" w:customStyle="1">
    <w:name w:val="xl266"/>
    <w:basedOn w:val="103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102" w:customStyle="1">
    <w:name w:val="xl267"/>
    <w:basedOn w:val="103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103" w:customStyle="1">
    <w:name w:val="xl268"/>
    <w:basedOn w:val="103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104" w:customStyle="1">
    <w:name w:val="xl269"/>
    <w:basedOn w:val="103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105" w:customStyle="1">
    <w:name w:val="xl270"/>
    <w:basedOn w:val="103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106" w:customStyle="1">
    <w:name w:val="xl271"/>
    <w:basedOn w:val="103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107" w:customStyle="1">
    <w:name w:val="xl272"/>
    <w:basedOn w:val="103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108" w:customStyle="1">
    <w:name w:val="xl273"/>
    <w:basedOn w:val="103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9" w:customStyle="1">
    <w:name w:val="xl274"/>
    <w:basedOn w:val="103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110" w:customStyle="1">
    <w:name w:val="xl275"/>
    <w:basedOn w:val="1033"/>
    <w:pPr>
      <w:pBdr/>
      <w:spacing w:after="100" w:afterAutospacing="1" w:before="100" w:beforeAutospacing="1"/>
      <w:ind/>
    </w:pPr>
  </w:style>
  <w:style w:type="paragraph" w:styleId="1111" w:customStyle="1">
    <w:name w:val="xl276"/>
    <w:basedOn w:val="103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12" w:customStyle="1">
    <w:name w:val="xl277"/>
    <w:basedOn w:val="103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113" w:customStyle="1">
    <w:name w:val="xl278"/>
    <w:basedOn w:val="103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4" w:customStyle="1">
    <w:name w:val="xl279"/>
    <w:basedOn w:val="103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5" w:customStyle="1">
    <w:name w:val="xl280"/>
    <w:basedOn w:val="103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116" w:customStyle="1">
    <w:name w:val="xl281"/>
    <w:basedOn w:val="103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117" w:customStyle="1">
    <w:name w:val="xl282"/>
    <w:basedOn w:val="103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18" w:customStyle="1">
    <w:name w:val="xl283"/>
    <w:basedOn w:val="103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19" w:customStyle="1">
    <w:name w:val="xl284"/>
    <w:basedOn w:val="1033"/>
    <w:pPr>
      <w:pBdr>
        <w:left w:val="single" w:color="000000" w:sz="4" w:space="0"/>
        <w:bottom w:val="single" w:color="000000" w:sz="4" w:space="0"/>
        <w:right w:val="single" w:color="000000" w:sz="4" w:space="0"/>
      </w:pBdr>
      <w:spacing w:after="100" w:afterAutospacing="1" w:before="100" w:beforeAutospacing="1"/>
      <w:ind/>
    </w:pPr>
  </w:style>
  <w:style w:type="paragraph" w:styleId="1120" w:customStyle="1">
    <w:name w:val="xl285"/>
    <w:basedOn w:val="103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21" w:customStyle="1">
    <w:name w:val="xl286"/>
    <w:basedOn w:val="103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22" w:customStyle="1">
    <w:name w:val="xl287"/>
    <w:basedOn w:val="103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23" w:customStyle="1">
    <w:name w:val="xl288"/>
    <w:basedOn w:val="1033"/>
    <w:pPr>
      <w:pBdr>
        <w:top w:val="single" w:color="000000" w:sz="4" w:space="0"/>
        <w:left w:val="single" w:color="000000" w:sz="4" w:space="0"/>
        <w:right w:val="single" w:color="000000" w:sz="4" w:space="0"/>
      </w:pBdr>
      <w:spacing w:after="100" w:afterAutospacing="1" w:before="100" w:beforeAutospacing="1"/>
      <w:ind/>
    </w:pPr>
  </w:style>
  <w:style w:type="paragraph" w:styleId="1124" w:customStyle="1">
    <w:name w:val="xl289"/>
    <w:basedOn w:val="1033"/>
    <w:pPr>
      <w:pBdr>
        <w:left w:val="single" w:color="000000" w:sz="4" w:space="0"/>
        <w:right w:val="single" w:color="000000" w:sz="4" w:space="0"/>
      </w:pBdr>
      <w:spacing w:after="100" w:afterAutospacing="1" w:before="100" w:beforeAutospacing="1"/>
      <w:ind/>
    </w:pPr>
    <w:rPr>
      <w:b/>
      <w:bCs/>
    </w:rPr>
  </w:style>
  <w:style w:type="paragraph" w:styleId="1125" w:customStyle="1">
    <w:name w:val="xl290"/>
    <w:basedOn w:val="103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26" w:customStyle="1">
    <w:name w:val="xl291"/>
    <w:basedOn w:val="103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27" w:customStyle="1">
    <w:name w:val="xl292"/>
    <w:basedOn w:val="1033"/>
    <w:pPr>
      <w:pBdr>
        <w:top w:val="single" w:color="000000" w:sz="4" w:space="0"/>
        <w:left w:val="single" w:color="000000" w:sz="4" w:space="0"/>
        <w:right w:val="single" w:color="000000" w:sz="4" w:space="0"/>
      </w:pBdr>
      <w:spacing w:after="100" w:afterAutospacing="1" w:before="100" w:beforeAutospacing="1"/>
      <w:ind/>
    </w:pPr>
  </w:style>
  <w:style w:type="paragraph" w:styleId="1128" w:customStyle="1">
    <w:name w:val="xl293"/>
    <w:basedOn w:val="1033"/>
    <w:pPr>
      <w:pBdr>
        <w:left w:val="single" w:color="000000" w:sz="4" w:space="0"/>
        <w:bottom w:val="single" w:color="000000" w:sz="4" w:space="0"/>
        <w:right w:val="single" w:color="000000" w:sz="4" w:space="0"/>
      </w:pBdr>
      <w:spacing w:after="100" w:afterAutospacing="1" w:before="100" w:beforeAutospacing="1"/>
      <w:ind/>
    </w:pPr>
  </w:style>
  <w:style w:type="paragraph" w:styleId="1129" w:customStyle="1">
    <w:name w:val="xl294"/>
    <w:basedOn w:val="103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30">
    <w:name w:val="Title"/>
    <w:basedOn w:val="1033"/>
    <w:link w:val="1131"/>
    <w:qFormat/>
    <w:pPr>
      <w:pBdr/>
      <w:spacing/>
      <w:ind/>
      <w:jc w:val="center"/>
    </w:pPr>
    <w:rPr>
      <w:b/>
      <w:bCs/>
      <w:sz w:val="32"/>
      <w:szCs w:val="26"/>
    </w:rPr>
  </w:style>
  <w:style w:type="character" w:styleId="1131" w:customStyle="1">
    <w:name w:val="Title Char"/>
    <w:basedOn w:val="1038"/>
    <w:link w:val="1130"/>
    <w:pPr>
      <w:pBdr/>
      <w:spacing/>
      <w:ind/>
    </w:pPr>
    <w:rPr>
      <w:rFonts w:ascii="Times New Roman" w:hAnsi="Times New Roman" w:eastAsia="Times New Roman" w:cs="Times New Roman"/>
      <w:b/>
      <w:bCs/>
      <w:sz w:val="32"/>
      <w:szCs w:val="26"/>
    </w:rPr>
  </w:style>
  <w:style w:type="character" w:styleId="1132" w:customStyle="1">
    <w:name w:val="Unresolved Mention1"/>
    <w:basedOn w:val="1038"/>
    <w:uiPriority w:val="99"/>
    <w:semiHidden/>
    <w:unhideWhenUsed/>
    <w:pPr>
      <w:pBdr/>
      <w:spacing/>
      <w:ind/>
    </w:pPr>
    <w:rPr>
      <w:color w:val="605e5c"/>
      <w:shd w:val="clear" w:color="auto" w:fill="e1dfdd"/>
    </w:rPr>
  </w:style>
  <w:style w:type="character" w:styleId="1133" w:customStyle="1">
    <w:name w:val="Body text (3)_"/>
    <w:link w:val="1134"/>
    <w:pPr>
      <w:pBdr/>
      <w:spacing/>
      <w:ind/>
    </w:pPr>
    <w:rPr>
      <w:rFonts w:ascii="Times New Roman" w:hAnsi="Times New Roman" w:cs="Times New Roman"/>
      <w:i/>
      <w:iCs/>
      <w:spacing w:val="4"/>
      <w:shd w:val="clear" w:color="auto" w:fill="ffffff"/>
    </w:rPr>
  </w:style>
  <w:style w:type="paragraph" w:styleId="1134" w:customStyle="1">
    <w:name w:val="Body text (3)1"/>
    <w:basedOn w:val="1033"/>
    <w:link w:val="113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35" w:customStyle="1">
    <w:name w:val="t-j"/>
    <w:basedOn w:val="1033"/>
    <w:pPr>
      <w:pBdr/>
      <w:spacing w:after="100" w:afterAutospacing="1" w:before="100" w:beforeAutospacing="1"/>
      <w:ind/>
    </w:pPr>
  </w:style>
  <w:style w:type="character" w:styleId="1136" w:customStyle="1">
    <w:name w:val="Unresolved Mention2"/>
    <w:basedOn w:val="1038"/>
    <w:uiPriority w:val="99"/>
    <w:semiHidden/>
    <w:unhideWhenUsed/>
    <w:pPr>
      <w:pBdr/>
      <w:spacing/>
      <w:ind/>
    </w:pPr>
    <w:rPr>
      <w:color w:val="605e5c"/>
      <w:shd w:val="clear" w:color="auto" w:fill="e1dfdd"/>
    </w:rPr>
  </w:style>
  <w:style w:type="character" w:styleId="1137">
    <w:name w:val="FollowedHyperlink"/>
    <w:basedOn w:val="1038"/>
    <w:uiPriority w:val="99"/>
    <w:semiHidden/>
    <w:unhideWhenUsed/>
    <w:pPr>
      <w:pBdr/>
      <w:spacing/>
      <w:ind/>
    </w:pPr>
    <w:rPr>
      <w:color w:val="800080" w:themeColor="followedHyperlink"/>
      <w:u w:val="single"/>
    </w:rPr>
  </w:style>
  <w:style w:type="character" w:styleId="1138" w:customStyle="1">
    <w:name w:val="text"/>
    <w:basedOn w:val="1038"/>
    <w:pPr>
      <w:pBdr/>
      <w:spacing/>
      <w:ind/>
    </w:pPr>
  </w:style>
  <w:style w:type="character" w:styleId="1139" w:customStyle="1">
    <w:name w:val="card-send-time__sendtime"/>
    <w:basedOn w:val="1038"/>
    <w:pPr>
      <w:pBdr/>
      <w:spacing/>
      <w:ind/>
    </w:pPr>
  </w:style>
  <w:style w:type="character" w:styleId="1140" w:customStyle="1">
    <w:name w:val="Đề cập Chưa giải quyết1"/>
    <w:basedOn w:val="1038"/>
    <w:uiPriority w:val="99"/>
    <w:semiHidden/>
    <w:unhideWhenUsed/>
    <w:pPr>
      <w:pBdr/>
      <w:spacing/>
      <w:ind/>
    </w:pPr>
    <w:rPr>
      <w:color w:val="605e5c"/>
      <w:shd w:val="clear" w:color="auto" w:fill="e1dfdd"/>
    </w:rPr>
  </w:style>
  <w:style w:type="paragraph" w:styleId="1141" w:customStyle="1">
    <w:name w:val="nqtitle"/>
    <w:basedOn w:val="1033"/>
    <w:pPr>
      <w:pBdr/>
      <w:spacing w:after="100" w:afterAutospacing="1" w:before="100" w:beforeAutospacing="1"/>
      <w:ind/>
    </w:pPr>
    <w:rPr>
      <w:lang w:val="vi-VN" w:eastAsia="vi-VN"/>
    </w:rPr>
  </w:style>
  <w:style w:type="character" w:styleId="1142" w:customStyle="1">
    <w:name w:val="List Paragraph Char"/>
    <w:link w:val="1055"/>
    <w:uiPriority w:val="34"/>
    <w:qFormat/>
    <w:pPr>
      <w:pBdr/>
      <w:spacing/>
      <w:ind/>
    </w:pPr>
    <w:rPr>
      <w:rFonts w:ascii="Times New Roman" w:hAnsi="Times New Roman" w:eastAsia="Times New Roman" w:cs="Times New Roman"/>
      <w:sz w:val="24"/>
      <w:szCs w:val="24"/>
    </w:rPr>
  </w:style>
  <w:style w:type="character" w:styleId="1143" w:customStyle="1">
    <w:name w:val="Đề cập Chưa giải quyết2"/>
    <w:basedOn w:val="1038"/>
    <w:uiPriority w:val="99"/>
    <w:semiHidden/>
    <w:unhideWhenUsed/>
    <w:pPr>
      <w:pBdr/>
      <w:spacing/>
      <w:ind/>
    </w:pPr>
    <w:rPr>
      <w:color w:val="605e5c"/>
      <w:shd w:val="clear" w:color="auto" w:fill="e1dfdd"/>
    </w:rPr>
  </w:style>
  <w:style w:type="character" w:styleId="1144" w:customStyle="1">
    <w:name w:val="Unresolved Mention3"/>
    <w:basedOn w:val="1038"/>
    <w:uiPriority w:val="99"/>
    <w:semiHidden/>
    <w:unhideWhenUsed/>
    <w:pPr>
      <w:pBdr/>
      <w:spacing/>
      <w:ind/>
    </w:pPr>
    <w:rPr>
      <w:color w:val="605e5c"/>
      <w:shd w:val="clear" w:color="auto" w:fill="e1dfdd"/>
    </w:rPr>
  </w:style>
  <w:style w:type="character" w:styleId="1145" w:customStyle="1">
    <w:name w:val="copy"/>
    <w:basedOn w:val="1038"/>
    <w:pPr>
      <w:pBdr/>
      <w:spacing/>
      <w:ind/>
    </w:pPr>
  </w:style>
  <w:style w:type="paragraph" w:styleId="1146" w:customStyle="1">
    <w:name w:val="align-justify"/>
    <w:basedOn w:val="1033"/>
    <w:pPr>
      <w:pBdr/>
      <w:spacing w:after="100" w:afterAutospacing="1" w:before="100" w:beforeAutospacing="1"/>
      <w:ind/>
    </w:pPr>
  </w:style>
  <w:style w:type="character" w:styleId="1147" w:customStyle="1">
    <w:name w:val="btn"/>
    <w:basedOn w:val="1038"/>
    <w:pPr>
      <w:pBdr/>
      <w:spacing/>
      <w:ind/>
    </w:pPr>
  </w:style>
  <w:style w:type="character" w:styleId="1148" w:customStyle="1">
    <w:name w:val="hide_mobile"/>
    <w:basedOn w:val="1038"/>
    <w:pPr>
      <w:pBdr/>
      <w:spacing/>
      <w:ind/>
    </w:pPr>
  </w:style>
  <w:style w:type="character" w:styleId="1149">
    <w:name w:val="Emphasis"/>
    <w:basedOn w:val="1038"/>
    <w:uiPriority w:val="20"/>
    <w:qFormat/>
    <w:pPr>
      <w:pBdr/>
      <w:spacing/>
      <w:ind/>
    </w:pPr>
    <w:rPr>
      <w:i/>
      <w:iCs/>
    </w:rPr>
  </w:style>
  <w:style w:type="character" w:styleId="1150" w:customStyle="1">
    <w:name w:val="t1"/>
    <w:basedOn w:val="1038"/>
    <w:pPr>
      <w:pBdr/>
      <w:spacing/>
      <w:ind/>
    </w:pPr>
  </w:style>
  <w:style w:type="character" w:styleId="1151" w:customStyle="1">
    <w:name w:val="Unresolved Mention4"/>
    <w:basedOn w:val="1038"/>
    <w:uiPriority w:val="99"/>
    <w:semiHidden/>
    <w:unhideWhenUsed/>
    <w:pPr>
      <w:pBdr/>
      <w:spacing/>
      <w:ind/>
    </w:pPr>
    <w:rPr>
      <w:color w:val="605e5c"/>
      <w:shd w:val="clear" w:color="auto" w:fill="e1dfdd"/>
    </w:rPr>
  </w:style>
  <w:style w:type="character" w:styleId="1152" w:customStyle="1">
    <w:name w:val="Unresolved Mention5"/>
    <w:basedOn w:val="103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jpg"/><Relationship Id="rId18" Type="http://schemas.openxmlformats.org/officeDocument/2006/relationships/image" Target="media/image4.gif"/><Relationship Id="rId19" Type="http://schemas.openxmlformats.org/officeDocument/2006/relationships/image" Target="media/image5.jpg"/><Relationship Id="rId20" Type="http://schemas.openxmlformats.org/officeDocument/2006/relationships/image" Target="media/image6.gif"/><Relationship Id="rId21" Type="http://schemas.openxmlformats.org/officeDocument/2006/relationships/image" Target="media/image7.gif"/><Relationship Id="rId22" Type="http://schemas.openxmlformats.org/officeDocument/2006/relationships/hyperlink" Target="https://beta.meeymap.com/tra-cuu-quy-hoach/ql23?search=eyJsYXQiOjIxLjE3NTA0NjI5NzUxNzQ0LCJsbmciOjEwNS43MzE1NDk0ODcxOTYwNSwidGFiIjowLCJzYXRlbGxpdGVWaXNpYmxlIjp0cnVlLCJpbWFnZSI6Ii9pbWFnZXMvc2VvLWRlZmF1bHQtMi5wbmcifQ" TargetMode="External"/><Relationship Id="rId23" Type="http://schemas.openxmlformats.org/officeDocument/2006/relationships/hyperlink" Target="https://beta.meeymap.com/tra-cuu-quy-hoach/ql23?search=eyJsYXQiOjIxLjE3NTA0NjI5NzUxNzQ0LCJsbmciOjEwNS43MzE1NDk0ODcxOTYwNSwidGFiIjowLCJzYXRlbGxpdGVWaXNpYmxlIjp0cnVlLCJpbWFnZSI6Ii9pbWFnZXMvc2VvLWRlZmF1bHQtMi5wbmcifQ" TargetMode="External"/><Relationship Id="rId24" Type="http://schemas.openxmlformats.org/officeDocument/2006/relationships/hyperlink" Target="https://batdongsan.com.vn/ban-dat-duong-quoc-lo-23-xa-thanh-lam-3/hang-hiem-doc-ban-dien-tich-n-full-tho-cu-goc-mat-pr44446497" TargetMode="External"/><Relationship Id="rId25" Type="http://schemas.openxmlformats.org/officeDocument/2006/relationships/hyperlink" Target="https://beta.meeymap.com/tra-cuu-quy-hoach/ql23?search=eyJsYXQiOjIxLjE3NTA0NjI5NzUxNzQ0LCJsbmciOjEwNS43MzE1NDk0ODcxOTYwNSwidGFiIjowLCJzYXRlbGxpdGVWaXNpYmxlIjp0cnVlLCJpbWFnZSI6Ii9pbWFnZXMvc2VvLWRlZmF1bHQtMi5wbmcifQ" TargetMode="External"/><Relationship Id="rId26" Type="http://schemas.openxmlformats.org/officeDocument/2006/relationships/hyperlink" Target="https://beta.meeymap.com/tra-cuu-quy-hoach/ql23?search=eyJsYXQiOjIxLjE3NTA0NjI5NzUxNzQ0LCJsbmciOjEwNS43MzE1NDk0ODcxOTYwNSwidGFiIjowLCJzYXRlbGxpdGVWaXNpYmxlIjp0cnVlLCJpbWFnZSI6Ii9pbWFnZXMvc2VvLWRlZmF1bHQtMi5wbmcifQ" TargetMode="External"/><Relationship Id="rId27" Type="http://schemas.openxmlformats.org/officeDocument/2006/relationships/image" Target="media/image8.jpg"/><Relationship Id="rId28" Type="http://schemas.openxmlformats.org/officeDocument/2006/relationships/image" Target="media/image9.jpg"/><Relationship Id="rId29" Type="http://schemas.openxmlformats.org/officeDocument/2006/relationships/image" Target="media/image10.jpg"/><Relationship Id="rId30" Type="http://schemas.openxmlformats.org/officeDocument/2006/relationships/image" Target="media/image11.jpg"/><Relationship Id="rId31" Type="http://schemas.openxmlformats.org/officeDocument/2006/relationships/image" Target="media/image12.jpg"/><Relationship Id="rId32" Type="http://schemas.openxmlformats.org/officeDocument/2006/relationships/image" Target="media/image13.jpg"/><Relationship Id="rId33" Type="http://schemas.openxmlformats.org/officeDocument/2006/relationships/image" Target="media/image14.jpg"/><Relationship Id="rId34" Type="http://schemas.openxmlformats.org/officeDocument/2006/relationships/image" Target="media/image15.jpg"/><Relationship Id="rId35" Type="http://schemas.openxmlformats.org/officeDocument/2006/relationships/image" Target="media/image16.jpg"/><Relationship Id="rId36" Type="http://schemas.openxmlformats.org/officeDocument/2006/relationships/image" Target="media/image17.jpg"/><Relationship Id="rId37" Type="http://schemas.openxmlformats.org/officeDocument/2006/relationships/image" Target="media/image18.jpg"/><Relationship Id="rId38" Type="http://schemas.openxmlformats.org/officeDocument/2006/relationships/image" Target="media/image19.jpg"/><Relationship Id="rId39" Type="http://schemas.openxmlformats.org/officeDocument/2006/relationships/image" Target="media/image20.jpg"/><Relationship Id="rId40" Type="http://schemas.openxmlformats.org/officeDocument/2006/relationships/image" Target="media/image21.jpg"/><Relationship Id="rId41" Type="http://schemas.openxmlformats.org/officeDocument/2006/relationships/image" Target="media/image22.jpg"/><Relationship Id="rId42" Type="http://schemas.openxmlformats.org/officeDocument/2006/relationships/image" Target="media/image23.jpg"/><Relationship Id="rId43" Type="http://schemas.openxmlformats.org/officeDocument/2006/relationships/image" Target="media/image24.jpg"/><Relationship Id="rId44" Type="http://schemas.openxmlformats.org/officeDocument/2006/relationships/image" Target="media/image25.jpg"/><Relationship Id="rId45" Type="http://schemas.openxmlformats.org/officeDocument/2006/relationships/image" Target="media/image26.jpg"/><Relationship Id="rId46" Type="http://schemas.openxmlformats.org/officeDocument/2006/relationships/image" Target="media/image27.jpg"/><Relationship Id="rId47" Type="http://schemas.openxmlformats.org/officeDocument/2006/relationships/image" Target="media/image28.jpg"/><Relationship Id="rId48" Type="http://schemas.openxmlformats.org/officeDocument/2006/relationships/image" Target="media/image29.jpg"/><Relationship Id="rId49" Type="http://schemas.openxmlformats.org/officeDocument/2006/relationships/image" Target="media/image30.jpg"/><Relationship Id="rId50" Type="http://schemas.openxmlformats.org/officeDocument/2006/relationships/image" Target="media/image31.jpg"/><Relationship Id="rId51" Type="http://schemas.openxmlformats.org/officeDocument/2006/relationships/image" Target="media/image32.jpg"/><Relationship Id="rId52" Type="http://schemas.openxmlformats.org/officeDocument/2006/relationships/image" Target="media/image33.jpg"/><Relationship Id="rId53" Type="http://schemas.openxmlformats.org/officeDocument/2006/relationships/image" Target="media/image34.jpg"/><Relationship Id="rId54" Type="http://schemas.openxmlformats.org/officeDocument/2006/relationships/image" Target="media/image35.gif"/><Relationship Id="rId55" Type="http://schemas.openxmlformats.org/officeDocument/2006/relationships/image" Target="media/image36.gif"/><Relationship Id="rId56" Type="http://schemas.openxmlformats.org/officeDocument/2006/relationships/image" Target="media/image37.gif"/><Relationship Id="rId57" Type="http://schemas.openxmlformats.org/officeDocument/2006/relationships/image" Target="media/image38.gif"/><Relationship Id="rId58" Type="http://schemas.openxmlformats.org/officeDocument/2006/relationships/image" Target="media/image39.gif"/><Relationship Id="rId59" Type="http://schemas.openxmlformats.org/officeDocument/2006/relationships/image" Target="media/image40.gif"/><Relationship Id="rId60" Type="http://schemas.openxmlformats.org/officeDocument/2006/relationships/image" Target="media/image41.gif"/><Relationship Id="rId61" Type="http://schemas.openxmlformats.org/officeDocument/2006/relationships/image" Target="media/image42.gif"/><Relationship Id="rId62" Type="http://schemas.openxmlformats.org/officeDocument/2006/relationships/image" Target="media/image43.gif"/><Relationship Id="rId63" Type="http://schemas.openxmlformats.org/officeDocument/2006/relationships/image" Target="media/image44.gif"/><Relationship Id="rId64" Type="http://schemas.openxmlformats.org/officeDocument/2006/relationships/image" Target="media/image45.jpg"/><Relationship Id="rId65" Type="http://schemas.openxmlformats.org/officeDocument/2006/relationships/image" Target="media/image46.jpg"/><Relationship Id="rId66" Type="http://schemas.openxmlformats.org/officeDocument/2006/relationships/image" Target="media/image47.gif"/><Relationship Id="rId67" Type="http://schemas.openxmlformats.org/officeDocument/2006/relationships/image" Target="media/image48.gif"/></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F0319-5BF7-4165-870F-69618ED4E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Hung</dc:creator>
  <cp:lastModifiedBy>Nguyễn Thị Thùy Dung</cp:lastModifiedBy>
  <cp:revision>143</cp:revision>
  <dcterms:created xsi:type="dcterms:W3CDTF">2025-10-09T05:06:00Z</dcterms:created>
  <dcterms:modified xsi:type="dcterms:W3CDTF">2026-02-10T04:57:07Z</dcterms:modified>
</cp:coreProperties>
</file>